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4"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9" w:lineRule="exact"/>
        <w:rPr>
          <w:rFonts w:ascii="MS PGothic" w:cs="MS PGothic" w:eastAsia="MS PGothic" w:hAnsi="MS PGothic"/>
          <w:sz w:val="18"/>
          <w:szCs w:val="18"/>
          <w:color w:val="auto"/>
          <w:highlight w:val="black"/>
        </w:rPr>
      </w:pPr>
    </w:p>
    <w:p>
      <w:pPr>
        <w:ind w:left="40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September 30, 2023</w:t>
      </w:r>
    </w:p>
    <w:p>
      <w:pPr>
        <w:spacing w:after="0" w:line="4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9"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001-35839</w:t>
      </w:r>
    </w:p>
    <w:p>
      <w:pPr>
        <w:spacing w:after="0" w:line="4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ENANTA PHARMACEUTICALS,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4" w:lineRule="exact"/>
        <w:rPr>
          <w:sz w:val="24"/>
          <w:szCs w:val="24"/>
          <w:color w:val="auto"/>
        </w:rPr>
      </w:pPr>
    </w:p>
    <w:tbl>
      <w:tblPr>
        <w:tblLayout w:type="fixed"/>
        <w:tblInd w:w="520" w:type="dxa"/>
        <w:tblCellMar>
          <w:top w:w="0" w:type="dxa"/>
          <w:left w:w="0" w:type="dxa"/>
          <w:bottom w:w="0" w:type="dxa"/>
          <w:right w:w="0" w:type="dxa"/>
        </w:tblCellMar>
      </w:tblPr>
      <w:tr>
        <w:trPr>
          <w:trHeight w:val="180"/>
        </w:trPr>
        <w:tc>
          <w:tcPr>
            <w:tcW w:w="980" w:type="dxa"/>
            <w:vAlign w:val="bottom"/>
          </w:tcPr>
          <w:p>
            <w:pPr>
              <w:spacing w:after="0"/>
              <w:rPr>
                <w:sz w:val="15"/>
                <w:szCs w:val="15"/>
                <w:color w:val="auto"/>
              </w:rPr>
            </w:pPr>
          </w:p>
        </w:tc>
        <w:tc>
          <w:tcPr>
            <w:tcW w:w="2780" w:type="dxa"/>
            <w:vAlign w:val="bottom"/>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w w:val="96"/>
              </w:rPr>
              <w:t>DELAWARE</w:t>
            </w:r>
          </w:p>
        </w:tc>
        <w:tc>
          <w:tcPr>
            <w:tcW w:w="2380" w:type="dxa"/>
            <w:vAlign w:val="bottom"/>
            <w:gridSpan w:val="2"/>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2834</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8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rPr>
              <w:t>04-3205099</w:t>
            </w:r>
          </w:p>
        </w:tc>
        <w:tc>
          <w:tcPr>
            <w:tcW w:w="100" w:type="dxa"/>
            <w:vAlign w:val="bottom"/>
          </w:tcPr>
          <w:p>
            <w:pPr>
              <w:spacing w:after="0"/>
              <w:rPr>
                <w:sz w:val="15"/>
                <w:szCs w:val="15"/>
                <w:color w:val="auto"/>
              </w:rPr>
            </w:pPr>
          </w:p>
        </w:tc>
      </w:tr>
      <w:tr>
        <w:trPr>
          <w:trHeight w:val="135"/>
        </w:trPr>
        <w:tc>
          <w:tcPr>
            <w:tcW w:w="3760" w:type="dxa"/>
            <w:vAlign w:val="bottom"/>
            <w:gridSpan w:val="2"/>
          </w:tcPr>
          <w:p>
            <w:pPr>
              <w:jc w:val="center"/>
              <w:ind w:right="956"/>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60" w:type="dxa"/>
            <w:vAlign w:val="bottom"/>
          </w:tcPr>
          <w:p>
            <w:pPr>
              <w:spacing w:after="0"/>
              <w:rPr>
                <w:sz w:val="11"/>
                <w:szCs w:val="11"/>
                <w:color w:val="auto"/>
              </w:rPr>
            </w:pPr>
          </w:p>
        </w:tc>
        <w:tc>
          <w:tcPr>
            <w:tcW w:w="2340" w:type="dxa"/>
            <w:vAlign w:val="bottom"/>
            <w:gridSpan w:val="2"/>
          </w:tcPr>
          <w:p>
            <w:pPr>
              <w:jc w:val="center"/>
              <w:ind w:right="6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(Primary Standard Industrial</w:t>
            </w:r>
          </w:p>
        </w:tc>
        <w:tc>
          <w:tcPr>
            <w:tcW w:w="520" w:type="dxa"/>
            <w:vAlign w:val="bottom"/>
          </w:tcPr>
          <w:p>
            <w:pPr>
              <w:spacing w:after="0"/>
              <w:rPr>
                <w:sz w:val="11"/>
                <w:szCs w:val="11"/>
                <w:color w:val="auto"/>
              </w:rPr>
            </w:pPr>
          </w:p>
        </w:tc>
        <w:tc>
          <w:tcPr>
            <w:tcW w:w="2380" w:type="dxa"/>
            <w:vAlign w:val="bottom"/>
            <w:gridSpan w:val="2"/>
          </w:tcPr>
          <w:p>
            <w:pPr>
              <w:jc w:val="center"/>
              <w:ind w:left="10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760" w:type="dxa"/>
            <w:vAlign w:val="bottom"/>
            <w:gridSpan w:val="2"/>
          </w:tcPr>
          <w:p>
            <w:pPr>
              <w:jc w:val="center"/>
              <w:ind w:right="976"/>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60" w:type="dxa"/>
            <w:vAlign w:val="bottom"/>
          </w:tcPr>
          <w:p>
            <w:pPr>
              <w:spacing w:after="0"/>
              <w:rPr>
                <w:sz w:val="14"/>
                <w:szCs w:val="14"/>
                <w:color w:val="auto"/>
              </w:rPr>
            </w:pPr>
          </w:p>
        </w:tc>
        <w:tc>
          <w:tcPr>
            <w:tcW w:w="234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520" w:type="dxa"/>
            <w:vAlign w:val="bottom"/>
          </w:tcPr>
          <w:p>
            <w:pPr>
              <w:spacing w:after="0"/>
              <w:rPr>
                <w:sz w:val="14"/>
                <w:szCs w:val="14"/>
                <w:color w:val="auto"/>
              </w:rPr>
            </w:pPr>
          </w:p>
        </w:tc>
        <w:tc>
          <w:tcPr>
            <w:tcW w:w="2380" w:type="dxa"/>
            <w:vAlign w:val="bottom"/>
            <w:gridSpan w:val="2"/>
          </w:tcPr>
          <w:p>
            <w:pPr>
              <w:jc w:val="center"/>
              <w:ind w:left="1056"/>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167"/>
        </w:trPr>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500 Arsenal Street</w:t>
            </w:r>
          </w:p>
        </w:tc>
        <w:tc>
          <w:tcPr>
            <w:tcW w:w="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700" w:type="dxa"/>
            <w:vAlign w:val="bottom"/>
            <w:gridSpan w:val="3"/>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auto"/>
              </w:rPr>
              <w:t>Watertown, Massachusetts 02472</w:t>
            </w:r>
          </w:p>
        </w:tc>
        <w:tc>
          <w:tcPr>
            <w:tcW w:w="5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380" w:type="dxa"/>
            <w:vAlign w:val="bottom"/>
            <w:gridSpan w:val="2"/>
          </w:tcPr>
          <w:p>
            <w:pPr>
              <w:jc w:val="center"/>
              <w:ind w:left="187"/>
              <w:spacing w:after="0" w:line="163" w:lineRule="exact"/>
              <w:rPr>
                <w:sz w:val="20"/>
                <w:szCs w:val="20"/>
                <w:color w:val="auto"/>
              </w:rPr>
            </w:pPr>
            <w:r>
              <w:rPr>
                <w:rFonts w:ascii="Times New Roman" w:cs="Times New Roman" w:eastAsia="Times New Roman" w:hAnsi="Times New Roman"/>
                <w:sz w:val="15"/>
                <w:szCs w:val="15"/>
                <w:b w:val="1"/>
                <w:bCs w:val="1"/>
                <w:color w:val="auto"/>
              </w:rPr>
              <w:t>(617) 607-0800</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980" w:type="dxa"/>
            <w:vAlign w:val="bottom"/>
          </w:tcPr>
          <w:p>
            <w:pPr>
              <w:spacing w:after="0"/>
              <w:rPr>
                <w:sz w:val="13"/>
                <w:szCs w:val="13"/>
                <w:color w:val="auto"/>
              </w:rPr>
            </w:pPr>
          </w:p>
        </w:tc>
        <w:tc>
          <w:tcPr>
            <w:tcW w:w="8380" w:type="dxa"/>
            <w:vAlign w:val="bottom"/>
            <w:gridSpan w:val="7"/>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r>
      <w:tr>
        <w:trPr>
          <w:trHeight w:val="188"/>
        </w:trPr>
        <w:tc>
          <w:tcPr>
            <w:tcW w:w="980" w:type="dxa"/>
            <w:vAlign w:val="bottom"/>
          </w:tcPr>
          <w:p>
            <w:pPr>
              <w:spacing w:after="0"/>
              <w:rPr>
                <w:sz w:val="16"/>
                <w:szCs w:val="16"/>
                <w:color w:val="auto"/>
              </w:rPr>
            </w:pPr>
          </w:p>
        </w:tc>
        <w:tc>
          <w:tcPr>
            <w:tcW w:w="6000" w:type="dxa"/>
            <w:vAlign w:val="bottom"/>
            <w:gridSpan w:val="5"/>
          </w:tcPr>
          <w:p>
            <w:pPr>
              <w:jc w:val="center"/>
              <w:ind w:left="2136"/>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
        </w:trPr>
        <w:tc>
          <w:tcPr>
            <w:tcW w:w="980" w:type="dxa"/>
            <w:vAlign w:val="bottom"/>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r>
      <w:tr>
        <w:trPr>
          <w:trHeight w:val="142"/>
        </w:trPr>
        <w:tc>
          <w:tcPr>
            <w:tcW w:w="980" w:type="dxa"/>
            <w:vAlign w:val="bottom"/>
            <w:tcBorders>
              <w:right w:val="single" w:sz="8" w:color="auto"/>
            </w:tcBorders>
          </w:tcPr>
          <w:p>
            <w:pPr>
              <w:spacing w:after="0"/>
              <w:rPr>
                <w:sz w:val="12"/>
                <w:szCs w:val="12"/>
                <w:color w:val="auto"/>
              </w:rPr>
            </w:pPr>
          </w:p>
        </w:tc>
        <w:tc>
          <w:tcPr>
            <w:tcW w:w="2780" w:type="dxa"/>
            <w:vAlign w:val="bottom"/>
            <w:tcBorders>
              <w:bottom w:val="single" w:sz="8" w:color="auto"/>
            </w:tcBorders>
          </w:tcPr>
          <w:p>
            <w:pPr>
              <w:jc w:val="center"/>
              <w:ind w:left="256"/>
              <w:spacing w:after="0" w:line="122" w:lineRule="exact"/>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6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20" w:type="dxa"/>
            <w:vAlign w:val="bottom"/>
            <w:tcBorders>
              <w:bottom w:val="single" w:sz="8" w:color="auto"/>
            </w:tcBorders>
          </w:tcPr>
          <w:p>
            <w:pPr>
              <w:spacing w:after="0"/>
              <w:rPr>
                <w:sz w:val="12"/>
                <w:szCs w:val="12"/>
                <w:color w:val="auto"/>
              </w:rPr>
            </w:pPr>
          </w:p>
        </w:tc>
        <w:tc>
          <w:tcPr>
            <w:tcW w:w="2800" w:type="dxa"/>
            <w:vAlign w:val="bottom"/>
            <w:tcBorders>
              <w:bottom w:val="single" w:sz="8" w:color="auto"/>
              <w:right w:val="single" w:sz="8" w:color="auto"/>
            </w:tcBorders>
            <w:gridSpan w:val="2"/>
          </w:tcPr>
          <w:p>
            <w:pPr>
              <w:jc w:val="center"/>
              <w:ind w:right="29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c>
          <w:tcPr>
            <w:tcW w:w="100" w:type="dxa"/>
            <w:vAlign w:val="bottom"/>
          </w:tcPr>
          <w:p>
            <w:pPr>
              <w:spacing w:after="0"/>
              <w:rPr>
                <w:sz w:val="12"/>
                <w:szCs w:val="12"/>
                <w:color w:val="auto"/>
              </w:rPr>
            </w:pPr>
          </w:p>
        </w:tc>
      </w:tr>
      <w:tr>
        <w:trPr>
          <w:trHeight w:val="123"/>
        </w:trPr>
        <w:tc>
          <w:tcPr>
            <w:tcW w:w="980" w:type="dxa"/>
            <w:vAlign w:val="bottom"/>
            <w:tcBorders>
              <w:right w:val="single" w:sz="8" w:color="auto"/>
            </w:tcBorders>
          </w:tcPr>
          <w:p>
            <w:pPr>
              <w:spacing w:after="0"/>
              <w:rPr>
                <w:sz w:val="10"/>
                <w:szCs w:val="10"/>
                <w:color w:val="auto"/>
              </w:rPr>
            </w:pPr>
          </w:p>
        </w:tc>
        <w:tc>
          <w:tcPr>
            <w:tcW w:w="2780" w:type="dxa"/>
            <w:vAlign w:val="bottom"/>
            <w:tcBorders>
              <w:bottom w:val="single" w:sz="8" w:color="auto"/>
            </w:tcBorders>
          </w:tcPr>
          <w:p>
            <w:pPr>
              <w:jc w:val="center"/>
              <w:ind w:left="256"/>
              <w:spacing w:after="0" w:line="123" w:lineRule="exact"/>
              <w:rPr>
                <w:sz w:val="20"/>
                <w:szCs w:val="20"/>
                <w:color w:val="auto"/>
              </w:rPr>
            </w:pPr>
            <w:r>
              <w:rPr>
                <w:rFonts w:ascii="Times New Roman" w:cs="Times New Roman" w:eastAsia="Times New Roman" w:hAnsi="Times New Roman"/>
                <w:sz w:val="11"/>
                <w:szCs w:val="11"/>
                <w:color w:val="auto"/>
                <w:w w:val="98"/>
              </w:rPr>
              <w:t>Common Stock, par value $0.01 per share</w:t>
            </w:r>
          </w:p>
        </w:tc>
        <w:tc>
          <w:tcPr>
            <w:tcW w:w="36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color w:val="auto"/>
                <w:w w:val="95"/>
              </w:rPr>
              <w:t>ENTA</w:t>
            </w: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jc w:val="center"/>
              <w:ind w:right="816"/>
              <w:spacing w:after="0" w:line="121" w:lineRule="exact"/>
              <w:rPr>
                <w:sz w:val="20"/>
                <w:szCs w:val="20"/>
                <w:color w:val="auto"/>
              </w:rPr>
            </w:pPr>
            <w:r>
              <w:rPr>
                <w:rFonts w:ascii="Times New Roman" w:cs="Times New Roman" w:eastAsia="Times New Roman" w:hAnsi="Times New Roman"/>
                <w:sz w:val="11"/>
                <w:szCs w:val="11"/>
                <w:color w:val="auto"/>
                <w:w w:val="95"/>
              </w:rPr>
              <w:t>NASDAQ</w:t>
            </w:r>
          </w:p>
        </w:tc>
        <w:tc>
          <w:tcPr>
            <w:tcW w:w="100" w:type="dxa"/>
            <w:vAlign w:val="bottom"/>
          </w:tcPr>
          <w:p>
            <w:pPr>
              <w:spacing w:after="0"/>
              <w:rPr>
                <w:sz w:val="10"/>
                <w:szCs w:val="10"/>
                <w:color w:val="auto"/>
              </w:rPr>
            </w:pPr>
          </w:p>
        </w:tc>
      </w:tr>
      <w:tr>
        <w:trPr>
          <w:trHeight w:val="202"/>
        </w:trPr>
        <w:tc>
          <w:tcPr>
            <w:tcW w:w="980" w:type="dxa"/>
            <w:vAlign w:val="bottom"/>
          </w:tcPr>
          <w:p>
            <w:pPr>
              <w:spacing w:after="0"/>
              <w:rPr>
                <w:sz w:val="17"/>
                <w:szCs w:val="17"/>
                <w:color w:val="auto"/>
              </w:rPr>
            </w:pPr>
          </w:p>
        </w:tc>
        <w:tc>
          <w:tcPr>
            <w:tcW w:w="83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196"/>
        </w:trPr>
        <w:tc>
          <w:tcPr>
            <w:tcW w:w="64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52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238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7"/>
        </w:trPr>
        <w:tc>
          <w:tcPr>
            <w:tcW w:w="64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2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w w:val="98"/>
              </w:rPr>
              <w:t xml:space="preserve">Yes </w:t>
            </w:r>
            <w:r>
              <w:rPr>
                <w:rFonts w:ascii="MS PGothic" w:cs="MS PGothic" w:eastAsia="MS PGothic" w:hAnsi="MS PGothic"/>
                <w:sz w:val="13"/>
                <w:szCs w:val="13"/>
                <w:color w:val="auto"/>
                <w:w w:val="98"/>
              </w:rPr>
              <w:t>☐</w:t>
            </w:r>
          </w:p>
        </w:tc>
        <w:tc>
          <w:tcPr>
            <w:tcW w:w="2380" w:type="dxa"/>
            <w:vAlign w:val="bottom"/>
            <w:gridSpan w:val="2"/>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ind w:right="10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4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80" w:firstLine="509"/>
        <w:spacing w:after="0" w:line="24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9" w:right="339" w:bottom="1440" w:gutter="0" w:footer="0" w:header="0"/>
        </w:sectPr>
      </w:pPr>
    </w:p>
    <w:p>
      <w:pPr>
        <w:spacing w:after="0" w:line="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320" w:space="680"/>
            <w:col w:w="5920" w:space="720"/>
            <w:col w:w="1660" w:space="720"/>
            <w:col w:w="220"/>
          </w:cols>
          <w:pgMar w:left="320" w:top="239" w:right="339" w:bottom="1440" w:gutter="0" w:footer="0" w:header="0"/>
          <w:type w:val="continuous"/>
        </w:sectPr>
      </w:pPr>
    </w:p>
    <w:p>
      <w:pPr>
        <w:spacing w:after="0" w:line="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280" w:space="720"/>
            <w:col w:w="5920" w:space="720"/>
            <w:col w:w="1660" w:space="720"/>
            <w:col w:w="220"/>
          </w:cols>
          <w:pgMar w:left="320" w:top="239"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239" w:right="339" w:bottom="1440" w:gutter="0" w:footer="0" w:header="0"/>
          <w:type w:val="continuous"/>
        </w:sectPr>
      </w:pPr>
    </w:p>
    <w:p>
      <w:pPr>
        <w:spacing w:after="0" w:line="96" w:lineRule="exact"/>
        <w:rPr>
          <w:sz w:val="24"/>
          <w:szCs w:val="24"/>
          <w:color w:val="auto"/>
        </w:rPr>
      </w:pPr>
    </w:p>
    <w:p>
      <w:pPr>
        <w:ind w:right="180" w:firstLine="509"/>
        <w:spacing w:after="0" w:line="173"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3"/>
          <w:szCs w:val="13"/>
          <w:color w:val="auto"/>
        </w:rPr>
        <w:t>.</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20" w:lineRule="exact"/>
        <w:rPr>
          <w:sz w:val="24"/>
          <w:szCs w:val="24"/>
          <w:color w:val="auto"/>
        </w:rPr>
      </w:pPr>
    </w:p>
    <w:p>
      <w:pPr>
        <w:ind w:right="24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260" w:firstLine="543"/>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509"/>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50" w:lineRule="exact"/>
        <w:tabs>
          <w:tab w:leader="none" w:pos="6760" w:val="left"/>
          <w:tab w:leader="none" w:pos="72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firstLine="509"/>
        <w:spacing w:after="0" w:line="249"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as of the last business day of the registrant’s most recently completed second fiscal quarter, March 31, 2023, based on the last reported sale price of the registrant’s common stock of $40.44 per share was $799,700,757. The number of shares of the registrant’s Common Stock, $0.01 par value, outstanding as of November 1, 2023 was 21,058,925 shares.</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140" w:firstLine="509"/>
        <w:spacing w:after="0" w:line="273"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2024 Annual Meeting of Stockholders scheduled to be held on March 6, 2024, which Definitive Proxy will be filed with the Securities and Exchange Commission not later than 120 days after the registrant’s fiscal year end of September 30, 2023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type w:val="continuous"/>
        </w:sectPr>
      </w:pPr>
    </w:p>
    <w:bookmarkStart w:id="1" w:name="page2"/>
    <w:bookmarkEnd w:id="1"/>
    <w:p>
      <w:pPr>
        <w:ind w:right="100"/>
        <w:spacing w:after="0" w:line="272" w:lineRule="auto"/>
        <w:rPr>
          <w:sz w:val="20"/>
          <w:szCs w:val="20"/>
          <w:color w:val="auto"/>
        </w:rPr>
      </w:pPr>
      <w:r>
        <w:rPr>
          <w:rFonts w:ascii="Times New Roman" w:cs="Times New Roman" w:eastAsia="Times New Roman" w:hAnsi="Times New Roman"/>
          <w:sz w:val="18"/>
          <w:szCs w:val="18"/>
          <w:color w:val="auto"/>
        </w:rPr>
        <w:t>As used in this Form 10-K, “Enanta,” “the Company,” “we,” “our,” and “us” refer to Enanta Pharmaceuticals, Inc., and “MAVYRET/MAVIRET” refers to AbbVie’s HCV regimen consisting of tablets of glecaprevir/pibrentasvir, except where the context otherwise requires or as otherwise indicated.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VIEKIRAX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EXVIERA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trademarks of AbbVie, Inc.</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2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ENANTA PHARMACEUTICALS, INC.</w:t>
            </w:r>
          </w:p>
        </w:tc>
        <w:tc>
          <w:tcPr>
            <w:tcW w:w="56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11"/>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For the year ended September 30, 2023</w:t>
            </w:r>
          </w:p>
        </w:tc>
        <w:tc>
          <w:tcPr>
            <w:tcW w:w="56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60" w:type="dxa"/>
            <w:vAlign w:val="bottom"/>
          </w:tcPr>
          <w:p>
            <w:pPr>
              <w:spacing w:after="0"/>
              <w:rPr>
                <w:sz w:val="24"/>
                <w:szCs w:val="24"/>
                <w:color w:val="auto"/>
              </w:rPr>
            </w:pPr>
          </w:p>
        </w:tc>
      </w:tr>
      <w:tr>
        <w:trPr>
          <w:trHeight w:val="392"/>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Summary of Principal 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1"/>
              </w:rPr>
              <w:t>PART I</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7"/>
                <w:szCs w:val="17"/>
                <w:color w:val="auto"/>
              </w:rPr>
            </w:pPr>
          </w:p>
        </w:tc>
        <w:tc>
          <w:tcPr>
            <w:tcW w:w="64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auto"/>
                <w:w w:val="96"/>
              </w:rPr>
              <w:t>Business</w:t>
            </w:r>
          </w:p>
        </w:tc>
        <w:tc>
          <w:tcPr>
            <w:tcW w:w="9140" w:type="dxa"/>
            <w:vAlign w:val="bottom"/>
            <w:gridSpan w:val="23"/>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Properties</w:t>
            </w:r>
          </w:p>
        </w:tc>
        <w:tc>
          <w:tcPr>
            <w:tcW w:w="7740" w:type="dxa"/>
            <w:vAlign w:val="bottom"/>
            <w:gridSpan w:val="1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8440" w:type="dxa"/>
            <w:vAlign w:val="bottom"/>
            <w:gridSpan w:val="18"/>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5"/>
              </w:rPr>
              <w:t>PART II</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7"/>
                <w:szCs w:val="17"/>
                <w:color w:val="auto"/>
              </w:rPr>
            </w:pPr>
          </w:p>
        </w:tc>
        <w:tc>
          <w:tcPr>
            <w:tcW w:w="8300" w:type="dxa"/>
            <w:vAlign w:val="bottom"/>
            <w:tcBorders>
              <w:bottom w:val="single" w:sz="8" w:color="0000EE"/>
            </w:tcBorders>
            <w:gridSpan w:val="23"/>
          </w:tcPr>
          <w:p>
            <w:pPr>
              <w:spacing w:after="0" w:line="202" w:lineRule="exact"/>
              <w:rPr>
                <w:sz w:val="20"/>
                <w:szCs w:val="20"/>
                <w:color w:val="auto"/>
              </w:rPr>
            </w:pPr>
            <w:r>
              <w:rPr>
                <w:rFonts w:ascii="Times New Roman" w:cs="Times New Roman" w:eastAsia="Times New Roman" w:hAnsi="Times New Roman"/>
                <w:sz w:val="18"/>
                <w:szCs w:val="18"/>
                <w:color w:val="auto"/>
                <w:w w:val="99"/>
              </w:rPr>
              <w:t>Market for the Company’s Common Equity, Related Stockholder Matters and Issuer Purchases of Equity Securities</w:t>
            </w:r>
          </w:p>
        </w:tc>
        <w:tc>
          <w:tcPr>
            <w:tcW w:w="1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332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Consolidated 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6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330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160" w:type="dxa"/>
            <w:vAlign w:val="bottom"/>
          </w:tcPr>
          <w:p>
            <w:pPr>
              <w:spacing w:after="0"/>
              <w:rPr>
                <w:sz w:val="19"/>
                <w:szCs w:val="19"/>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0000EE"/>
            </w:tcBorders>
            <w:gridSpan w:val="3"/>
          </w:tcPr>
          <w:p>
            <w:pPr>
              <w:spacing w:after="0"/>
              <w:rPr>
                <w:sz w:val="19"/>
                <w:szCs w:val="19"/>
                <w:color w:val="auto"/>
              </w:rPr>
            </w:pPr>
          </w:p>
        </w:tc>
        <w:tc>
          <w:tcPr>
            <w:tcW w:w="8020" w:type="dxa"/>
            <w:vAlign w:val="bottom"/>
            <w:gridSpan w:val="16"/>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160" w:type="dxa"/>
            <w:vAlign w:val="bottom"/>
          </w:tcPr>
          <w:p>
            <w:pPr>
              <w:spacing w:after="0"/>
              <w:rPr>
                <w:sz w:val="19"/>
                <w:szCs w:val="19"/>
                <w:color w:val="auto"/>
              </w:rPr>
            </w:pP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9"/>
                <w:szCs w:val="19"/>
                <w:color w:val="auto"/>
              </w:rPr>
            </w:pPr>
          </w:p>
        </w:tc>
        <w:tc>
          <w:tcPr>
            <w:tcW w:w="4860" w:type="dxa"/>
            <w:vAlign w:val="bottom"/>
            <w:gridSpan w:val="6"/>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3"/>
              </w:rPr>
              <w:t>PART III</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202" w:lineRule="exact"/>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5680" w:type="dxa"/>
            <w:vAlign w:val="bottom"/>
            <w:gridSpan w:val="10"/>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72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50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54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434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80"/>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color w:val="auto"/>
                <w:w w:val="97"/>
              </w:rPr>
              <w:t>PART IV</w:t>
            </w:r>
          </w:p>
        </w:tc>
        <w:tc>
          <w:tcPr>
            <w:tcW w:w="560" w:type="dxa"/>
            <w:vAlign w:val="bottom"/>
          </w:tcPr>
          <w:p>
            <w:pPr>
              <w:spacing w:after="0"/>
              <w:rPr>
                <w:sz w:val="24"/>
                <w:szCs w:val="24"/>
                <w:color w:val="auto"/>
              </w:rPr>
            </w:pPr>
          </w:p>
        </w:tc>
      </w:tr>
      <w:tr>
        <w:trPr>
          <w:trHeight w:val="203"/>
        </w:trPr>
        <w:tc>
          <w:tcPr>
            <w:tcW w:w="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202" w:lineRule="exact"/>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6620" w:type="dxa"/>
            <w:vAlign w:val="bottom"/>
            <w:gridSpan w:val="11"/>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Signatures</w:t>
            </w:r>
          </w:p>
        </w:tc>
        <w:tc>
          <w:tcPr>
            <w:tcW w:w="8240" w:type="dxa"/>
            <w:vAlign w:val="bottom"/>
            <w:gridSpan w:val="17"/>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608"/>
        </w:trPr>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briefly states the principal risks and uncertainties facing our business that could affect our common stock, which are only a select portion of those risks. A more complete statement of those risks and uncertainties is set forth in the Section 1A “Risk Factors” of this report. This summary is qualified in its entirety by that more complete statement. You should carefully read the entire statement and “Risk Factors” when considering the risks and uncertainties as part of your evaluation of an investment in our common stock.</w:t>
      </w:r>
    </w:p>
    <w:p>
      <w:pPr>
        <w:spacing w:after="0" w:line="70" w:lineRule="exact"/>
        <w:rPr>
          <w:sz w:val="20"/>
          <w:szCs w:val="20"/>
          <w:color w:val="auto"/>
        </w:rPr>
      </w:pPr>
    </w:p>
    <w:p>
      <w:pPr>
        <w:jc w:val="both"/>
        <w:ind w:left="5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will require substantial additional funding to achieve our goals. If we do not generate sufficient funding from our existing collaboration and any future collaborations, we will need to obtain additional funding to support our operations. A failure to obtain funding when needed could force us to delay, limit, reduce or terminate some or all of our product development efforts.</w:t>
      </w:r>
    </w:p>
    <w:p>
      <w:pPr>
        <w:spacing w:after="0" w:line="62"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revenues for the next several years are substantially dependent upon AbbVie’s success selling MAVYRET/MAVIRET, which includes our protease inhibitor, glecaprevir, for the treatment of HCV</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may continue to experience lower sales volume in future quarters, primarily due to a reduction in diagnoses and treatment rates of HCV.</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AbbVie’s MAVYRET/MAVIRET regimen will have to continue to compete successfully against other products and therapies for HCV, including competition for exclusive arrangements with third-party payors and governmental entities as well as price competition, both in the U.S. and in other markets worldwide.</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June 30, 2023, 54.5% of our reported revenues will represent payments that go directly to OMERS following our April 2023 sale of that portion of our MAVYRET/MAVIRET royalties through June 30, 2032, subject to a cap on aggregate payments to OMERS equal to 1.42 times the purchase price.</w:t>
      </w:r>
    </w:p>
    <w:p>
      <w:pPr>
        <w:spacing w:after="0" w:line="63" w:lineRule="exact"/>
        <w:rPr>
          <w:rFonts w:ascii="Times New Roman" w:cs="Times New Roman" w:eastAsia="Times New Roman" w:hAnsi="Times New Roman"/>
          <w:sz w:val="18"/>
          <w:szCs w:val="18"/>
          <w:color w:val="auto"/>
        </w:rPr>
      </w:pPr>
    </w:p>
    <w:p>
      <w:pPr>
        <w:ind w:left="520" w:right="640" w:hanging="512"/>
        <w:spacing w:after="0" w:line="28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There are many companies developing potential therapies for RSV, SARS-CoV-2, and HBV, which may result in others discovering, developing or commercializing products before we do or doing so more successfully than we do.</w:t>
      </w:r>
    </w:p>
    <w:p>
      <w:pPr>
        <w:spacing w:after="0" w:line="50"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most of the disease areas currently the subject of our research and development efforts, there are other companies with product candidates that are more advanced than ours.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“first to market” with one of our product candidates in one or more of our targeted disease indications, such as COVID-19, our competitive position could be compromised because it may be more difficult for us to obtain marketing approval for that product candidate and/or market acceptance of that product candidate as a follow-on competitor.</w:t>
      </w:r>
    </w:p>
    <w:p>
      <w:pPr>
        <w:spacing w:after="0" w:line="63" w:lineRule="exact"/>
        <w:rPr>
          <w:rFonts w:ascii="Times New Roman" w:cs="Times New Roman" w:eastAsia="Times New Roman" w:hAnsi="Times New Roman"/>
          <w:sz w:val="18"/>
          <w:szCs w:val="18"/>
          <w:color w:val="auto"/>
        </w:rPr>
      </w:pPr>
    </w:p>
    <w:p>
      <w:pPr>
        <w:ind w:left="520" w:right="100" w:hanging="512"/>
        <w:spacing w:after="0" w:line="26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changes in royalty revenue earned under our AbbVie agreement or in the level of expenses associated with our clinical development programs, or both, will cause our results of operations to fluctuate from period to period. Given the reduction in our retained royalty revenue following our royalty sale, combined with increasing research and development expenses in support of our advancing programs, we expect to have continuing operating losses for the foreseeable future.</w:t>
      </w:r>
    </w:p>
    <w:p>
      <w:pPr>
        <w:spacing w:after="0" w:line="72"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preclinical and clinical development activities required for our product candidates must be contracted out to contract research organizations, or CROs, at significant expense. We expect these expenses to increase substantially in the coming years if we are able to advance any of our compounds into registrational clinical studies, as well as any impact of inflation, the combination of which will likely result in continuing operating losses.</w:t>
      </w:r>
    </w:p>
    <w:p>
      <w:pPr>
        <w:spacing w:after="0" w:line="67" w:lineRule="exact"/>
        <w:rPr>
          <w:rFonts w:ascii="Times New Roman" w:cs="Times New Roman" w:eastAsia="Times New Roman" w:hAnsi="Times New Roman"/>
          <w:sz w:val="18"/>
          <w:szCs w:val="18"/>
          <w:color w:val="auto"/>
        </w:rPr>
      </w:pPr>
    </w:p>
    <w:p>
      <w:pPr>
        <w:ind w:left="5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Clinical drug development for viral infections involves a lengthy and expensive process with uncertain timelines, uncertain outcomes and evolving clinical endpoints for regulatory approvals. If clinical trials of any of our proprietary product candidates are prolonged or delayed, we may be unable to commercialize our product candidates on a timely basis</w:t>
      </w:r>
      <w:r>
        <w:rPr>
          <w:rFonts w:ascii="Times New Roman" w:cs="Times New Roman" w:eastAsia="Times New Roman" w:hAnsi="Times New Roman"/>
          <w:sz w:val="18"/>
          <w:szCs w:val="18"/>
          <w:b w:val="1"/>
          <w:bCs w:val="1"/>
          <w:i w:val="1"/>
          <w:iCs w:val="1"/>
          <w:color w:val="auto"/>
        </w:rPr>
        <w:t>.</w:t>
      </w:r>
    </w:p>
    <w:p>
      <w:pPr>
        <w:spacing w:after="0" w:line="6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product candidates in our clinical development pipeline has yet to advance beyond Phase 2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RSV clinical trials may be delayed if future incidence of RSV does not return to pre-pandemic patterns.</w:t>
      </w:r>
    </w:p>
    <w:p>
      <w:pPr>
        <w:spacing w:after="0" w:line="117" w:lineRule="exact"/>
        <w:rPr>
          <w:rFonts w:ascii="Times New Roman" w:cs="Times New Roman" w:eastAsia="Times New Roman" w:hAnsi="Times New Roman"/>
          <w:sz w:val="18"/>
          <w:szCs w:val="18"/>
          <w:color w:val="auto"/>
        </w:rPr>
      </w:pPr>
    </w:p>
    <w:p>
      <w:pPr>
        <w:jc w:val="both"/>
        <w:ind w:left="1020" w:right="120" w:hanging="503"/>
        <w:spacing w:after="0" w:line="312" w:lineRule="auto"/>
        <w:tabs>
          <w:tab w:leader="none" w:pos="10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policies and guidelines, including guidelines specifically addressing requirements for the development of treatments for RSV, SARS-CoV-2 or HBV could also delay the time required to reach approval of one or more of our product candidates.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ind w:left="512" w:hanging="512"/>
        <w:spacing w:after="0" w:line="268"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results of clinical trials are inherently uncertain. The results of preclinical studies and early clinical trials of our product candidates may not be predictive of the results of later-stage clinical trials, if any, including sufficient efficacy and an acceptable safety and tolerability profile</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1012" w:right="20" w:hanging="503"/>
        <w:spacing w:after="0" w:line="282"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companies in the disease areas we are seeking to address have suffered significant setbacks in advanced clinical trials due to adverse safety profiles or lack of efficacy, notwithstanding promising results in earlier studies.</w:t>
      </w:r>
    </w:p>
    <w:p>
      <w:pPr>
        <w:spacing w:after="0" w:line="53" w:lineRule="exact"/>
        <w:rPr>
          <w:rFonts w:ascii="Times New Roman" w:cs="Times New Roman" w:eastAsia="Times New Roman" w:hAnsi="Times New Roman"/>
          <w:sz w:val="18"/>
          <w:szCs w:val="18"/>
          <w:color w:val="auto"/>
        </w:rPr>
      </w:pPr>
    </w:p>
    <w:p>
      <w:pPr>
        <w:ind w:left="1012" w:right="400" w:hanging="503"/>
        <w:spacing w:after="0" w:line="282"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administering any product candidate to humans may produce undesirable side effects not identified in preclinical studies.</w:t>
      </w:r>
    </w:p>
    <w:p>
      <w:pPr>
        <w:spacing w:after="0" w:line="53" w:lineRule="exact"/>
        <w:rPr>
          <w:rFonts w:ascii="Times New Roman" w:cs="Times New Roman" w:eastAsia="Times New Roman" w:hAnsi="Times New Roman"/>
          <w:sz w:val="18"/>
          <w:szCs w:val="18"/>
          <w:color w:val="auto"/>
        </w:rPr>
      </w:pPr>
    </w:p>
    <w:p>
      <w:pPr>
        <w:ind w:left="1012" w:right="220" w:hanging="503"/>
        <w:spacing w:after="0" w:line="266"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test any of our clinical candidates preclinically and/or clinically in combination with other compounds with different mechanisms of action. Any adverse results from such testing may have adverse consequences for the further development potential of not only the combination but also the clinical candidate itself as a monotherapy or in combination with other mechanisms of action.</w:t>
      </w:r>
    </w:p>
    <w:p>
      <w:pPr>
        <w:spacing w:after="0" w:line="63" w:lineRule="exact"/>
        <w:rPr>
          <w:rFonts w:ascii="Times New Roman" w:cs="Times New Roman" w:eastAsia="Times New Roman" w:hAnsi="Times New Roman"/>
          <w:sz w:val="18"/>
          <w:szCs w:val="18"/>
          <w:color w:val="auto"/>
        </w:rPr>
      </w:pPr>
    </w:p>
    <w:p>
      <w:pPr>
        <w:ind w:left="512" w:right="760" w:hanging="512"/>
        <w:spacing w:after="0" w:line="28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may delay or terminate the development of a product candidate at any time if we believe the perceived market or commercial opportunity does not justify further investment.</w:t>
      </w:r>
    </w:p>
    <w:p>
      <w:pPr>
        <w:spacing w:after="0" w:line="46"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could be unsuccessful in obtaining or maintaining adequate patent protection for one or more of our product candidates.</w:t>
      </w:r>
    </w:p>
    <w:p>
      <w:pPr>
        <w:spacing w:after="0" w:line="121"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competing to develop intellectual property in areas of small-molecule drug development that are highly competitive.</w:t>
      </w:r>
    </w:p>
    <w:p>
      <w:pPr>
        <w:spacing w:after="0" w:line="117" w:lineRule="exact"/>
        <w:rPr>
          <w:rFonts w:ascii="Times New Roman" w:cs="Times New Roman" w:eastAsia="Times New Roman" w:hAnsi="Times New Roman"/>
          <w:sz w:val="18"/>
          <w:szCs w:val="18"/>
          <w:color w:val="auto"/>
        </w:rPr>
      </w:pPr>
    </w:p>
    <w:p>
      <w:pPr>
        <w:ind w:left="1012" w:hanging="503"/>
        <w:spacing w:after="0" w:line="266" w:lineRule="auto"/>
        <w:tabs>
          <w:tab w:leader="none" w:pos="101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fail to provide us with any competitive advantage.</w:t>
      </w:r>
    </w:p>
    <w:p>
      <w:pPr>
        <w:spacing w:after="0" w:line="63" w:lineRule="exact"/>
        <w:rPr>
          <w:rFonts w:ascii="Times New Roman" w:cs="Times New Roman" w:eastAsia="Times New Roman" w:hAnsi="Times New Roman"/>
          <w:sz w:val="18"/>
          <w:szCs w:val="18"/>
          <w:color w:val="auto"/>
        </w:rPr>
      </w:pPr>
    </w:p>
    <w:p>
      <w:pPr>
        <w:ind w:left="512" w:right="140" w:hanging="512"/>
        <w:spacing w:after="0" w:line="28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rely on third parties to manufacture our clinical drug supplies, monitor, support, conduct and/or oversee clinical trials of our product candidates that we develop independently.</w:t>
      </w:r>
    </w:p>
    <w:p>
      <w:pPr>
        <w:spacing w:after="0" w:line="15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468"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become a leader in the discovery and development of small molecule drugs with an emphasis on treatments for viral infections.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Our ongoing royalties from our AbbVie collaboration, combined with the proceeds from our April 2023 royalty sale transaction, have provided us funding to support our wholly-owned research and development programs, which are primarily focused on the following disease targets:</w:t>
      </w:r>
    </w:p>
    <w:p>
      <w:pPr>
        <w:spacing w:after="0" w:line="90" w:lineRule="exact"/>
        <w:rPr>
          <w:sz w:val="20"/>
          <w:szCs w:val="20"/>
          <w:color w:val="auto"/>
        </w:rPr>
      </w:pPr>
    </w:p>
    <w:p>
      <w:pPr>
        <w:ind w:left="1020" w:right="34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60,000-160,000 adults over the age of 65 in the U.S. are hospitalized and 6,000-10,000 die due to RSV infections;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Since fiscal 2020, we have reported net losses. We generated revenue of $79.2 million and $86.2 million for the years ended September 30, 2023 and 2022, respectively, and incurred net losses of $133.8 million and $121.8 million for those same periods. Going forward, we will receive only 45.5% of ongoing royalty payments from AbbVie following our April 2023 royalty sale transaction that provided us a payment of $200.0 million. We expect to continue to incur net losses for the foreseeable future. As a result, we expect to need additional funding for expenses related to our ongoing operations.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2023, we had $369.9 million in cash, cash equivalents and short-term marketable securities. We expect that our existing cash, cash equivalents, short-term marketable securities and our continuing portion of HCV royalties, will enable us to fund our operating expenses and capital expenditure requirements through fiscal 2027. We have based this estimate on assumptions that may prove to be wrong, and we could exhaust our available capital resources sooner than we expect. See “Liquidity and Capital Resources.”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clinical development and commercialization, we are unable to accurately predict the timing or amount of increased expenses or when, or if, we will be able to achieve or maintain profitability. Until such time, if ever, as we can generate substantial revenue sufficient to achieve profitability, we expect to finance our operations through a combination of equity offerings, non-dilutive financings, collaborations, strategic alliances or licensing agreements. We may be unable to raise additional funds or enter into such other agreements or arrangements, when needed, on favorable terms, or at all. If we are unable to raise capital or enter into such agreements as, and when, needed, we may have to significantly delay, scale back or discontinue the further development and commercialization efforts of one or more of our products, or may be forced to reduce or terminate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namely RSV, SARS-CoV-2 and HBV:</w:t>
      </w:r>
    </w:p>
    <w:p>
      <w:pPr>
        <w:spacing w:after="0" w:line="117" w:lineRule="exact"/>
        <w:rPr>
          <w:sz w:val="20"/>
          <w:szCs w:val="20"/>
          <w:color w:val="auto"/>
        </w:rPr>
      </w:pPr>
    </w:p>
    <w:p>
      <w:pPr>
        <w:ind w:left="10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have a clinical stage program for RSV, with two compounds in clinical trials – EDP-938 and EDP-323. EDP-938, which has Fast Track designation from the U.S. Food and Drug Administration, or FDA, is a potent inhibitor of N-protein activity for both major subgroups of RSV, referred to as RSV-A and RSV-B. It is currently in two ongoing Phase 2 studies, each in a different patient population. We completed a Phase 1 clinical study of EDP-323, an inhibitor of the RSV L-protein with Fast Track designation from the FDA, with positive topline results reported in June 2023. We initiated a Phase 2 challenge study of EDP-323 in the fourth quarter of calendar 2023.</w:t>
      </w:r>
    </w:p>
    <w:p>
      <w:pPr>
        <w:spacing w:after="0" w:line="73" w:lineRule="exact"/>
        <w:rPr>
          <w:rFonts w:ascii="Times New Roman" w:cs="Times New Roman" w:eastAsia="Times New Roman" w:hAnsi="Times New Roman"/>
          <w:sz w:val="18"/>
          <w:szCs w:val="18"/>
          <w:color w:val="auto"/>
        </w:rPr>
      </w:pPr>
    </w:p>
    <w:p>
      <w:pPr>
        <w:ind w:left="1540" w:right="540" w:hanging="509"/>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 xml:space="preserve">EDP-938 - N-protein Inhibitor Candidate: </w:t>
      </w:r>
      <w:r>
        <w:rPr>
          <w:rFonts w:ascii="Times New Roman" w:cs="Times New Roman" w:eastAsia="Times New Roman" w:hAnsi="Times New Roman"/>
          <w:sz w:val="18"/>
          <w:szCs w:val="18"/>
          <w:color w:val="auto"/>
        </w:rPr>
        <w:t>We have studied EDP-938 in two Phase 2 studies that were designed to be proof-of-concept and exploratory studies to understand better the viral response in the context of RSV infection.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ind w:left="1023" w:right="60"/>
        <w:spacing w:after="0" w:line="254" w:lineRule="auto"/>
        <w:rPr>
          <w:sz w:val="20"/>
          <w:szCs w:val="20"/>
          <w:color w:val="auto"/>
        </w:rPr>
      </w:pPr>
      <w:r>
        <w:rPr>
          <w:rFonts w:ascii="Times New Roman" w:cs="Times New Roman" w:eastAsia="Times New Roman" w:hAnsi="Times New Roman"/>
          <w:sz w:val="18"/>
          <w:szCs w:val="18"/>
          <w:color w:val="auto"/>
        </w:rPr>
        <w:t>These studies were conducted in otherwise healthy adults (not at high-risk for serious outcomes with RSV) infected with RSV. The first study was a challenge study, in which healthy adults were infected with RSV in a clinical setting. The second study, known as RSVP, was in an otherwise healthy adult outpatient population with community-acquired RSV infection. With these studies, EDP-938 has demonstrated a favorable safety profile, consistent with that observed in over 500 subjects exposed to EDP-938 to date. We believe that EDP-938 has the greatest potential to show optimal efficacy in high-risk populations since these patients have reduced RSV immunity, which manifests in a higher and longer duration of viral load and greater disease severity, allowing a bigger window to realize the full potential of EDP-938. Based on the efficacy and growing safety profile of EDP-938, we are continuing to evaluate EDP-938 in high-risk populations in the following ongoing clinical studies, including pediatric patients and high-risk adults, all of which have significant unmet need:</w:t>
      </w:r>
    </w:p>
    <w:p>
      <w:pPr>
        <w:spacing w:after="0" w:line="186" w:lineRule="exact"/>
        <w:rPr>
          <w:sz w:val="20"/>
          <w:szCs w:val="20"/>
          <w:color w:val="auto"/>
        </w:rPr>
      </w:pPr>
    </w:p>
    <w:p>
      <w:pPr>
        <w:ind w:left="1523" w:right="40" w:hanging="505"/>
        <w:spacing w:after="0" w:line="267" w:lineRule="auto"/>
        <w:tabs>
          <w:tab w:leader="none" w:pos="15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RSVPEDs: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RSVPEDs is a Phase 2 study in pediatric patients. This dose-ranging, randomized, double-blind, placebo-controlled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study, is evaluating multiple ascending doses for five days in two age cohorts to determine safety, tolerability, and pharmacokinetics, as well as a second part evaluating antiviral activity at the selected dose.</w:t>
      </w:r>
    </w:p>
    <w:p>
      <w:pPr>
        <w:spacing w:after="0" w:line="65" w:lineRule="exact"/>
        <w:rPr>
          <w:rFonts w:ascii="Times New Roman" w:cs="Times New Roman" w:eastAsia="Times New Roman" w:hAnsi="Times New Roman"/>
          <w:sz w:val="18"/>
          <w:szCs w:val="18"/>
          <w:color w:val="auto"/>
        </w:rPr>
      </w:pPr>
    </w:p>
    <w:p>
      <w:pPr>
        <w:ind w:left="1523" w:right="60" w:hanging="505"/>
        <w:spacing w:after="0" w:line="261" w:lineRule="auto"/>
        <w:tabs>
          <w:tab w:leader="none" w:pos="15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RSVHR is a Phase 2b study in high-risk adults, including those who are older than 65 years of age and those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asthma, chronic obstructive pulmonary disease, or COPD, or congestive heart failure. Approximately 180 patients will be treated with EDP-938 or placebo for five days with a primary endpoint of time to resolution of RSV lower respiratory tract disease symptoms.</w:t>
      </w:r>
    </w:p>
    <w:p>
      <w:pPr>
        <w:spacing w:after="0" w:line="71" w:lineRule="exact"/>
        <w:rPr>
          <w:rFonts w:ascii="Times New Roman" w:cs="Times New Roman" w:eastAsia="Times New Roman" w:hAnsi="Times New Roman"/>
          <w:sz w:val="18"/>
          <w:szCs w:val="18"/>
          <w:color w:val="auto"/>
        </w:rPr>
      </w:pPr>
    </w:p>
    <w:p>
      <w:pPr>
        <w:jc w:val="both"/>
        <w:ind w:left="1523" w:right="360" w:hanging="505"/>
        <w:spacing w:after="0" w:line="267" w:lineRule="auto"/>
        <w:tabs>
          <w:tab w:leader="none" w:pos="15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Next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to complete enrollment in one or both of our ongoing Phase 2 studies of EDP-938 in the 2023-2024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Hemisphere RSV season and to report data in the third quarter of calendar 2024, assuming there is a normal, pre-pandemic type of RSV season in the Northern Hemisphere.</w:t>
      </w:r>
    </w:p>
    <w:p>
      <w:pPr>
        <w:spacing w:after="0" w:line="65" w:lineRule="exact"/>
        <w:rPr>
          <w:sz w:val="20"/>
          <w:szCs w:val="20"/>
          <w:color w:val="auto"/>
        </w:rPr>
      </w:pPr>
    </w:p>
    <w:p>
      <w:pPr>
        <w:ind w:left="1023" w:hanging="513"/>
        <w:spacing w:after="0" w:line="254" w:lineRule="auto"/>
        <w:tabs>
          <w:tab w:leader="none" w:pos="10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 novel oral, direct-acting antiviral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selectively 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In June 2023, we completed a Phase 1 clinical study and reported positive topline results, which demonstrated that EDP-323 was safe and well-tolerated with pharmacokinetics supportive of once-daily dosing with target exposures achieved and no food effect. Based on these positive data, we initiated a Phase 2 challenge study of EDP-323 in the fourth quarter of calendar 2023 and expect topline data in the third quarter of calendar 2024.</w:t>
      </w:r>
    </w:p>
    <w:p>
      <w:pPr>
        <w:spacing w:after="0" w:line="80" w:lineRule="exact"/>
        <w:rPr>
          <w:rFonts w:ascii="Times New Roman" w:cs="Times New Roman" w:eastAsia="Times New Roman" w:hAnsi="Times New Roman"/>
          <w:sz w:val="18"/>
          <w:szCs w:val="18"/>
          <w:color w:val="auto"/>
        </w:rPr>
      </w:pPr>
    </w:p>
    <w:p>
      <w:pPr>
        <w:ind w:left="1023" w:right="260" w:hanging="513"/>
        <w:spacing w:after="0" w:line="257" w:lineRule="auto"/>
        <w:tabs>
          <w:tab w:leader="none" w:pos="10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RSV/hMPV Dual-Inhibitor: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a research program targeting development of single agents with broader spectrum antiviral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against both RSV and human metapneumovirus, or hMPV, a virus that is a significant cause of respiratory tract infections similar to those caused by RSV. These target compounds, which we refer to as dual-inhibitors, maintained activity against multiple genotypes and strains of RSV and hMPV in a range of cell types in preclinical studies, and blocked replication in a dose-dependent manner in respective mouse models of each virus. We have paused this research program as we do not plan to advance a third RSV candidate into the clinic as long as EDP-938 and EDP-323 continue to progress into further clinical development.</w:t>
      </w:r>
    </w:p>
    <w:p>
      <w:pPr>
        <w:spacing w:after="0" w:line="184"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xml:space="preserve"> We have leveraged our expertise in developing protease inhibitors to discover compounds specifically designed to target the SARS-CoV-2 virus and potentially other coronaviruses.</w:t>
      </w:r>
    </w:p>
    <w:p>
      <w:pPr>
        <w:spacing w:after="0" w:line="51" w:lineRule="exact"/>
        <w:rPr>
          <w:rFonts w:ascii="Times New Roman" w:cs="Times New Roman" w:eastAsia="Times New Roman" w:hAnsi="Times New Roman"/>
          <w:sz w:val="18"/>
          <w:szCs w:val="18"/>
          <w:color w:val="auto"/>
        </w:rPr>
      </w:pPr>
    </w:p>
    <w:p>
      <w:pPr>
        <w:jc w:val="both"/>
        <w:ind w:left="1023" w:right="40" w:hanging="514"/>
        <w:spacing w:after="0" w:line="271" w:lineRule="auto"/>
        <w:tabs>
          <w:tab w:leader="none" w:pos="102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EDP-235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Protease Inhibitor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EDP-235 is an oral inhibitor of the coronavirus 3CL protease, also referred to as 3CLpro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main coronavirus protease, or Mpro, which has been granted Fast Track designation by the FDA.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w:t>
      </w:r>
    </w:p>
    <w:p>
      <w:pPr>
        <w:spacing w:after="0" w:line="1" w:lineRule="exact"/>
        <w:rPr>
          <w:rFonts w:ascii="Times New Roman" w:cs="Times New Roman" w:eastAsia="Times New Roman" w:hAnsi="Times New Roman"/>
          <w:sz w:val="17"/>
          <w:szCs w:val="17"/>
          <w:color w:val="auto"/>
        </w:rPr>
      </w:pPr>
    </w:p>
    <w:p>
      <w:pPr>
        <w:ind w:left="1023" w:right="1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Furthermore, EDP-235 has good tissue distribution, and is projected to have four times higher drug levels in lung tissue compared to plasma and has demonstrated high cell penetration rates in many cell types studied to date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 robust treatment effect and prevention of transmission was observed in a ferret model.</w:t>
      </w:r>
    </w:p>
    <w:p>
      <w:pPr>
        <w:spacing w:after="0" w:line="75" w:lineRule="exact"/>
        <w:rPr>
          <w:rFonts w:ascii="Times New Roman" w:cs="Times New Roman" w:eastAsia="Times New Roman" w:hAnsi="Times New Roman"/>
          <w:sz w:val="17"/>
          <w:szCs w:val="17"/>
          <w:color w:val="auto"/>
        </w:rPr>
      </w:pPr>
    </w:p>
    <w:p>
      <w:pPr>
        <w:ind w:left="1523" w:right="220" w:hanging="505"/>
        <w:spacing w:after="0" w:line="261" w:lineRule="auto"/>
        <w:tabs>
          <w:tab w:leader="none" w:pos="152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1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July 2022, we completed a Phase 1 study and reported positive topline results. This first-in-human,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double-blind, placebo-controlled study enrolled healthy volunteers to evaluate the safety, tolerability, and pharmacokinetics of oral EDP-235 in single ascending doses, and multiple ascending doses, for seven days, and the effect of food. Data from the Phase 1 study demonstrated EDP-235 was generally safe</w:t>
      </w:r>
    </w:p>
    <w:p>
      <w:pPr>
        <w:spacing w:after="0" w:line="18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2" w:right="339" w:bottom="1440" w:gutter="0" w:footer="0" w:header="0"/>
        </w:sectPr>
      </w:pPr>
    </w:p>
    <w:bookmarkStart w:id="7" w:name="page8"/>
    <w:bookmarkEnd w:id="7"/>
    <w:p>
      <w:pPr>
        <w:jc w:val="both"/>
        <w:ind w:left="2040" w:right="160"/>
        <w:spacing w:after="0" w:line="246" w:lineRule="auto"/>
        <w:rPr>
          <w:sz w:val="20"/>
          <w:szCs w:val="20"/>
          <w:color w:val="auto"/>
        </w:rPr>
      </w:pPr>
      <w:r>
        <w:rPr>
          <w:rFonts w:ascii="Times New Roman" w:cs="Times New Roman" w:eastAsia="Times New Roman" w:hAnsi="Times New Roman"/>
          <w:sz w:val="18"/>
          <w:szCs w:val="18"/>
          <w:color w:val="auto"/>
        </w:rPr>
        <w:t>and well-tolerated in doses up to 400 mg for seven days and adverse events were infrequent and mild. Pharmacokinetics were supportive of once-daily dosing without ritonavir and without regard to food and achieved target exposure levels of up to 13-fold over the plasma 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2040" w:hanging="505"/>
        <w:spacing w:after="0" w:line="252" w:lineRule="auto"/>
        <w:tabs>
          <w:tab w:leader="none" w:pos="2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May 2023, we reported topline results from SPRINT (SARS-CoV-2 Protease Inhibitor Treatment), a Phase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of EDP-235. This randomized, double-blind, placebo-controlled study evaluated the safety, tolerability, antiviral activity and clinical symptoms of EDP-235 compared to placebo in approximately 230 non-hospitalized, symptomatic patients with mild to moderate COVID-19 who were not at increased risk for developing severe disease. Patients were eligible to participate if they had symptoms for five days or less and had not received a SARS-CoV-2 vaccine or been infected with SARS-CoV-2 within 90 days of enrollment. Patients received either 200 mg or 400 mg EDP-235 or placebo orally with food once daily for five days. EDP-235 met the primary endpoint of the trial and was generally safe and well-tolerated. A dose-dependent improvement in total symptom score was observed with EDP-235 treatment compared to placebo, which achieved statistical significance (p&lt;0.05) in the 400 mg treatment group at multiple time points, starting as early as one day after the first dose. While no difference was observed in time to improvement in the overall group of 14 measured COVID-19 symptoms, an analysis of a subset of six symptoms showed a two-day shorter time to improvement in patients receiving EDP-235 400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86" w:lineRule="exact"/>
        <w:rPr>
          <w:rFonts w:ascii="Times New Roman" w:cs="Times New Roman" w:eastAsia="Times New Roman" w:hAnsi="Times New Roman"/>
          <w:sz w:val="18"/>
          <w:szCs w:val="18"/>
          <w:color w:val="auto"/>
        </w:rPr>
      </w:pPr>
    </w:p>
    <w:p>
      <w:pPr>
        <w:ind w:left="2040" w:right="120" w:hanging="505"/>
        <w:spacing w:after="0" w:line="284" w:lineRule="auto"/>
        <w:tabs>
          <w:tab w:leader="none" w:pos="2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Next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Going forward, we will continue to focus on potential collaborations to progress EDP-235, as we will not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candidate further on our own.</w:t>
      </w:r>
    </w:p>
    <w:p>
      <w:pPr>
        <w:spacing w:after="0" w:line="160"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Our lead clinical candidate for the treatment of chronic infection with hepatitis B virus, or HBV, is EDP-514, a core inhibitor that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Advancement of this program is dependent upon our accessing another compound that could be developed with EDP-514 for such a treatment regimen.</w:t>
      </w:r>
    </w:p>
    <w:p>
      <w:pPr>
        <w:spacing w:after="0" w:line="73" w:lineRule="exact"/>
        <w:rPr>
          <w:rFonts w:ascii="Times New Roman" w:cs="Times New Roman" w:eastAsia="Times New Roman" w:hAnsi="Times New Roman"/>
          <w:sz w:val="18"/>
          <w:szCs w:val="18"/>
          <w:color w:val="auto"/>
        </w:rPr>
      </w:pPr>
    </w:p>
    <w:p>
      <w:pPr>
        <w:ind w:left="1540" w:right="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 xml:space="preserve">EDP-514 - Core Inhibitor Candidate: </w:t>
      </w:r>
      <w:r>
        <w:rPr>
          <w:rFonts w:ascii="Times New Roman" w:cs="Times New Roman" w:eastAsia="Times New Roman" w:hAnsi="Times New Roman"/>
          <w:sz w:val="18"/>
          <w:szCs w:val="18"/>
          <w:color w:val="auto"/>
        </w:rPr>
        <w:t>Final data from two Phase 1b studies of EDP-514 demonstrate the compound is safe with strong</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antiviral activity in two different chronic HBV patient populations – those who have a high viral load and those who are on a treatment with a nucleoside reverse transcriptase inhibitor. Based on these data, we remain convinced that EDP-514, which has Fast Track designation, has the potential to be a best-in-class core inhibitor for HBV.</w:t>
      </w:r>
    </w:p>
    <w:p>
      <w:pPr>
        <w:spacing w:after="0" w:line="7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HCV:</w:t>
      </w:r>
      <w:r>
        <w:rPr>
          <w:rFonts w:ascii="Times New Roman" w:cs="Times New Roman" w:eastAsia="Times New Roman" w:hAnsi="Times New Roman"/>
          <w:sz w:val="18"/>
          <w:szCs w:val="18"/>
          <w:color w:val="auto"/>
        </w:rPr>
        <w:t xml:space="preserve"> Two protease inhibitors developed through our Collaborative Development and License Agreement with AbbVie have been clinically tested, manufactured, and commercialized by AbbVie as part of its combination regimens for HCV. We have received the full $330.0 million of contractual milestone payments under the agreement related to clinical development and commercialization regulatory approvals of these regimens in major markets, and we continue to earn royalties on sales of those regimens.</w:t>
      </w:r>
    </w:p>
    <w:p>
      <w:pPr>
        <w:spacing w:after="0" w:line="7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This regimen is a once-daily, all-oral,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over 50 countries where MAVYRET/MAVIRET is sold by AbbVie and where MAVYRET/MAVIRET remains the only 8-week pan-genotypic HCV treatment.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 In April 2023, we sold 54.5% of our future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MAVYRET/MAVIRET royalties for a $200.0 million cash payment, subject to a cap of total royalties sold equal to 1.42 times the cash payment.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primary objective is to become a leader in the discovery and development of small molecule drugs with an emphasis on treatments for viral infections and to provide new therapies for patients with unmet medical needs. Our focus has primarily been on antiviral targets for viruses such as RSV, SARS-CoV-2, and HBV, which in most cases are therapeutic areas that have attracted research and development efforts of many competitors. Our strategy includes the following key elements:</w:t>
      </w:r>
    </w:p>
    <w:p>
      <w:pPr>
        <w:spacing w:after="0" w:line="70" w:lineRule="exact"/>
        <w:rPr>
          <w:sz w:val="20"/>
          <w:szCs w:val="20"/>
          <w:color w:val="auto"/>
        </w:rPr>
      </w:pPr>
    </w:p>
    <w:p>
      <w:pPr>
        <w:ind w:left="1020" w:right="10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clinical development of novel virology product candidates for RSV. </w:t>
      </w:r>
      <w:r>
        <w:rPr>
          <w:rFonts w:ascii="Times New Roman" w:cs="Times New Roman" w:eastAsia="Times New Roman" w:hAnsi="Times New Roman"/>
          <w:sz w:val="18"/>
          <w:szCs w:val="18"/>
          <w:color w:val="auto"/>
        </w:rPr>
        <w:t>We have ongoing clinical studies of two compounds discovered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research program in RSV, a viral infection for which there is currently no available effective treatment and as such there exists a substantial unmet medical need.</w:t>
      </w:r>
    </w:p>
    <w:p>
      <w:pPr>
        <w:spacing w:after="0" w:line="6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 in research and development of compounds in new disease areas</w:t>
      </w:r>
      <w:r>
        <w:rPr>
          <w:rFonts w:ascii="Times New Roman" w:cs="Times New Roman" w:eastAsia="Times New Roman" w:hAnsi="Times New Roman"/>
          <w:sz w:val="18"/>
          <w:szCs w:val="18"/>
          <w:color w:val="auto"/>
        </w:rPr>
        <w:t>. We are continuing to invest resources in our research programs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efforts to identify and advance additional novel compounds that have the potential to address significant unmet medical needs in new disease areas. We may also explore clinically other diseases where our assets could play a role. In addition, we may seek to augment our product candidate pipeline through the acquisition or in-licensing of external assets and/or technologies in one or more of our disease areas of focus.</w:t>
      </w:r>
    </w:p>
    <w:p>
      <w:pPr>
        <w:spacing w:after="0" w:line="75"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Collaborate or out-license, where and when appropriate, with pharmaceutical partners to create combination therapies and/or accelerate the development and commercialization of our proprietary compounds</w:t>
      </w:r>
      <w:r>
        <w:rPr>
          <w:rFonts w:ascii="Times New Roman" w:cs="Times New Roman" w:eastAsia="Times New Roman" w:hAnsi="Times New Roman"/>
          <w:sz w:val="17"/>
          <w:szCs w:val="17"/>
          <w:color w:val="auto"/>
        </w:rPr>
        <w:t>. We are prepared to join forces, where and when appropriate,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collaborators with compounds targeting other mechanisms of action in diseases such as HBV, where there is the potential for better treatments with combination therapies. We may also choose to collaborate with other companies to accelerate the global clinical development of our product candidates. Our decisions regarding our proprietary programs will be based on the results of our early phase clinical studies and the potential for collaborations, including combinations with one or more drugs targeting other mechanisms of action in these diseases.</w:t>
      </w:r>
    </w:p>
    <w:p>
      <w:pPr>
        <w:spacing w:after="0" w:line="60" w:lineRule="exact"/>
        <w:rPr>
          <w:rFonts w:ascii="Times New Roman" w:cs="Times New Roman" w:eastAsia="Times New Roman" w:hAnsi="Times New Roman"/>
          <w:sz w:val="17"/>
          <w:szCs w:val="17"/>
          <w:color w:val="auto"/>
        </w:rPr>
      </w:pPr>
    </w:p>
    <w:p>
      <w:pPr>
        <w:ind w:left="102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use our existing resources and future cash flow from our AbbVie collaboration to fund our research and development 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our existing financial resources and our retained portion of future royalty payments from our AbbVie collaboration will provide us resources to fund our research and development programs through fiscal 2027. These resources will allow us to continue to advance compounds in clinical development and to progress the most promising candidates at least through proof-of-concept trials. Further development of any compound as a monotherapy or in combinations with other therapeutic agents when we believe such combinations will provide the most promising opportunities will require additional financial resources.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Research and Development Pipeline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2200" cy="3317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*Fixed-dose antiviral combination contains glecaprevir and AbbVie's NS5A inhibitor, pibrentasvir. Marketed by AbbVie as MAVYRET® (U.S.) and MAVIRET® (ex-U.S.)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RSV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RSV</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Respiratory syncytial virus, or RSV, is a virus that infects the lungs and is the most common cause of bronchiolitis and pneumonia in young children and a significant cause of respiratory illness in older adults. Almost all children are infected at least once before they are 2 years old, and about a half are infected twice, resulting in over 2 million outpatient visits in young children. According to the most recent data from the Centers for Disease Control and Prevention (CDC), two to three out of every 100 infants with an RSV infection may need to be hospitalized. Hospitalization rates due to RSV are approximately 16 times higher than for influenza among children aged less than 1 year. The CDC currently estimates that each year 60,000-160,000 older adults in the United States are hospitalized due to RSV infections. RSV is estimated to cause 100–500 deaths annually in children under 5 years old and 6,000-10,000 deaths annually in adults over 65 years old in the U.S. There are currently no safe and effective therapies for RSV infection.</w:t>
      </w:r>
    </w:p>
    <w:p>
      <w:pPr>
        <w:spacing w:after="0" w:line="8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Synagis, a prophylactic, monoclonal antibody-based treatment is approved for infants considered at high risk for RSV infection; however, studies have found that most young children with RSV infection were previously healthy, and thus would not normally be prescribed this prophylactic treatment. AstraZeneca and Sanofi (Beyfortus/nirsevimab – approved in U.S./EU) have long-acting monoclonal antibody products recently approved for prophylaxis use in all infants and for those at risk up to 24 months of age and Merck (clesrovimab) has a similar antibody in Phase 3 development. A maternal vaccine has been approved for injection in women at 32-36 weeks (U.S.) &amp; 24-36 weeks (EU) of pregnancy during September through January (ABRYSVO/Pfizer). In addition, two RSV vaccines have been approved in adults older than 60 years old (ABRYSVO/Pfizer and AREXVY/GSK) and another vaccine is in Phase 3 development (Moderna/mRNA-1345).</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prophylaxis options have recently become available, there is still significant unmet need for safe and effective antiviral treatments in patients at high-risk for serious outcomes of RSV. The adoption of vaccines in the elderly population is likely to be sub-optimal, especially as recommended with shared clinical decision-making. For perspective, universally recommended vaccines in this population have peak adoption rates from ~35% (shingles) to ~55% (flu). However, even with adoption, breakthrough infections will still occur, as efficacy is not complete. In the pediatric population, both the maternal vaccine and the prophylactic antibody approaches provide only passive immunity, and will just shift the time of first RSV infection to the next season. Similarly, uptake of these options will not be optimal and breakthrough infections will still occur in the population that does receive them. Finally, the antibody approach has a low barrier to the development of viral resistance. Thus, despite these options for prophylaxis, antiviral treatments are urgently needed.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RSV is a single-stranded, negative-sense RNA virus. There are two major subgroups of RSV, designated RSV-A and RSV-B, each of which contains numerous genotypes. Both groups are viewed as capable of causing RSV infections that can result in hospitalization. The RSV genome consists of ten genes that encode for 11 proteins, namely NS1, NS2, N, P, M, SH, G, F, M2-1, M2-2, and L. The F and G proteins are the predominant target proteins for RSV vaccines. Similarly, small molecule therapeutics have focused primarily on the F (or fusion) protein, while some efforts have targeted the N (nucleocapsid) and L (contains viral RNA polymerase) proteins. Fusion inhibitors work by blocking viral entry, a mechanism that may be less ideal when treatment begins at a time when massive amounts of viral replication is already ongoing. Additionally, fusion inhibitors have been generally shown to have a lower barrier to the development of viral resistance when in clinical use. Replication inhibitors (e.g., N and L inhibitors) work by blocking viral replication at its source, stopping the production on new virions. They have demonstrated a higher bar to the emergence of viral resistance. While most companies are developing potential approaches geared toward the F-protein (or fusion protein, responsible for mediating viral entry of RSV into host cells), we are focused on mechanisms, such as the N-protein and L-protein inhibitors, that target the replication process of RSV directly.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Several companies are seeking to develop antiviral treatments for RSV infection in adult and pediatric patients. Ark Biosciences (Ziresovir) and Pfizer (sinsunatovir) both have fusion inhibitors in later stage clinical development. Additional companies (eg; Shionogi) have compounds in Phase 1/2a clinical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EDP-938, Our N-Protein Inhibitor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Through our internal chemistry efforts, we identified our lead clinical candidate, EDP-938. During preclinical studies, EDP-938 demonstrated a greater than 4-log reduction in viral load in an animal model challenged with RSV. Further, EDP-938 maintained nanomolar antiviral potency across all clinical isolates tested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 well as virus that was resistant to fusion inhibitors. The compound inhibited RSV at a post-entry replication step and maintained its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when given 24 hours post infection. It was also shown to have a high barrier to viral resistance. In addition, combination studies of EDP-938 with other types of RSV inhibitors, such as fusion inhibitors, showed synergistic antiviral effects.</w:t>
      </w:r>
    </w:p>
    <w:p>
      <w:pPr>
        <w:spacing w:after="0" w:line="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studied EDP-938 in two Phase 2 studies that were designed to be proof-of-concept and exploratory studies to understand the viral response better in the context of RSV infection. These studies were conducted in otherwise healthy adults (not at high-risk for serious outcomes with RSV) infected with RSV.</w:t>
      </w:r>
    </w:p>
    <w:p>
      <w:pPr>
        <w:spacing w:after="0" w:line="68" w:lineRule="exact"/>
        <w:rPr>
          <w:sz w:val="20"/>
          <w:szCs w:val="20"/>
          <w:color w:val="auto"/>
        </w:rPr>
      </w:pPr>
    </w:p>
    <w:p>
      <w:pPr>
        <w:ind w:left="1020" w:right="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study was a challenge study, in which healthy adults were infected with RSV in a clinical setting. This study was a randomized, double-blind, placebo-controlled, human challenge study of 115 healthy adult subjects. Data from this study demonstrated that EDP-938 was safe and well-tolerated and achieved highly statistically significant reductions (p=&lt;0.001) in RSV viral load and symptoms compared to placebo.</w:t>
      </w:r>
    </w:p>
    <w:p>
      <w:pPr>
        <w:spacing w:after="0" w:line="71"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study, known as RSVP, was in an otherwise healthy adult outpatient population with community-acquired RSV infection. In this healthy population, EDP-938 did not meet the primary endpoint of reduction in total symptom score compared to placebo, or the secondary antiviral endpoints. However, a statistically significant difference in the number of subjects achieving undetectable RSV RNA at the end of treatment at Day 5 was observed with EDP-938 compared to placebo (p=0.033). Although patients were treated within 48 hours of symptom onset, the viral load and symptoms had already peaked and were declining, indicating RSV infection resolves quickly in this otherwise healthy adult population.</w:t>
      </w:r>
    </w:p>
    <w:p>
      <w:pPr>
        <w:spacing w:after="0" w:line="79"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EDP-938 has demonstrated a favorable safety profile, consistent with that observed in over 500 subjects exposed to date. Based on the growing safety profile of EDP-938 and differences in the range of the course of RSV infection in higher risk populations, which have always been our target populations, we are progressing development of EDP-938 in patients at high-risk for developing severe infection leading to hospitalization or death. EDP-938 has the greatest potential to show optimal efficacy in these high-risk populations with significant unmet need, since these patients have reduced RSV immunity, which manifests in a higher and longer duration of viral replication and greater disease severity, allowing a bigger window to realize the full potential of EDP-938.</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now studying EDP-938 in two additional RSV studies in high-risk patient populations:</w:t>
      </w:r>
    </w:p>
    <w:p>
      <w:pPr>
        <w:spacing w:after="0" w:line="113" w:lineRule="exact"/>
        <w:rPr>
          <w:sz w:val="20"/>
          <w:szCs w:val="20"/>
          <w:color w:val="auto"/>
        </w:rPr>
      </w:pPr>
    </w:p>
    <w:p>
      <w:pPr>
        <w:ind w:left="1020" w:right="80" w:hanging="503"/>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RSVPEDs </w:t>
      </w:r>
      <w:r>
        <w:rPr>
          <w:rFonts w:ascii="Times New Roman" w:cs="Times New Roman" w:eastAsia="Times New Roman" w:hAnsi="Times New Roman"/>
          <w:sz w:val="18"/>
          <w:szCs w:val="18"/>
          <w:color w:val="auto"/>
        </w:rPr>
        <w:t>is a Phase 2 dose-ranging, randomized, double-blind, placebo-controlled study in pediatric patients. We plan to enroll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90 infants and children aged 28 days to 36 months with RSV-associated respiratory tract infection, who will be dosed in up to two age cohorts and will receive EDP-938 or a placebo for five days. The study will be conducted in two parts. Part 1 will evaluate multiple ascending doses in each age cohort, with a primary endpoint of safety, tolerability, and pharmacokinetics. Part 2 will evaluate the selected dose from Part 1 across the age cohorts, with a primary endpoint of antiviral activity.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 w:name="page12"/>
    <w:bookmarkEnd w:id="11"/>
    <w:p>
      <w:pPr>
        <w:ind w:left="102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RSVHR </w:t>
      </w:r>
      <w:r>
        <w:rPr>
          <w:rFonts w:ascii="Times New Roman" w:cs="Times New Roman" w:eastAsia="Times New Roman" w:hAnsi="Times New Roman"/>
          <w:sz w:val="18"/>
          <w:szCs w:val="18"/>
          <w:color w:val="auto"/>
        </w:rPr>
        <w:t>is a Phase 2b study in high-risk adults, including those who are older than 65 years of age, have asthma, chronic obstructive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pulmonary disease, or COPD, or congestive heart failure. Approximately 180 patients will be treated with 800 mg of EDP-938 or placebo for five days and evaluated for 28 days thereafter. The study will include non-hospitalized adult subjects with up to 72 hours of respiratory tract infection symptoms who test positive for RSV and negative for influenza virus and SARS-CoV-2. The primary endpoint of the study is time to resolution of RSV lower respiratory tract disease symptoms as assessed by the Respiratory Infection Intensity and Impact Questionnaire, or RiiQ™, symptom scale through Day 33. Secondary endpoints include additional clinical efficacy measures and antiviral activity compared to placebo, pharmacokinetics, and safety of EDP-938.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EDP-323, Our RSV L-Protein Inhibitor: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addition to our N-protein inhibitor, EDP-938, our newest clinical candidate for RSV is EDP-323, a novel oral, direct-acting antiviral selectively 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a Phase 1 clinical study of EDP-323 in June 2023. This randomized, double-blind, placebo-controlled, first-in-human Phase 1 study enrolled healthy volunteers to evaluate the safely, tolerability and pharmacokinetics of oral EDP-323 over a range of single ascending dose (SAD ranging from 50 to 800 mg, n=50) and multiple ascending doses (MAD ranging from 200 to 800 mg for seven days, n=32) in fasted and fed states.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Overall, EDP-323 was generally safe and well-tolerated up to 800 mg for up to seven days, where most adverse events (AEs) were mild, and there were no serious or severe AEs. There was one study discontinuation due to syncope, in the SAD/FE group, which was deemed unlikely to be related to EDP-323. In the MAD phase, three AEs deemed possibly related to EDP-323 were mild, with two headaches and one gastrointestinal event. There were no discontinuations due to AEs in the MAD phase. EDP-323 displayed pharmacokinetics supportive of once daily dosing without regard to food.</w:t>
      </w:r>
    </w:p>
    <w:p>
      <w:pPr>
        <w:spacing w:after="0" w:line="12" w:lineRule="exact"/>
        <w:rPr>
          <w:sz w:val="20"/>
          <w:szCs w:val="20"/>
          <w:color w:val="auto"/>
        </w:rPr>
      </w:pPr>
    </w:p>
    <w:p>
      <w:pPr>
        <w:jc w:val="both"/>
        <w:ind w:right="220"/>
        <w:spacing w:after="0"/>
        <w:rPr>
          <w:sz w:val="20"/>
          <w:szCs w:val="20"/>
          <w:color w:val="auto"/>
        </w:rPr>
      </w:pPr>
      <w:r>
        <w:rPr>
          <w:rFonts w:ascii="Times New Roman" w:cs="Times New Roman" w:eastAsia="Times New Roman" w:hAnsi="Times New Roman"/>
          <w:sz w:val="18"/>
          <w:szCs w:val="18"/>
          <w:color w:val="auto"/>
        </w:rPr>
        <w:t>EDP-323 doses ranging from 200 to 800 mg once-daily resulted in strong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multiples against both RSV-A and RSV-B strains. Specifically, EDP-323 administered once daily for seven days resulted in C24 (Ctrough) concentrations at steady state of 11- to 44-fold over the protein 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(0.3 nM) against both RSV-A and RSV-B strains. Based on these positive data, a human challenge study evaluating EDP-323 was initiated in the fourth quarter of calendar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SARS-CoV-2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SARS-CoV-2</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Severe acute respiratory syndrome coronavirus 2, or SARS-CoV-2, is the virus that causes COVID-19 (coronavirus disease 2019), the respiratory illness responsible for the COVID-19 pandemic. SARS-CoV-2 is the seventh known coronavirus to infect people, after 229E, NL63, OC43, HKU1, MERS-CoV, and the original SARS-CoV. Patients at higher risk for developing severe complications from COVID-19 include the elderly and those with underlying medical conditions like cardiovascular disease, diabetes, chronic respiratory disease, or cancer. As of October 2023, the World Health Organization estimated nearly 7 million deaths have been caused by COVID-19. There are also many patients who experience continuing effects of COVID-19, often referred to as “long COVID”. While vaccines that reduce the severity of COVID-19 are available, uptake has not been optimal. In addition, breakthrough infection occurs in many cases because the vaccines are not completely effective or their effect diminishes over time, especially against emerging variants. Thus, there remains an urgent need for effective, safe and well-tolerated, conveniently-dosed, once-daily oral antiviral treatments.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coronaviruses have a single-stranded, positive-sense RNA (+ssRNA) genome, which is the largest known genome for an RNA virus. The overall structure of the SARS-CoV-2 genome is shared with other betacoronaviruses, namely MERS-CoV and SARS-CoV. The 3C-like protease, or 3CL protease (also known as 3CLpro or the main protease, or Mpro), is essential for viral replication, and is a highly attractive target for the development of direct-acting antiviral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have been two Emergency Use Authorizations of oral antiviral treatments for non-hospitalized, high-risk patients with SARS-CoV-2 infection: PAXLOVID™, a 3CL protease inhibitor (nirmatrelvir) boosted with ritonavir, and LAGEVRIO™ (molnupiravir), a polymerase inhibitor. Furthermore, PAXLOVID received full FDA approval for commercial sale in May 2023. PAXLOVID is dosed twice daily in combination with a low dose of ritonavir, which has significant drug-drug interactions with numerous other medications, known as DDIs, and is not well tolerated by many patients. Thus, there is a significant need for an efficacious, safe,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 w:name="page13"/>
    <w:bookmarkEnd w:id="12"/>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well-tolerated and conveniently dosed (oral, once-daily) antiviral treatment for COVID-19 with an improved DDI profile. The companies developing oral direct acting antivirals for SARS-CoV-2 that are currently in global Phase 3 studies include Shionogi, Atea, and Gilead (an oral formulation of remdesivir).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EDP-235, Our Lead, Oral, 3CL Protease Inhibitor</w:t>
      </w:r>
    </w:p>
    <w:p>
      <w:pPr>
        <w:spacing w:after="0" w:line="121"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Our lead clinical candidate for COVID-19 is EDP-235, an oral, selective inhibitor of coronavirus 3CL pro, which has been granted Fast Track designation from the FDA.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Furthermore, EDP-235 has good target tissue distribution and is projected to have four times higher drug levels in lung tissue compared to plasma. EDP-235 demonstrated a robust treatment effect and prevention of transmission in a ferret model.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studies of EDP-235 consist of the following:</w:t>
      </w:r>
    </w:p>
    <w:p>
      <w:pPr>
        <w:spacing w:after="0" w:line="113" w:lineRule="exact"/>
        <w:rPr>
          <w:sz w:val="20"/>
          <w:szCs w:val="20"/>
          <w:color w:val="auto"/>
        </w:rPr>
      </w:pPr>
    </w:p>
    <w:p>
      <w:pPr>
        <w:ind w:left="1020" w:right="40" w:hanging="503"/>
        <w:spacing w:after="0" w:line="23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1 Study</w:t>
      </w:r>
      <w:r>
        <w:rPr>
          <w:rFonts w:ascii="Times New Roman" w:cs="Times New Roman" w:eastAsia="Times New Roman" w:hAnsi="Times New Roman"/>
          <w:sz w:val="18"/>
          <w:szCs w:val="18"/>
          <w:color w:val="auto"/>
        </w:rPr>
        <w:t>: In July 2022, we completed a Phase 1 study of EDP-235 and reported positive topline results. This first-in-human,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randomized, double-blind, placebo-controlled study enrolled healthy volunteers to evaluate the safety, tolerability, and pharmacokinetics of oral EDP-235 in single ascending doses and multiple ascending doses for seven days, and the effect of food. Data from the Phase 1 study demonstrated EDP-235 was generally safe and well-tolerated up to 400 mg for seven days with infrequent adverse events, the majority of which were mild. Results demonstrated strong exposure multiples over the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which is a measure of potency, specifically the concentration of drug that results in 90% inhibition of viral replication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EDP-235 200 mg taken once daily with food resulted in mean trough plasma levels at steady state that were 3-fold and 7-fold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tested Alpha variant and Omicron variant, respectively, while 400 mg resulted in levels that were 6-fold and 13-fold over the plasma-protein-adjusted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the respective variants. These target exposure multiples were achieved without the need for ritonavir boosting and its associated drug-drug interactions.</w:t>
      </w:r>
    </w:p>
    <w:p>
      <w:pPr>
        <w:spacing w:after="0" w:line="91"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2 Study</w:t>
      </w:r>
      <w:r>
        <w:rPr>
          <w:rFonts w:ascii="Times New Roman" w:cs="Times New Roman" w:eastAsia="Times New Roman" w:hAnsi="Times New Roman"/>
          <w:sz w:val="18"/>
          <w:szCs w:val="18"/>
          <w:color w:val="auto"/>
        </w:rPr>
        <w:t>: In May 2023, we reported topline results from SPRINT (SARS-CoV-2 Protease Inhibitor Treatment), a Phase 2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EDP-235. This randomized, double-blind, placebo-controlled study evaluated the safety, tolerability, antiviral activity and clinical symptoms of EDP-235 compared to placebo in approximately 230 non-hospitalized, symptomatic patients with mild to moderate COVID-19 who were not at increased risk for developing severe disease. Patients were eligible to participate if they had symptoms for five days or less and had not received a SARS-CoV-2 vaccine or been infected with SARS-CoV-2 within 90 days of enrollment. Patients received either 200 mg or 400 mg or EDP-235 or placebo orally with food once daily for five days. EDP-235 met the primary endpoint of the trial and was generally safe and well-tolerated. A dose-dependent improvement in total symptom score was observed with EDP-235 treatment compared to placebo, which achieved statistical significance (p&lt;0.05) in the 400 mg treatment group at multiple time points, starting as early as one day after the first dose. In a prespecified population consisting of patients enrolled within three days of symptom onset, a statistically significant improvement was observed with EDP-235 at 400 mg at all time points. While no difference was observed in time to improvement of 14 targeted COVID-19 symptoms, an analysis of a subset of six symptoms showed a two-day shorter time to improvement in patients receiving EDP-235 400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 An additional analysis of patients with a baseline viral load greater than 5 logs showed a decline of 0.4 log at day three in both EDP-235 treatment arms compared to placebo.</w:t>
      </w:r>
    </w:p>
    <w:p>
      <w:pPr>
        <w:spacing w:after="0" w:line="85"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 Steps: </w:t>
      </w:r>
      <w:r>
        <w:rPr>
          <w:rFonts w:ascii="Times New Roman" w:cs="Times New Roman" w:eastAsia="Times New Roman" w:hAnsi="Times New Roman"/>
          <w:sz w:val="18"/>
          <w:szCs w:val="18"/>
          <w:color w:val="auto"/>
        </w:rPr>
        <w:t>Going forward, we will continue to focus on potential partnerships or collaborations to progress EDP-235 as we will not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EDP-235 on our own without a commercial partner.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HBV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HBV</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Hepatitis B virus, or HBV, is a potentially life-threatening liver infection. It is estimated that close to 300 million people worldwide are chronically infected, and 15-40% of patients with chronic HBV infection develop chronic liver disease, including cirrhosis, liver cancer, or liver decompensation. HBV is a leading cause of chronic liver disease and liver transplantation.</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Current approaches to treatment include interferon therapy and/or inhibitors of HBV nucleoside reverse transcriptase, which suppress the virus but require lifelong therapy and rarely result in full eradication of the virus from the liver. Treatment with interferon offers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p>
      <w:pPr>
        <w:ind w:right="80"/>
        <w:spacing w:after="0" w:line="282" w:lineRule="auto"/>
        <w:rPr>
          <w:sz w:val="20"/>
          <w:szCs w:val="20"/>
          <w:color w:val="auto"/>
        </w:rPr>
      </w:pPr>
      <w:r>
        <w:rPr>
          <w:rFonts w:ascii="Times New Roman" w:cs="Times New Roman" w:eastAsia="Times New Roman" w:hAnsi="Times New Roman"/>
          <w:sz w:val="18"/>
          <w:szCs w:val="18"/>
          <w:color w:val="auto"/>
        </w:rPr>
        <w:t>modest cure rates, and is accompanied by serious side effects, including flu-like symptoms, fatigue, headache and nausea. New treatments that can provide functional cures to chronically-infected patients are urgently needed.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HBV is a partially double-stranded DNA virus with a complex life cycle. There are multiple mechanisms associated with HBV replication that could potentially be targeted with new drugs. Mechanisms under study for HBV include entry inhibitors, core inhibitors or capsid assembly modulators (CAMs), siRNA/ASO targeting the HBV S antigen, and immune modulators (eg; TLRs, PD-L1s, therapeutic vaccines, etc). These new HBV mechanisms are being studied with nucleoside inhibitors and in combination with each other, with the goal of achieving a functional cure for a significant number of HBV patients.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HBV, like HIV and HCV, will be optimally treated with multiple agents that have different mechanisms, and therefore seek to develop a combination regimen. We initially focused on inhibitors of the HBV core protein, as it plays a critical role in viral replication, intracellular trafficking, and maintenance of chronic infections. Core inhibitors are replication inhibitors that have been shown to act at multiple steps in the HBV lifecycle; preventing proper uncoating, nuclear import, assembly, and recycling as well as potentially impacting other viral processes. This approach is supported by clinical validation, demonstrating reduction of viral RNA and DNA in chronic HBV patients in Phase 2 clinical studies.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Many companies are seeking to develop new HBV drugs, with a goal to identify a combination of mechanisms for a treatment regimen including Vir, GSK, Arbutus, and Roche who have multiple combination regimens under investigation in later stage clinical studies. In addition, several companies have Phase 1 or earlier stage HBV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EDP-514</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EDP-514, our most advanced novel core inhibitor,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and has been studied in two Phase 1b studies in patients with chronic HBV.</w:t>
      </w:r>
    </w:p>
    <w:p>
      <w:pPr>
        <w:spacing w:after="0" w:line="52" w:lineRule="exact"/>
        <w:rPr>
          <w:sz w:val="20"/>
          <w:szCs w:val="20"/>
          <w:color w:val="auto"/>
        </w:rPr>
      </w:pPr>
    </w:p>
    <w:p>
      <w:pPr>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study, which evaluated EDP-514 in NUC-suppressed chronic HBV patients, EDP-514 was generally safe and well-tolerated at 200, 400 and 800 mg doses for 28 days and exhibited pharmacokinetics suitable for once daily oral dosing. EDP-514 led to a maximum HBV RNA reduction of 2.3 log in HBeAg-negative and 2.8 log in HBeAg-positive subjects in the EDP-514 arms compared to 1.2 log in placebo.</w:t>
      </w:r>
    </w:p>
    <w:p>
      <w:pPr>
        <w:spacing w:after="0" w:line="6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Phase 1b study was conducted in patients with chronic HBV infection who were not previously on HBV therapy and had high levels of virus in their blood, whom we refer to as viremic HBV patients. Results demonstrated that EDP-514 was safe and well-tolerated through 28 days of treatment, and displayed pharmacokinetics supportive of once-daily dosing. Mean HBV DNA reductions of 2.9, 3.3, and 3.5 logs were observed at 28 days for the 200 mg, 400 mg, and 800 mg cohorts, respectively, compared to 0.2 log in the placebo cohort. Mean HBV RNA reductions in the three viremic treatment cohorts were at least 2 logs compared to a 0.02 log reduction in the placebo group.</w:t>
      </w:r>
    </w:p>
    <w:p>
      <w:pPr>
        <w:spacing w:after="0" w:line="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goal is to develop a combination therapy approach, including existing approved treatments such as a NUC, with EDP-514 and one or more other mechanisms, which could lead to a functional cure for patients with chronic HBV infection. Opportunities for internal or external development of this approach are dependent upon our finding a new mechanism of action to use in such a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Out-Licensed HCV Protease Inhibitor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HCV Market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 estimated 58 million people worldwide are chronically infected with HCV and have an increased risk of eventually developing liver cirrhosis or liver cancer. Approximately 290,000 people die every year from HCV-related liver diseases. According to the CDC, the incidence rate of acute HCV has increased 15% since 2019, with an estimated 66,700 new infections in 2020, the most recent year for which the CDC has published data. During 2020, 41 states reported a total of 107,300 newly identified chronic HCV cases in 2020, corresponding to 40.7 chronic HCV cases per 100,000. HCV-associated deaths during 2020 increased 4% (3.45 deaths per 100,000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right="60"/>
        <w:spacing w:after="0" w:line="282" w:lineRule="auto"/>
        <w:rPr>
          <w:sz w:val="20"/>
          <w:szCs w:val="20"/>
          <w:color w:val="auto"/>
        </w:rPr>
      </w:pPr>
      <w:r>
        <w:rPr>
          <w:rFonts w:ascii="Times New Roman" w:cs="Times New Roman" w:eastAsia="Times New Roman" w:hAnsi="Times New Roman"/>
          <w:sz w:val="18"/>
          <w:szCs w:val="18"/>
          <w:color w:val="auto"/>
        </w:rPr>
        <w:t>people), compared to 2019 (3.33 deaths per 100,000 people). We believe that the chronically infected population remains significantly untreated, even with the introduction of several new treatment regimens beginning in 2013.</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approved treatments for HCV have provided significant benefit to HCV patients.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 For AbbVie’s MAVYRET/MAVIRET regimen, the majority of chronic HCV patients only require 8 weeks of treatment compared to 12 weeks with other HCV regimens, including Gilead’s EPCLUSA® and HARVONI® in almost all HCV genotypes.</w:t>
      </w:r>
    </w:p>
    <w:p>
      <w:pPr>
        <w:spacing w:after="0" w:line="8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Since the introduction of Gilead’s Harvoni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AbbVie’s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late 2014, the reported worldwide sales of the leading HCV therapies have declined from $23 billion in 2015 to $3.4 billion in 2022. Through the first nine months of calendar 2023, reported worldwide net sales were $2.5 billion. HCV sales have declined since their peak in 2015 due to payers obtaining additional discounts, competitive market dynamics and a decline in the number of patients treated annually after the initial wave of diagnosed chronic HCV patients who had urgency for treatment. Despite the high numbers of HCV patients that have been successfully treated, there remains a large population of chronic HCV-infected patients who have yet to be treated with one of the newer “high cure” regimens. In addition, and as noted above, new HCV infections (principally in association with IV drug use) are an ongoing target population for treatment.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has also impacted new HCV patient volumes, HCV diagnoses, HCV prescriptions and sales of MAVYRET/MAVIRET worldwide. While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HCV infections are continuing, at this time it is uncertain when and the extent to which treatment of new HCV patients and revenues will return to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 in AbbVie’s Marketed Therapies</w:t>
      </w:r>
    </w:p>
    <w:p>
      <w:pPr>
        <w:spacing w:after="0" w:line="11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Glecaprevir </w:t>
      </w:r>
      <w:r>
        <w:rPr>
          <w:rFonts w:ascii="Times New Roman" w:cs="Times New Roman" w:eastAsia="Times New Roman" w:hAnsi="Times New Roman"/>
          <w:sz w:val="18"/>
          <w:szCs w:val="18"/>
          <w:color w:val="auto"/>
        </w:rPr>
        <w:t>- Our protease inhibitor, glecaprevir, which is part of the latest HCV regimen from AbbVie, was developed by AbbVie in combination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pibrentasvir, AbbVie’s second NS5A inhibitor. This co-formulated combination,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contains two novel DAAs that target and inhibit proteins essential for the replication of HCV. MAVYRET/MAVIRET is approved in the U.S., EU, Japan and numerous other countries globally as an 8-week, pan-genotypic, fixed-dose combination treatment, dosed once-daily as three oral tablets, taken with food, for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or CKD, or those with genotype 3 chronic HCV. MAVYRET/MAVIRET is approved for use in patients across all stages of CKD with any of the major HCV genotypes (GT1-6). The approvals of MAVYRET/MAVIRET are supported by data from nine registrational studies in AbbVie’s clinical development program, which evaluated more than 2,300 patients in 27 countries across all major HCV genotypes (GT1-6) and special populations:</w:t>
      </w:r>
    </w:p>
    <w:p>
      <w:pPr>
        <w:spacing w:after="0" w:line="80" w:lineRule="exact"/>
        <w:rPr>
          <w:sz w:val="20"/>
          <w:szCs w:val="20"/>
          <w:color w:val="auto"/>
        </w:rPr>
      </w:pPr>
    </w:p>
    <w:p>
      <w:pPr>
        <w:ind w:left="1020" w:right="20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8 weeks for treatment-naïve, non-cirrhotic patients: </w:t>
      </w:r>
      <w:r>
        <w:rPr>
          <w:rFonts w:ascii="Times New Roman" w:cs="Times New Roman" w:eastAsia="Times New Roman" w:hAnsi="Times New Roman"/>
          <w:sz w:val="17"/>
          <w:szCs w:val="17"/>
          <w:color w:val="auto"/>
        </w:rPr>
        <w:t>In November 2016, results from several Phase 3 studies of this combination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demonstrated 97.5% of chronic HCV infected patients without cirrhosis and new to treatment across all major genotypes (GT1-6) achieved sustained virologic response at 12 weeks post-treatment, referred to as SVR</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7"/>
          <w:szCs w:val="17"/>
          <w:color w:val="auto"/>
        </w:rPr>
        <w:t>, with just 8 weeks of MAVYRET/MAVIRET treatment.</w:t>
      </w:r>
    </w:p>
    <w:p>
      <w:pPr>
        <w:spacing w:after="0" w:line="380" w:lineRule="exact"/>
        <w:rPr>
          <w:rFonts w:ascii="Times New Roman" w:cs="Times New Roman" w:eastAsia="Times New Roman" w:hAnsi="Times New Roman"/>
          <w:sz w:val="17"/>
          <w:szCs w:val="17"/>
          <w:color w:val="auto"/>
        </w:rPr>
      </w:pPr>
    </w:p>
    <w:p>
      <w:pPr>
        <w:ind w:left="1020" w:right="240" w:hanging="503"/>
        <w:spacing w:after="0" w:line="24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GT-3: </w:t>
      </w:r>
      <w:r>
        <w:rPr>
          <w:rFonts w:ascii="Times New Roman" w:cs="Times New Roman" w:eastAsia="Times New Roman" w:hAnsi="Times New Roman"/>
          <w:sz w:val="18"/>
          <w:szCs w:val="18"/>
          <w:color w:val="auto"/>
        </w:rPr>
        <w:t>Data from AbbVie’s ENDURANCE-3 study were presented at the 2017 ILC, demonstrating that 95% of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challenging-to-treat, genotype 3, or GT3, chronic HCV infection, without cirrhosis and new to treatment, achieved SVR</w:t>
      </w:r>
      <w:r>
        <w:rPr>
          <w:rFonts w:ascii="Times New Roman" w:cs="Times New Roman" w:eastAsia="Times New Roman" w:hAnsi="Times New Roman"/>
          <w:sz w:val="24"/>
          <w:szCs w:val="24"/>
          <w:color w:val="auto"/>
          <w:vertAlign w:val="subscript"/>
        </w:rPr>
        <w:t>12</w:t>
      </w:r>
      <w:r>
        <w:rPr>
          <w:rFonts w:ascii="Times New Roman" w:cs="Times New Roman" w:eastAsia="Times New Roman" w:hAnsi="Times New Roman"/>
          <w:sz w:val="18"/>
          <w:szCs w:val="18"/>
          <w:color w:val="auto"/>
        </w:rPr>
        <w:t xml:space="preserve"> after 8 weeks of treatment with MAVYRET/MAVIRET.</w:t>
      </w:r>
    </w:p>
    <w:p>
      <w:pPr>
        <w:spacing w:after="0" w:line="81" w:lineRule="exact"/>
        <w:rPr>
          <w:rFonts w:ascii="Times New Roman" w:cs="Times New Roman" w:eastAsia="Times New Roman" w:hAnsi="Times New Roman"/>
          <w:sz w:val="18"/>
          <w:szCs w:val="18"/>
          <w:color w:val="auto"/>
        </w:rPr>
      </w:pPr>
    </w:p>
    <w:p>
      <w:pPr>
        <w:ind w:left="1020" w:right="220" w:hanging="503"/>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compensated cirrhosis: </w:t>
      </w:r>
      <w:r>
        <w:rPr>
          <w:rFonts w:ascii="Times New Roman" w:cs="Times New Roman" w:eastAsia="Times New Roman" w:hAnsi="Times New Roman"/>
          <w:sz w:val="18"/>
          <w:szCs w:val="18"/>
          <w:color w:val="auto"/>
        </w:rPr>
        <w:t>Based on data from AbbVie’s EXPEDITION-8 study, which demonstrated that with 8 weeks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MAVYRET treatment, 100 percent (n=273/273) of genotype 1, 2, 4, 5 and 6 patients achieved a sustained virologic response 8 weeks after treatment (SVR</w:t>
      </w:r>
      <w:r>
        <w:rPr>
          <w:rFonts w:ascii="Times New Roman" w:cs="Times New Roman" w:eastAsia="Times New Roman" w:hAnsi="Times New Roman"/>
          <w:sz w:val="24"/>
          <w:szCs w:val="24"/>
          <w:color w:val="auto"/>
          <w:vertAlign w:val="subscript"/>
        </w:rPr>
        <w:t>8</w:t>
      </w:r>
      <w:r>
        <w:rPr>
          <w:rFonts w:ascii="Times New Roman" w:cs="Times New Roman" w:eastAsia="Times New Roman" w:hAnsi="Times New Roman"/>
          <w:sz w:val="18"/>
          <w:szCs w:val="18"/>
          <w:color w:val="auto"/>
        </w:rPr>
        <w:t>) per protocol analysis. Based on this data and a second cohort of the study in GT3 chronic HCV-infected patients, MAVYRET is now approved for all genotypes with compensated cirrhosis in the U.S.</w:t>
      </w:r>
    </w:p>
    <w:p>
      <w:pPr>
        <w:spacing w:after="0" w:line="79"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12 weeks with chronic kidney disease: </w:t>
      </w:r>
      <w:r>
        <w:rPr>
          <w:rFonts w:ascii="Times New Roman" w:cs="Times New Roman" w:eastAsia="Times New Roman" w:hAnsi="Times New Roman"/>
          <w:sz w:val="18"/>
          <w:szCs w:val="18"/>
          <w:color w:val="auto"/>
        </w:rPr>
        <w:t>Results were also presented from AbbVie’s EXPEDITION-4 study in chronic HCV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kidney disease, or CKD, in which 98% of patients (n=102/104) across all major genotypes (GT1-6) achieved SVR</w:t>
      </w:r>
      <w:r>
        <w:rPr>
          <w:rFonts w:ascii="Times New Roman" w:cs="Times New Roman" w:eastAsia="Times New Roman" w:hAnsi="Times New Roman"/>
          <w:sz w:val="24"/>
          <w:szCs w:val="24"/>
          <w:color w:val="auto"/>
          <w:vertAlign w:val="subscript"/>
        </w:rPr>
        <w:t>12</w:t>
      </w:r>
      <w:r>
        <w:rPr>
          <w:rFonts w:ascii="Times New Roman" w:cs="Times New Roman" w:eastAsia="Times New Roman" w:hAnsi="Times New Roman"/>
          <w:sz w:val="18"/>
          <w:szCs w:val="18"/>
          <w:color w:val="auto"/>
        </w:rPr>
        <w:t xml:space="preserve"> with 12 weeks of treatment with MAVYRET/MAVIRET.</w:t>
      </w:r>
    </w:p>
    <w:p>
      <w:pPr>
        <w:spacing w:after="0" w:line="19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Paritaprevir </w:t>
      </w:r>
      <w:r>
        <w:rPr>
          <w:rFonts w:ascii="Times New Roman" w:cs="Times New Roman" w:eastAsia="Times New Roman" w:hAnsi="Times New Roman"/>
          <w:sz w:val="18"/>
          <w:szCs w:val="18"/>
          <w:color w:val="auto"/>
        </w:rPr>
        <w:t>- The first protease inhibitor developed through our collaboration with AbbVie, paritaprevir, is part of AbbVie’s 3-DAA regimen approved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treatment of genotype 1 and 4 HCV patients. This 3-DAA combination was sold as VIEKIRA PAK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(paritaprevir/ritonavir/ombitasvir/dasabuvir) in the U.S. from December 2014 to December 2018, and as VIEKIRAX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+EXVIERA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most other jurisdictions, for non-cirrhotic patients and those with early stage, or compensated, cirrhosis. These regimens have been almost entirely replaced by MAVYRET/MAVIRET.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AbbVie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6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The research program and the evaluation period, which was performed by both parties, ended in June 2011. The first commercialized compound was paritaprevir with the second commercialized compound, glecaprevir, approved in 2017 and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or MAVIRET™ (ex-U.S.). Under this collaboration we have received $396 million in payments from AbbVie for license payments, proceeds from a sale of preferred stock, research funding payments and milestone payments.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receive annually tiered, double-digit royalties per protease inhibitor product developed under the agreement, which range from ten percent up to twenty percent, or on a blended basis from the low double digits up to the high teens. However, if a product is determined to be a combination product, as is the case for both glecaprevir and paritaprevir, the net sales of the combination product are adjusted on a country-by-country and product-by-product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royalty-bearing portion is multiplied by the annually tiered royalty rates to determine our actual royalty for the protease product in that regimen in a given period. Under the terms of our agreement, as amended in October 2014, 50% of AbbVie’s net sales of MAVYRET/MAVIRET are allocated to glecaprevir. Beginning with each January 1, the cumulative net sales of a given royalty-bearing protease inhibitor product start at zero for purposes of calculating the tiered royalties on a product-by-product basis. Under this collaboration, we have received royalty payments from AbbVie totaling $891 million through September 30, 2023. Further details of these tiered royalties are set forth in Note 7 in Notes to Consolidated Financial Statements included in this report, which are incorporated herein by this reference.</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ind w:right="20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 title and interest in any related product trademarks, regulatory filings and clinical trials.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AbbVie terminates the agreement for our uncured breach, the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Sale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accounting purposes, we will continue to record 100% of HCV royalties earned under the AbbVie agreement as royalty revenue in our consolidated statements of operation. The $200.0 million received in April 2023 was recognized on our consolidated balance sheets as a liability which will be reduced by the payments made to OMERS over the term of the Agreement. We will recognize imputed interest expense over the life of the royalty sale agreement based on our estimated future MAVYRET/MAVIRET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Discovery</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internally discovered all of the compounds in our research and development programs. Our scientists have expertise in the areas of medicinal chemistry, molecular virology, pharmacology, and toxicology with highly developed sets of skills in compound generation, target selection, screening and pharmacology, preclinical development and lead optimization. We are utilizing these skills and capabilities in our discovery and development of virology and liver disease product candidates.</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We focus on virology and other disease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structure-activity relationships to assist lead optimization and secure relevant intellectual property rights. Once we have identified lead compounds, they are tested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studies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research models of antiviral or antibacterial efficacy.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regularly examine opportunities to in-license compounds and technologies to complement our existing internal discovery programs. In addition, we engage from time to time in discussions with third parties to out-license intellectual property that no longer fits in our strategic priorities for our internal research and development programs. For example, in December 2022 we out-licensed one of our antibiotic compounds in exchange for a $1.0 million up-front fee and future milestone payments and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RSV, SARS-CoV-2, HBV and other indications that we may target now or in the future.</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 products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medical, regulatory, sales and marketing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and/or other proprietary protection for our processes and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others in the development and commercialization of new products.</w:t>
      </w:r>
    </w:p>
    <w:p>
      <w:pPr>
        <w:spacing w:after="0" w:line="11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to overcome competition and to be commercially successful.</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RSV, COVID-19 and HBV represent competitive therapeutic areas. For RSV, there are currently no safe and effective treatments. Several companies are seeking to develop new antiviral treatments for RSV infection in adult and pediatric patients. Ark Biosciences and Pfizer/ReViral (acquired in June 2022) have fusion inhibitors in later stage clinical development. Synagis, a prophylactic, monoclonal-antibody-based treatment from AstraZeneca, which is commercialized by AbbVie outside the U.S., is approved for infants considered at high risk for RSV infection; however, studies have found that most young children with RSV infection were previously healthy, and thus would not normally be prescribed prophylactic treatment. A newer monoclonal antibody, nirsevimab, was recently approved in the U.S./EU for newborns and infants in their first RSV season and children at high-risk up to 24 months of age. Additionally, a maternal vaccine was also approved. Furthermore, two vaccines have been approved for adults older than 60 years of age.</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SARS-CoV-2, there is one approval (Paxlovid, a 3CL protease inhibitor) and two Emergency Use Authorizations (Molnupiravir, a polymerase inhibitor, and Paxlovid) for oral antiviral treatments for non-hospitalized, high-risk patients with SARS-CoV-2 infection. Additionally, there are companies developing oral direct acting antivirals for SARS-CoV-2 that are currently in global Phase 3 studies including Shionogi, Atea, and Gilead as well as additional compounds in Phase 1 or 2 studies.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there are antiviral medications prescribed for HBV that can suppress HBV DNA, they generally have low cure rates, resulting in the need for lifelong treatment. Many companies are seeking to develop new HBV drugs, with a goal to identify a combination of mechanisms for a treatment regimen including Vir, GSK, Arbutus, and Roche.</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7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Each of our major research and development programs, including RSV, SARS-CoV-2 as well as HBV and our out-licensed products for HCV and our FXR agonist assets, typically has several pending patent claims and issued patents in the program area containing claims to compounds, methods of use and processes for synthesis. However, only a few of the issued patents and/or pending patent applications cover the lead product candidate in a given program.</w:t>
      </w:r>
    </w:p>
    <w:p>
      <w:pPr>
        <w:spacing w:after="0" w:line="4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RSV, SARS-CoV-2, HBV. </w:t>
      </w:r>
      <w:r>
        <w:rPr>
          <w:rFonts w:ascii="Times New Roman" w:cs="Times New Roman" w:eastAsia="Times New Roman" w:hAnsi="Times New Roman"/>
          <w:sz w:val="18"/>
          <w:szCs w:val="18"/>
          <w:color w:val="auto"/>
        </w:rPr>
        <w:t>Our patent portfolio directed to N-and L-protein inhibitors for RSV, protease inhibitors for SARS-CoV-2 and core inhibitors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HBV, includes issued U.S. patents or pending U.S. patent applications, or both, as well as numerous foreign</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patent applications. We expect that our existing patents and patent applications (assuming patents are ultimately issued), will provide patent coverage in the U.S., if and when a compound is approved by the FDA, until at least 2038 for each of our compounds currently in clinical development.</w:t>
      </w:r>
    </w:p>
    <w:p>
      <w:pPr>
        <w:spacing w:after="0" w:line="5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HCV NS3 Protease Inhibitor Program. </w:t>
      </w:r>
      <w:r>
        <w:rPr>
          <w:rFonts w:ascii="Times New Roman" w:cs="Times New Roman" w:eastAsia="Times New Roman" w:hAnsi="Times New Roman"/>
          <w:sz w:val="17"/>
          <w:szCs w:val="17"/>
          <w:color w:val="auto"/>
        </w:rPr>
        <w:t>The patent portfolio directed to the HCV protease inhibitor program with AbbVie includes U.S. patents and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patents, as well as non-provisional applications. The issued U.S. composition-of-matter patent covering paritaprevir is expected to expire in 2031. The issued U.S. composition-of-matter patent covering glecaprevir is expected to expire in 2032. AbbVie is a joint owner of a number of the non-provisional patent applications. AbbVie also has rights to some or all of these patents and patent applications pursuant to its collaboration agreement with us.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jointly own patent applications, together with AbbVie, that claim paritaprevir and glecaprevir as a chemical entity. However, there is no guarantee that such applications will issue. 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Factors—Risks Related to Our Intellectual Property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Process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and other governmental sanctions could include refusal to approve pending applications, withdrawal of an approval, a clinical hold, enforcement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17" w:lineRule="exact"/>
        <w:rPr>
          <w:sz w:val="20"/>
          <w:szCs w:val="20"/>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Good Laboratory Practice, or GLPs, or other applicable regulations;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an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current Good Clinical Practice, or GCPs,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an NDA, for a new drug product;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NDA;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lengthy process of seeking required approvals, which can often take anywhere from six months from the time the NDA is filed if there is a priority review for a breakthrough therapy to at least ten months for a standard review, and the continuing need for compliance with applicable statutes and regulations, require the expenditure of substantial resources. There can be no certainty that approvals will be granted.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prior to approval are typically conducted in three sequential phases that may overlap or be combined:</w:t>
      </w:r>
    </w:p>
    <w:p>
      <w:pPr>
        <w:spacing w:after="0" w:line="115" w:lineRule="exact"/>
        <w:rPr>
          <w:sz w:val="20"/>
          <w:szCs w:val="20"/>
          <w:color w:val="auto"/>
        </w:rPr>
      </w:pPr>
    </w:p>
    <w:p>
      <w:pPr>
        <w:ind w:left="1020" w:right="20" w:hanging="503"/>
        <w:spacing w:after="0" w:line="26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initially introduced into healthy humans and tested for safety, dosage tolerance, absorption, metabolism, distribution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65" w:lineRule="exact"/>
        <w:rPr>
          <w:rFonts w:ascii="Times New Roman" w:cs="Times New Roman" w:eastAsia="Times New Roman" w:hAnsi="Times New Roman"/>
          <w:sz w:val="18"/>
          <w:szCs w:val="18"/>
          <w:color w:val="auto"/>
        </w:rPr>
      </w:pPr>
    </w:p>
    <w:p>
      <w:pPr>
        <w:ind w:left="1020" w:right="160" w:hanging="503"/>
        <w:spacing w:after="0" w:line="26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is evaluated in a limited patient population to identify possible adverse effects and safety risks, to 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and to determine dosage tolerance, optimal dosage and dosing schedule for patients having the specific disease.</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ind w:right="320"/>
        <w:spacing w:after="0" w:line="282" w:lineRule="auto"/>
        <w:rPr>
          <w:sz w:val="20"/>
          <w:szCs w:val="20"/>
          <w:color w:val="auto"/>
        </w:rPr>
      </w:pPr>
      <w:r>
        <w:rPr>
          <w:rFonts w:ascii="Times New Roman" w:cs="Times New Roman" w:eastAsia="Times New Roman" w:hAnsi="Times New Roman"/>
          <w:sz w:val="18"/>
          <w:szCs w:val="18"/>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ten months in which to complete its initial review of a standard NDA and respond to the applicant, and six months for a priority NDA. The review clock for an NDA may be extended if a major amendment is submitted during the review cycle. In addition, the FDA does not always meet its PDUFA goal dates for standard and priority NDAs.</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7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1" w:name="page22"/>
    <w:bookmarkEnd w:id="21"/>
    <w:p>
      <w:pPr>
        <w:ind w:right="160"/>
        <w:spacing w:after="0" w:line="282" w:lineRule="auto"/>
        <w:rPr>
          <w:sz w:val="20"/>
          <w:szCs w:val="20"/>
          <w:color w:val="auto"/>
        </w:rPr>
      </w:pPr>
      <w:r>
        <w:rPr>
          <w:rFonts w:ascii="Times New Roman" w:cs="Times New Roman" w:eastAsia="Times New Roman" w:hAnsi="Times New Roman"/>
          <w:sz w:val="18"/>
          <w:szCs w:val="18"/>
          <w:color w:val="auto"/>
        </w:rPr>
        <w:t>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 in addition to emergency use authorization, or EUA, in situations such as the COVID-19 pandemic.</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 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8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FDA may also allow the use of unapproved medical products, or unapproved uses of approved medical products, under an emergency use authorization, or EUA, to diagnose, treat, or prevent serious or life-threatening diseases or conditions when certain statutory criteria have been met, including that there are no adequate, approved, and available alternatives. An EUA is a mechanism to facilitate the availability and use of medical countermeasures during public health emergencies, such as the COVID-19 pandemic. Once submitted, the FDA will evaluate an EUA request and determine whether the relevant statutory criteria are met, taking into account the totality of the scientific evidence about the drug that is available to FDA. EUAs can be terminated, revoked or reissued, depending on the state of the public health emergency and new data about the drug.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drug supply chain requirements, product sampling and distribution requirements, complying with certain electronic records and signature requirements and complying with FDA prescription drug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ind w:right="180"/>
        <w:spacing w:after="0" w:line="266" w:lineRule="auto"/>
        <w:rPr>
          <w:sz w:val="20"/>
          <w:szCs w:val="20"/>
          <w:color w:val="auto"/>
        </w:rPr>
      </w:pPr>
      <w:r>
        <w:rPr>
          <w:rFonts w:ascii="Times New Roman" w:cs="Times New Roman" w:eastAsia="Times New Roman" w:hAnsi="Times New Roman"/>
          <w:sz w:val="18"/>
          <w:szCs w:val="18"/>
          <w:color w:val="auto"/>
        </w:rPr>
        <w:t>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Price Competition and Patent Term Restoration Act of 1984</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Food, Drug and Cosmetic Act, or FDCA</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Office of Inspector General), the United States Department of Justice and individual United States Attorney offices within the Department of Justice, state attorney generals and state and local governments.</w:t>
      </w:r>
    </w:p>
    <w:p>
      <w:pPr>
        <w:spacing w:after="0" w:line="3"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At such time as we market, sell and distribute any products for which we obtain marketing approval, it is possible that our business activities could be subject to scrutiny and enforcement under one or more federal or state health care fraud and abuse laws and regulations. These fraud and abuse laws include:</w:t>
      </w:r>
    </w:p>
    <w:p>
      <w:pPr>
        <w:spacing w:after="0" w:line="78" w:lineRule="exact"/>
        <w:rPr>
          <w:sz w:val="20"/>
          <w:szCs w:val="20"/>
          <w:color w:val="auto"/>
        </w:rPr>
      </w:pPr>
    </w:p>
    <w:p>
      <w:pPr>
        <w:ind w:left="1020" w:right="46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 care programs such as Medicare and Medicaid;</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liability for knowingly and willfully executing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requires certain pharmaceutical manufacturers to engage in extensive tracking of payments and other transfers of value to physicians and teaching hospitals, and to submit such data to the Centers for Medicare and Medicaid Studies, or CMS, which will then make all of this data publicly available on the CMS website; and</w:t>
      </w:r>
    </w:p>
    <w:p>
      <w:pPr>
        <w:spacing w:after="0" w:line="71"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items or services reimbursed under Medicaid and other state programs or, in several states, apply regardless of the payer, as well as other state laws that require pharmaceutical companies to report expenses related to the marketing and promotion of pharmaceutical products, prohibit certain gifts or payments to health care providers in the state, and/or require pharmaceutical companies to implement compliance programs or marketing codes of conduct.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Violations of fraud and abuse laws may be punishable by significant criminal and/or civil sanctions, including fines and civil monetary penalties, the possibility of exclusion from federal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 If the government was to allege or convict us or our executive officers, employees or consultants of violating these laws, our business could be harmed. In addition, private individuals have the ability to bring similar actions under some of the fraud and abuse laws described above. Our activities could be subject to challenge for the reasons discussed above and due to the broad scope of these laws and extensive enforcement of them by law enforcement authorities. Further, federal and state laws that require manufacturers to make reports on pricing and marketing information could subject us to penalty provisions.</w:t>
      </w:r>
    </w:p>
    <w:p>
      <w:pPr>
        <w:spacing w:after="0" w:line="8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In recent years, both the Federal and State governments are increasingly considering and adopting laws that exert greater influence over the price of prescription drugs. For example, a number of states are increasingly using more aggressive price control tools such as Prescription Drug Affordability Boards that have the authority to conduct affordability reviews and establish upper payment limits. The Inflation Reduction Act passed by Congress in 2022 (discussed below), authorized the Centers for Medicare and Medicaid Services, or CMS, to begin negotiating the prices on certain drugs based on factors such as research &amp; developments costs and the health economic impact of a particular therapy. We may need to conduct expensive pharmaco-economic studies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 In certain circumstances, we may need to negotiate discounts on a drug product in order to ensure adequate formulary access for patients.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ind w:right="160"/>
        <w:spacing w:after="0" w:line="261" w:lineRule="auto"/>
        <w:rPr>
          <w:sz w:val="20"/>
          <w:szCs w:val="20"/>
          <w:color w:val="auto"/>
        </w:rPr>
      </w:pPr>
      <w:r>
        <w:rPr>
          <w:rFonts w:ascii="Times New Roman" w:cs="Times New Roman" w:eastAsia="Times New Roman" w:hAnsi="Times New Roman"/>
          <w:sz w:val="18"/>
          <w:szCs w:val="18"/>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private prescription drug plans that contract with the federal government and adhere to certain minimum requirements.</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known as the Affordable Care Act, or ACA, substantially changed the way healthcare is financed by both governmental and private insurers, and significantly impacted the pharmaceutical industry.</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its adoption, the ACA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tied to performance. Additionally, the Affordable Care Act:</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brand-name drugs from 15.1% to 23.1%;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Several states have not implemented the provisions of the ACA that involve the expansion of Medicaid eligibility to low-income adults. While the United States Supreme Court recently rejected the latest challenge to the constitutionality of the ACA, it is possible that other legislative efforts may seek to modify it. In addition, other legislative changes have been proposed since the Affordable Care Act was enacted.</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For example, the Inflation Reduction Act of 2022, or IRA, introduces some of the most significant changes to Medicare payment for prescription drugs since the ACA. Among its many provisions, the IRA authorizes the Medicare program to negotiate pricing for certain high-cost and/or high-volume drugs, including physician-administered and self-administered drugs, that have been on the market for a minimum amount of time without generic competition. Each year, beginning with calendar year 2026, the Secretary of the Department of Health and Human Services will implement a negotiated price, known as the “Maximum Fair Price”, or MFP, that will be made public and apply to the drug’s Medicare utilization if the drug is among the top 10 drugs with the highest Medicare spending. Manufacturers who fail to offer the MFP, or fail to come to the table to negotiate after the Secretary has determined their drug is eligible for negotiation, will incur an excise tax of up to 95% for each sale of the drug in the United States. Depending on the share of Medicare spending each year that is attributed to MAVYRET or any other drug we may develop or out-license, and whether or not those drugs become eligible for Medicare negotiation, those drugs and our revenue may be adversely impacted by this provision.</w:t>
      </w:r>
    </w:p>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IRA also will require manufacturers, beginning in 2023, to rebate the Medicare program for Medicare utilization of Part B and Part D drugs that have price increases faster than the rate of inflation. The benchmark to which price increases are compared will vary depending on the drug. Although manufacturers are generally familiar with inflation rebates under the Medicaid program, where they have existed for decades, the IRA represents the first time that the Centers for Medicare and Medicaid Services, or CMS, has extended inflation rebates to the Medicare program.</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IRA also redesigns the Medicare prescription drug benefit in several important ways, beginning in calendar year 2024. First, the IRA places an annual out-of-pocket cap on Medicare beneficiary cost sharing amounts, which will take effect in calendar year 2024 before the full benefit redesign. Previously, beneficiaries’ out-of-pocket costs were uncapped, even if heavily subsidized. Second, the IRA requires that manufacturers share in the cost of prescription drugs throughout the prescription drug benefit, beginning in calendar year 2025. Previously manufacturers only needed to offer discounted pricing for a single phase of the prescription drug benefit. Also in calendar year 2025, the IRA introduces a new $2,000 out-of-pocket maximum in the Part D program for beneficiaries. Finally, the IRA shifts the majority of liability in the “catastrophic phase”—the phase of the prescription drug benefit that only the costliest of Medicare beneficiaries enter—to the private Part D plans, thereby encouraging them to better manage costs. Previously, the Federal government incurred the vast majority of liability during the catastrophic phase. Together, these changes to the Medicare prescription drug benefit will create new pricing dynamics for payers and manufacturers.</w:t>
      </w:r>
    </w:p>
    <w:p>
      <w:pPr>
        <w:spacing w:after="0" w:line="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noted above, state legislatures are also increasingly considering and adopting laws that exert greater influence over the price of prescription drugs. In recent years, many states have passed cost transparency and pharmaceutical pricing laws. These laws often require manufacturers to report certain product information or other financial data to the state. State are expected to continue their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focus on pharmaceutical pricing and will increasingly move to more aggressive price control tools such as Prescription Drug Affordability Boards that have the authority to conduct affordability reviews and establish upper payment limits.</w:t>
      </w:r>
    </w:p>
    <w:p>
      <w:pPr>
        <w:spacing w:after="0" w:line="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$163.5 million, $164.5 million and $174.1 million for the fiscal years ended September 30,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do not have our own manufacturing capabilities, except with respect to limited amounts of active pharmaceutical ingredients needed for preclinical development. To date, we have relied on third-party manufacturers, including manufacturers in China, for supply of active pharmaceutical ingredients and ingredients for use in clinical trials of our product candidates. We also expect that in the future we will rely on such manufacturers to produce commercial quantities of any product candidates that we commercialize ourselves. Manufacturing for glecaprevir is conducted by AbbVie. Wherever possible, we seek to identify multiple suppliers for raw materials and key intermediaries to be used in our manufacturing process.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do not have any commercialization or sales and marketing capabilities, and currently have no fixed plans to invest in or build such capabilities internally. We have partnered our protease inhibitor compounds for HCV with AbbVie. We may also partner or collaborate with, or license commercial rights to, other larger pharmaceutical or biopharmaceutical companies to support the development of one or more of our wholly-owned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Delaware corporation, incorporated in 1995. Our principal executive offices are located at 500 Arsenal Street, Watertown, Massachusetts 02472, and our telephone number is (617) 607-0800. Our web site address is http://www.enanta.com.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provide segment information in Note 2 to our Consolidated Financial Statements included in Item 8 of this report. We are incorporating that information into this section by this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of September 30, 2023, we had 145 full-time employees, 70 of whom hold Ph.D. or M.D. degrees and an additional 35 of whom hold a master's degree or other post-graduate degree. We consider the intellectual capital of our employees to be an essential driver of our business and key to our future prospects. Historically we have had relatively low turnover of employees, but as the number of biotechnology and pharmaceutical companies in the Boston area has increased dramatically, we have experienced an increase in the number of employees leaving for other opportunities. Given our financial resources and our track record, we continue to be able to fill the vacated positions. We also monitor our compensation programs closely and provide what we consider to be a very competitive mix of compensation and insurance benefits for all our employees, as well as participation in our equity programs. None of our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7" w:name="page28"/>
    <w:bookmarkEnd w:id="27"/>
    <w:p>
      <w:pPr>
        <w:ind w:right="360"/>
        <w:spacing w:after="0" w:line="282" w:lineRule="auto"/>
        <w:rPr>
          <w:sz w:val="20"/>
          <w:szCs w:val="20"/>
          <w:color w:val="auto"/>
        </w:rPr>
      </w:pPr>
      <w:r>
        <w:rPr>
          <w:rFonts w:ascii="Times New Roman" w:cs="Times New Roman" w:eastAsia="Times New Roman" w:hAnsi="Times New Roman"/>
          <w:sz w:val="18"/>
          <w:szCs w:val="18"/>
          <w:color w:val="auto"/>
        </w:rPr>
        <w:t>employees is subject to a collective bargaining agreement or represented by a trade or labor union. We consider our relations with our employees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Internet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addition, the SEC maintains an Internet website that contains reports, proxy and information statements, and other information regarding Enanta Pharmaceuticals, Inc. and other issuers that file electronically with the SEC. The SEC’s Internet website address is http://www.sec.gov.</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8" w:name="page29"/>
    <w:bookmarkEnd w:id="2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achieve our goals. A failure to obtain this funding when needed could force us to delay, limit, reduce or terminate some or all of our product development efforts.</w:t>
      </w:r>
    </w:p>
    <w:p>
      <w:pPr>
        <w:spacing w:after="0" w:line="15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will continue to expend substantial resources discovering and developing our proprietary product candidates. These expenditures will exceed our royalty revenues from our AbbVie collaboration and will include costs associated with research and development, preclinical manufacturing of product candidates, conducting preclinical experiments and clinical trials and obtaining regulatory approvals, as well as commercializing any products later approved for sale. Our future capital requirements depend on many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opportunities to in-license or otherwise acquire new technologies and therapeutic candidates</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12529"/>
        </w:rPr>
      </w:pPr>
    </w:p>
    <w:p>
      <w:pPr>
        <w:ind w:left="1020" w:right="300" w:hanging="503"/>
        <w:spacing w:after="0" w:line="282" w:lineRule="auto"/>
        <w:tabs>
          <w:tab w:leader="none" w:pos="102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timing and amount of any sales of our product candidates, if any, or royalties thereon</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12529"/>
        </w:rPr>
      </w:pPr>
    </w:p>
    <w:p>
      <w:pPr>
        <w:ind w:left="1020" w:right="440" w:hanging="503"/>
        <w:spacing w:after="0" w:line="282" w:lineRule="auto"/>
        <w:tabs>
          <w:tab w:leader="none" w:pos="102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costs involved in preparing, filing, prosecuting, maintaining, defending and enforcing patents, including any litigation costs and the outcomes of any such litigation</w:t>
      </w:r>
      <w:r>
        <w:rPr>
          <w:rFonts w:ascii="Times New Roman" w:cs="Times New Roman" w:eastAsia="Times New Roman" w:hAnsi="Times New Roman"/>
          <w:sz w:val="18"/>
          <w:szCs w:val="18"/>
          <w:color w:val="000000"/>
        </w:rPr>
        <w:t>; and</w:t>
      </w:r>
    </w:p>
    <w:p>
      <w:pPr>
        <w:spacing w:after="0" w:line="53"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Accordingly, if we do not generate sufficient funding from our existing collaboration and any future collaborations, we will need to obtain additional funding to support our operations. 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9" w:name="page30"/>
    <w:bookmarkEnd w:id="29"/>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revenues are dependent upon royalty revenues derived from AbbVie’s net sales of its MAVYRET/MAVIRET regimen for HCV, which includes our protease inhibitor, glecaprevir. If AbbVie is unable to maintain sales of this regimen at or above current levels of sales, our royalty revenues will be adversely affected.</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AbbVie’s MAVYRET/MAVIRET regimen continues to be a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has been awarded the contract in Louisiana and other states and AbbVie has been awarded the contract in Washington and other states. In addition, Gilead has been able to access the Medicaid market at a lower price point to build its market share by using an authorized generic version of its HCV regimen branded as Epclusa®.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1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royalty revenues.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AbbVie face substantial competition in the markets for HCV drugs, and there are many companies developing potential therapies for RSV, SARS-CoV-2, and HBV which may result in others discovering, developing or commercializing products before we do or doing so more successfully than we do.</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SARS-CoV-2 and HBV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all the disease areas currently in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to gain regulatory approvals, overcome price competition and be commercially successful.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RSV, COVID-19 and HBV represent competitive therapeutic areas.</w:t>
      </w:r>
    </w:p>
    <w:p>
      <w:pPr>
        <w:spacing w:after="0" w:line="22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For RSV, there are currently no safe and effective therapies for already established RSV infection. Several companies are seeking to develop antiviral treatments for RSV infection in adult and pediatric patients. Ark Biosciences, Pfizer/ReViral (acquired in June 2022) and Merck all have compounds in clinical development. Synagis, a prophylactic, monoclonal-antibody-based treatment from AstraZeneca,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17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Currently, there are two Emergency Use Authorizations of oral antiviral treatments for non-hospitalized, high-risk patients with SARS-CoV-2 infection: PAXLOVID™, a 3CL protease inhibitor (nirmatrelvir) boosted with ritonavir, and LAGEVRIO™ (molnupiravir), a polymerase inhibitor. Additionally, there are companies developing oral direct acting antivirals for SARS-CoV-2</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30" w:name="page31"/>
    <w:bookmarkEnd w:id="30"/>
    <w:p>
      <w:pPr>
        <w:ind w:right="400"/>
        <w:spacing w:after="0" w:line="282" w:lineRule="auto"/>
        <w:rPr>
          <w:sz w:val="20"/>
          <w:szCs w:val="20"/>
          <w:color w:val="auto"/>
        </w:rPr>
      </w:pPr>
      <w:r>
        <w:rPr>
          <w:rFonts w:ascii="Times New Roman" w:cs="Times New Roman" w:eastAsia="Times New Roman" w:hAnsi="Times New Roman"/>
          <w:sz w:val="18"/>
          <w:szCs w:val="18"/>
          <w:color w:val="auto"/>
        </w:rPr>
        <w:t>that are currently in global Phase 3 studies include Shionogi, Atea, and Gilead (an oral formulation of remdesivir), as well as additional compounds in Phase 1 studies.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chronic HCV market, we expect AbbVie’s MAVYRET/MAVIRET to continue to face intense competition due to existing approved HCV products.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independent RSV and HBV programs, we will need to successfully:</w:t>
      </w:r>
    </w:p>
    <w:p>
      <w:pPr>
        <w:spacing w:after="0" w:line="72"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development of our product candidates and demonstrate acceptable safety and efficacy for them alone or in combination with other drugs or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future collaborations we may enter into for any of these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protection for our product candidates and freedom from infringement of intellectual property of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acceptable commercial manufacturing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independently or in collaboration with future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among physicians, payors and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product candidates and expand our business or continue our operations.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developing EDP-938, EDP-323, or in obtaining a partner to advance EDP-235, or in discovering further product candidates, our ability to expand our business and achieve our strategic objectives will be impaired.</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1" w:name="page32"/>
    <w:bookmarkEnd w:id="31"/>
    <w:p>
      <w:pPr>
        <w:ind w:right="1160"/>
        <w:spacing w:after="0" w:line="282" w:lineRule="auto"/>
        <w:rPr>
          <w:sz w:val="20"/>
          <w:szCs w:val="20"/>
          <w:color w:val="auto"/>
        </w:rPr>
      </w:pPr>
      <w:r>
        <w:rPr>
          <w:rFonts w:ascii="Times New Roman" w:cs="Times New Roman" w:eastAsia="Times New Roman" w:hAnsi="Times New Roman"/>
          <w:sz w:val="18"/>
          <w:szCs w:val="18"/>
          <w:color w:val="auto"/>
        </w:rPr>
        <w:t>initially show promise in identifying additional potential product candidates, yet fail to yield product candidates for clinical development or commercialization for many reasons, including the following: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additional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less commercially viable or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obtain intellectual property protection that effectively prevents us from developing a product candidate;</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Scott T. Rottinghaus, M.D., our Senior Vice President and Chief Medical Officer whom we hired in August 2022, as well as other employees and consultants. Although none of Drs. Luly, Or, or Rottinghaus has informed us to date that he expects to retire or resign in the near future, the loss of the services of any of these individuals or one or more of our other members of senior management could delay or prevent the successful development of our product candidates.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expanding our operations successfully to advance our product candidates.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we will need to expand our development, regulatory, manufacturing, marketing and sales capabilities or contract with third parties to obtain these capabilities. As our pipeline expands,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w:t>
      </w:r>
    </w:p>
    <w:p>
      <w:pPr>
        <w:spacing w:after="0" w:line="1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Clinical trials can be delayed for a variety of reasons, including delays related to:</w:t>
      </w:r>
    </w:p>
    <w:p>
      <w:pPr>
        <w:spacing w:after="0" w:line="117" w:lineRule="exact"/>
        <w:rPr>
          <w:sz w:val="20"/>
          <w:szCs w:val="20"/>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on a timely basis, or at all, the necessary approvals from regulators or institutional review boards, or IRBs,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impact of COVID-19 on the incidence of other viruses (e.g., RSV), and the political and socio-economic stability affecting our clinical trial sites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variations in the incidence of infection year to year (e.g. RSV) affecting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drug product or drug substance storage and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add new clinical trial sites;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drug product sufficient to complete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regulatory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clear guidance or changes in regulatory requirements, policy and guidelines, including guidelines specifically addressing requirements for the development of treatments for RSV, COVID-19 or HBV infection;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and maintaining adequate insurance coverage;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similar foreign regulatory agencies.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6"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EDP-938 or EDP-323,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12121"/>
        </w:rPr>
        <w:t>In our RSV program, we are developing inhibitors of the N-protein and L-protein. No inhibitor of the RSV N- or L-protein has progressed beyond a Phase 2 clinical trial, so we are not yet able to assess the potential liabilities of an N-protein or L-protein inhibitor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ind w:right="1300"/>
        <w:spacing w:after="0" w:line="282" w:lineRule="auto"/>
        <w:rPr>
          <w:sz w:val="20"/>
          <w:szCs w:val="20"/>
          <w:color w:val="auto"/>
        </w:rPr>
      </w:pPr>
      <w:r>
        <w:rPr>
          <w:rFonts w:ascii="Times New Roman" w:cs="Times New Roman" w:eastAsia="Times New Roman" w:hAnsi="Times New Roman"/>
          <w:sz w:val="18"/>
          <w:szCs w:val="18"/>
          <w:color w:val="212121"/>
        </w:rPr>
        <w:t>in large scale studies or in the general population. In addition, the principal target populations in RSV, namely infants, the elderly, and the immunocompromised, represent sensitive patient populations that could be more prone to adverse effects of therapy.</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12121"/>
        </w:rPr>
        <w:t>If any of our product candidates receives marketing approval and we or others later identify undesirable or unacceptable side effects caused by such products:</w:t>
      </w:r>
    </w:p>
    <w:p>
      <w:pPr>
        <w:spacing w:after="0" w:line="54" w:lineRule="exact"/>
        <w:rPr>
          <w:sz w:val="20"/>
          <w:szCs w:val="20"/>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subject to additional distribution restrictions under a REMS, if required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stock price may suffer.</w:t>
      </w:r>
    </w:p>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6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Product candidate development risk is heightened by any changes in the planned clinical trials compared to the completed clinical trials. As product candidates are developed through preclinical studies and early-stage and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4" w:name="page35"/>
    <w:bookmarkEnd w:id="34"/>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9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62"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Initial COVID-19 vaccines, therapeutic antibodies and other therapeutics that demonstrated positive results in clinical trials have moved rapidly through the FDA regulatory review and emergency use authorization, or EUA, process, as well as the review and authorization process in a number of other jurisdictions, including the EU when there were no adequate, approved, and available alternatives. The speed at which all parties acted to create and test many therapeutics for COVID-19 was unusual. The end of the pandemic, however, may have changed those dynamics. Evolving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 Accordingly, it 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right="380"/>
        <w:spacing w:after="0" w:line="282" w:lineRule="auto"/>
        <w:rPr>
          <w:sz w:val="20"/>
          <w:szCs w:val="20"/>
          <w:color w:val="auto"/>
        </w:rPr>
      </w:pPr>
      <w:r>
        <w:rPr>
          <w:rFonts w:ascii="Times New Roman" w:cs="Times New Roman" w:eastAsia="Times New Roman" w:hAnsi="Times New Roman"/>
          <w:sz w:val="18"/>
          <w:szCs w:val="18"/>
          <w:color w:val="auto"/>
        </w:rPr>
        <w:t>still uncertain what will be the timelines or regulatory processes required for the authorization or approval of new treatments for COVID-19, including EDP-235.</w:t>
      </w:r>
    </w:p>
    <w:p>
      <w:pPr>
        <w:spacing w:after="0" w:line="15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6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9" w:lineRule="exact"/>
        <w:rPr>
          <w:sz w:val="20"/>
          <w:szCs w:val="20"/>
          <w:color w:val="auto"/>
        </w:rPr>
      </w:pPr>
    </w:p>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any post-approval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pricing regulations, third-party reimbursement practices or healthcare reform initiatives in the United States could harm our business.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the provisions of the ACA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ind w:right="20"/>
        <w:spacing w:after="0" w:line="252" w:lineRule="auto"/>
        <w:rPr>
          <w:sz w:val="20"/>
          <w:szCs w:val="20"/>
          <w:color w:val="auto"/>
        </w:rPr>
      </w:pPr>
      <w:r>
        <w:rPr>
          <w:rFonts w:ascii="Times New Roman" w:cs="Times New Roman" w:eastAsia="Times New Roman" w:hAnsi="Times New Roman"/>
          <w:sz w:val="18"/>
          <w:szCs w:val="18"/>
          <w:color w:val="auto"/>
        </w:rPr>
        <w:t>involve the expansion of Medicaid-eligibility for low-income adults.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Most recently, the Inflation Reduction Act of 2022, or IRA, which, among other provisions, included several measures intended to lower the cost of prescription drugs and related healthcare reforms. Specifically, the Act authorizes and directs the Department of Health and Human Services, or DHHS, to set drug price caps for certain high-cost Medicare Part B and Part D qualified drugs, with the initial list of drugs to be selected by September 1, 2023, and the first year of maximum price applicability to begin in calendar year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beginning in calendar year 2025. We cannot be sure whether additional or related legislation or rulemaking will be issued or enacted, or what impact, if any, such changes will have on the royalty revenue we receive from MAVYRET/MAVIRET or revenue from any of our drug candidates, if approved for commercial use, in the future. If any further healthcare reform measures adopted in the future result in additional downward pressure on the price that AbbVie receives for MAVYRET/MAVIRET, this would adversely affect our future revenues, and the price of our common stock could be materially adversely affected.</w:t>
      </w:r>
    </w:p>
    <w:p>
      <w:pPr>
        <w:spacing w:after="0" w:line="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ind w:right="40"/>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15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products;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EDP-938 and EDP-323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68" w:lineRule="exact"/>
        <w:rPr>
          <w:sz w:val="20"/>
          <w:szCs w:val="20"/>
          <w:color w:val="auto"/>
        </w:rPr>
      </w:pPr>
    </w:p>
    <w:p>
      <w:pPr>
        <w:ind w:left="1020" w:right="1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treatment regimen containing one of our product candidates become approved;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among physicians, major operators of clinics, payors and patients of any treatment regimen containing one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treatment regimens containing one of our product candidates over alternative treatments;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38" w:name="page39"/>
    <w:bookmarkEnd w:id="38"/>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of regimens containing one of our product candidates in relation to the cost of alternative treatments;</w:t>
      </w:r>
    </w:p>
    <w:p>
      <w:pPr>
        <w:spacing w:after="0" w:line="11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longevity of any market for which we develop a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funding provided by government-funded healthcare for treatment of any disease for which we develop a drug;</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any treatment regimen containing one of our product candidates compared to competitive regimens;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whether involving the use of treatment regimens containing one of our products candidates or similar, competitive treatment regimens;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we plan to out-license our FXR agonist candidates for combination therapy for NASH and are seeking potential partners for this program.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product candidates may be terminated or delayed;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the development of certain of our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clinical, regulatory, sales and marketing expertise, which we do not currently have;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any product candidate that is commercialized could be reduced.</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terms, we may not be able to successfully produce, develop and market one or more of our product candidates, or we may be delayed in doing so.</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geopolitical unrest or an epidemic in China, such as the COVID-19 pandemic, could materially adversely affect our business, financial condition and results of operations.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or the series of so-called “lock-downs” in China when strict quarantine requirements were imposed on large population areas in response to new incidents of COVID infection. Our contract manufacturers in China, which are not located in the Wuhan region, managed to avoid any material delays in their ability to deliver API and other services through extraordinary efforts, including temporarily housing staff in the manufacturing facility. Furthermore, since these researchers and manufacturers are located in China, we are exposed to the possibility of product supply disruption and increased costs in the event of changes in the policies of the United States or Chinese governments, geopolitical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0" w:name="page41"/>
    <w:bookmarkEnd w:id="40"/>
    <w:p>
      <w:pPr>
        <w:ind w:right="80"/>
        <w:spacing w:after="0" w:line="256" w:lineRule="auto"/>
        <w:rPr>
          <w:sz w:val="20"/>
          <w:szCs w:val="20"/>
          <w:color w:val="auto"/>
        </w:rPr>
      </w:pPr>
      <w:r>
        <w:rPr>
          <w:rFonts w:ascii="Times New Roman" w:cs="Times New Roman" w:eastAsia="Times New Roman" w:hAnsi="Times New Roman"/>
          <w:sz w:val="18"/>
          <w:szCs w:val="18"/>
          <w:color w:val="auto"/>
        </w:rPr>
        <w:t>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if geopolitical unrest disrupts activity at a number of our clinical trial sites, or if these third parties fail to timely transfer any regulatory information held by them to us, we may not be able to conduct our clinical trials in a timely manner, obtain regulatory approval for, or commercialize, our product candidates.</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Additionally, although no situations to date have caused a significant disruption in our clinical trial operations, geopolitical unrest or a pandemic, could disrupt a number of our clinical trial sites and cause one or more of our clinical trials to be delayed. In the case of EDP-938, we paused recruitment and dosing as a result of the COVID-19 pandemic in March 2020, but we were able to resume the studies in July 2020. The pause in these studies, as well as the absence of RSV in the population generally, delayed enrollment of these studies, and it is uncertain whether any of our other ongoing studies may be subject to further disruptions.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9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ind w:right="120"/>
        <w:spacing w:after="0" w:line="261" w:lineRule="auto"/>
        <w:rPr>
          <w:sz w:val="20"/>
          <w:szCs w:val="20"/>
          <w:color w:val="auto"/>
        </w:rPr>
      </w:pPr>
      <w:r>
        <w:rPr>
          <w:rFonts w:ascii="Times New Roman" w:cs="Times New Roman" w:eastAsia="Times New Roman" w:hAnsi="Times New Roman"/>
          <w:sz w:val="18"/>
          <w:szCs w:val="18"/>
          <w:color w:val="auto"/>
        </w:rPr>
        <w:t>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 if challenged in court.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The same could occur in our patent infringement suit recently brought against Pfizer regarding Paxlovid, its antiviral treatment for COVID-19, even though our ‘953 patent at issue does not cover EDP-235.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If a defendant were to prevail on a legal assertion of invalidity and/or unenforceability, other than in litigation like the Pfizer case,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Any efforts to enforce our intellectual property rights are also likely to be costly, as may well be the case with the Pfizer suit, and may divert the efforts of our scientific and management personnel.</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protect us from all potential threats to our competitive advantage.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3" w:name="page44"/>
    <w:bookmarkEnd w:id="43"/>
    <w:p>
      <w:pPr>
        <w:ind w:left="1020" w:right="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of our inventions,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1"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to continue our research and development programs or to market any resulting product. It is possible that the necessary license will not be available to us on commercially acceptable terms, or at all. Alternatively, we may be required to modify or redesign our products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4" w:name="page45"/>
    <w:bookmarkEnd w:id="44"/>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and product candidates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any resulting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8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business or financial arrangements and relationships through which we market, sell and distribute our products for which we obtain marketing approval.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federal, state and foreign healthcare laws and regulations include the following:</w:t>
      </w:r>
    </w:p>
    <w:p>
      <w:pPr>
        <w:spacing w:after="0" w:line="99" w:lineRule="exact"/>
        <w:rPr>
          <w:sz w:val="20"/>
          <w:szCs w:val="20"/>
          <w:color w:val="auto"/>
        </w:rPr>
      </w:pPr>
    </w:p>
    <w:p>
      <w:pPr>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9" w:lineRule="exact"/>
        <w:rPr>
          <w:rFonts w:ascii="Times New Roman" w:cs="Times New Roman" w:eastAsia="Times New Roman" w:hAnsi="Times New Roman"/>
          <w:sz w:val="18"/>
          <w:szCs w:val="18"/>
          <w:color w:val="auto"/>
        </w:rPr>
      </w:pPr>
    </w:p>
    <w:p>
      <w:pPr>
        <w:jc w:val="both"/>
        <w:ind w:left="1020" w:right="300" w:hanging="503"/>
        <w:spacing w:after="0" w:line="26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of 2010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in foreign countries.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volatile, and thus our stockholders could incur substantial losses.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could be subject to wide fluctuations in response to various factors, many of which are beyond our control. From October 1, 2018 through September 30, 2023, the daily closing price of our common stock on the NASDAQ Global Select Market has ranged from $11.09 to $105.66. The stock market in general and the market for biopharmaceutical companies, and for those developing potential therapies for viral infections in particular, have experienced extreme volatility that has often been unrelated to the operating performance of particular companies. As a result of this volatility, you may not be able to sell your holdings of our common stock at or above your purchase price, if at all. The market price for our common stock may be influenced by many factors, including:</w:t>
      </w:r>
    </w:p>
    <w:p>
      <w:pPr>
        <w:spacing w:after="0" w:line="79" w:lineRule="exact"/>
        <w:rPr>
          <w:sz w:val="20"/>
          <w:szCs w:val="20"/>
          <w:color w:val="auto"/>
        </w:rPr>
      </w:pPr>
    </w:p>
    <w:p>
      <w:pPr>
        <w:ind w:left="1020" w:right="5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of clinical trials of our product candidates, as well as results of regulatory reviews relating to the approval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or develop additional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or technologies introduced or announced by our competitors and the timing of these introductions or announcements;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ind w:left="1020" w:right="5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expectations about and response to the levels of sales or scripts achieved by, or the announced prices or discounts for, AbbVie’s MAVYRET/MAVIRET regimen or competitive HCV drugs;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AbbVie’s MAVYRET/MAVIRET regimen to maintain its sales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our collaborators, CROs, manufacturers, clinical trial sponsors and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political or legal developments in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we develop independently,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or other actions that affect the effective reimbursement rates for treatment regimens containing our products or for competitive regimens;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2023 we had 21.1 million shares of common stock outstanding. In addition, as of September 30, 2023, we had 4.4 million and 0.6 million shares of common stock that are subject to outstanding options and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would likely decline.</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For example, when those analysts are unable to predict accurately the demand and net sales of AbbVie’s HCV regimens, our reported revenues have often been lower than the so-called “market consensus” of our projected revenues, which has at times negatively affected our stock price. When one or more of the analysts who cover us downgrades our stock or publishes inaccurate or unfavorable research about our business, our stock price has declined. If one or more of these analysts cease coverage of our company or fail to publish reports on us regularly, demand for our stock could decrease, which might cause our stock price and trading volume to decline. In addition, if too few securities or industry analysts cover our company, the trading price for our stock would likely be negatively impacted.</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ind w:right="240"/>
        <w:spacing w:after="0" w:line="261"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or staggered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that provide for aggregate cash payments of up to approximately $6.2 million for severance and other non-equity-based benefits in the event of a termination of employment in connection with a change of control of our company. The payment of these severance benefits could harm our company’s financial condition and results. In addition, these potential severance payments may discourage or prevent third parties from seeking a business combination with us.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future net operating loss carryforwards, research and development tax credit carryforwards, and certain other tax attributes may be limited.</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utilize future net operating loss carryforwards ("NOLs") generated as well as research and development tax credit carryforwards may be limited under Section 382 of the Internal Revenue Code ("IRC") or applicable state tax law. The Section 382 limitations apply if an “ownership change” occurs. Generally, an ownership change results from transactions that increase the ownership of 5% stockholders in the stock of a corporation by more than 50% in the aggregate over a three-year period. We have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ind w:right="160"/>
        <w:spacing w:after="0" w:line="258" w:lineRule="auto"/>
        <w:rPr>
          <w:sz w:val="20"/>
          <w:szCs w:val="20"/>
          <w:color w:val="auto"/>
        </w:rPr>
      </w:pPr>
      <w:r>
        <w:rPr>
          <w:rFonts w:ascii="Times New Roman" w:cs="Times New Roman" w:eastAsia="Times New Roman" w:hAnsi="Times New Roman"/>
          <w:sz w:val="18"/>
          <w:szCs w:val="18"/>
          <w:color w:val="auto"/>
        </w:rPr>
        <w:t>evaluated whether one or more ownership changes under Section 382 have occurred since our inception and have determined that there have been such changes through September 30, 2022. Although we believe that these ownership changes have not resulted in material limitations on our ability to utilize existing NOL carryforwards and research and development tax credit carryforwards, our ability to utilize future NOLs and research and development tax credit carryforwards may be limited due to future ownership changes or for other reasons. As a result, we may not be able to take full advantage of NOL carryforwards and research and development tax credit carryforwards for U.S. federal and state income tax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specified business risks, which will leave us exposed to significant uninsured liabilities.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18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We also rely on third 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50" w:name="page51"/>
    <w:bookmarkEnd w:id="50"/>
    <w:p>
      <w:pPr>
        <w:ind w:right="20"/>
        <w:spacing w:after="0" w:line="256" w:lineRule="auto"/>
        <w:rPr>
          <w:sz w:val="20"/>
          <w:szCs w:val="20"/>
          <w:color w:val="auto"/>
        </w:rPr>
      </w:pPr>
      <w:r>
        <w:rPr>
          <w:rFonts w:ascii="Times New Roman" w:cs="Times New Roman" w:eastAsia="Times New Roman" w:hAnsi="Times New Roman"/>
          <w:sz w:val="18"/>
          <w:szCs w:val="18"/>
          <w:color w:val="auto"/>
        </w:rPr>
        <w:t>computer hacking, malicious code (such as computer viruses or worms), fraudulent activity, employee misconduct, theft, or error, denial-of-service attacks, telecommunication, and electrical failures, natural disasters, public health epidemics, such as the COVID-19 pandemic, cyber-attacks by sophisticated nation-state and nation-state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could give rise to liability or reputational harm.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corporate headquarters is located in Watertown, Massachusetts, where we lease approximately 49,000 square feet of office and laboratory space under the 500 Arsenal Street lease agreement that expires on September 1, 2027. In May 2022, we entered into a new lease agreement for approximately 73,000 square feet of laboratory and office space in Watertown, Massachusetts, at a to-be-constructed facility located at Arsenal on the Charles. We expect to gain access to the facility in December 2023 to construct tenant improvements. In conjunction with the new lease agreement at Arsenal on the Charles, we amended the 500 Arsenal Street lease agreement to shorten the term of the lease from September 2027 to the date when the Arsenal on the Charles facility is completed and ready for our occupancy. We also lease approximately 38,000 square feet of additional office space located in Watertown, Massachusetts. The terms of this lease and the new lease expire on June 1, 2034.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13 of the Notes to Consolidated Financial Statements contained in Part II, Item 8 of this Annual Report on Form 10-K,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20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COMPANY'S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Stockholder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“ENTA” since March 21, 2013 and we had 17 stockholders of record as of November 10, 2023. The following table shows the high and low sales price for our common stock as reported by The NASDAQ Global Select Market for the quarterly periods in the fiscal years ended September 30, 2023 and 2022:</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4"/>
                <w:szCs w:val="14"/>
                <w:color w:val="auto"/>
              </w:rPr>
            </w:pPr>
          </w:p>
        </w:tc>
      </w:tr>
      <w:tr>
        <w:trPr>
          <w:trHeight w:val="26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FF0FC"/>
          </w:tcPr>
          <w:p>
            <w:pPr>
              <w:spacing w:after="0"/>
              <w:rPr>
                <w:sz w:val="22"/>
                <w:szCs w:val="22"/>
                <w:color w:val="auto"/>
              </w:rPr>
            </w:pPr>
          </w:p>
        </w:tc>
      </w:tr>
      <w:tr>
        <w:trPr>
          <w:trHeight w:val="26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Pr>
          <w:p>
            <w:pPr>
              <w:spacing w:after="0"/>
              <w:rPr>
                <w:sz w:val="22"/>
                <w:szCs w:val="22"/>
                <w:color w:val="auto"/>
              </w:rPr>
            </w:pPr>
          </w:p>
        </w:tc>
      </w:tr>
      <w:tr>
        <w:trPr>
          <w:trHeight w:val="27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FF0FC"/>
          </w:tcPr>
          <w:p>
            <w:pPr>
              <w:spacing w:after="0"/>
              <w:rPr>
                <w:sz w:val="24"/>
                <w:szCs w:val="24"/>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2"/>
                <w:szCs w:val="22"/>
                <w:color w:val="auto"/>
              </w:rPr>
            </w:pPr>
          </w:p>
        </w:tc>
      </w:tr>
      <w:tr>
        <w:trPr>
          <w:trHeight w:val="405"/>
        </w:trPr>
        <w:tc>
          <w:tcPr>
            <w:tcW w:w="6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4"/>
                <w:szCs w:val="14"/>
                <w:color w:val="auto"/>
              </w:rPr>
            </w:pPr>
          </w:p>
        </w:tc>
      </w:tr>
      <w:tr>
        <w:trPr>
          <w:trHeight w:val="26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FF0FC"/>
          </w:tcPr>
          <w:p>
            <w:pPr>
              <w:spacing w:after="0"/>
              <w:rPr>
                <w:sz w:val="22"/>
                <w:szCs w:val="22"/>
                <w:color w:val="auto"/>
              </w:rPr>
            </w:pPr>
          </w:p>
        </w:tc>
      </w:tr>
      <w:tr>
        <w:trPr>
          <w:trHeight w:val="26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22"/>
                <w:szCs w:val="22"/>
                <w:color w:val="auto"/>
              </w:rPr>
            </w:pPr>
          </w:p>
        </w:tc>
      </w:tr>
      <w:tr>
        <w:trPr>
          <w:trHeight w:val="27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shd w:val="clear" w:color="auto" w:fill="CFF0FC"/>
          </w:tcPr>
          <w:p>
            <w:pPr>
              <w:spacing w:after="0"/>
              <w:rPr>
                <w:sz w:val="24"/>
                <w:szCs w:val="24"/>
                <w:color w:val="auto"/>
              </w:rPr>
            </w:pP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22"/>
                <w:szCs w:val="22"/>
                <w:color w:val="auto"/>
              </w:rPr>
            </w:pPr>
          </w:p>
        </w:tc>
      </w:tr>
    </w:tbl>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We have never declared or paid cash dividends on our common stock, and we do not expect to declare or pay any cash dividends for the foreseeable future.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Performance Graph</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September 30, 2018 through September 30, 2023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FIVE YEARS CUMULATIVE TOTAL RETURN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Among Enanta Pharmaceuticals, Inc., the NASDAQ Composite Index,</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6172200" cy="4208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520" w:hanging="512"/>
        <w:spacing w:after="0" w:line="231" w:lineRule="auto"/>
        <w:tabs>
          <w:tab w:leader="none" w:pos="5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become a leader in the discovery and development of small molecule drugs with an emphasis on treatments for viral infections.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 (U.S.) and MAVIRET® (ex-U.S.) (glecaprevir/pibrentasvir). Our ongoing royalties from our AbbVie collaboration, combined with the proceeds from our April 2023 royalty sale transaction, have provided us funding to support our wholly-owned research and development programs, which are primarily focused on the following disease targets:</w:t>
      </w:r>
    </w:p>
    <w:p>
      <w:pPr>
        <w:spacing w:after="0" w:line="81" w:lineRule="exact"/>
        <w:rPr>
          <w:sz w:val="20"/>
          <w:szCs w:val="20"/>
          <w:color w:val="auto"/>
        </w:rPr>
      </w:pPr>
    </w:p>
    <w:p>
      <w:pPr>
        <w:ind w:left="1020" w:right="34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60,000-160,000 adults over the age of 65 in the U.S. are hospitalized and 6,000-10,000 die due to RSV infections;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September 30, 2023, we had $369.9 million in cash, cash equivalents and short-term marketable securities. We expect that our existing cash, cash equivalents, short-term marketable securities and our continuing portion of HCV royalties, will enable us to fund our operating expenses and capital expenditure requirements through fiscal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namely RSV, SARS-CoV-2 and HBV:</w:t>
      </w:r>
    </w:p>
    <w:p>
      <w:pPr>
        <w:spacing w:after="0" w:line="117" w:lineRule="exact"/>
        <w:rPr>
          <w:sz w:val="20"/>
          <w:szCs w:val="20"/>
          <w:color w:val="auto"/>
        </w:rPr>
      </w:pPr>
    </w:p>
    <w:p>
      <w:pPr>
        <w:ind w:left="1020" w:hanging="503"/>
        <w:spacing w:after="0" w:line="258"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have a clinical stage program for RSV, with two compounds in clinical trials – EDP-938 and EDP-323. EDP-938, which has Fast Track designation from the U.S. Food and Drug Administration, or FDA, is a potent inhibitor of N-protein activity for both major subgroups of RSV, referred to as RSV-A and RSV-B. It is currently in two ongoing Phase 2 studies, each in a different patient population. We completed a Phase 1 clinical study of EDP-323, an inhibitor of the RSV L-protein with Fast Track designation from the FDA, with positive topline results reported in June 2023. We initiated a Phase 2 challenge study of EDP323 in the fourth quarter of calendar 2023.</w:t>
      </w:r>
    </w:p>
    <w:p>
      <w:pPr>
        <w:spacing w:after="0" w:line="73" w:lineRule="exact"/>
        <w:rPr>
          <w:rFonts w:ascii="Times New Roman" w:cs="Times New Roman" w:eastAsia="Times New Roman" w:hAnsi="Times New Roman"/>
          <w:sz w:val="18"/>
          <w:szCs w:val="18"/>
          <w:color w:val="auto"/>
        </w:rPr>
      </w:pPr>
    </w:p>
    <w:p>
      <w:pPr>
        <w:ind w:left="1540" w:right="2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 xml:space="preserve">EDP-938 - N-protein Inhibitor Candidate: </w:t>
      </w:r>
      <w:r>
        <w:rPr>
          <w:rFonts w:ascii="Times New Roman" w:cs="Times New Roman" w:eastAsia="Times New Roman" w:hAnsi="Times New Roman"/>
          <w:sz w:val="18"/>
          <w:szCs w:val="18"/>
          <w:color w:val="auto"/>
        </w:rPr>
        <w:t>We have studied EDP-938 in two Phase 2 studies that were designed to be proof-of-concept and exploratory studies to understand the viral response better in the context of RSV infection. These studies were conducted in otherwise healthy adults (not at high-risk for serious outcomes with RSV) infected with RSV. The first study was a challenge study, in which healthy adults were infected with RSV in a clinical setting. The second study, known as RSVP, was in an otherwise healthy adult outpatient population with community-acquired RSV infection. With these studies, EDP-938 has demonstrated a favorable safety profile, consistent with that observed in over 500 subjects exposed to EDP-938 to date. We believe that EDP-938 has the greatest potential to show optimal efficacy in high-risk populations since these patients have reduced RSV immunity, which manifests in a higher and longer duration of viral load and greater disease severity, allowing a bigger window to realize the full potential of EDP-938. Based on the efficacy and growing safety profile of EDP-938, we are continuing to evaluate EDP-938 in high-risk populations in the following ongoing clinical studies, including pediatric patients and high-risk adults, all of which have significant unmet need:</w:t>
      </w:r>
    </w:p>
    <w:p>
      <w:pPr>
        <w:spacing w:after="0" w:line="83" w:lineRule="exact"/>
        <w:rPr>
          <w:rFonts w:ascii="Times New Roman" w:cs="Times New Roman" w:eastAsia="Times New Roman" w:hAnsi="Times New Roman"/>
          <w:sz w:val="18"/>
          <w:szCs w:val="18"/>
          <w:color w:val="auto"/>
        </w:rPr>
      </w:pPr>
    </w:p>
    <w:p>
      <w:pPr>
        <w:ind w:left="2040" w:right="20" w:hanging="505"/>
        <w:spacing w:after="0" w:line="284" w:lineRule="auto"/>
        <w:tabs>
          <w:tab w:leader="none" w:pos="2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RSVPEDs: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RSVPEDs is a Phase 2 study in pediatric patients. This dose-ranging, randomized, double-blind, placebo-controlled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study, is evaluating multiple ascending doses for five days in two age cohorts to determine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4" w:name="page55"/>
    <w:bookmarkEnd w:id="54"/>
    <w:p>
      <w:pPr>
        <w:ind w:left="1523"/>
        <w:spacing w:after="0"/>
        <w:rPr>
          <w:sz w:val="20"/>
          <w:szCs w:val="20"/>
          <w:color w:val="auto"/>
        </w:rPr>
      </w:pPr>
      <w:r>
        <w:rPr>
          <w:rFonts w:ascii="Times New Roman" w:cs="Times New Roman" w:eastAsia="Times New Roman" w:hAnsi="Times New Roman"/>
          <w:sz w:val="18"/>
          <w:szCs w:val="18"/>
          <w:color w:val="auto"/>
        </w:rPr>
        <w:t>safety, tolerability, and pharmacokinetics, as well as a second part evaluating antiviral activity at the selected dose.</w:t>
      </w:r>
    </w:p>
    <w:p>
      <w:pPr>
        <w:spacing w:after="0" w:line="115" w:lineRule="exact"/>
        <w:rPr>
          <w:sz w:val="20"/>
          <w:szCs w:val="20"/>
          <w:color w:val="auto"/>
        </w:rPr>
      </w:pPr>
    </w:p>
    <w:p>
      <w:pPr>
        <w:ind w:left="1523" w:right="60" w:hanging="505"/>
        <w:spacing w:after="0" w:line="261" w:lineRule="auto"/>
        <w:tabs>
          <w:tab w:leader="none" w:pos="15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RSVHR is a Phase 2b study in high-risk adults, including those who are older than 65 years of age and those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asthma, chronic obstructive pulmonary disease, or COPD, or congestive heart failure. Approximately 180 patients will be treated with EDP-938 or placebo for five days with a primary endpoint of time to resolution of RSV lower respiratory tract disease symptoms.</w:t>
      </w:r>
    </w:p>
    <w:p>
      <w:pPr>
        <w:spacing w:after="0" w:line="71" w:lineRule="exact"/>
        <w:rPr>
          <w:rFonts w:ascii="Times New Roman" w:cs="Times New Roman" w:eastAsia="Times New Roman" w:hAnsi="Times New Roman"/>
          <w:sz w:val="18"/>
          <w:szCs w:val="18"/>
          <w:color w:val="auto"/>
        </w:rPr>
      </w:pPr>
    </w:p>
    <w:p>
      <w:pPr>
        <w:jc w:val="both"/>
        <w:ind w:left="1523" w:right="360" w:hanging="505"/>
        <w:spacing w:after="0" w:line="267" w:lineRule="auto"/>
        <w:tabs>
          <w:tab w:leader="none" w:pos="15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Next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to complete enrollment in one or both of our ongoing Phase 2 studies of EDP-938 in the 2023-2024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Hemisphere RSV season and to report data in the third quarter of calendar 2024, assuming there is a normal, pre-pandemic type of RSV season in the Northern Hemisphere.</w:t>
      </w:r>
    </w:p>
    <w:p>
      <w:pPr>
        <w:spacing w:after="0" w:line="65" w:lineRule="exact"/>
        <w:rPr>
          <w:sz w:val="20"/>
          <w:szCs w:val="20"/>
          <w:color w:val="auto"/>
        </w:rPr>
      </w:pPr>
    </w:p>
    <w:p>
      <w:pPr>
        <w:ind w:left="1023" w:hanging="513"/>
        <w:spacing w:after="0" w:line="254" w:lineRule="auto"/>
        <w:tabs>
          <w:tab w:leader="none" w:pos="102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 novel oral, direct-acting antiviral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selectively 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In June 2023, we completed a Phase 1 clinical study and reported positive topline results, which demonstrated that EDP-323 was safe and well-tolerated with pharmacokinetics supportive of once-daily dosing with target exposures achieved and no food effect. Based on these positive data, we initiated a Phase 2 challenge study of EDP-323 in the fourth quarter of calendar 2023 and expect topline data in the third quarter of calendar 2024.</w:t>
      </w:r>
    </w:p>
    <w:p>
      <w:pPr>
        <w:spacing w:after="0" w:line="80" w:lineRule="exact"/>
        <w:rPr>
          <w:rFonts w:ascii="Times New Roman" w:cs="Times New Roman" w:eastAsia="Times New Roman" w:hAnsi="Times New Roman"/>
          <w:sz w:val="18"/>
          <w:szCs w:val="18"/>
          <w:color w:val="auto"/>
        </w:rPr>
      </w:pPr>
    </w:p>
    <w:p>
      <w:pPr>
        <w:ind w:left="1023" w:right="240" w:hanging="513"/>
        <w:spacing w:after="0" w:line="257" w:lineRule="auto"/>
        <w:tabs>
          <w:tab w:leader="none" w:pos="102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RSV/hMPV Dual-Inhibitor: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a research program targeting development of single agents with broader spectrum antiviral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against both RSV and human metapneumovirus, or hMPV, a virus that is a significant cause of respiratory tract infections similar to those caused by RSV. These target compounds, which we refer to as dual-inhibitors, maintained activity against multiple genotypes and strains of RSV and hMPV in a range of cell types in preclinical studies, and blocked replication in a dose-dependent manner in respective mouse models of each virus. We have paused this research program as we do not plan to advance a third RSV candidate into the clinic as long as EDP-938 and EDP-323 continue to progress into further clinical development.</w:t>
      </w:r>
    </w:p>
    <w:p>
      <w:pPr>
        <w:spacing w:after="0" w:line="184"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We have leveraged our expertise in developing protease inhibitors to discover compounds specifically designed to target the SARS-CoV-2 virus and potentially other coronaviruses.</w:t>
      </w:r>
    </w:p>
    <w:p>
      <w:pPr>
        <w:spacing w:after="0" w:line="51" w:lineRule="exact"/>
        <w:rPr>
          <w:rFonts w:ascii="Times New Roman" w:cs="Times New Roman" w:eastAsia="Times New Roman" w:hAnsi="Times New Roman"/>
          <w:sz w:val="18"/>
          <w:szCs w:val="18"/>
          <w:color w:val="auto"/>
        </w:rPr>
      </w:pPr>
    </w:p>
    <w:p>
      <w:pPr>
        <w:jc w:val="both"/>
        <w:ind w:left="1023" w:right="40" w:hanging="514"/>
        <w:spacing w:after="0" w:line="271" w:lineRule="auto"/>
        <w:tabs>
          <w:tab w:leader="none" w:pos="1023"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EDP-235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Protease Inhibitor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EDP-235 is an oral inhibitor of the coronavirus 3CL protease, also referred to as 3CLpro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main coronavirus protease, or Mpro, which has been granted Fast Track designation by the FDA.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w:t>
      </w:r>
    </w:p>
    <w:p>
      <w:pPr>
        <w:spacing w:after="0" w:line="1" w:lineRule="exact"/>
        <w:rPr>
          <w:rFonts w:ascii="Times New Roman" w:cs="Times New Roman" w:eastAsia="Times New Roman" w:hAnsi="Times New Roman"/>
          <w:sz w:val="17"/>
          <w:szCs w:val="17"/>
          <w:color w:val="auto"/>
        </w:rPr>
      </w:pPr>
    </w:p>
    <w:p>
      <w:pPr>
        <w:ind w:left="1023" w:right="1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Furthermore, EDP-235 has good tissue distribution, and is projected to have four times higher drug levels in lung tissue compared to plasma and has demonstrated high cell penetration rates in many cell types studied to date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 robust treatment effect and prevention of transmission was observed in a ferret model.</w:t>
      </w:r>
    </w:p>
    <w:p>
      <w:pPr>
        <w:spacing w:after="0" w:line="75" w:lineRule="exact"/>
        <w:rPr>
          <w:rFonts w:ascii="Times New Roman" w:cs="Times New Roman" w:eastAsia="Times New Roman" w:hAnsi="Times New Roman"/>
          <w:sz w:val="17"/>
          <w:szCs w:val="17"/>
          <w:color w:val="auto"/>
        </w:rPr>
      </w:pPr>
    </w:p>
    <w:p>
      <w:pPr>
        <w:ind w:left="1523" w:right="220" w:hanging="505"/>
        <w:spacing w:after="0" w:line="249" w:lineRule="auto"/>
        <w:tabs>
          <w:tab w:leader="none" w:pos="1523"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1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July 2022, we completed a Phase 1 study and reported positive topline results. This first-in-human,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double-blind, placebo-controlled study enrolled healthy volunteers to evaluate the safety, tolerability, and pharmacokinetics of oral EDP-235 in single ascending doses, and multiple ascending doses, for seven days, and the effect of food. Data from the Phase 1 study demonstrated EDP-235 was generally safe and well-tolerated in doses up to 400 mg for seven days and adverse events were infrequent and mild. Pharmacokinetics were supportive of once-daily dosing without ritonavir and without regard to food and achieved target exposure levels of up to 13-fold over the plasma 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1523" w:right="60" w:hanging="505"/>
        <w:spacing w:after="0" w:line="254" w:lineRule="auto"/>
        <w:tabs>
          <w:tab w:leader="none" w:pos="1523"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May 2023, we reported topline results from SPRINT (SARS-CoV-2 Protease Inhibitor Treatment), a Phase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of EDP-235. This randomized, double-blind, placebo-controlled study evaluated the safety, tolerability, antiviral activity and clinical symptoms of EDP-235 compared to placebo in approximately 230 non-hospitalized, symptomatic patients with mild to moderate COVID-19 who were not at increased risk for developing severe disease. Patients were eligible to participate if they had symptoms for five days or less and had not received a SARS-CoV-2 vaccine or been infected with SARS-CoV-2 within 90 days of enrollment. Patients received either 200 mg or 400 mg EDP-235 or placebo orally with food once daily for five days. EDP-235 met the primary endpoint of the trial and was generally safe and well-tolerated. A dose-dependent improvement in total symptom score was observed with EDP-235 treatment compared to placebo, which achieved statistical significance (p&lt;0.05) in the 400 mg treatment group at multiple time</w:t>
      </w:r>
    </w:p>
    <w:p>
      <w:pPr>
        <w:spacing w:after="0" w:line="190"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2" w:right="339" w:bottom="1440" w:gutter="0" w:footer="0" w:header="0"/>
        </w:sectPr>
      </w:pPr>
    </w:p>
    <w:bookmarkStart w:id="55" w:name="page56"/>
    <w:bookmarkEnd w:id="55"/>
    <w:p>
      <w:pPr>
        <w:ind w:left="2040" w:right="20"/>
        <w:spacing w:after="0" w:line="273" w:lineRule="auto"/>
        <w:rPr>
          <w:sz w:val="20"/>
          <w:szCs w:val="20"/>
          <w:color w:val="auto"/>
        </w:rPr>
      </w:pPr>
      <w:r>
        <w:rPr>
          <w:rFonts w:ascii="Times New Roman" w:cs="Times New Roman" w:eastAsia="Times New Roman" w:hAnsi="Times New Roman"/>
          <w:sz w:val="17"/>
          <w:szCs w:val="17"/>
          <w:color w:val="auto"/>
        </w:rPr>
        <w:t>points, starting as early as one day after the first dose. While no difference was observed in time to improvement in the overall group of 14 measured COVID-19 symptoms, an analysis of a subset of six symptoms showed a two-day shorter time to improvement in patients receiving EDP-235 400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61" w:lineRule="exact"/>
        <w:rPr>
          <w:sz w:val="20"/>
          <w:szCs w:val="20"/>
          <w:color w:val="auto"/>
        </w:rPr>
      </w:pPr>
    </w:p>
    <w:p>
      <w:pPr>
        <w:ind w:left="2040" w:right="120" w:hanging="505"/>
        <w:spacing w:after="0" w:line="284" w:lineRule="auto"/>
        <w:tabs>
          <w:tab w:leader="none" w:pos="2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Next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Going forward, we will continue to focus on potential collaborations to progress EDP-235, as we will not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candidate further on our own.</w:t>
      </w:r>
    </w:p>
    <w:p>
      <w:pPr>
        <w:spacing w:after="0" w:line="160"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Our lead clinical candidate for the treatment of chronic infection with hepatitis B virus, or HBV, is EDP-514, a core inhibitor that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Advancement of this program is dependent upon our accessing another compound that could be developed with EDP-514 for such a treatment regimen.</w:t>
      </w:r>
    </w:p>
    <w:p>
      <w:pPr>
        <w:spacing w:after="0" w:line="73" w:lineRule="exact"/>
        <w:rPr>
          <w:rFonts w:ascii="Times New Roman" w:cs="Times New Roman" w:eastAsia="Times New Roman" w:hAnsi="Times New Roman"/>
          <w:sz w:val="18"/>
          <w:szCs w:val="18"/>
          <w:color w:val="auto"/>
        </w:rPr>
      </w:pPr>
    </w:p>
    <w:p>
      <w:pPr>
        <w:ind w:left="1540" w:right="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 xml:space="preserve">EDP-514 - Core Inhibitor Candidate: </w:t>
      </w:r>
      <w:r>
        <w:rPr>
          <w:rFonts w:ascii="Times New Roman" w:cs="Times New Roman" w:eastAsia="Times New Roman" w:hAnsi="Times New Roman"/>
          <w:sz w:val="18"/>
          <w:szCs w:val="18"/>
          <w:color w:val="auto"/>
        </w:rPr>
        <w:t>Final data from two Phase 1b studies of EDP-514 demonstrate the compound is safe with strong</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antiviral activity in two different chronic HBV patient populations – those who have a high viral load and those who are on a treatment with a nucleoside reverse transcriptase inhibitor. Based on these data, we remain convinced that EDP-514, which has Fast Track designation, has the potential to be a best-in-class core inhibitor for HBV.</w:t>
      </w:r>
    </w:p>
    <w:p>
      <w:pPr>
        <w:spacing w:after="0" w:line="7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consolidated statements of operation. The $200.0 million received in April 2023 was recognized on our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As of the date of this report, we are conducting two Phase 2 studies for EDP-938 and a Phase 2 challenge study of EDP-323. We are also conducting preclinical discovery research efforts in other disease areas.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However, in the next 12 months, we expect our external research and development expenses generally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6" w:name="page57"/>
    <w:bookmarkEnd w:id="56"/>
    <w:p>
      <w:pPr>
        <w:ind w:right="240"/>
        <w:spacing w:after="0" w:line="282" w:lineRule="auto"/>
        <w:rPr>
          <w:sz w:val="20"/>
          <w:szCs w:val="20"/>
          <w:color w:val="auto"/>
        </w:rPr>
      </w:pPr>
      <w:r>
        <w:rPr>
          <w:rFonts w:ascii="Times New Roman" w:cs="Times New Roman" w:eastAsia="Times New Roman" w:hAnsi="Times New Roman"/>
          <w:sz w:val="18"/>
          <w:szCs w:val="18"/>
          <w:color w:val="auto"/>
        </w:rPr>
        <w:t>to decrease since we will not conduct any further development of EDP-235 on our own and we have made important adjustments to reduce our spending significantly in 2024.</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through royalty payments received under our collaboration agreement with AbbVie, a $200.0 million payment from our royalty sale agreement, and our existing cash, cash equivalents, and short-term and long-term marketable securities. We believe that our existing cash, cash equivalents and short-term marketable securities, as well as our continuing portion of HCV royalties, will enable us to fund our operating expenses and capital expenditure requirements through fiscal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chronic HCV. During the year ended September 30, 2023, we also generated $1.0 million of license revenue from an upfront payment related to a license agreement for one of the antibacterial compounds we are no longer developing.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years ended September 30, 2023, 2022, and 2021:</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Royalty revenue</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will only retain 45.5% of the cash payments from royalties on net sales of MAVYRET/MAVIRET occurring after June 30, 2023 through June 30, 2032, subject to a cap on aggregate payments to OMERS equal to 1.42 times OMERS’ purchase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Programs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Project-specific expenses reflect costs directly attributable to our clinical development and preclinical candidates nominated and selected for further development. Our remaining research and development expenses are reflected in research and drug discovery, which represent early-stage drug discovery programs. At any given time, we typically have several active early-stage research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7" w:name="page58"/>
    <w:bookmarkEnd w:id="57"/>
    <w:p>
      <w:pPr>
        <w:ind w:right="20"/>
        <w:spacing w:after="0" w:line="256" w:lineRule="auto"/>
        <w:rPr>
          <w:sz w:val="20"/>
          <w:szCs w:val="20"/>
          <w:color w:val="auto"/>
        </w:rPr>
      </w:pPr>
      <w:r>
        <w:rPr>
          <w:rFonts w:ascii="Times New Roman" w:cs="Times New Roman" w:eastAsia="Times New Roman" w:hAnsi="Times New Roman"/>
          <w:sz w:val="18"/>
          <w:szCs w:val="18"/>
          <w:color w:val="auto"/>
        </w:rPr>
        <w:t>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fluctuate from period to period as we advance our research and development programs. However, in the next 12 months, we expect our external research and development expenses generally to decrease since we will not advance EDP-235 further on our own. To date, we have not identified any significant impact of inflation on spending in research and development, but it is uncertain whether there will be inflationary impacts in future periods.</w:t>
      </w:r>
    </w:p>
    <w:p>
      <w:pPr>
        <w:spacing w:after="0" w:line="7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and patent expenses.</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 but we anticipate inflation may impact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non-cash interest expense and amortization of debt issuance costs associated with the royalty sale agreement with an affiliate of OMERS. Interest income consists of interest earned on our cash equivalents and short-term and long-term marketable securities balances. Investment income consists of the amortization or accretion of any purchased premium or discount, respectively, on our short-term and long-term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expense for the year ended September 30, 2023 was driven by the receipt of the $200.0 million from the royalty sale agreement, the taxable gain on which was substantially offset by net operating loss and research and development tax credit carryforwards, a deduction for foreign derived intangible income and interest due from expected refunds from tax authorities. Income tax benefit for the year ended September 30, 2022 is the result of the release of a state tax reserve. Income tax benefit for the year ended September 31, 2021 is the result of the carryback of net operating losses under the Coronavirus Aid, Relief and Economic Security Act, or CARES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equity,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Pharmaceutical Drug Manufacturing Accruals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entered into various contracts with third parties to perform research and development and pharmaceutical drug manufacturing. These include contracts with contract research organizations, or CROs, clinical manufacturing organizations, or CMOs, testing laboratories, research hospitals and not-for-profit organizations and other entities to support our research and development activities. We expense the cost of each contract as the work is performed. When billing terms under these contracts do not coincide with the timing of when the work is performed, we are required to make estimates of our outstanding obligations to those third parties as of period-end. Our accrual estimates are based on a number of factors, including our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accounted for the $200.0 million payment from OMERS as a liability on our consolidated balance sheets because (1) under the royalty sale agreement, OMERS will receive a portion of our royalty payments up to a capped amount of 1.42 times the original payment to us, and (2) we have significant continuing involvement in the generation of cash flows under the AbbVie Agreement. Interest expense for the liability related to the sale of future royalties will be recognized using the effective interest rate method over the term of the royalty sale agreement.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liability related to the sale of future royalties and the related interest expense are based on our current estimates of future royalties, which we determine by using third-party forecasts of MAVYRET/MAVIRET sales. Third-party forecasts are updated periodically based on the latest pricing, market share, and patient data. Changes in the amount or timing of estimated royalties will affect the interest rate utilized in calculating the liability related to the sale of future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2"/>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tcPr>
          <w:p>
            <w:pPr>
              <w:spacing w:after="0"/>
              <w:rPr>
                <w:sz w:val="20"/>
                <w:szCs w:val="20"/>
                <w:color w:val="auto"/>
              </w:rPr>
            </w:pPr>
          </w:p>
        </w:tc>
      </w:tr>
      <w:tr>
        <w:trPr>
          <w:trHeight w:val="25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163,524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174,111</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(5,148 )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15"/>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Series 1 nonconvertible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(2,821 )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(133,816 )</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(121,755 )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(78,996 )</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September 30,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recognized revenue of $79.2 million and $86.2 million during the years ended September 30, 2023 and 2022, respectively. The decrease in revenue year-over-year was due to AbbVie’s lower reported HCV sales in 2023, as compared to 2022. Our weighted average royalty rate on the portion of AbbVie’s sales allocable to our protease inhibitor products was approximately 11% in both fiscal 2023 and 2022.</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consolidated balance sheets as a liability which will be reduced by the payments made to OMERS over the term of the royalty sale agreement. We will continue to record 100% of HCV royalties earned under the AbbVie Agreement as royalty revenue in our consolidated statements of operations since the AbbVie Agreement has not been amended and is independent of our agreement with OMERS.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3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r>
      <w:tr>
        <w:trPr>
          <w:trHeight w:val="169"/>
        </w:trPr>
        <w:tc>
          <w:tcPr>
            <w:tcW w:w="6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programs:</w:t>
            </w:r>
          </w:p>
        </w:tc>
        <w:tc>
          <w:tcPr>
            <w:tcW w:w="10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Virology</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151,176</w:t>
            </w:r>
          </w:p>
        </w:tc>
        <w:tc>
          <w:tcPr>
            <w:tcW w:w="9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144,344</w:t>
            </w: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Liver disease (non-viral)</w:t>
            </w:r>
          </w:p>
        </w:tc>
        <w:tc>
          <w:tcPr>
            <w:tcW w:w="10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00" w:type="dxa"/>
            <w:vAlign w:val="bottom"/>
            <w:shd w:val="clear" w:color="auto" w:fill="CFF0FC"/>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3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1"/>
                <w:szCs w:val="21"/>
                <w:color w:val="auto"/>
              </w:rPr>
            </w:pPr>
          </w:p>
        </w:tc>
      </w:tr>
      <w:tr>
        <w:trPr>
          <w:trHeight w:val="277"/>
        </w:trPr>
        <w:tc>
          <w:tcPr>
            <w:tcW w:w="6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163,524</w:t>
            </w:r>
          </w:p>
        </w:tc>
        <w:tc>
          <w:tcPr>
            <w:tcW w:w="3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by $1.0 million for the year ended September 30, 2023, as compared to the same period in 2022. The increase in costs of $6.8 million in our virology program was primarily due to an increase in clinical trial costs and an increase in headcount, partially offset by a decrease in preclinical and manufacturing costs due to the timing of our studies in our virology programs and decrease in depreciation expense. The costs in our non-viral liver disease program decreased by $13.6 million as we wound down our non-alcoholic steatohepatitis, or NASH, program, which is now substantially complete. The costs in our other discovery programs increased by $5.7 million due to an increase in headcount and lab material and supply purchases.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next 12 months, we expect our external research and development expenses generally to decrease since we will not advance EDP-235 further on our 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to $52.9 million for the year ended September 30, 2023, compared to $45.5 million for the same period in 2022. The increase was primarily due to an increase in legal fees related to our patent infringement suit against Pfizer and to a lesser extent, an increase in stock-based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$5.1 million for the year ended September 30, 2023. The non-cash interest expense is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royalty sale agreement entered into during April 2023 with an affiliate of OMERS.</w:t>
      </w:r>
    </w:p>
    <w:p>
      <w:pPr>
        <w:spacing w:after="0" w:line="5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investment income, net</w:t>
      </w:r>
      <w:r>
        <w:rPr>
          <w:rFonts w:ascii="Times New Roman" w:cs="Times New Roman" w:eastAsia="Times New Roman" w:hAnsi="Times New Roman"/>
          <w:sz w:val="18"/>
          <w:szCs w:val="18"/>
          <w:color w:val="auto"/>
        </w:rPr>
        <w:t>. Interest and investment income, net increased by $9.8 million for the year ended September 30,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2022. The increase was due to an increase in our cash balance due to receipt of the $200.0 million from OMERS and changes in interest rates year over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$2.8 million and an income tax benefit of $0.4 million for the years ended September 30, 2023 and 2022, respectively. The effective tax rates used to calculate our income tax (expense) benefit for the years ended September 30, 2023 and 2022 were (2.2)% and 0.4%, respectively. Despite recording a loss before taxes, we recorded income tax expense in 2023 due to the receipt of the $200.0 million from the royalty sale agreement which was substantially offset by net operating loss carryforwards, research and development tax credit carryforwards and a deduction for foreign derived intangible income. We recorded an income tax benefit in 2022 due to the release of a state tax reserve during the year.</w:t>
      </w:r>
    </w:p>
    <w:p>
      <w:pPr>
        <w:spacing w:after="0" w:line="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we continue to record a valuation allowance against our deferred tax assets because it is more likely than not that we will not have sufficient taxable income in the future to allow us to realize the majority of our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September 30, 2022 and 2021</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September 30, 2022, as compared to the year ended September 30, 2021, see Item 7. Management’s Discussion and Analysis of Financial Condition and Results of Operations—Results of Operations—Comparison of the Years Ended September 30, 2022 and 2021 included in our Annual Report on Form 10-K for the fiscal year ended September 30,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September 30, 2023, our principal sources of liquidity were cash and cash equivalents and short-term marketable securities of $369.9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(103,154 )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(84,782 )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(69,996 )</w:t>
            </w: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(53,578 )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41,394</w:t>
            </w:r>
          </w:p>
        </w:tc>
        <w:tc>
          <w:tcPr>
            <w:tcW w:w="8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(9,852 )</w:t>
            </w:r>
          </w:p>
        </w:tc>
        <w:tc>
          <w:tcPr>
            <w:tcW w:w="3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(29,925 )</w:t>
            </w:r>
          </w:p>
        </w:tc>
        <w:tc>
          <w:tcPr>
            <w:tcW w:w="0" w:type="dxa"/>
            <w:vAlign w:val="bottom"/>
          </w:tcPr>
          <w:p>
            <w:pPr>
              <w:spacing w:after="0"/>
              <w:rPr>
                <w:sz w:val="1"/>
                <w:szCs w:val="1"/>
                <w:color w:val="auto"/>
              </w:rPr>
            </w:pPr>
          </w:p>
        </w:tc>
      </w:tr>
      <w:tr>
        <w:trPr>
          <w:trHeight w:val="227"/>
        </w:trPr>
        <w:tc>
          <w:tcPr>
            <w:tcW w:w="5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46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$103.2 million for the year ended September 30, 2023 as compared to cash used in operating activities of $84.8 million for the same period in 2022. The increase in cash used in operating activities was primarily driven by timing of operating expense cash payments, a decrease in royalty payments received under our collaboration with AbbVie and the timing of estimated tax payments made in fiscal 2023.</w:t>
      </w:r>
    </w:p>
    <w:p>
      <w:pPr>
        <w:spacing w:after="0" w:line="6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the foreseeable future, we expect to continue to incur substantial costs associated with research and development for our internally developed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$53.6 million for the year ended September 30, 2023 as compared to cash provided by investing activities of $54.9 million for the same period in 2022. Our cash used in investing activities increased $108.5 million, driven by timing of purchases, sales and maturities of marketable securities in 2023 compared to 2022 as well as increased capital expenditures in fiscal 2023 for the buildout of our leased premises at 400 Talcott Avenue.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$198.1 million for the year ended September 30, 2023 as compared to cash provided by financing activities of $20.0 million for the same period in 2022. Our cash provided by financing activities increased $178.1 million, driven by the net proceeds from the sale of future royalties offset by a decrease in proceeds from exercise of stock options and an increase in payments for settlement of share-based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September 30, 2022</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our cash flows for the year ended September 30, 2022, see Item 7. Management’s Discussion and Analysis of Financial Condition and Results of Operations—Liquidity and Capital Resources—Cash Flows included in our Annual Report on Form 10-K for the fiscal year ended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2023, we had $369.9 million in cash, cash equivalents and short-term marketable securities. We believe that our existing cash, cash equivalents and short-term marketable securities as of September 30, 2023, as well as the cash flows from our continuing portion of HCV royalties will be sufficient to meet our anticipated cash requirements through fiscal 2027.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61" w:name="page62"/>
    <w:bookmarkEnd w:id="61"/>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We currently lease space in Watertown, Massachusetts, under two separate lease agreements with one landlord. We have entered into a third lease agreement with the same landlord to lease additional laboratory and office space at a to-be-constructed facility located at Arsenal on the Charles in Watertown, Massachusetts.</w:t>
      </w:r>
    </w:p>
    <w:p>
      <w:pPr>
        <w:spacing w:after="0" w:line="6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Our first lease for office and laboratory space at 500 Arsenal Street expires on September 1, 2027. In May 2022, we entered into a new ten-year lease for laboratory and office space in Watertown, Massachusetts, adjacent to our 400 Talcott Avenue premises at Arsenal on the Charles, at a to-be-constructed facility. We currently anticipate we will gain access to construct tenant improvements in December 2023. In connection with this lease, we amended our 500 Arsenal Street lease to shorten the expiration date from September 1, 2027, to the date the Arsenal on the Charles facility is ready for our occupancy.</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2023, we had 1.9 million outstanding shares of Series 1 nonconvertible preferred stock, all of which we classified as a long-term liability on our consolidated balance sheet and recorded at fair value of $1.4 million. The fair value of the preferred stock was measured based on significant inputs not observable in the market, which represented a Level 3 measurement within the fair value hierarchy. The fair value of these instruments represents less than 10% of liabilities as of September 30, 2023. The Series 1 nonconvertible preferred stock issued would require the payment of $2.0 million in the event of a qualifying merger or sale of the company.</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62" w:name="page63"/>
    <w:bookmarkEnd w:id="62"/>
    <w:p>
      <w:pPr>
        <w:ind w:right="40"/>
        <w:spacing w:after="0" w:line="282" w:lineRule="auto"/>
        <w:rPr>
          <w:sz w:val="20"/>
          <w:szCs w:val="20"/>
          <w:color w:val="auto"/>
        </w:rPr>
      </w:pPr>
      <w:r>
        <w:rPr>
          <w:rFonts w:ascii="Times New Roman" w:cs="Times New Roman" w:eastAsia="Times New Roman" w:hAnsi="Times New Roman"/>
          <w:sz w:val="18"/>
          <w:szCs w:val="18"/>
          <w:color w:val="auto"/>
        </w:rPr>
        <w:t>The $200.0 million received in April 2023 was recognized on our consolidated balance sheets as a liability which will be reduced by the payments made to OMERS over the term of the Agreement.</w:t>
      </w:r>
    </w:p>
    <w:p>
      <w:pPr>
        <w:spacing w:after="0" w:line="266" w:lineRule="exact"/>
        <w:rPr>
          <w:sz w:val="20"/>
          <w:szCs w:val="20"/>
          <w:color w:val="auto"/>
        </w:rPr>
      </w:pPr>
    </w:p>
    <w:p>
      <w:pPr>
        <w:ind w:right="36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b w:val="1"/>
          <w:bCs w:val="1"/>
          <w:i w:val="1"/>
          <w:iCs w:val="1"/>
          <w:color w:val="auto"/>
        </w:rPr>
        <w:t>Interest Rate Risk</w:t>
      </w:r>
    </w:p>
    <w:p>
      <w:pPr>
        <w:ind w:right="60"/>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short-term marketable securities of $369.9 million and $278.5 million at September 30, 2023 and 2022, respectively, which consisted of cash, money market funds, corporate bonds, commercial paper and treasury notes. Interest income is sensitive to changes in the general level of interest rates; however, due to the nature of these investments, a change in market interest rates of 1% would not be expected to have a material impact on our financial condition or results of operations for either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we continue to progress our wholly-owned programs into clinical development, we will conduct clinical trials and clinical manufacturing outside of the U.S. and thus will face exposure to movements in foreign currency exchange rates, primarily the British Pound and Euro, against the U.S. Dollar, arising from our accounts payable and accrued expenses. During fiscal 2023 and 2022,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our independent registered public accounting firm, appear on pages F-1 through F-25 of this Annual Report on Form 10-K.</w:t>
      </w:r>
    </w:p>
    <w:p>
      <w:pPr>
        <w:spacing w:after="0" w:line="266" w:lineRule="exact"/>
        <w:rPr>
          <w:sz w:val="20"/>
          <w:szCs w:val="20"/>
          <w:color w:val="auto"/>
        </w:rPr>
      </w:pPr>
    </w:p>
    <w:p>
      <w:pPr>
        <w:ind w:right="1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Company’s reports under the Securities Exchange Act of 1934, as amended, or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Companies are designed to do, and management necessarily was required to apply its judgment in evaluating the risk related to controls and procedures.</w:t>
      </w:r>
    </w:p>
    <w:p>
      <w:pPr>
        <w:spacing w:after="0" w:line="8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connection with the preparation of this Form 10-K, as of September 30, 2023,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CEO and CFO concluded that our disclosure controls and procedures were effective at a reasonable assurance level as of September 30, 2023. These conclusions were communicated to the Audit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2023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to the Company’s management and Board of Directors regarding the preparation and fair presentation of published financial statements. 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internal control systems, no matter how well designed, have inherent limitations. Therefore, even those systems determined to be effective can provide only reasonable assurance with respect to financial statement preparation and presentation.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management has assessed the effectiveness of our internal control over financial reporting as of September 30, 2023. In making this assessment, management used the criteria set forth by the Committee of Sponsoring Organizations of the Treadway Commission (COSO) in its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Based on this assessment, our management has concluded that as of September 30, 2023,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is effective.</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September 30, 2023, has been audited by PricewaterhouseCoopers LLP, an independent registered public accounting firm, as stated in their attestation report, which appears in Item 8 above.</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2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Portions of the response to this item are incorporated herein by reference from the discussion responsive thereto in the Company’s Definitive Proxy Statement relating to the 2024 Annual Meeting of Stockholders, also referred to as the 2024 Proxy Statement, which will be filed within 120 days after September 30, 2023.</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employees, officers and directors.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 on our website or on a Form 8-K.</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2024 Proxy Statement, which will be filed within 120 days after September 30, 2023.</w:t>
      </w:r>
    </w:p>
    <w:p>
      <w:pPr>
        <w:spacing w:after="0" w:line="266" w:lineRule="exact"/>
        <w:rPr>
          <w:sz w:val="20"/>
          <w:szCs w:val="20"/>
          <w:color w:val="auto"/>
        </w:rPr>
      </w:pPr>
    </w:p>
    <w:p>
      <w:pPr>
        <w:ind w:left="1080" w:right="280" w:hanging="115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in part from the discussion responsive thereto in the 2024 Proxy Statement, which will be filed within 120 days after September 30, 2023.</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the Company’s equity compensation plans as of September 30, 2023:</w:t>
      </w:r>
    </w:p>
    <w:p>
      <w:pPr>
        <w:spacing w:after="0" w:line="37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16510</wp:posOffset>
            </wp:positionV>
            <wp:extent cx="2674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ind w:left="580"/>
        <w:spacing w:after="0"/>
        <w:rPr>
          <w:sz w:val="20"/>
          <w:szCs w:val="20"/>
          <w:color w:val="auto"/>
        </w:rPr>
      </w:pPr>
      <w:r>
        <w:rPr>
          <w:rFonts w:ascii="Times New Roman" w:cs="Times New Roman" w:eastAsia="Times New Roman" w:hAnsi="Times New Roman"/>
          <w:sz w:val="12"/>
          <w:szCs w:val="12"/>
          <w:color w:val="auto"/>
        </w:rPr>
        <w:t>(1)</w:t>
      </w:r>
    </w:p>
    <w:p>
      <w:pPr>
        <w:spacing w:after="0" w:line="86" w:lineRule="exact"/>
        <w:rPr>
          <w:sz w:val="20"/>
          <w:szCs w:val="20"/>
          <w:color w:val="auto"/>
        </w:rPr>
      </w:pPr>
    </w:p>
    <w:p>
      <w:pPr>
        <w:ind w:left="580" w:right="300"/>
        <w:spacing w:after="0" w:line="263"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Totals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2"/>
                <w:szCs w:val="12"/>
                <w:color w:val="auto"/>
              </w:rPr>
            </w:pPr>
          </w:p>
        </w:tc>
        <w:tc>
          <w:tcPr>
            <w:tcW w:w="136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80" w:type="dxa"/>
            <w:vAlign w:val="bottom"/>
          </w:tcPr>
          <w:p>
            <w:pPr>
              <w:spacing w:after="0"/>
              <w:rPr>
                <w:sz w:val="12"/>
                <w:szCs w:val="12"/>
                <w:color w:val="auto"/>
              </w:rPr>
            </w:pPr>
          </w:p>
        </w:tc>
        <w:tc>
          <w:tcPr>
            <w:tcW w:w="136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80" w:type="dxa"/>
            <w:vAlign w:val="bottom"/>
          </w:tcPr>
          <w:p>
            <w:pPr>
              <w:spacing w:after="0"/>
              <w:rPr>
                <w:sz w:val="12"/>
                <w:szCs w:val="12"/>
                <w:color w:val="auto"/>
              </w:rPr>
            </w:pPr>
          </w:p>
        </w:tc>
        <w:tc>
          <w:tcPr>
            <w:tcW w:w="136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2"/>
                <w:szCs w:val="12"/>
                <w:color w:val="auto"/>
              </w:rPr>
            </w:pPr>
          </w:p>
        </w:tc>
        <w:tc>
          <w:tcPr>
            <w:tcW w:w="136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80" w:type="dxa"/>
            <w:vAlign w:val="bottom"/>
          </w:tcPr>
          <w:p>
            <w:pPr>
              <w:spacing w:after="0"/>
              <w:rPr>
                <w:sz w:val="14"/>
                <w:szCs w:val="14"/>
                <w:color w:val="auto"/>
              </w:rPr>
            </w:pPr>
          </w:p>
        </w:tc>
        <w:tc>
          <w:tcPr>
            <w:tcW w:w="136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4,938  </w:t>
            </w:r>
            <w:r>
              <w:rPr>
                <w:rFonts w:ascii="Times New Roman" w:cs="Times New Roman" w:eastAsia="Times New Roman" w:hAnsi="Times New Roman"/>
                <w:sz w:val="24"/>
                <w:szCs w:val="24"/>
                <w:color w:val="auto"/>
                <w:vertAlign w:val="superscript"/>
              </w:rPr>
              <w:t>(2)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1"/>
              </w:rPr>
              <w:t>(3</w:t>
            </w:r>
          </w:p>
        </w:tc>
        <w:tc>
          <w:tcPr>
            <w:tcW w:w="0" w:type="dxa"/>
            <w:vAlign w:val="bottom"/>
          </w:tcPr>
          <w:p>
            <w:pPr>
              <w:spacing w:after="0"/>
              <w:rPr>
                <w:sz w:val="1"/>
                <w:szCs w:val="1"/>
                <w:color w:val="auto"/>
              </w:rPr>
            </w:pPr>
          </w:p>
        </w:tc>
      </w:tr>
      <w:tr>
        <w:trPr>
          <w:trHeight w:val="280"/>
        </w:trPr>
        <w:tc>
          <w:tcPr>
            <w:tcW w:w="192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63"/>
        </w:trPr>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-679450</wp:posOffset>
            </wp:positionV>
            <wp:extent cx="6412230"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2230" cy="24003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-147955</wp:posOffset>
            </wp:positionV>
            <wp:extent cx="641223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660" w:space="240"/>
            <w:col w:w="6340"/>
          </w:cols>
          <w:pgMar w:left="320" w:top="360" w:right="339" w:bottom="1440" w:gutter="0" w:footer="0" w:header="0"/>
          <w:type w:val="continuous"/>
        </w:sectPr>
      </w:pPr>
    </w:p>
    <w:p>
      <w:pPr>
        <w:ind w:left="520" w:right="400" w:hanging="512"/>
        <w:spacing w:after="0" w:line="223"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the Company’s 2019 Equity Incentive Plan, the Company’s 2012 Equity Incentive Plan, as amended, and the Company’s Employee Stock Purchase Plan.</w:t>
      </w:r>
    </w:p>
    <w:p>
      <w:pPr>
        <w:spacing w:after="0" w:line="1" w:lineRule="exact"/>
        <w:rPr>
          <w:rFonts w:ascii="Times New Roman" w:cs="Times New Roman" w:eastAsia="Times New Roman" w:hAnsi="Times New Roman"/>
          <w:sz w:val="24"/>
          <w:szCs w:val="24"/>
          <w:color w:val="auto"/>
          <w:vertAlign w:val="superscript"/>
        </w:rPr>
      </w:pPr>
    </w:p>
    <w:p>
      <w:pPr>
        <w:ind w:left="520" w:right="680" w:hanging="512"/>
        <w:spacing w:after="0" w:line="214"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shares of the Company’s common stock issuable upon exercise of outstanding options issued under the Company’s 2019 Equity Incentive Plan and the Company’s Amended and Restated 2012 Equity Incentive Plan.</w:t>
      </w:r>
    </w:p>
    <w:p>
      <w:pPr>
        <w:spacing w:after="0" w:line="1" w:lineRule="exact"/>
        <w:rPr>
          <w:rFonts w:ascii="Times New Roman" w:cs="Times New Roman" w:eastAsia="Times New Roman" w:hAnsi="Times New Roman"/>
          <w:sz w:val="24"/>
          <w:szCs w:val="24"/>
          <w:color w:val="auto"/>
          <w:vertAlign w:val="superscript"/>
        </w:rPr>
      </w:pPr>
    </w:p>
    <w:p>
      <w:pPr>
        <w:ind w:left="520" w:right="800" w:hanging="512"/>
        <w:spacing w:after="0" w:line="214"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shares of the Company’s common stock reserved for future issuance under the Company’s 2019 Equity Incentive Plan and the Company’s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1714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5" w:name="page66"/>
    <w:bookmarkEnd w:id="6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2024 Proxy Statement, which will be filed within 120 days after September 30, 2023.</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in the 2024 Proxy Statement, which will be filed within 120 days after September 30,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6" w:name="page67"/>
    <w:bookmarkEnd w:id="66"/>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included under Part II, Item 8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STATEMENTS SCHEDULE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consolidated financial statements and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exhibits are listed below under Part IV, Item 15(b)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gridSpan w:val="20"/>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1"/>
                <w:szCs w:val="11"/>
                <w:color w:val="auto"/>
              </w:rPr>
            </w:pPr>
          </w:p>
        </w:tc>
        <w:tc>
          <w:tcPr>
            <w:tcW w:w="86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w w:val="99"/>
              </w:rPr>
            </w:pPr>
            <w:hyperlink r:id="rId107">
              <w:r>
                <w:rPr>
                  <w:rFonts w:ascii="Times New Roman" w:cs="Times New Roman" w:eastAsia="Times New Roman" w:hAnsi="Times New Roman"/>
                  <w:sz w:val="18"/>
                  <w:szCs w:val="18"/>
                  <w:color w:val="auto"/>
                  <w:w w:val="99"/>
                </w:rPr>
                <w:t>Restated Certificate of Incorporation of Enanta Pharmaceuticals, Inc.</w:t>
              </w:r>
            </w:hyperlink>
          </w:p>
        </w:tc>
        <w:tc>
          <w:tcPr>
            <w:tcW w:w="54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Amended and Restated Bylaws of Enanta Pharmaceuticals, Inc. (as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amended and restated in August 2015).</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Specimen certificate evidencing shares of common stock.</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0">
              <w:r>
                <w:rPr>
                  <w:rFonts w:ascii="Times New Roman" w:cs="Times New Roman" w:eastAsia="Times New Roman" w:hAnsi="Times New Roman"/>
                  <w:sz w:val="18"/>
                  <w:szCs w:val="18"/>
                  <w:color w:val="auto"/>
                </w:rPr>
                <w:t>Specimen certificate evidencing shares of Series 1 Non-Convertible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12/11/2017</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rPr>
            </w:pPr>
            <w:hyperlink r:id="rId110">
              <w:r>
                <w:rPr>
                  <w:rFonts w:ascii="Times New Roman" w:cs="Times New Roman" w:eastAsia="Times New Roman" w:hAnsi="Times New Roman"/>
                  <w:sz w:val="18"/>
                  <w:szCs w:val="18"/>
                  <w:color w:val="auto"/>
                </w:rPr>
                <w:t>Preferred Stock</w:t>
              </w:r>
            </w:hyperlink>
          </w:p>
        </w:tc>
        <w:tc>
          <w:tcPr>
            <w:tcW w:w="434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Description of securities registered pursuant to Section 12 of the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11/27/2019</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111">
              <w:r>
                <w:rPr>
                  <w:rFonts w:ascii="Times New Roman" w:cs="Times New Roman" w:eastAsia="Times New Roman" w:hAnsi="Times New Roman"/>
                  <w:sz w:val="18"/>
                  <w:szCs w:val="18"/>
                  <w:color w:val="auto"/>
                  <w:w w:val="99"/>
                </w:rPr>
                <w:t>Securities Exchange Act of 1934</w:t>
              </w:r>
            </w:hyperlink>
          </w:p>
        </w:tc>
        <w:tc>
          <w:tcPr>
            <w:tcW w:w="314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Form of Indemnification Agreement for directors and officers.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Amended and Restated Employment Agreement between the Company</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and Jay R. Luly, Ph.D., dated as of March 4, 2013.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Form of Amended and Restated Employment Agreement for Executive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03/05/2013</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3460" w:type="dxa"/>
            <w:vAlign w:val="bottom"/>
            <w:tcBorders>
              <w:top w:val="single" w:sz="8" w:color="0000EE"/>
              <w:bottom w:val="single" w:sz="8" w:color="0000EE"/>
            </w:tcBorders>
            <w:gridSpan w:val="5"/>
          </w:tcPr>
          <w:p>
            <w:pPr>
              <w:spacing w:after="0" w:line="223" w:lineRule="exact"/>
              <w:rPr>
                <w:rFonts w:ascii="Times New Roman" w:cs="Times New Roman" w:eastAsia="Times New Roman" w:hAnsi="Times New Roman"/>
                <w:sz w:val="18"/>
                <w:szCs w:val="18"/>
                <w:color w:val="auto"/>
                <w:w w:val="99"/>
              </w:rPr>
            </w:pPr>
            <w:hyperlink r:id="rId114">
              <w:r>
                <w:rPr>
                  <w:rFonts w:ascii="Times New Roman" w:cs="Times New Roman" w:eastAsia="Times New Roman" w:hAnsi="Times New Roman"/>
                  <w:sz w:val="18"/>
                  <w:szCs w:val="18"/>
                  <w:color w:val="auto"/>
                  <w:w w:val="99"/>
                </w:rPr>
                <w:t>Officers other than t</w:t>
              </w:r>
              <w:r>
                <w:rPr>
                  <w:rFonts w:ascii="Times New Roman" w:cs="Times New Roman" w:eastAsia="Times New Roman" w:hAnsi="Times New Roman"/>
                  <w:sz w:val="21"/>
                  <w:szCs w:val="21"/>
                  <w:color w:val="auto"/>
                  <w:w w:val="99"/>
                </w:rPr>
                <w:t>he</w:t>
              </w:r>
              <w:r>
                <w:rPr>
                  <w:rFonts w:ascii="Times New Roman" w:cs="Times New Roman" w:eastAsia="Times New Roman" w:hAnsi="Times New Roman"/>
                  <w:sz w:val="18"/>
                  <w:szCs w:val="18"/>
                  <w:color w:val="auto"/>
                  <w:w w:val="99"/>
                </w:rPr>
                <w:t xml:space="preserve"> Chief Executive Officer.</w:t>
              </w:r>
            </w:hyperlink>
          </w:p>
        </w:tc>
        <w:tc>
          <w:tcPr>
            <w:tcW w:w="1720" w:type="dxa"/>
            <w:vAlign w:val="bottom"/>
            <w:tcBorders>
              <w:top w:val="single" w:sz="8" w:color="0000EE"/>
            </w:tcBorders>
            <w:gridSpan w:val="13"/>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Collaborative Development and License Agreement between the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02/05/2021</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Company and Abbott Laboratories, dated November 27, 2006; as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amended by a First Amendment to Collaborative Development and</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License Agreement dated January 27, 2009 and a Second Amendment to</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Collaborative Development and License Agreement dated December 9,</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2009 (assigned to AbbVie Inc. as of January 1, 2013).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Third Amendment to Collaborative Development and License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02/05/2021</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between the Company and AbbVie dated October 20, 2014.</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Fourth Amendment to Collaborative Development and License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05/08/2015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w w:val="99"/>
              </w:rPr>
            </w:pPr>
            <w:hyperlink r:id="rId117">
              <w:r>
                <w:rPr>
                  <w:rFonts w:ascii="Times New Roman" w:cs="Times New Roman" w:eastAsia="Times New Roman" w:hAnsi="Times New Roman"/>
                  <w:sz w:val="18"/>
                  <w:szCs w:val="18"/>
                  <w:color w:val="auto"/>
                  <w:w w:val="99"/>
                </w:rPr>
                <w:t>Agreement between the Company and AbbVie dated as of March 3, 2015.</w:t>
              </w:r>
            </w:hyperlink>
          </w:p>
        </w:tc>
        <w:tc>
          <w:tcPr>
            <w:tcW w:w="1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Lease Agreement between Company and ARE-500 Arsenal Street LLC,</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11/06/2012</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333-184779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720" w:type="dxa"/>
            <w:vAlign w:val="bottom"/>
            <w:gridSpan w:val="1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dated as of April 15, 2011.</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60" w:type="dxa"/>
            <w:vAlign w:val="bottom"/>
            <w:gridSpan w:val="1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5520" w:type="dxa"/>
            <w:vAlign w:val="bottom"/>
            <w:gridSpan w:val="24"/>
          </w:tcPr>
          <w:p>
            <w:pPr>
              <w:spacing w:after="0"/>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First Amendment to Lease Agreement made as of March 5, 2015 between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05/08/2015</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1860" w:type="dxa"/>
            <w:vAlign w:val="bottom"/>
            <w:gridSpan w:val="1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4"/>
          </w:tcPr>
          <w:p>
            <w:pPr>
              <w:spacing w:after="0" w:line="196" w:lineRule="exact"/>
              <w:rPr>
                <w:rFonts w:ascii="Times New Roman" w:cs="Times New Roman" w:eastAsia="Times New Roman" w:hAnsi="Times New Roman"/>
                <w:sz w:val="18"/>
                <w:szCs w:val="18"/>
                <w:color w:val="auto"/>
              </w:rPr>
            </w:pPr>
            <w:hyperlink r:id="rId119">
              <w:r>
                <w:rPr>
                  <w:rFonts w:ascii="Times New Roman" w:cs="Times New Roman" w:eastAsia="Times New Roman" w:hAnsi="Times New Roman"/>
                  <w:sz w:val="18"/>
                  <w:szCs w:val="18"/>
                  <w:color w:val="auto"/>
                </w:rPr>
                <w:t>the Company and ARE-500 Arsenal Street LLC.</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500" w:type="dxa"/>
            <w:vAlign w:val="bottom"/>
            <w:tcBorders>
              <w:top w:val="single" w:sz="8" w:color="0000EE"/>
            </w:tcBorders>
            <w:gridSpan w:val="6"/>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360" w:type="dxa"/>
            <w:vAlign w:val="bottom"/>
            <w:gridSpan w:val="2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Royalty Purchase Agreement between Enanta Pharmaceuticals, Inc. and</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OCM Life Sciences Portfolio LP dated as of April 25, 2023</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360" w:type="dxa"/>
            <w:vAlign w:val="bottom"/>
            <w:gridSpan w:val="2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Second Amendment to Lease made as of May 12, 2022 by and between</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ARE-500 Arsenal Street, LLC and the Company.</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Lease Agreement between Company and Athena Arsenal, LLC, dated as</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8"/>
              </w:rPr>
            </w:pPr>
            <w:hyperlink r:id="rId124">
              <w:r>
                <w:rPr>
                  <w:rFonts w:ascii="Times New Roman" w:cs="Times New Roman" w:eastAsia="Times New Roman" w:hAnsi="Times New Roman"/>
                  <w:sz w:val="18"/>
                  <w:szCs w:val="18"/>
                  <w:color w:val="auto"/>
                  <w:w w:val="98"/>
                </w:rPr>
                <w:t>of September 27, 2018.</w:t>
              </w:r>
            </w:hyperlink>
          </w:p>
        </w:tc>
        <w:tc>
          <w:tcPr>
            <w:tcW w:w="3680" w:type="dxa"/>
            <w:vAlign w:val="bottom"/>
            <w:gridSpan w:val="18"/>
          </w:tcPr>
          <w:p>
            <w:pPr>
              <w:spacing w:after="0"/>
              <w:rPr>
                <w:sz w:val="17"/>
                <w:szCs w:val="17"/>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360" w:type="dxa"/>
            <w:vAlign w:val="bottom"/>
            <w:gridSpan w:val="2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Amendment to Lease Agreement made as of May 12, 2022 by and</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between ARE-MA Region No. 75, LLC and the Company.</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360" w:type="dxa"/>
            <w:vAlign w:val="bottom"/>
            <w:gridSpan w:val="2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Lease Agreement made as of May 12, 2022 by and between ARE-MA</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Region No. 75, LLC and the Company</w:t>
              </w:r>
              <w:r>
                <w:rPr>
                  <w:rFonts w:ascii="Times New Roman" w:cs="Times New Roman" w:eastAsia="Times New Roman" w:hAnsi="Times New Roman"/>
                  <w:sz w:val="18"/>
                  <w:szCs w:val="18"/>
                  <w:color w:val="000000"/>
                </w:rPr>
                <w:t>.</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3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w w:val="99"/>
              </w:rPr>
            </w:pPr>
            <w:hyperlink r:id="rId127">
              <w:r>
                <w:rPr>
                  <w:rFonts w:ascii="Times New Roman" w:cs="Times New Roman" w:eastAsia="Times New Roman" w:hAnsi="Times New Roman"/>
                  <w:sz w:val="18"/>
                  <w:szCs w:val="18"/>
                  <w:color w:val="auto"/>
                  <w:w w:val="99"/>
                </w:rPr>
                <w:t>2012 Equity Incentive Plan (As adjusted to reflect the application of the 1-</w:t>
              </w:r>
            </w:hyperlink>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for-4.31 reverse stock split of the Company’s common stock effected on</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March 1, 2013).</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28">
              <w:r>
                <w:rPr>
                  <w:rFonts w:ascii="Times New Roman" w:cs="Times New Roman" w:eastAsia="Times New Roman" w:hAnsi="Times New Roman"/>
                  <w:sz w:val="18"/>
                  <w:szCs w:val="18"/>
                  <w:color w:val="auto"/>
                </w:rPr>
                <w:t>Form of Incentive Stock Option Agreement under 2012 Equity Incentive</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2"/>
              </w:rPr>
            </w:pPr>
            <w:hyperlink r:id="rId128">
              <w:r>
                <w:rPr>
                  <w:rFonts w:ascii="Times New Roman" w:cs="Times New Roman" w:eastAsia="Times New Roman" w:hAnsi="Times New Roman"/>
                  <w:sz w:val="18"/>
                  <w:szCs w:val="18"/>
                  <w:color w:val="auto"/>
                  <w:w w:val="92"/>
                </w:rPr>
                <w:t>Plan.</w:t>
              </w:r>
            </w:hyperlink>
          </w:p>
        </w:tc>
        <w:tc>
          <w:tcPr>
            <w:tcW w:w="5000" w:type="dxa"/>
            <w:vAlign w:val="bottom"/>
            <w:gridSpan w:val="23"/>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Form of Non-Statutory Stock Option Agreement under 2012 Equity</w:t>
              </w:r>
            </w:hyperlink>
          </w:p>
        </w:tc>
      </w:tr>
      <w:tr>
        <w:trPr>
          <w:trHeight w:val="20"/>
        </w:trPr>
        <w:tc>
          <w:tcPr>
            <w:tcW w:w="9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rPr>
            </w:pPr>
            <w:hyperlink r:id="rId129">
              <w:r>
                <w:rPr>
                  <w:rFonts w:ascii="Times New Roman" w:cs="Times New Roman" w:eastAsia="Times New Roman" w:hAnsi="Times New Roman"/>
                  <w:sz w:val="18"/>
                  <w:szCs w:val="18"/>
                  <w:color w:val="auto"/>
                </w:rPr>
                <w:t>Incentive Plan.</w:t>
              </w:r>
            </w:hyperlink>
          </w:p>
        </w:tc>
        <w:tc>
          <w:tcPr>
            <w:tcW w:w="4220" w:type="dxa"/>
            <w:vAlign w:val="bottom"/>
            <w:gridSpan w:val="21"/>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Form of Non-Statutory Stock Option Certificate for directors under 2012</w:t>
              </w:r>
            </w:hyperlink>
          </w:p>
        </w:tc>
      </w:tr>
      <w:tr>
        <w:trPr>
          <w:trHeight w:val="20"/>
        </w:trPr>
        <w:tc>
          <w:tcPr>
            <w:tcW w:w="9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30">
              <w:r>
                <w:rPr>
                  <w:rFonts w:ascii="Times New Roman" w:cs="Times New Roman" w:eastAsia="Times New Roman" w:hAnsi="Times New Roman"/>
                  <w:sz w:val="18"/>
                  <w:szCs w:val="18"/>
                  <w:color w:val="auto"/>
                  <w:w w:val="98"/>
                </w:rPr>
                <w:t>Equity Incentive Plan.</w:t>
              </w:r>
            </w:hyperlink>
          </w:p>
        </w:tc>
        <w:tc>
          <w:tcPr>
            <w:tcW w:w="3760" w:type="dxa"/>
            <w:vAlign w:val="bottom"/>
            <w:gridSpan w:val="19"/>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Form of Performance Share Unit Certificate under 2012 Equity Incentive</w:t>
              </w:r>
            </w:hyperlink>
          </w:p>
        </w:tc>
      </w:tr>
      <w:tr>
        <w:trPr>
          <w:trHeight w:val="20"/>
        </w:trPr>
        <w:tc>
          <w:tcPr>
            <w:tcW w:w="9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2"/>
              </w:rPr>
            </w:pPr>
            <w:hyperlink r:id="rId131">
              <w:r>
                <w:rPr>
                  <w:rFonts w:ascii="Times New Roman" w:cs="Times New Roman" w:eastAsia="Times New Roman" w:hAnsi="Times New Roman"/>
                  <w:sz w:val="18"/>
                  <w:szCs w:val="18"/>
                  <w:color w:val="auto"/>
                  <w:w w:val="92"/>
                </w:rPr>
                <w:t>Plan.</w:t>
              </w:r>
            </w:hyperlink>
          </w:p>
        </w:tc>
        <w:tc>
          <w:tcPr>
            <w:tcW w:w="5000" w:type="dxa"/>
            <w:vAlign w:val="bottom"/>
            <w:gridSpan w:val="23"/>
          </w:tcPr>
          <w:p>
            <w:pPr>
              <w:spacing w:after="0"/>
              <w:rPr>
                <w:sz w:val="17"/>
                <w:szCs w:val="17"/>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2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Form of Relative Total Stockholder Return Unit Certificate under 2012</w:t>
              </w:r>
            </w:hyperlink>
          </w:p>
        </w:tc>
        <w:tc>
          <w:tcPr>
            <w:tcW w:w="16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32">
              <w:r>
                <w:rPr>
                  <w:rFonts w:ascii="Times New Roman" w:cs="Times New Roman" w:eastAsia="Times New Roman" w:hAnsi="Times New Roman"/>
                  <w:sz w:val="18"/>
                  <w:szCs w:val="18"/>
                  <w:color w:val="auto"/>
                  <w:w w:val="98"/>
                </w:rPr>
                <w:t>Equity Incentive Plan.</w:t>
              </w:r>
            </w:hyperlink>
          </w:p>
        </w:tc>
        <w:tc>
          <w:tcPr>
            <w:tcW w:w="3760" w:type="dxa"/>
            <w:vAlign w:val="bottom"/>
            <w:gridSpan w:val="19"/>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280" w:type="dxa"/>
            <w:vAlign w:val="bottom"/>
            <w:tcBorders>
              <w:bottom w:val="single" w:sz="8" w:color="0000EE"/>
            </w:tcBorders>
            <w:gridSpan w:val="8"/>
          </w:tcPr>
          <w:p>
            <w:pPr>
              <w:spacing w:after="0"/>
              <w:rPr>
                <w:rFonts w:ascii="Times New Roman" w:cs="Times New Roman" w:eastAsia="Times New Roman" w:hAnsi="Times New Roman"/>
                <w:sz w:val="18"/>
                <w:szCs w:val="18"/>
                <w:color w:val="auto"/>
                <w:w w:val="98"/>
              </w:rPr>
            </w:pPr>
            <w:hyperlink r:id="rId133">
              <w:r>
                <w:rPr>
                  <w:rFonts w:ascii="Times New Roman" w:cs="Times New Roman" w:eastAsia="Times New Roman" w:hAnsi="Times New Roman"/>
                  <w:sz w:val="18"/>
                  <w:szCs w:val="18"/>
                  <w:color w:val="auto"/>
                  <w:w w:val="98"/>
                </w:rPr>
                <w:t>Employee Stock Purchase Plan.</w:t>
              </w:r>
            </w:hyperlink>
          </w:p>
        </w:tc>
        <w:tc>
          <w:tcPr>
            <w:tcW w:w="3080" w:type="dxa"/>
            <w:vAlign w:val="bottom"/>
            <w:gridSpan w:val="16"/>
          </w:tcPr>
          <w:p>
            <w:pPr>
              <w:spacing w:after="0"/>
              <w:rPr>
                <w:sz w:val="24"/>
                <w:szCs w:val="24"/>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360" w:type="dxa"/>
            <w:vAlign w:val="bottom"/>
            <w:gridSpan w:val="2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2019 Equity Incentive Plan (As amended March 2023)</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Form of Notice of Grant of Non-Statutory Stock Option under 2019</w:t>
              </w:r>
            </w:hyperlink>
          </w:p>
        </w:tc>
      </w:tr>
      <w:tr>
        <w:trPr>
          <w:trHeight w:val="20"/>
        </w:trPr>
        <w:tc>
          <w:tcPr>
            <w:tcW w:w="9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35">
              <w:r>
                <w:rPr>
                  <w:rFonts w:ascii="Times New Roman" w:cs="Times New Roman" w:eastAsia="Times New Roman" w:hAnsi="Times New Roman"/>
                  <w:sz w:val="18"/>
                  <w:szCs w:val="18"/>
                  <w:color w:val="auto"/>
                  <w:w w:val="98"/>
                </w:rPr>
                <w:t>Equity Incentive Plan.</w:t>
              </w:r>
            </w:hyperlink>
          </w:p>
        </w:tc>
        <w:tc>
          <w:tcPr>
            <w:tcW w:w="3760" w:type="dxa"/>
            <w:vAlign w:val="bottom"/>
            <w:gridSpan w:val="19"/>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Form of Notice of Grant of Non-Statutory Stock Option for Directors</w:t>
              </w:r>
            </w:hyperlink>
          </w:p>
        </w:tc>
      </w:tr>
      <w:tr>
        <w:trPr>
          <w:trHeight w:val="20"/>
        </w:trPr>
        <w:tc>
          <w:tcPr>
            <w:tcW w:w="9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8"/>
              </w:rPr>
            </w:pPr>
            <w:hyperlink r:id="rId136">
              <w:r>
                <w:rPr>
                  <w:rFonts w:ascii="Times New Roman" w:cs="Times New Roman" w:eastAsia="Times New Roman" w:hAnsi="Times New Roman"/>
                  <w:sz w:val="18"/>
                  <w:szCs w:val="18"/>
                  <w:color w:val="auto"/>
                  <w:w w:val="98"/>
                </w:rPr>
                <w:t>under 2019 Equity Incentive Plan.</w:t>
              </w:r>
            </w:hyperlink>
          </w:p>
        </w:tc>
        <w:tc>
          <w:tcPr>
            <w:tcW w:w="2900" w:type="dxa"/>
            <w:vAlign w:val="bottom"/>
            <w:gridSpan w:val="15"/>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20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Form of Relative Total Stockholder Return Unit Certificate under 2019</w:t>
              </w:r>
            </w:hyperlink>
          </w:p>
        </w:tc>
        <w:tc>
          <w:tcPr>
            <w:tcW w:w="16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37">
              <w:r>
                <w:rPr>
                  <w:rFonts w:ascii="Times New Roman" w:cs="Times New Roman" w:eastAsia="Times New Roman" w:hAnsi="Times New Roman"/>
                  <w:sz w:val="18"/>
                  <w:szCs w:val="18"/>
                  <w:color w:val="auto"/>
                  <w:w w:val="98"/>
                </w:rPr>
                <w:t>Equity Incentive Plan.</w:t>
              </w:r>
            </w:hyperlink>
          </w:p>
        </w:tc>
        <w:tc>
          <w:tcPr>
            <w:tcW w:w="3760" w:type="dxa"/>
            <w:vAlign w:val="bottom"/>
            <w:gridSpan w:val="19"/>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Form of Performance Share Unit Certificate under 2019 Equity Incentive</w:t>
              </w:r>
            </w:hyperlink>
          </w:p>
        </w:tc>
      </w:tr>
      <w:tr>
        <w:trPr>
          <w:trHeight w:val="20"/>
        </w:trPr>
        <w:tc>
          <w:tcPr>
            <w:tcW w:w="9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2"/>
              </w:rPr>
            </w:pPr>
            <w:hyperlink r:id="rId138">
              <w:r>
                <w:rPr>
                  <w:rFonts w:ascii="Times New Roman" w:cs="Times New Roman" w:eastAsia="Times New Roman" w:hAnsi="Times New Roman"/>
                  <w:sz w:val="18"/>
                  <w:szCs w:val="18"/>
                  <w:color w:val="auto"/>
                  <w:w w:val="92"/>
                </w:rPr>
                <w:t>Plan.</w:t>
              </w:r>
            </w:hyperlink>
          </w:p>
        </w:tc>
        <w:tc>
          <w:tcPr>
            <w:tcW w:w="5000" w:type="dxa"/>
            <w:vAlign w:val="bottom"/>
            <w:gridSpan w:val="23"/>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5360" w:type="dxa"/>
            <w:vAlign w:val="bottom"/>
            <w:gridSpan w:val="24"/>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Form of Notice of Restricted Stock Unit Award under 2019 Equity</w:t>
              </w:r>
            </w:hyperlink>
          </w:p>
        </w:tc>
      </w:tr>
      <w:tr>
        <w:trPr>
          <w:trHeight w:val="20"/>
        </w:trPr>
        <w:tc>
          <w:tcPr>
            <w:tcW w:w="9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Incentive Plan.</w:t>
              </w:r>
            </w:hyperlink>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3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w:t>
            </w:r>
          </w:p>
        </w:tc>
      </w:tr>
      <w:tr>
        <w:trPr>
          <w:trHeight w:val="20"/>
        </w:trPr>
        <w:tc>
          <w:tcPr>
            <w:tcW w:w="9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Accounting Firm.</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13a-14(a) or</w:t>
            </w:r>
          </w:p>
        </w:tc>
      </w:tr>
      <w:tr>
        <w:trPr>
          <w:trHeight w:val="20"/>
        </w:trPr>
        <w:tc>
          <w:tcPr>
            <w:tcW w:w="940" w:type="dxa"/>
            <w:vAlign w:val="bottom"/>
          </w:tcPr>
          <w:p>
            <w:pPr>
              <w:spacing w:after="0" w:line="20" w:lineRule="exact"/>
              <w:rPr>
                <w:sz w:val="1"/>
                <w:szCs w:val="1"/>
                <w:color w:val="auto"/>
              </w:rPr>
            </w:pPr>
          </w:p>
        </w:tc>
        <w:tc>
          <w:tcPr>
            <w:tcW w:w="3280" w:type="dxa"/>
            <w:vAlign w:val="bottom"/>
            <w:gridSpan w:val="11"/>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2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15d-14(a) of the Securities Exchange Act of 1934.</w:t>
            </w:r>
          </w:p>
        </w:tc>
        <w:tc>
          <w:tcPr>
            <w:tcW w:w="1740" w:type="dxa"/>
            <w:vAlign w:val="bottom"/>
            <w:gridSpan w:val="11"/>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Rule 13a-14(a) or 15d-</w:t>
            </w:r>
          </w:p>
        </w:tc>
      </w:tr>
      <w:tr>
        <w:trPr>
          <w:trHeight w:val="196"/>
        </w:trPr>
        <w:tc>
          <w:tcPr>
            <w:tcW w:w="940" w:type="dxa"/>
            <w:vAlign w:val="bottom"/>
          </w:tcPr>
          <w:p>
            <w:pPr>
              <w:spacing w:after="0"/>
              <w:rPr>
                <w:sz w:val="17"/>
                <w:szCs w:val="17"/>
                <w:color w:val="auto"/>
              </w:rPr>
            </w:pPr>
          </w:p>
        </w:tc>
        <w:tc>
          <w:tcPr>
            <w:tcW w:w="5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14(a) of the Securities Exchange Act of 1934.</w:t>
            </w:r>
          </w:p>
        </w:tc>
      </w:tr>
      <w:tr>
        <w:trPr>
          <w:trHeight w:val="614"/>
        </w:trPr>
        <w:tc>
          <w:tcPr>
            <w:tcW w:w="940" w:type="dxa"/>
            <w:vAlign w:val="bottom"/>
          </w:tcPr>
          <w:p>
            <w:pPr>
              <w:spacing w:after="0"/>
              <w:rPr>
                <w:sz w:val="24"/>
                <w:szCs w:val="24"/>
                <w:color w:val="auto"/>
              </w:rPr>
            </w:pPr>
          </w:p>
        </w:tc>
        <w:tc>
          <w:tcPr>
            <w:tcW w:w="3280" w:type="dxa"/>
            <w:vAlign w:val="bottom"/>
            <w:tcBorders>
              <w:top w:val="single" w:sz="8" w:color="0000EE"/>
            </w:tcBorders>
            <w:gridSpan w:val="11"/>
          </w:tcPr>
          <w:p>
            <w:pPr>
              <w:spacing w:after="0"/>
              <w:rPr>
                <w:sz w:val="24"/>
                <w:szCs w:val="24"/>
                <w:color w:val="auto"/>
              </w:rPr>
            </w:pPr>
          </w:p>
        </w:tc>
        <w:tc>
          <w:tcPr>
            <w:tcW w:w="15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04/27/2023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05/17/2022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11/29/2018</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05/17/2022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702"/>
        </w:trPr>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05/17/2022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702"/>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10-K/A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01/06/2017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823"/>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12/11/2017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12/11/2017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02/05/2013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391"/>
        </w:trPr>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03/07/2023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392"/>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7"/>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05/10/2019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08"/>
        </w:trPr>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11/25/2020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001-35839</w:t>
            </w: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300" w:space="200"/>
            <w:col w:w="4300"/>
          </w:cols>
          <w:pgMar w:left="440" w:top="513" w:right="65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07"/>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5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 Officer</w:t>
            </w:r>
          </w:p>
        </w:tc>
        <w:tc>
          <w:tcPr>
            <w:tcW w:w="160" w:type="dxa"/>
            <w:vAlign w:val="bottom"/>
          </w:tcPr>
          <w:p>
            <w:pPr>
              <w:spacing w:after="0"/>
              <w:rPr>
                <w:sz w:val="17"/>
                <w:szCs w:val="17"/>
                <w:color w:val="auto"/>
              </w:rPr>
            </w:pPr>
          </w:p>
        </w:tc>
        <w:tc>
          <w:tcPr>
            <w:tcW w:w="450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20" w:type="dxa"/>
            <w:vAlign w:val="bottom"/>
          </w:tcPr>
          <w:p>
            <w:pPr>
              <w:spacing w:after="0"/>
              <w:rPr>
                <w:sz w:val="17"/>
                <w:szCs w:val="17"/>
                <w:color w:val="auto"/>
              </w:rPr>
            </w:pPr>
          </w:p>
        </w:tc>
        <w:tc>
          <w:tcPr>
            <w:tcW w:w="5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pursuant to 18 U.S.C. Section 1350, as adopted pursuant to Section 906 of</w:t>
            </w:r>
          </w:p>
        </w:tc>
        <w:tc>
          <w:tcPr>
            <w:tcW w:w="45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the Sarbanes-Oxley Act of 2002.</w:t>
            </w:r>
          </w:p>
        </w:tc>
        <w:tc>
          <w:tcPr>
            <w:tcW w:w="3000" w:type="dxa"/>
            <w:vAlign w:val="bottom"/>
            <w:gridSpan w:val="2"/>
          </w:tcPr>
          <w:p>
            <w:pPr>
              <w:spacing w:after="0"/>
              <w:rPr>
                <w:sz w:val="17"/>
                <w:szCs w:val="17"/>
                <w:color w:val="auto"/>
              </w:rPr>
            </w:pPr>
          </w:p>
        </w:tc>
        <w:tc>
          <w:tcPr>
            <w:tcW w:w="4500" w:type="dxa"/>
            <w:vAlign w:val="bottom"/>
          </w:tcPr>
          <w:p>
            <w:pPr>
              <w:spacing w:after="0"/>
              <w:rPr>
                <w:sz w:val="17"/>
                <w:szCs w:val="17"/>
                <w:color w:val="auto"/>
              </w:rPr>
            </w:pPr>
          </w:p>
        </w:tc>
      </w:tr>
      <w:tr>
        <w:trPr>
          <w:trHeight w:val="39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4500" w:type="dxa"/>
            <w:vAlign w:val="bottom"/>
          </w:tcPr>
          <w:p>
            <w:pPr>
              <w:ind w:left="43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c>
          <w:tcPr>
            <w:tcW w:w="45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4500" w:type="dxa"/>
            <w:vAlign w:val="bottom"/>
          </w:tcPr>
          <w:p>
            <w:pPr>
              <w:spacing w:after="0"/>
              <w:rPr>
                <w:sz w:val="20"/>
                <w:szCs w:val="20"/>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500" w:type="dxa"/>
            <w:vAlign w:val="bottom"/>
          </w:tcPr>
          <w:p>
            <w:pPr>
              <w:spacing w:after="0"/>
              <w:rPr>
                <w:sz w:val="24"/>
                <w:szCs w:val="24"/>
                <w:color w:val="auto"/>
              </w:rPr>
            </w:pP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500" w:type="dxa"/>
            <w:vAlign w:val="bottom"/>
          </w:tcPr>
          <w:p>
            <w:pPr>
              <w:spacing w:after="0"/>
              <w:rPr>
                <w:sz w:val="24"/>
                <w:szCs w:val="24"/>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500" w:type="dxa"/>
            <w:vAlign w:val="bottom"/>
          </w:tcPr>
          <w:p>
            <w:pPr>
              <w:spacing w:after="0"/>
              <w:rPr>
                <w:sz w:val="24"/>
                <w:szCs w:val="24"/>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500" w:type="dxa"/>
            <w:vAlign w:val="bottom"/>
          </w:tcPr>
          <w:p>
            <w:pPr>
              <w:spacing w:after="0"/>
              <w:rPr>
                <w:sz w:val="24"/>
                <w:szCs w:val="24"/>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500" w:type="dxa"/>
            <w:vAlign w:val="bottom"/>
          </w:tcPr>
          <w:p>
            <w:pPr>
              <w:spacing w:after="0"/>
              <w:rPr>
                <w:sz w:val="24"/>
                <w:szCs w:val="24"/>
                <w:color w:val="auto"/>
              </w:rPr>
            </w:pPr>
          </w:p>
        </w:tc>
      </w:tr>
    </w:tbl>
    <w:p>
      <w:pPr>
        <w:spacing w:after="0" w:line="157" w:lineRule="exact"/>
        <w:rPr>
          <w:sz w:val="20"/>
          <w:szCs w:val="20"/>
          <w:color w:val="auto"/>
        </w:rPr>
      </w:pPr>
    </w:p>
    <w:p>
      <w:pPr>
        <w:ind w:left="1040" w:right="5100" w:hanging="1019"/>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4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14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firstLine="8"/>
        <w:spacing w:after="0" w:line="250"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as to portions of this Exhibit. The confidential portions of this Exhibit have been omitted and are marked by asterisks. †† This Exhibit has been filed separately with the commission pursuant to an application for confidentiality treatment. The confidential portions of this</w:t>
      </w: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have been omitted and are marked by asterisks.</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5" w:right="4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 this 22nd day of November, 2023.</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83" w:lineRule="exact"/>
        <w:rPr>
          <w:sz w:val="20"/>
          <w:szCs w:val="20"/>
          <w:color w:val="auto"/>
        </w:rPr>
      </w:pPr>
    </w:p>
    <w:p>
      <w:pPr>
        <w:ind w:left="5660"/>
        <w:spacing w:after="0"/>
        <w:tabs>
          <w:tab w:leader="none" w:pos="7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Jay R. Luly, Ph.D.</w:t>
      </w:r>
    </w:p>
    <w:p>
      <w:pPr>
        <w:spacing w:after="0" w:line="3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in the capacities and on the dates indicated.</w:t>
      </w:r>
    </w:p>
    <w:p>
      <w:pPr>
        <w:ind w:left="2260"/>
        <w:spacing w:after="0"/>
        <w:tabs>
          <w:tab w:leader="none" w:pos="6920" w:val="left"/>
          <w:tab w:leader="none" w:pos="10000" w:val="left"/>
        </w:tabs>
        <w:rPr>
          <w:sz w:val="20"/>
          <w:szCs w:val="20"/>
          <w:color w:val="auto"/>
        </w:rPr>
      </w:pPr>
      <w:r>
        <w:rPr>
          <w:rFonts w:ascii="Times New Roman" w:cs="Times New Roman" w:eastAsia="Times New Roman" w:hAnsi="Times New Roman"/>
          <w:sz w:val="14"/>
          <w:szCs w:val="14"/>
          <w:u w:val="single" w:color="auto"/>
          <w:color w:val="auto"/>
        </w:rPr>
        <w:t>Signature</w:t>
      </w:r>
      <w:r>
        <w:rPr>
          <w:sz w:val="20"/>
          <w:szCs w:val="20"/>
          <w:color w:val="auto"/>
        </w:rPr>
        <w:tab/>
      </w:r>
      <w:r>
        <w:rPr>
          <w:rFonts w:ascii="Times New Roman" w:cs="Times New Roman" w:eastAsia="Times New Roman" w:hAnsi="Times New Roman"/>
          <w:sz w:val="14"/>
          <w:szCs w:val="14"/>
          <w:u w:val="single" w:color="auto"/>
          <w:color w:val="auto"/>
        </w:rPr>
        <w:t>Title</w:t>
      </w:r>
      <w:r>
        <w:rPr>
          <w:sz w:val="20"/>
          <w:szCs w:val="20"/>
          <w:color w:val="auto"/>
        </w:rPr>
        <w:tab/>
      </w:r>
      <w:r>
        <w:rPr>
          <w:rFonts w:ascii="Times New Roman" w:cs="Times New Roman" w:eastAsia="Times New Roman" w:hAnsi="Times New Roman"/>
          <w:sz w:val="14"/>
          <w:szCs w:val="14"/>
          <w:u w:val="single" w:color="auto"/>
          <w:color w:val="auto"/>
        </w:rPr>
        <w:t>Date</w:t>
      </w:r>
    </w:p>
    <w:p>
      <w:pPr>
        <w:sectPr>
          <w:pgSz w:w="11900" w:h="16838" w:orient="portrait"/>
          <w:cols w:equalWidth="0" w:num="1">
            <w:col w:w="11200"/>
          </w:cols>
          <w:pgMar w:left="320" w:top="360" w:right="379" w:bottom="1440" w:gutter="0" w:footer="0" w:header="0"/>
        </w:sectPr>
      </w:pPr>
    </w:p>
    <w:p>
      <w:pPr>
        <w:spacing w:after="0" w:line="158"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43"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0"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43" w:lineRule="exact"/>
        <w:rPr>
          <w:sz w:val="20"/>
          <w:szCs w:val="20"/>
          <w:color w:val="auto"/>
        </w:rPr>
      </w:pPr>
    </w:p>
    <w:p>
      <w:pPr>
        <w:jc w:val="right"/>
        <w:ind w:right="21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0" w:lineRule="exact"/>
        <w:rPr>
          <w:sz w:val="20"/>
          <w:szCs w:val="20"/>
          <w:color w:val="auto"/>
        </w:rPr>
      </w:pPr>
    </w:p>
    <w:p>
      <w:pPr>
        <w:spacing w:after="0" w:line="30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/s/ Bruce L.A. Carter,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Bruce L.A. Carter, Ph.D.</w:t>
      </w:r>
    </w:p>
    <w:p>
      <w:pPr>
        <w:spacing w:after="0" w:line="293" w:lineRule="exact"/>
        <w:rPr>
          <w:sz w:val="20"/>
          <w:szCs w:val="20"/>
          <w:color w:val="auto"/>
        </w:rPr>
      </w:pPr>
    </w:p>
    <w:p>
      <w:pPr>
        <w:jc w:val="right"/>
        <w:ind w:right="2140"/>
        <w:spacing w:after="0"/>
        <w:rPr>
          <w:sz w:val="20"/>
          <w:szCs w:val="20"/>
          <w:color w:val="auto"/>
        </w:rPr>
      </w:pPr>
      <w:r>
        <w:rPr>
          <w:rFonts w:ascii="Times New Roman" w:cs="Times New Roman" w:eastAsia="Times New Roman" w:hAnsi="Times New Roman"/>
          <w:sz w:val="18"/>
          <w:szCs w:val="18"/>
          <w:color w:val="auto"/>
        </w:rPr>
        <w:t>/s/ Mark G. Foletta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80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0"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color w:val="auto"/>
        </w:rPr>
        <w:t>Mark G. Foletta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22, 2023</w:t>
            </w:r>
          </w:p>
        </w:tc>
      </w:t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Officer and Director</w:t>
            </w:r>
          </w:p>
        </w:tc>
        <w:tc>
          <w:tcPr>
            <w:tcW w:w="2180" w:type="dxa"/>
            <w:vAlign w:val="bottom"/>
          </w:tcPr>
          <w:p>
            <w:pPr>
              <w:spacing w:after="0"/>
              <w:rPr>
                <w:sz w:val="18"/>
                <w:szCs w:val="18"/>
                <w:color w:val="auto"/>
              </w:rPr>
            </w:pPr>
          </w:p>
        </w:tc>
      </w:tr>
      <w:tr>
        <w:trPr>
          <w:trHeight w:val="234"/>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180" w:type="dxa"/>
            <w:vAlign w:val="bottom"/>
          </w:tcPr>
          <w:p>
            <w:pPr>
              <w:spacing w:after="0"/>
              <w:rPr>
                <w:sz w:val="20"/>
                <w:szCs w:val="20"/>
                <w:color w:val="auto"/>
              </w:rPr>
            </w:pPr>
          </w:p>
        </w:tc>
      </w:tr>
      <w:tr>
        <w:trPr>
          <w:trHeight w:val="387"/>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22, 2023</w:t>
            </w:r>
          </w:p>
        </w:tc>
      </w:tr>
      <w:tr>
        <w:trPr>
          <w:trHeight w:val="216"/>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(Principal Financial and</w:t>
            </w:r>
          </w:p>
        </w:tc>
        <w:tc>
          <w:tcPr>
            <w:tcW w:w="2180" w:type="dxa"/>
            <w:vAlign w:val="bottom"/>
          </w:tcPr>
          <w:p>
            <w:pPr>
              <w:spacing w:after="0"/>
              <w:rPr>
                <w:sz w:val="18"/>
                <w:szCs w:val="18"/>
                <w:color w:val="auto"/>
              </w:rPr>
            </w:pPr>
          </w:p>
        </w:tc>
      </w:tr>
      <w:tr>
        <w:trPr>
          <w:trHeight w:val="234"/>
        </w:trPr>
        <w:tc>
          <w:tcPr>
            <w:tcW w:w="29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180" w:type="dxa"/>
            <w:vAlign w:val="bottom"/>
          </w:tcPr>
          <w:p>
            <w:pPr>
              <w:spacing w:after="0"/>
              <w:rPr>
                <w:sz w:val="20"/>
                <w:szCs w:val="20"/>
                <w:color w:val="auto"/>
              </w:rPr>
            </w:pPr>
          </w:p>
        </w:tc>
      </w:tr>
      <w:tr>
        <w:trPr>
          <w:trHeight w:val="553"/>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22, 2023</w:t>
            </w:r>
          </w:p>
        </w:tc>
      </w:tr>
      <w:tr>
        <w:trPr>
          <w:trHeight w:val="797"/>
        </w:trPr>
        <w:tc>
          <w:tcPr>
            <w:tcW w:w="29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November 22, 2023</w:t>
            </w:r>
          </w:p>
        </w:tc>
      </w:tr>
    </w:tbl>
    <w:p>
      <w:pPr>
        <w:spacing w:after="0" w:line="454" w:lineRule="exact"/>
        <w:rPr>
          <w:sz w:val="20"/>
          <w:szCs w:val="20"/>
          <w:color w:val="auto"/>
        </w:rPr>
      </w:pPr>
    </w:p>
    <w:p>
      <w:pPr>
        <w:sectPr>
          <w:pgSz w:w="11900" w:h="16838" w:orient="portrait"/>
          <w:cols w:equalWidth="0" w:num="2">
            <w:col w:w="5200" w:space="720"/>
            <w:col w:w="5280"/>
          </w:cols>
          <w:pgMar w:left="320" w:top="360" w:right="37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5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/s/ Yujiro S. Hata</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22, 2023</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Yujiro S. Hata</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1"/>
        </w:trPr>
        <w:tc>
          <w:tcPr>
            <w:tcW w:w="50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/s/ Kristine Peterson</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22, 2023</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1"/>
        </w:trPr>
        <w:tc>
          <w:tcPr>
            <w:tcW w:w="5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/s/ Lesley Russell, MB. Ch.B., MRCP</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22, 2023</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Lesley Russell, MB. Ch.B., MRCP</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1"/>
        </w:trPr>
        <w:tc>
          <w:tcPr>
            <w:tcW w:w="5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/s/ Terry Vance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7"/>
              </w:rPr>
              <w:t>November 22, 2023</w:t>
            </w:r>
          </w:p>
        </w:tc>
      </w:tr>
      <w:tr>
        <w:trPr>
          <w:trHeight w:val="277"/>
        </w:trPr>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Terry Vance</w:t>
            </w:r>
          </w:p>
        </w:tc>
        <w:tc>
          <w:tcPr>
            <w:tcW w:w="34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554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auto"/>
                <w:w w:val="99"/>
              </w:rPr>
              <w:t>Report of Independent Registered Public Accounting Firm (PCAOB ID 238)</w:t>
            </w:r>
          </w:p>
        </w:tc>
        <w:tc>
          <w:tcPr>
            <w:tcW w:w="5040" w:type="dxa"/>
            <w:vAlign w:val="bottom"/>
          </w:tcPr>
          <w:p>
            <w:pPr>
              <w:spacing w:after="0"/>
              <w:rPr>
                <w:sz w:val="15"/>
                <w:szCs w:val="15"/>
                <w:color w:val="auto"/>
              </w:rPr>
            </w:pPr>
          </w:p>
        </w:tc>
        <w:tc>
          <w:tcPr>
            <w:tcW w:w="6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20" w:type="dxa"/>
            <w:vAlign w:val="bottom"/>
          </w:tcPr>
          <w:p>
            <w:pPr>
              <w:spacing w:after="0"/>
              <w:rPr>
                <w:sz w:val="19"/>
                <w:szCs w:val="19"/>
                <w:color w:val="auto"/>
              </w:rPr>
            </w:pPr>
          </w:p>
        </w:tc>
        <w:tc>
          <w:tcPr>
            <w:tcW w:w="2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8480" w:type="dxa"/>
            <w:vAlign w:val="bottom"/>
            <w:gridSpan w:val="7"/>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20" w:type="dxa"/>
            <w:vAlign w:val="bottom"/>
          </w:tcPr>
          <w:p>
            <w:pPr>
              <w:spacing w:after="0"/>
              <w:rPr>
                <w:sz w:val="19"/>
                <w:szCs w:val="19"/>
                <w:color w:val="auto"/>
              </w:rPr>
            </w:pPr>
          </w:p>
        </w:tc>
        <w:tc>
          <w:tcPr>
            <w:tcW w:w="2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7760" w:type="dxa"/>
            <w:vAlign w:val="bottom"/>
            <w:gridSpan w:val="6"/>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Loss</w:t>
            </w:r>
          </w:p>
        </w:tc>
        <w:tc>
          <w:tcPr>
            <w:tcW w:w="7040" w:type="dxa"/>
            <w:vAlign w:val="bottom"/>
            <w:gridSpan w:val="3"/>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20" w:type="dxa"/>
            <w:vAlign w:val="bottom"/>
          </w:tcPr>
          <w:p>
            <w:pPr>
              <w:spacing w:after="0"/>
              <w:rPr>
                <w:sz w:val="19"/>
                <w:szCs w:val="19"/>
                <w:color w:val="auto"/>
              </w:rPr>
            </w:pPr>
          </w:p>
        </w:tc>
        <w:tc>
          <w:tcPr>
            <w:tcW w:w="3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980" w:type="dxa"/>
            <w:vAlign w:val="bottom"/>
            <w:gridSpan w:val="2"/>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F-7</w:t>
            </w:r>
          </w:p>
        </w:tc>
      </w:tr>
      <w:tr>
        <w:trPr>
          <w:trHeight w:val="223"/>
        </w:trPr>
        <w:tc>
          <w:tcPr>
            <w:tcW w:w="20" w:type="dxa"/>
            <w:vAlign w:val="bottom"/>
          </w:tcPr>
          <w:p>
            <w:pPr>
              <w:spacing w:after="0"/>
              <w:rPr>
                <w:sz w:val="19"/>
                <w:szCs w:val="19"/>
                <w:color w:val="auto"/>
              </w:rPr>
            </w:pPr>
          </w:p>
        </w:tc>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7700" w:type="dxa"/>
            <w:vAlign w:val="bottom"/>
            <w:gridSpan w:val="5"/>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F-8</w:t>
            </w:r>
          </w:p>
        </w:tc>
      </w:tr>
      <w:tr>
        <w:trPr>
          <w:trHeight w:val="223"/>
        </w:trPr>
        <w:tc>
          <w:tcPr>
            <w:tcW w:w="20" w:type="dxa"/>
            <w:vAlign w:val="bottom"/>
          </w:tcPr>
          <w:p>
            <w:pPr>
              <w:spacing w:after="0"/>
              <w:rPr>
                <w:sz w:val="19"/>
                <w:szCs w:val="19"/>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F-9</w:t>
            </w:r>
          </w:p>
        </w:tc>
      </w:tr>
      <w:tr>
        <w:trPr>
          <w:trHeight w:val="696"/>
        </w:trPr>
        <w:tc>
          <w:tcPr>
            <w:tcW w:w="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F-1</w:t>
            </w: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Enanta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Enanta Pharmaceuticals, Inc. and its subsidiary (the “Company”) as of September 30, 2023 and 2022, and the related consolidated statements of operations, of comprehensive loss, of stockholders’ equity and of cash flows for each of the three years in the period ended September 30, 2023, including the related notes (collectively referred to as the “consolidated financial statements”). We also have audited the Company's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September 30, 2023 and 2022, and the results of its operations and its cash flows for each of the three years in the period ended September 30, 2023 in conformity with accounting principles generally accepted in the United States of America. Also in our opinion, the Company maintained, in all material respects,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and Pharmaceutical Drug Manufacturing Accruals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has entered into various contracts with third parties to perform research and development and pharmaceutical drug manufacturing. When billing terms under these contracts do not coincide with the timing of when the work is performed, management is required to make estimates of outstanding obligations to those third parties as of period end. Within accrued expenses and other current liabilities, total accrued research and development expenses and accrued pharmaceutical drug manufacturing amounted to $6.1 million and $3.1 million as of September 30, 2023, respectively. The accrual estimates are based on a number of factors, including management’s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research and development and pharmaceutical drug manufacturing accruals is a critical audit matter are the significant judgment by management in developing the accrual estimates, as the estimates are based on a number of factors, including management’s knowledge of the research and development programs and pharmaceutical drug manufacturing activities and associated timelines, invoicing to date, and the provisions in the contracts, which in turn led to a high degree of auditor judgment, subjectivity and effort in performing procedures and evaluating management’s significant assumptions related to progress towards completion of the research and development programs and pharmaceutical drug manufacturing activities.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accrued research and development expenses and accrued pharmaceutical drug manufacturing, including controls over the review of contracts and assessment of progress of the accrued research and development programs and accrued pharmaceutical drug manufacturing activities. These procedures also included, among others (i) testing management’s process for developing estimates based upon the progress of the research and development programs and pharmaceutical drug manufacturing activities; (ii) evaluating the appropriateness of the method used by management to develop the estimates; (iii) reading research and development and pharmaceutical drug manufacturing contracts on a test basis; (iv) evaluating the completeness and accuracy of data used by management; and (v) evaluating the reasonableness of significant assumptions related to the progress towards completion. Evaluating management’s assumptions related to progress towards completion of the research and development programs and pharmaceutical drug manufacturing activities included evaluating whether the assumptions were reasonable considering the associated timelines, invoicing to date and the provisions in the contracts.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73" w:name="page74"/>
    <w:bookmarkEnd w:id="7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205,238</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20,318</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Pr>
          <w:p>
            <w:pPr>
              <w:spacing w:after="0"/>
              <w:rPr>
                <w:sz w:val="20"/>
                <w:szCs w:val="20"/>
                <w:color w:val="auto"/>
              </w:rPr>
            </w:pPr>
          </w:p>
        </w:tc>
      </w:tr>
      <w:tr>
        <w:trPr>
          <w:trHeight w:val="247"/>
        </w:trPr>
        <w:tc>
          <w:tcPr>
            <w:tcW w:w="6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422,791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311,713</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29,285</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20"/>
                <w:szCs w:val="20"/>
                <w:color w:val="auto"/>
              </w:rPr>
            </w:pPr>
          </w:p>
        </w:tc>
      </w:tr>
      <w:tr>
        <w:trPr>
          <w:trHeight w:val="247"/>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375,410</w:t>
            </w:r>
          </w:p>
        </w:tc>
        <w:tc>
          <w:tcPr>
            <w:tcW w:w="10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1"/>
                <w:szCs w:val="21"/>
                <w:color w:val="auto"/>
              </w:rPr>
            </w:pPr>
          </w:p>
        </w:tc>
      </w:tr>
      <w:tr>
        <w:trPr>
          <w:trHeight w:val="237"/>
        </w:trPr>
        <w:tc>
          <w:tcPr>
            <w:tcW w:w="6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47"/>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54,076</w:t>
            </w:r>
          </w:p>
        </w:tc>
        <w:tc>
          <w:tcPr>
            <w:tcW w:w="100" w:type="dxa"/>
            <w:vAlign w:val="bottom"/>
          </w:tcPr>
          <w:p>
            <w:pPr>
              <w:spacing w:after="0"/>
              <w:rPr>
                <w:sz w:val="20"/>
                <w:szCs w:val="20"/>
                <w:color w:val="auto"/>
              </w:rPr>
            </w:pPr>
          </w:p>
        </w:tc>
      </w:tr>
      <w:tr>
        <w:trPr>
          <w:trHeight w:val="23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21,059 and 20,791 shares issued and outstanding at September 30, 2023</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8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and September 30, 2022, respectively</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398,029</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(1,174 )</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(3,724 )</w:t>
            </w:r>
          </w:p>
        </w:tc>
      </w:tr>
      <w:tr>
        <w:trPr>
          <w:trHeight w:val="243"/>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(206,995 )</w:t>
            </w:r>
          </w:p>
        </w:tc>
        <w:tc>
          <w:tcPr>
            <w:tcW w:w="18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(73,179 )</w:t>
            </w:r>
          </w:p>
        </w:tc>
      </w:tr>
      <w:tr>
        <w:trPr>
          <w:trHeight w:val="237"/>
        </w:trPr>
        <w:tc>
          <w:tcPr>
            <w:tcW w:w="68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375,410</w:t>
            </w:r>
          </w:p>
        </w:tc>
        <w:tc>
          <w:tcPr>
            <w:tcW w:w="10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-4551045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-4551045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-3616960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-3616960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-1722120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-1722120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0" w:right="899" w:bottom="1440" w:gutter="0" w:footer="0" w:header="0"/>
        </w:sectPr>
      </w:pPr>
    </w:p>
    <w:bookmarkStart w:id="74" w:name="page75"/>
    <w:bookmarkEnd w:id="74"/>
    <w:p>
      <w:pPr>
        <w:ind w:left="34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Royalty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4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163,524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164,522</w:t>
            </w:r>
          </w:p>
        </w:tc>
        <w:tc>
          <w:tcPr>
            <w:tcW w:w="24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174,111</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52,887</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100" w:type="dxa"/>
            <w:vAlign w:val="bottom"/>
          </w:tcPr>
          <w:p>
            <w:pPr>
              <w:spacing w:after="0"/>
              <w:rPr>
                <w:sz w:val="21"/>
                <w:szCs w:val="21"/>
                <w:color w:val="auto"/>
              </w:rPr>
            </w:pPr>
          </w:p>
        </w:tc>
      </w:tr>
      <w:tr>
        <w:trPr>
          <w:trHeight w:val="237"/>
        </w:trPr>
        <w:tc>
          <w:tcPr>
            <w:tcW w:w="5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210,004</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(137,207 )</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(123,844 )</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(109,573 )</w:t>
            </w:r>
          </w:p>
        </w:tc>
      </w:tr>
      <w:tr>
        <w:trPr>
          <w:trHeight w:val="237"/>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(5,148 )</w:t>
            </w: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Series 1 nonconvertible preferred stock</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r>
        <w:trPr>
          <w:trHeight w:val="237"/>
        </w:trPr>
        <w:tc>
          <w:tcPr>
            <w:tcW w:w="5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(130,995 )</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(122,188 )</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(107,579 )</w:t>
            </w:r>
          </w:p>
        </w:tc>
      </w:tr>
      <w:tr>
        <w:trPr>
          <w:trHeight w:val="247"/>
        </w:trPr>
        <w:tc>
          <w:tcPr>
            <w:tcW w:w="5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(2,821 )</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shd w:val="clear" w:color="auto" w:fill="CFF0FC"/>
          </w:tcPr>
          <w:p>
            <w:pPr>
              <w:spacing w:after="0"/>
              <w:rPr>
                <w:sz w:val="21"/>
                <w:szCs w:val="2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(133,816 )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(121,755 )</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(78,996 )</w:t>
            </w:r>
          </w:p>
        </w:tc>
      </w:tr>
      <w:tr>
        <w:trPr>
          <w:trHeight w:val="20"/>
        </w:trPr>
        <w:tc>
          <w:tcPr>
            <w:tcW w:w="5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(5.91 )</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(3.92 )</w:t>
            </w:r>
          </w:p>
        </w:tc>
      </w:tr>
      <w:tr>
        <w:trPr>
          <w:trHeight w:val="224"/>
        </w:trPr>
        <w:tc>
          <w:tcPr>
            <w:tcW w:w="5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100" w:type="dxa"/>
            <w:vAlign w:val="bottom"/>
            <w:tcBorders>
              <w:top w:val="single" w:sz="8" w:color="CFF0FC"/>
            </w:tcBorders>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-2451100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-2451100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-2451100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-1816735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-1816735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-1816735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-864870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-864870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-864870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-548005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-548005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-548005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-205105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-205105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-205105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0" w:right="899" w:bottom="1440" w:gutter="0" w:footer="0" w:header="0"/>
        </w:sectPr>
      </w:pPr>
    </w:p>
    <w:bookmarkStart w:id="75" w:name="page76"/>
    <w:bookmarkEnd w:id="75"/>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(133,816 )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(121,755 )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(78,996 )</w:t>
            </w: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(3,342 )</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(1,226 )</w:t>
            </w:r>
          </w:p>
        </w:tc>
      </w:tr>
      <w:tr>
        <w:trPr>
          <w:trHeight w:val="20"/>
        </w:trPr>
        <w:tc>
          <w:tcPr>
            <w:tcW w:w="6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(3,342 )</w:t>
            </w:r>
          </w:p>
        </w:tc>
        <w:tc>
          <w:tcPr>
            <w:tcW w:w="2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(1,226 )</w:t>
            </w:r>
          </w:p>
        </w:tc>
      </w:tr>
      <w:tr>
        <w:trPr>
          <w:trHeight w:val="20"/>
        </w:trPr>
        <w:tc>
          <w:tcPr>
            <w:tcW w:w="6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(131,266 )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(125,097 )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(80,222 )</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-350520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-350520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-350520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0" w:right="899" w:bottom="1440" w:gutter="0" w:footer="0" w:header="0"/>
        </w:sectPr>
      </w:pPr>
    </w:p>
    <w:bookmarkStart w:id="76" w:name="page77"/>
    <w:bookmarkEnd w:id="76"/>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08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208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w:t>
            </w: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9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1"/>
                <w:szCs w:val="11"/>
                <w:color w:val="auto"/>
              </w:rPr>
            </w:pPr>
          </w:p>
        </w:tc>
        <w:tc>
          <w:tcPr>
            <w:tcW w:w="7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20,077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326,963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127,572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(534 )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(534 )</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(1,226 )</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(1,226 )</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(78,996 )</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(78,996 )</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(382 )</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48,576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(1,229 )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(1,229 )</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(3,342 )</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(3,342 )</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(121,755 )</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(121,755 )</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(3,724 )</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(73,179 )</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(3,759 )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(3,757 )</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(133,816 )</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(133,816 )</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424,693</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(1,174 )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(206,995 )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-24765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0" w:right="899" w:bottom="1440" w:gutter="0" w:footer="0" w:header="0"/>
        </w:sectPr>
      </w:pPr>
    </w:p>
    <w:bookmarkStart w:id="77" w:name="page78"/>
    <w:bookmarkEnd w:id="77"/>
    <w:p>
      <w:pPr>
        <w:ind w:left="34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(133,816 )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(121,755 )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(78,996 )</w:t>
            </w:r>
          </w:p>
        </w:tc>
      </w:tr>
      <w:tr>
        <w:trPr>
          <w:trHeight w:val="23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20,991</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Non-cash interest expense associated with the sale of future royalties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Non-cash royalty revenue</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(10,318 )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(73 )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(846 )</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(4,028 )</w:t>
            </w:r>
          </w:p>
        </w:tc>
      </w:tr>
      <w:tr>
        <w:trPr>
          <w:trHeight w:val="194"/>
        </w:trPr>
        <w:tc>
          <w:tcPr>
            <w:tcW w:w="594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Amortization (accretion) of premiums (discounts) on marketable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9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securities</w:t>
            </w: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(2,856 )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00" w:type="dxa"/>
            <w:vAlign w:val="bottom"/>
          </w:tcPr>
          <w:p>
            <w:pPr>
              <w:spacing w:after="0"/>
              <w:rPr>
                <w:sz w:val="20"/>
                <w:szCs w:val="20"/>
                <w:color w:val="auto"/>
              </w:rPr>
            </w:pPr>
          </w:p>
        </w:tc>
      </w:tr>
      <w:tr>
        <w:trPr>
          <w:trHeight w:val="237"/>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 in fair value of Series 1 nonconvertible preferred stock</w:t>
            </w:r>
          </w:p>
        </w:tc>
        <w:tc>
          <w:tcPr>
            <w:tcW w:w="2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(83 )</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non-cash items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(97 )</w:t>
            </w:r>
          </w:p>
        </w:tc>
      </w:tr>
      <w:tr>
        <w:trPr>
          <w:trHeight w:val="226"/>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11,704</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(84 )</w:t>
            </w: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(533 )</w:t>
            </w: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Income tax receivable</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(2,286 )</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8,537</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(24,214 )</w:t>
            </w: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long-term assets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(107 )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(604 )</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(1,151 )</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(4,634 )</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3,774</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(2,558 )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(1,477 )</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8,350</w:t>
            </w: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(2,567 )</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(3,706 )</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(5,879 )</w:t>
            </w:r>
          </w:p>
        </w:tc>
      </w:tr>
      <w:tr>
        <w:trPr>
          <w:trHeight w:val="232"/>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(104 )</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(520 )</w:t>
            </w:r>
          </w:p>
        </w:tc>
      </w:tr>
      <w:tr>
        <w:trPr>
          <w:trHeight w:val="20"/>
        </w:trPr>
        <w:tc>
          <w:tcPr>
            <w:tcW w:w="5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0"/>
        </w:trPr>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(103,154 )</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(84,782 )</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(69,996 )</w:t>
            </w:r>
          </w:p>
        </w:tc>
      </w:tr>
      <w:tr>
        <w:trPr>
          <w:trHeight w:val="23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(373,391 )</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(171,446 )</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(307,348 )</w:t>
            </w:r>
          </w:p>
        </w:tc>
      </w:tr>
      <w:tr>
        <w:trPr>
          <w:trHeight w:val="23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328,871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228,468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345,089</w:t>
            </w:r>
          </w:p>
        </w:tc>
        <w:tc>
          <w:tcPr>
            <w:tcW w:w="100" w:type="dxa"/>
            <w:vAlign w:val="bottom"/>
            <w:shd w:val="clear" w:color="auto" w:fill="CFF0FC"/>
          </w:tcPr>
          <w:p>
            <w:pPr>
              <w:spacing w:after="0"/>
              <w:rPr>
                <w:sz w:val="20"/>
                <w:szCs w:val="20"/>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(9,058 )</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(2,125 )</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(750 )</w:t>
            </w: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(53,578 )</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54,897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36,991</w:t>
            </w:r>
          </w:p>
        </w:tc>
        <w:tc>
          <w:tcPr>
            <w:tcW w:w="100" w:type="dxa"/>
            <w:vAlign w:val="bottom"/>
            <w:shd w:val="clear" w:color="auto" w:fill="CFF0FC"/>
          </w:tcPr>
          <w:p>
            <w:pPr>
              <w:spacing w:after="0"/>
              <w:rPr>
                <w:sz w:val="19"/>
                <w:szCs w:val="19"/>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21,262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3,614</w:t>
            </w:r>
          </w:p>
        </w:tc>
        <w:tc>
          <w:tcPr>
            <w:tcW w:w="100" w:type="dxa"/>
            <w:vAlign w:val="bottom"/>
            <w:shd w:val="clear" w:color="auto" w:fill="CFF0FC"/>
          </w:tcPr>
          <w:p>
            <w:pPr>
              <w:spacing w:after="0"/>
              <w:rPr>
                <w:sz w:val="20"/>
                <w:szCs w:val="20"/>
                <w:color w:val="auto"/>
              </w:rPr>
            </w:pPr>
          </w:p>
        </w:tc>
      </w:tr>
      <w:tr>
        <w:trPr>
          <w:trHeight w:val="226"/>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the sale of future royalties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for debt issuance costs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(325 )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(3,757 )</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(1,229 )</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(534 )</w:t>
            </w:r>
          </w:p>
        </w:tc>
      </w:tr>
      <w:tr>
        <w:trPr>
          <w:trHeight w:val="223"/>
        </w:trPr>
        <w:tc>
          <w:tcPr>
            <w:tcW w:w="59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198,126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20,033</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41,394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(9,852 )</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(29,925 )</w:t>
            </w:r>
          </w:p>
        </w:tc>
      </w:tr>
      <w:tr>
        <w:trPr>
          <w:trHeight w:val="23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57,814</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57,814</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5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taxes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26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r>
      <w:tr>
        <w:trPr>
          <w:trHeight w:val="23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594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 accrued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26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2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20"/>
                <w:szCs w:val="20"/>
                <w:color w:val="auto"/>
              </w:rPr>
            </w:pPr>
          </w:p>
        </w:tc>
      </w:tr>
      <w:tr>
        <w:trPr>
          <w:trHeight w:val="237"/>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23,910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-3110865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-3110865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-3110865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-1336675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-1336675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-1336675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-1036955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-1036955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-1036955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0" w:right="899" w:bottom="1440" w:gutter="0" w:footer="0" w:header="0"/>
        </w:sectPr>
      </w:pPr>
    </w:p>
    <w:bookmarkStart w:id="78" w:name="page79"/>
    <w:bookmarkEnd w:id="78"/>
    <w:p>
      <w:pPr>
        <w:ind w:left="404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become a leader in the discovery and development of small molecule drugs with an emphasis on treatments for viral infections.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SARS-CoV-2 and hepatitis B virus (“HBV”).</w:t>
      </w:r>
    </w:p>
    <w:p>
      <w:pPr>
        <w:spacing w:after="0" w:line="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164" w:lineRule="exact"/>
        <w:rPr>
          <w:sz w:val="20"/>
          <w:szCs w:val="20"/>
          <w:color w:val="auto"/>
        </w:rPr>
      </w:pPr>
    </w:p>
    <w:p>
      <w:pPr>
        <w:ind w:right="7660" w:firstLine="8"/>
        <w:spacing w:after="0" w:line="378" w:lineRule="auto"/>
        <w:tabs>
          <w:tab w:leader="none" w:pos="1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and Accounting Standards Update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classifies all of its marketable securities as available-for-sale. The Company continually evaluates the credit ratings of its investment portfolio and underlying securities. The Company invests in accordance with its investment policy and invests at the date of purchase in securities with a rating of A3/A- or higher according to Moody’s or S&amp;P or A- by Fitch.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within the consolidated statements of operations. When the fair value is below the amortized cost of a marketable security, an estimate of expected credit losses is made. The credit-related impairment amount is recognized in the consolidated statements of operations. Credit losses are recognized through the use of an allowance for credit losses account in the consolidated balance sheet and subsequent improvements in expected credit losses are recognized as a reversal of an amount in the allowance account. If the Company has the intent to sell the security or it is more likely than not that the Company will be required to sell the security prior to recovery of its amortized cost basis, then the allowance for the credit loss is written-off and the excess of the amortized cost basis of the asset over its fair value is recorded in the consolidated statements of operations. There were no credit losses recorded during the years ended September 30, 2023, 2022, and 2021.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outstanding letters of credit collateralized by a money market account of $3,968, to the benefit of the landlord of the Company’s building leases. This amount was classified as long-term restricted cash as of September 30,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Customers and Suppliers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short-term and long-term marketable securities and accounts receivable. The Company has all cash and investment balances at one accredited financial institution, including cash in amounts that exceed federally insured limits. The Company does not believe it is subject to unusual credit risk beyond the normal credit risk associated with commercial banking relationships.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historically generated the majority of its revenue from its collaborative research and license agreements. As of September 30, 2023 and 2022, accounts receivable consisted of amounts due from the Company’s principal collaborator (see Note 7).</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completely dependent on third-party manufacturers for product supply for preclinical and clinical research activities. The Company relies and expects to continue to rely exclusively on several manufacturers to supply the Company with its drug supply requirements related to these activities. These research programs would be adversely affected by a significant interruption in the supply from these third-party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that are used to measure fair value, of which the first two levels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instruments that are carried at fair value are cash equivalents, short-term and long-term marketable securities and the Series 1 nonconvertible preferred stock. The carrying values of accounts receivable, prepaid and other assets, accounts payable and accrued expenses approximate their fair value due to the short-term nature of these assets and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following estimated useful lives: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Shorter of life of lease or estimated useful life</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40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7 years</w:t>
            </w:r>
          </w:p>
        </w:tc>
      </w:tr>
    </w:tbl>
    <w:p>
      <w:pPr>
        <w:spacing w:after="0" w:line="21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of assets disposed are removed from the accounts and any resulting gain or loss is included in income from operations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accounts for a contract as a lease when it has the right to control the asset for a period of time while obtaining substantially all of the asset’s economic benefits. The Company determines if an arrangement is a lease or contains an embedded lease at inception. For arrangements that meet the definition of a lease, the Company determines the initial classification and measurement of its right-of-use asset and lease liability at the lease commencement date and thereafter if modified. The lease term includes any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0" w:name="page81"/>
    <w:bookmarkEnd w:id="80"/>
    <w:p>
      <w:pPr>
        <w:ind w:right="40"/>
        <w:spacing w:after="0" w:line="261" w:lineRule="auto"/>
        <w:rPr>
          <w:sz w:val="20"/>
          <w:szCs w:val="20"/>
          <w:color w:val="auto"/>
        </w:rPr>
      </w:pPr>
      <w:r>
        <w:rPr>
          <w:rFonts w:ascii="Times New Roman" w:cs="Times New Roman" w:eastAsia="Times New Roman" w:hAnsi="Times New Roman"/>
          <w:sz w:val="18"/>
          <w:szCs w:val="18"/>
          <w:color w:val="auto"/>
        </w:rPr>
        <w:t>renewal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Company’s policy is to not record leases with an original term of 12 months or less on its consolidated balance sheets and recognizes those lease payments in the consolidated statements of operations on a straight-line basis over the lease term.</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rent, the leases may require the Company to pay additional costs, such as utilities, maintenance and other operating costs, which are generally referred to as non-lease components. The Company has elected to not separate lease and non-lease components. Only the fixed costs for lease components and their associated non-lease components are accounted for as a single lease component and recognized as part of a right-of-use asset and lease liability. Rent expense for operating leases is recognized on a straight-line basis over the reasonably assured lease term based on the total lease payments and is included in operating expense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reviews long-lived assets, primarily property and equipment and right-of-use assets,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the Company’s future quarterly royalty payments on net sales of MAVYRET/MAVIRET. The Company recognized the $200,000 received from OMERS as a liability on its consolidated balance sheets because the $200,000 will be paid back to OMERS up to a 1.42 capped amount and the Company has significant continuing involvement under the AbbVie Agreement. Interest expense for the liability related to the sale of future royalties is recognized using the effective interest rate method over the term of the royalty sale agreement.</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liability related to the sale of future royalties and related interest expense are based on current estimates of future royalties, which the Company determines by using third-party forecasts of MAVYRET/MAVIRET sales.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recognizing the related non-cash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Company expects to be entitled in exchange for those goods or services. The Company receives sales-based royalties for which the license is deemed to be the predominant item to which the royalties relate and thus the Company recognizes sales-based royalties as the underlying sales are earned.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Included in research and development costs are wages, stock-based compensation and benefits of employees performing research and development,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expenses the cost of each contract as the work is performed.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ind w:right="120"/>
        <w:spacing w:after="0" w:line="266" w:lineRule="auto"/>
        <w:rPr>
          <w:sz w:val="20"/>
          <w:szCs w:val="20"/>
          <w:color w:val="auto"/>
        </w:rPr>
      </w:pPr>
      <w:r>
        <w:rPr>
          <w:rFonts w:ascii="Times New Roman" w:cs="Times New Roman" w:eastAsia="Times New Roman" w:hAnsi="Times New Roman"/>
          <w:sz w:val="18"/>
          <w:szCs w:val="18"/>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Pharmaceutical Drug Manufacturing Accruals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has entered into various contracts with third parties to perform research and development and pharmaceutical drug manufacturing. This includes contracts with contract research organizations (“CROs”), clinical manufacturing organizations (“CMOs”), testing laboratories, research hospitals and not for profit organizations and other entities to support our research and development activities. When billing terms under these contracts do not coincide with the timing of when the work is performed, the Company is required to make estimates of outstanding obligations to those third parties as of period end. The accrual estimates are based on a number of factors, including the Company’s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recorded as general and administrative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at fair value on the date of grant. The Company uses the Black-Scholes option-pricing model in the valuation of its stock options. The fair value of restricted stock units with service-based and performance-based vesting is based on the fair value of the stock on the date of grant. The Company uses the Monte-Carlo model to calculate the fair value on the date of grant of market-based awards. The fair value of service-based awards is recognized as stock-based compensation expense over the requisite service period, which is generally the vesting period of the respective award. For awards with graded vesting, the straight-line method of expense recognition is applied to all awards with service-only based conditions. The Company uses the graded-vesting method to record the expense of awards with both service-based and performance-based vesting conditions, commencing once achievement of the performance condition becomes probable. The Company classifies stock-based compensation expense in the consolidated statements of operations in the same manner in which the award recipient’s payroll costs are classified. The Company accounts for stock-based compensation expense related to forfeitures as the forfeitures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income tax expense.</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The realization of deferred tax assets is dependent upon the Company’s ability to generate future taxable income during the periods in which those temporary differences become deductible. Potential for recovery of deferred tax assets is evaluated by estimating the future taxable profits expected and considering prudent and feasible tax planning strategies.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the net income (loss) by the weighted average number of shares of common stock outstanding for the period. Diluted net income (loss) per common share is computed by dividing net income (loss) by</w:t>
      </w: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2" w:name="page83"/>
    <w:bookmarkEnd w:id="82"/>
    <w:p>
      <w:pPr>
        <w:ind w:right="140"/>
        <w:spacing w:after="0" w:line="266" w:lineRule="auto"/>
        <w:rPr>
          <w:sz w:val="20"/>
          <w:szCs w:val="20"/>
          <w:color w:val="auto"/>
        </w:rPr>
      </w:pPr>
      <w:r>
        <w:rPr>
          <w:rFonts w:ascii="Times New Roman" w:cs="Times New Roman" w:eastAsia="Times New Roman" w:hAnsi="Times New Roman"/>
          <w:sz w:val="18"/>
          <w:szCs w:val="18"/>
          <w:color w:val="auto"/>
        </w:rPr>
        <w:t>the weighted average number of common shares outstanding for the period, including potential dilutive common shares assuming the dilutive effect of outstanding stock options and unvested restricted stock units. For periods in which the Company reported a net loss, diluted net loss per common share is the same as basic net loss per common share, since dilutive common shares are not assumed to have been issued if their effect is anti-dilutive.</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reported net losses for each of the years ended September 30, 2023, 2022, and 2021.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15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16510</wp:posOffset>
            </wp:positionV>
            <wp:extent cx="3111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80" w:type="dxa"/>
            <w:vAlign w:val="bottom"/>
            <w:gridSpan w:val="2"/>
          </w:tcPr>
          <w:p>
            <w:pPr>
              <w:ind w:left="5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6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63"/>
        </w:trPr>
        <w:tc>
          <w:tcPr>
            <w:tcW w:w="5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shd w:val="clear" w:color="auto" w:fill="CFF0FC"/>
          </w:tcPr>
          <w:p>
            <w:pPr>
              <w:spacing w:after="0"/>
              <w:rPr>
                <w:sz w:val="21"/>
                <w:szCs w:val="21"/>
                <w:color w:val="auto"/>
              </w:rPr>
            </w:pPr>
          </w:p>
        </w:tc>
      </w:tr>
      <w:tr>
        <w:trPr>
          <w:trHeight w:val="23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rTSRUs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r>
      <w:tr>
        <w:trPr>
          <w:trHeight w:val="247"/>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21"/>
                <w:szCs w:val="21"/>
                <w:color w:val="auto"/>
              </w:rPr>
            </w:pPr>
          </w:p>
        </w:tc>
      </w:tr>
      <w:tr>
        <w:trPr>
          <w:trHeight w:val="25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2"/>
                <w:szCs w:val="2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 is a biotechnology company focused on discovering and developing small molecule drugs, with an emphasis on treatments for viral infections. Revenue is generated exclusively from transactions occurring with partners located in the United States, and all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that result from transactions and economic events other than those with stockholders. The Company’s only element of other comprehensive income (loss) is unrealized gains and losses on available-for-sale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 xml:space="preserve">In August 2014, the FASB issued ASU 2014-15, </w:t>
      </w:r>
      <w:r>
        <w:rPr>
          <w:rFonts w:ascii="Times New Roman" w:cs="Times New Roman" w:eastAsia="Times New Roman" w:hAnsi="Times New Roman"/>
          <w:sz w:val="17"/>
          <w:szCs w:val="17"/>
          <w:i w:val="1"/>
          <w:iCs w:val="1"/>
          <w:color w:val="auto"/>
        </w:rPr>
        <w:t>Presentation of Financial Statements - Going Concern (Subtopic 205-40)</w:t>
      </w:r>
      <w:r>
        <w:rPr>
          <w:rFonts w:ascii="Times New Roman" w:cs="Times New Roman" w:eastAsia="Times New Roman" w:hAnsi="Times New Roman"/>
          <w:sz w:val="17"/>
          <w:szCs w:val="17"/>
          <w:color w:val="auto"/>
        </w:rPr>
        <w:t xml:space="preserve"> (“ASU 2014-15”). The Company adopted this standard as of September 30, 2017. The standard requires the Company to assess its ability 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its current cash, cash equivalents and short-term marketable securities on hand at September 30, 2023 is sufficient to fund operations for at least the next twelve months beyond the date of issuance of these consolidated financial statements. The amount of capital available will depend on the Company’s management of its existing cash, cash equivalents and short-term marketable securities, as well as the level of future royalties the Company earns under its agreement with AbbVie. If the Company should require financing beyond these resources to fund its research and development efforts, it may not be able to obtain financing on acceptable terms, or at all.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Accounting standards that have been issued or proposed by the FASB or other standards-setting bodies that do not require adoption until a future date are not expected to have a material impact on the Company’s consolidated financial statements upon adoption.</w:t>
      </w: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121"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September 30, 2023 and 2022 and indicate the fair value hierarchy of the valuation inputs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2023 Using:</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20"/>
                <w:szCs w:val="20"/>
                <w:color w:val="auto"/>
              </w:rPr>
            </w:pPr>
          </w:p>
        </w:tc>
      </w:tr>
      <w:tr>
        <w:trPr>
          <w:trHeight w:val="277"/>
        </w:trPr>
        <w:tc>
          <w:tcPr>
            <w:tcW w:w="3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321,894</w:t>
            </w: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37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3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 Using:</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00" w:type="dxa"/>
            <w:vAlign w:val="bottom"/>
          </w:tcPr>
          <w:p>
            <w:pPr>
              <w:spacing w:after="0"/>
              <w:rPr>
                <w:sz w:val="20"/>
                <w:szCs w:val="20"/>
                <w:color w:val="auto"/>
              </w:rPr>
            </w:pPr>
          </w:p>
        </w:tc>
      </w:tr>
      <w:tr>
        <w:trPr>
          <w:trHeight w:val="243"/>
        </w:trPr>
        <w:tc>
          <w:tcPr>
            <w:tcW w:w="3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105,233</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143,195</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248,428</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77"/>
        </w:trPr>
        <w:tc>
          <w:tcPr>
            <w:tcW w:w="3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-2776855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-2759710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-2776855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-2759710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-2776855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-2759710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-2776855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-2759710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-2442210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-2442210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-2442210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-2442210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-685165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-685165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-685165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equivalents at September 30, 2023 and 2022 consist of money market funds and U.S. Treasury notes that are readily convertible to cash and with less than 90 days until maturity.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September 30, 2023, 2022, and 2021, there were no transfers between Level 1, Level 2 and Level 3.</w:t>
      </w:r>
    </w:p>
    <w:p>
      <w:pPr>
        <w:spacing w:after="0" w:line="11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September 30, 2023 and 2022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ind w:right="74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5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1 nonconvertible preferred stock</w:t>
            </w:r>
          </w:p>
        </w:tc>
        <w:tc>
          <w:tcPr>
            <w:tcW w:w="1640" w:type="dxa"/>
            <w:vAlign w:val="bottom"/>
          </w:tcPr>
          <w:p>
            <w:pPr>
              <w:spacing w:after="0"/>
              <w:rPr>
                <w:sz w:val="22"/>
                <w:szCs w:val="22"/>
                <w:color w:val="auto"/>
              </w:rPr>
            </w:pPr>
          </w:p>
        </w:tc>
        <w:tc>
          <w:tcPr>
            <w:tcW w:w="2940" w:type="dxa"/>
            <w:vAlign w:val="bottom"/>
            <w:gridSpan w:val="3"/>
          </w:tcPr>
          <w:p>
            <w:pPr>
              <w:jc w:val="center"/>
              <w:ind w:right="1550"/>
              <w:spacing w:after="0"/>
              <w:rPr>
                <w:sz w:val="20"/>
                <w:szCs w:val="20"/>
                <w:color w:val="auto"/>
              </w:rPr>
            </w:pPr>
            <w:r>
              <w:rPr>
                <w:rFonts w:ascii="Times New Roman" w:cs="Times New Roman" w:eastAsia="Times New Roman" w:hAnsi="Times New Roman"/>
                <w:sz w:val="14"/>
                <w:szCs w:val="14"/>
                <w:b w:val="1"/>
                <w:bCs w:val="1"/>
                <w:color w:val="auto"/>
                <w:w w:val="99"/>
              </w:rPr>
              <w:t>Range</w:t>
            </w:r>
          </w:p>
        </w:tc>
      </w:tr>
      <w:tr>
        <w:trPr>
          <w:trHeight w:val="187"/>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52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40" w:type="dxa"/>
            <w:vAlign w:val="bottom"/>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940" w:type="dxa"/>
            <w:vAlign w:val="bottom"/>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r>
      <w:tr>
        <w:trPr>
          <w:trHeight w:val="36"/>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34"/>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shd w:val="clear" w:color="auto" w:fill="CFF0FC"/>
          </w:tcPr>
          <w:p>
            <w:pPr>
              <w:jc w:val="center"/>
              <w:ind w:left="536"/>
              <w:spacing w:after="0"/>
              <w:rPr>
                <w:sz w:val="20"/>
                <w:szCs w:val="20"/>
                <w:color w:val="auto"/>
              </w:rPr>
            </w:pPr>
            <w:r>
              <w:rPr>
                <w:rFonts w:ascii="Times New Roman" w:cs="Times New Roman" w:eastAsia="Times New Roman" w:hAnsi="Times New Roman"/>
                <w:sz w:val="18"/>
                <w:szCs w:val="18"/>
                <w:color w:val="auto"/>
                <w:w w:val="98"/>
              </w:rPr>
              <w:t>7.25%</w:t>
            </w:r>
          </w:p>
        </w:tc>
        <w:tc>
          <w:tcPr>
            <w:tcW w:w="2940" w:type="dxa"/>
            <w:vAlign w:val="bottom"/>
            <w:gridSpan w:val="3"/>
            <w:shd w:val="clear" w:color="auto" w:fill="CFF0FC"/>
          </w:tcPr>
          <w:p>
            <w:pPr>
              <w:jc w:val="center"/>
              <w:ind w:left="604"/>
              <w:spacing w:after="0"/>
              <w:rPr>
                <w:sz w:val="20"/>
                <w:szCs w:val="20"/>
                <w:color w:val="auto"/>
              </w:rPr>
            </w:pPr>
            <w:r>
              <w:rPr>
                <w:rFonts w:ascii="Times New Roman" w:cs="Times New Roman" w:eastAsia="Times New Roman" w:hAnsi="Times New Roman"/>
                <w:sz w:val="18"/>
                <w:szCs w:val="18"/>
                <w:color w:val="auto"/>
                <w:w w:val="98"/>
              </w:rPr>
              <w:t>7.25%</w:t>
            </w:r>
          </w:p>
        </w:tc>
      </w:tr>
      <w:tr>
        <w:trPr>
          <w:trHeight w:val="36"/>
        </w:trPr>
        <w:tc>
          <w:tcPr>
            <w:tcW w:w="54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64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240" w:type="dxa"/>
            <w:vAlign w:val="bottom"/>
            <w:shd w:val="clear" w:color="auto" w:fill="CFF0FC"/>
          </w:tcPr>
          <w:p>
            <w:pPr>
              <w:spacing w:after="0"/>
              <w:rPr>
                <w:sz w:val="3"/>
                <w:szCs w:val="3"/>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Company’s outstanding Series 1 nonconvertible preferred stock for which fair value is determined by Level 3 inputs: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Series 1</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0" w:type="dxa"/>
            <w:vAlign w:val="bottom"/>
          </w:tcPr>
          <w:p>
            <w:pPr>
              <w:spacing w:after="0"/>
              <w:rPr>
                <w:sz w:val="1"/>
                <w:szCs w:val="1"/>
                <w:color w:val="auto"/>
              </w:rPr>
            </w:pPr>
          </w:p>
        </w:tc>
      </w:tr>
      <w:tr>
        <w:trPr>
          <w:trHeight w:val="187"/>
        </w:trPr>
        <w:tc>
          <w:tcPr>
            <w:tcW w:w="7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2020</w:t>
            </w:r>
          </w:p>
        </w:tc>
        <w:tc>
          <w:tcPr>
            <w:tcW w:w="520" w:type="dxa"/>
            <w:vAlign w:val="bottom"/>
          </w:tcPr>
          <w:p>
            <w:pPr>
              <w:spacing w:after="0"/>
              <w:rPr>
                <w:sz w:val="20"/>
                <w:szCs w:val="20"/>
                <w:color w:val="auto"/>
              </w:rPr>
            </w:pPr>
          </w:p>
        </w:tc>
        <w:tc>
          <w:tcPr>
            <w:tcW w:w="2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1"/>
        </w:trPr>
        <w:tc>
          <w:tcPr>
            <w:tcW w:w="7100" w:type="dxa"/>
            <w:vAlign w:val="bottom"/>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Borders>
              <w:bottom w:val="single" w:sz="8" w:color="auto"/>
            </w:tcBorders>
            <w:shd w:val="clear" w:color="auto" w:fill="CFF0FC"/>
          </w:tcPr>
          <w:p>
            <w:pPr>
              <w:spacing w:after="0"/>
              <w:rPr>
                <w:sz w:val="21"/>
                <w:szCs w:val="21"/>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2021</w:t>
            </w:r>
          </w:p>
        </w:tc>
        <w:tc>
          <w:tcPr>
            <w:tcW w:w="5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4"/>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52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2023</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-822325</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-505460</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-187960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September 30, 2023 and is based on current estimates of future royalties expected to be paid to OMERS over the next 10 years, which are considered Level 3 inputs. See Note 8 for a rollforward of the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 and 2022, the fair value of available-for-sale marketable securities, by type of security, was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(692 )</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236,880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285,312</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(2,252 )</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(1,088 )</w:t>
            </w: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237,863</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(3,340 )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-1542415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-1542415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-1542415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-1542415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-1542415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-187960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of September 30, 2023, marketable securities consisted of investments that mature within one year. As of September 30, 2022, marketable securities consisted of investments that mature within one year, with the exception of certain corporate bonds and U.S. treasury notes, which have maturities between one and three years and an aggregate fair value of $29,285.</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2023 and 2022:</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0"/>
                <w:szCs w:val="20"/>
                <w:color w:val="auto"/>
              </w:rPr>
            </w:pPr>
          </w:p>
        </w:tc>
      </w:tr>
      <w:tr>
        <w:trPr>
          <w:trHeight w:val="241"/>
        </w:trPr>
        <w:tc>
          <w:tcPr>
            <w:tcW w:w="6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35,664</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0"/>
                <w:szCs w:val="20"/>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(23,745 )</w:t>
            </w:r>
          </w:p>
        </w:tc>
        <w:tc>
          <w:tcPr>
            <w:tcW w:w="4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(21,858 )</w:t>
            </w:r>
          </w:p>
        </w:tc>
      </w:tr>
      <w:tr>
        <w:trPr>
          <w:trHeight w:val="276"/>
        </w:trPr>
        <w:tc>
          <w:tcPr>
            <w:tcW w:w="69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2023, construction in progress related primarily to leasehold improvements. Depreciation and amortization expense for property and equipment, was $2,371, $2,973 and $3,334 for the years ended September 30,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2023 and 2022:</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6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shd w:val="clear" w:color="auto" w:fill="CFF0FC"/>
          </w:tcPr>
          <w:p>
            <w:pPr>
              <w:spacing w:after="0"/>
              <w:rPr>
                <w:sz w:val="21"/>
                <w:szCs w:val="21"/>
                <w:color w:val="auto"/>
              </w:rPr>
            </w:pP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20"/>
                <w:szCs w:val="20"/>
                <w:color w:val="auto"/>
              </w:rPr>
            </w:pP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shd w:val="clear" w:color="auto" w:fill="CFF0FC"/>
          </w:tcPr>
          <w:p>
            <w:pPr>
              <w:spacing w:after="0"/>
              <w:rPr>
                <w:sz w:val="21"/>
                <w:szCs w:val="21"/>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r>
      <w:tr>
        <w:trPr>
          <w:trHeight w:val="272"/>
        </w:trPr>
        <w:tc>
          <w:tcPr>
            <w:tcW w:w="69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2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right="9020" w:firstLine="8"/>
        <w:spacing w:after="0" w:line="378" w:lineRule="auto"/>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AbbVie Collaboration</w:t>
      </w: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$1,287,000 through September 30, 2023.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 The following table details the royalty tiers associated with cumulative calendar year net sales allocated to each royalty-bearing product as provided in the AbbVie Agreement: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16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Calendar Year Net Sales</w:t>
            </w:r>
          </w:p>
        </w:tc>
        <w:tc>
          <w:tcPr>
            <w:tcW w:w="12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2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Royalty Tier</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1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4"/>
                <w:szCs w:val="14"/>
                <w:color w:val="auto"/>
              </w:rPr>
            </w:pPr>
          </w:p>
        </w:tc>
      </w:tr>
      <w:tr>
        <w:trPr>
          <w:trHeight w:val="270"/>
        </w:trPr>
        <w:tc>
          <w:tcPr>
            <w:tcW w:w="580" w:type="dxa"/>
            <w:vAlign w:val="bottom"/>
          </w:tcPr>
          <w:p>
            <w:pPr>
              <w:spacing w:after="0"/>
              <w:rPr>
                <w:sz w:val="23"/>
                <w:szCs w:val="23"/>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$500,000</w:t>
            </w:r>
          </w:p>
        </w:tc>
        <w:tc>
          <w:tcPr>
            <w:tcW w:w="5940" w:type="dxa"/>
            <w:vAlign w:val="bottom"/>
            <w:gridSpan w:val="3"/>
            <w:shd w:val="clear" w:color="auto" w:fill="CFF0FC"/>
          </w:tcPr>
          <w:p>
            <w:pPr>
              <w:jc w:val="center"/>
              <w:ind w:left="159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23"/>
                <w:szCs w:val="23"/>
                <w:color w:val="auto"/>
              </w:rPr>
            </w:pPr>
          </w:p>
        </w:tc>
      </w:tr>
      <w:tr>
        <w:trPr>
          <w:trHeight w:val="263"/>
        </w:trPr>
        <w:tc>
          <w:tcPr>
            <w:tcW w:w="58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from $500,000 up to $750,000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$750,000 up to $1,000,000</w:t>
            </w:r>
          </w:p>
        </w:tc>
        <w:tc>
          <w:tcPr>
            <w:tcW w:w="5940" w:type="dxa"/>
            <w:vAlign w:val="bottom"/>
            <w:gridSpan w:val="3"/>
            <w:shd w:val="clear" w:color="auto" w:fill="CFF0FC"/>
          </w:tcPr>
          <w:p>
            <w:pPr>
              <w:jc w:val="center"/>
              <w:ind w:left="159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24"/>
                <w:szCs w:val="24"/>
                <w:color w:val="auto"/>
              </w:rPr>
            </w:pPr>
          </w:p>
        </w:tc>
      </w:tr>
      <w:tr>
        <w:trPr>
          <w:trHeight w:val="263"/>
        </w:trPr>
        <w:tc>
          <w:tcPr>
            <w:tcW w:w="58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from $1,000,000 up to $2,500,000</w:t>
            </w:r>
          </w:p>
        </w:tc>
        <w:tc>
          <w:tcPr>
            <w:tcW w:w="594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or equal to $2,500,000</w:t>
            </w:r>
          </w:p>
        </w:tc>
        <w:tc>
          <w:tcPr>
            <w:tcW w:w="5940" w:type="dxa"/>
            <w:vAlign w:val="bottom"/>
            <w:gridSpan w:val="3"/>
            <w:shd w:val="clear" w:color="auto" w:fill="CFF0FC"/>
          </w:tcPr>
          <w:p>
            <w:pPr>
              <w:jc w:val="center"/>
              <w:ind w:left="159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9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F-16</w:t>
            </w: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spacing w:after="0" w:line="258" w:lineRule="auto"/>
        <w:rPr>
          <w:sz w:val="20"/>
          <w:szCs w:val="20"/>
          <w:color w:val="auto"/>
        </w:rPr>
      </w:pPr>
      <w:r>
        <w:rPr>
          <w:rFonts w:ascii="Times New Roman" w:cs="Times New Roman" w:eastAsia="Times New Roman" w:hAnsi="Times New Roman"/>
          <w:sz w:val="18"/>
          <w:szCs w:val="18"/>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68"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Sale of Future Royalties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consolidated balance sheets which will be amortized as interest expense in the consolidated statements of operations under the effective interest rate method over the life of the royalty sale agreement. The Company will continue to record the full amount of royalties earned on MAVYRET/MAVIRET sales as royalty revenue in the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2023, the estimated future cash flows resulted in an effective annual imputed interest rate of approximately 6.18%.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 royalties</w:t>
            </w:r>
          </w:p>
        </w:tc>
        <w:tc>
          <w:tcPr>
            <w:tcW w:w="100" w:type="dxa"/>
            <w:vAlign w:val="bottom"/>
          </w:tcPr>
          <w:p>
            <w:pPr>
              <w:spacing w:after="0"/>
              <w:rPr>
                <w:sz w:val="16"/>
                <w:szCs w:val="16"/>
                <w:color w:val="auto"/>
              </w:rPr>
            </w:pPr>
          </w:p>
        </w:tc>
      </w:tr>
      <w:tr>
        <w:trPr>
          <w:trHeight w:val="236"/>
        </w:trPr>
        <w:tc>
          <w:tcPr>
            <w:tcW w:w="41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2022</w:t>
            </w:r>
          </w:p>
        </w:tc>
        <w:tc>
          <w:tcPr>
            <w:tcW w:w="3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future royalties</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0"/>
                <w:szCs w:val="20"/>
                <w:color w:val="auto"/>
              </w:rPr>
            </w:pPr>
          </w:p>
        </w:tc>
      </w:tr>
      <w:tr>
        <w:trPr>
          <w:trHeight w:val="247"/>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w:t>
            </w:r>
          </w:p>
        </w:tc>
        <w:tc>
          <w:tcPr>
            <w:tcW w:w="3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(325 )</w:t>
            </w:r>
          </w:p>
        </w:tc>
      </w:tr>
      <w:tr>
        <w:trPr>
          <w:trHeight w:val="239"/>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payable to royalty purchaser</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(10,318 )</w:t>
            </w:r>
          </w:p>
        </w:tc>
      </w:tr>
      <w:tr>
        <w:trPr>
          <w:trHeight w:val="247"/>
        </w:trPr>
        <w:tc>
          <w:tcPr>
            <w:tcW w:w="4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8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38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194,505</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3960" w:type="dxa"/>
            <w:vAlign w:val="bottom"/>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F-17</w:t>
            </w: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 shares of common stock at a par value of $0.01 per share. Each share of common stock entitles the holder to one vote on all matters submitted to a vote of the Company’s stockholders. Common stockholders are entitled to receive such dividends as may be declared by the board of directors, if any.</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is authorized to issue 5,000 shares of preferred stock at a par value of $0.01 per share, of which 2,000 shares are designated as Series 1 Nonconvertible preferred stock and 3,000 shares are undesignated and unissued.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Series 1 Nonconvertible Preferred Stock</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 As these shares qualify as a derivative, they are classified as a liability on the Company’s consolidated balance sheet.</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2023 and 2022, 1,930 shares of Series 1 nonconvertible preferred stock were issued and outstanding. For the years ended September 30, 2023, 2022, and 2021, the remeasurement of the Series 1 nonconvertible preferred stock resulted in income (expense) of $0, $83, and $(27), respectively, which was recorded in other income (expense) in the consolidated statements of operations. The total fair value of the Series 1 nonconvertible preferred stock was $1,423 as of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Awards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and March 2023. The Company also has outstanding stock option awards under its 2012 Equity Incentive Plan (the “2012 Plan”), but is no longer granting awards under this plan. The Company’s 2019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2019 Plan is subject to increase by the number of shares forfeited under any options forfeited and not exercised under the 2019 Plan or any predecessor plans such as the 2012 Plan. As of September 30, 2023, 1,535 shares remained available for future awards under the 2019 Plan.</w:t>
      </w:r>
    </w:p>
    <w:p>
      <w:pPr>
        <w:spacing w:after="0" w:line="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Under the Company’s Employee Stock Purchase Plan (“ESPP”) a total of 186 shares of common stock are reserved for issuance. As of September 30, 2023, the Company had not commenced any offering under the ESPP and no ESPP shares have been issued.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2019 Plan to employees generally vest over four years and to non-employee directors over one year, and expire after ten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under the equity plans, the exercise price for awards granted is not to be less than the fair value of common shares on the date of grant.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with service-based vesting conditions generally vest over four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12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determined on the date of grant using the Black-Scholes option-pricing model. The volatility has been determined using the Company’s traded stock price to estimate expected volatility.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zero due to the fact that the Company has never paid cash dividends and does not expect to pay any cash dividends in the foreseeable future. The relevant data used to determine the value of the stock option awards are as follows, presented on a weighted average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8"/>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3.88 %</w:t>
            </w: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1.72 %</w:t>
            </w:r>
          </w:p>
        </w:tc>
        <w:tc>
          <w:tcPr>
            <w:tcW w:w="360" w:type="dxa"/>
            <w:vAlign w:val="bottom"/>
          </w:tcPr>
          <w:p>
            <w:pPr>
              <w:spacing w:after="0"/>
              <w:rPr>
                <w:sz w:val="19"/>
                <w:szCs w:val="19"/>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0.61 %</w:t>
            </w:r>
          </w:p>
        </w:tc>
      </w:tr>
      <w:tr>
        <w:trPr>
          <w:trHeight w:val="238"/>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48 %</w:t>
            </w: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47 %</w:t>
            </w:r>
          </w:p>
        </w:tc>
        <w:tc>
          <w:tcPr>
            <w:tcW w:w="360" w:type="dxa"/>
            <w:vAlign w:val="bottom"/>
          </w:tcPr>
          <w:p>
            <w:pPr>
              <w:spacing w:after="0"/>
              <w:rPr>
                <w:sz w:val="21"/>
                <w:szCs w:val="21"/>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52 %</w:t>
            </w:r>
          </w:p>
        </w:tc>
      </w:tr>
      <w:tr>
        <w:trPr>
          <w:trHeight w:val="250"/>
        </w:trPr>
        <w:tc>
          <w:tcPr>
            <w:tcW w:w="58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0 %</w:t>
            </w: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360" w:type="dxa"/>
            <w:vAlign w:val="bottom"/>
          </w:tcPr>
          <w:p>
            <w:pPr>
              <w:spacing w:after="0"/>
              <w:rPr>
                <w:sz w:val="21"/>
                <w:szCs w:val="21"/>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3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F-18</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-1130935</wp:posOffset>
            </wp:positionV>
            <wp:extent cx="641223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-822325</wp:posOffset>
            </wp:positionV>
            <wp:extent cx="641223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aggregate intrinsic value for the year ended September 30,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9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20" w:type="dxa"/>
            <w:vAlign w:val="bottom"/>
          </w:tcPr>
          <w:p>
            <w:pPr>
              <w:spacing w:after="0"/>
              <w:rPr>
                <w:sz w:val="12"/>
                <w:szCs w:val="12"/>
                <w:color w:val="auto"/>
              </w:rPr>
            </w:pPr>
          </w:p>
        </w:tc>
        <w:tc>
          <w:tcPr>
            <w:tcW w:w="9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20" w:type="dxa"/>
            <w:vAlign w:val="bottom"/>
          </w:tcPr>
          <w:p>
            <w:pPr>
              <w:spacing w:after="0"/>
              <w:rPr>
                <w:sz w:val="12"/>
                <w:szCs w:val="12"/>
                <w:color w:val="auto"/>
              </w:rPr>
            </w:pPr>
          </w:p>
        </w:tc>
        <w:tc>
          <w:tcPr>
            <w:tcW w:w="9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(124 )</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(269 )</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2023</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44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Options vested and expected to vest as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September 30, 2023</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-496570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-479425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 of stock options exercised</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FF0FC"/>
          </w:tcPr>
          <w:p>
            <w:pPr>
              <w:spacing w:after="0"/>
              <w:rPr>
                <w:sz w:val="21"/>
                <w:szCs w:val="2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Proceeds to Company from stock options exercised</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awards both performance share units (“PSUs”) and relative total stockholder return units (“rTSRUs”) to its executive officers.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PSUs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two years. The fair value of PSUs is based on the fair value of the stock on the date of grant, which is determined to be the closing price of the Company's common stock. Stock-based compensation expense for PSUs is recorded in the statements of operations over the service period, commencing when it is probable that the specified research and development milestone is achieved.</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rTSRUs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two specified periods that are two years apart, based on a comparison of average closing stock prices in specified periods noted in the award agreement. The number of market-based rTSRUs awarded represents the target number of shares of common stock that may be earned; however, the actual number of shares that may be earned ranges from 0% to 150% of the target number, depending on the award agreement and the year of the award. The Company used a Monte Carlo model to estimate the grant-date fair value of the rTSRUs. Stock-based compensation expense for rTSRUs is recorded in the statements of operations over the service period regardless of whether the market condition is achieved.</w:t>
      </w:r>
    </w:p>
    <w:p>
      <w:pPr>
        <w:spacing w:after="0" w:line="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8"/>
        </w:trPr>
        <w:tc>
          <w:tcPr>
            <w:tcW w:w="5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8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0 %</w:t>
            </w:r>
          </w:p>
        </w:tc>
      </w:tr>
      <w:tr>
        <w:trPr>
          <w:trHeight w:val="250"/>
        </w:trPr>
        <w:tc>
          <w:tcPr>
            <w:tcW w:w="58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74 %</w:t>
            </w:r>
          </w:p>
        </w:tc>
      </w:tr>
      <w:tr>
        <w:trPr>
          <w:trHeight w:val="250"/>
        </w:trPr>
        <w:tc>
          <w:tcPr>
            <w:tcW w:w="580" w:type="dxa"/>
            <w:vAlign w:val="bottom"/>
          </w:tcPr>
          <w:p>
            <w:pPr>
              <w:spacing w:after="0"/>
              <w:rPr>
                <w:sz w:val="21"/>
                <w:szCs w:val="21"/>
                <w:color w:val="auto"/>
              </w:rPr>
            </w:pPr>
          </w:p>
        </w:tc>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period (years)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432"/>
        </w:trPr>
        <w:tc>
          <w:tcPr>
            <w:tcW w:w="580" w:type="dxa"/>
            <w:vAlign w:val="bottom"/>
          </w:tcPr>
          <w:p>
            <w:pPr>
              <w:spacing w:after="0"/>
              <w:rPr>
                <w:sz w:val="24"/>
                <w:szCs w:val="24"/>
                <w:color w:val="auto"/>
              </w:rPr>
            </w:pPr>
          </w:p>
        </w:tc>
        <w:tc>
          <w:tcPr>
            <w:tcW w:w="620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F-19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-822325</wp:posOffset>
            </wp:positionV>
            <wp:extent cx="641223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The following table summarizes PSU and rTSRU activity (at target) for the year ended September 30, 2023:</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ind w:left="304"/>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6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4"/>
          </w:tcPr>
          <w:p>
            <w:pPr>
              <w:jc w:val="center"/>
              <w:ind w:right="10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per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2022</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40" w:type="dxa"/>
            <w:vAlign w:val="bottom"/>
            <w:gridSpan w:val="2"/>
            <w:vMerge w:val="continue"/>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54.50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47.24</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44.58</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9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58.58</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-187960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PSUs and rTSRUs vested during the years ended September 30, 2023, 2022, and 2021 were $8,103, $1,414 and $0,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 ending September 30,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3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3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220" w:type="dxa"/>
            <w:vAlign w:val="bottom"/>
          </w:tcPr>
          <w:p>
            <w:pPr>
              <w:spacing w:after="0"/>
              <w:rPr>
                <w:sz w:val="16"/>
                <w:szCs w:val="16"/>
                <w:color w:val="auto"/>
              </w:rPr>
            </w:pPr>
          </w:p>
        </w:tc>
        <w:tc>
          <w:tcPr>
            <w:tcW w:w="136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220" w:type="dxa"/>
            <w:vAlign w:val="bottom"/>
          </w:tcPr>
          <w:p>
            <w:pPr>
              <w:spacing w:after="0"/>
              <w:rPr>
                <w:sz w:val="13"/>
                <w:szCs w:val="13"/>
                <w:color w:val="auto"/>
              </w:rPr>
            </w:pPr>
          </w:p>
        </w:tc>
        <w:tc>
          <w:tcPr>
            <w:tcW w:w="3360" w:type="dxa"/>
            <w:vAlign w:val="bottom"/>
            <w:gridSpan w:val="4"/>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Pr>
          <w:p>
            <w:pPr>
              <w:spacing w:after="0"/>
              <w:rPr>
                <w:sz w:val="21"/>
                <w:szCs w:val="21"/>
                <w:color w:val="auto"/>
              </w:rPr>
            </w:pPr>
          </w:p>
        </w:tc>
        <w:tc>
          <w:tcPr>
            <w:tcW w:w="1300" w:type="dxa"/>
            <w:vAlign w:val="bottom"/>
          </w:tcPr>
          <w:p>
            <w:pPr>
              <w:jc w:val="right"/>
              <w:ind w:right="11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64.03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44.63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(61 )</w:t>
            </w:r>
          </w:p>
        </w:tc>
        <w:tc>
          <w:tcPr>
            <w:tcW w:w="13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3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(27 )</w:t>
            </w:r>
          </w:p>
        </w:tc>
        <w:tc>
          <w:tcPr>
            <w:tcW w:w="13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53.98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2023</w:t>
            </w:r>
          </w:p>
        </w:tc>
        <w:tc>
          <w:tcPr>
            <w:tcW w:w="13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jc w:val="right"/>
              <w:ind w:right="11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51.78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years ended September 30, 2023, 2022, and 2021 were $2,590, $2,427 and $1,897,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for the years ended September 30, 2023, 2022, and 2021:</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83"/>
        </w:trPr>
        <w:tc>
          <w:tcPr>
            <w:tcW w:w="5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tcPr>
          <w:p>
            <w:pPr>
              <w:spacing w:after="0"/>
              <w:rPr>
                <w:sz w:val="21"/>
                <w:szCs w:val="21"/>
                <w:color w:val="auto"/>
              </w:rPr>
            </w:pPr>
          </w:p>
        </w:tc>
      </w:tr>
      <w:tr>
        <w:trPr>
          <w:trHeight w:val="272"/>
        </w:trPr>
        <w:tc>
          <w:tcPr>
            <w:tcW w:w="522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76"/>
        </w:trPr>
        <w:tc>
          <w:tcPr>
            <w:tcW w:w="5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2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91"/>
        </w:trPr>
        <w:tc>
          <w:tcPr>
            <w:tcW w:w="5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Pr>
          <w:p>
            <w:pPr>
              <w:spacing w:after="0"/>
              <w:rPr>
                <w:sz w:val="20"/>
                <w:szCs w:val="20"/>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rTSRUs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-1344930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-1327785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-1344930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-1327785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-1344930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-1327785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596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2023, the Company had an aggregate of $61,333 of unrecognized stock-based compensation cost, which is expected to be recognized over a weighted average period of 2.2 years.</w:t>
      </w: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two real estate leases for properties located in Watertown, Massachusetts. The first lease, for office and laboratory space at 500 Arsenal Street and expires in September 2027. The second lease, for office space located at 400 Talcott Avenue and expires in June 2034.</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Lease payments for the Company's real estate leases include fixed lease payments that escalate over the terms of the leases and require the Company to pay certain operating expenses based on actual costs incurred. Operating expenses that are not fixed in nature are expensed in the period incurred and included in variable lease costs. The leases do not include any restrictions or covenants that had to be accounted for under the lease guidance.</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May 2022, the Company entered into a new ten-year lease agreement with its existing landlord for laboratory and office space in Watertown, Massachusetts, adjacent to its 400 Talcott Avenue premises to accommodate its growing headcount. The new lab and office space will be located at Arsenal on the Charles in Watertown, Massachusetts, at a to-be-constructed facility. The Company expects to gain access to the space to perform tenant improvements beginning in December 2023. The estimated minimum lease payments as a result of the new lease total $76,470 over the ten-year term. The lease also contains a tenant improvement allowance of $15,194. The Company will account for the lease as a right-of-use asset and lease liability upon the lease commencement date.</w:t>
      </w:r>
    </w:p>
    <w:p>
      <w:pPr>
        <w:spacing w:after="0" w:line="7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In conjunction with the new lease agreement at Arsenal on the Charles, the Company amended its 500 Arsenal Street lease to shorten the term of the lease from September 2027 to the date when the Arsenal on the Charles facility is completed and ready for the Company's occupancy. The construction of the Arsenal on the Charles facility is being conducted by the landlord and it is expected that the facility will be ready for the Company's tenant improvement buildout in December 2023. As the construction of the facility and the timing of completion is not in the control of the Company, the Company will remeasure the term for the 500 Arsenal Street lease for financial accounting purposes at the time the contingency regarding occupancy lapses.</w:t>
      </w:r>
    </w:p>
    <w:p>
      <w:pPr>
        <w:spacing w:after="0" w:line="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leases units of equipment over eighteen-month lease periods commencing upon shipment of each unit. The lease agreements contain options to terminate the leases early or to extend the leases for successive six-month periods, however these options were not included in the right-of-use assets and lease liability as they were not reasonably certain of being exercised. The equipment leases require the Company to pay for certain consumable and peripheral equipment supplies based on actual costs incurred. As these costs are not fixed in nature, they are expensed in the period incurred and included in variable lease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Company’s real estate and equipment leases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060" w:type="dxa"/>
            <w:vAlign w:val="bottom"/>
            <w:shd w:val="clear" w:color="auto" w:fill="CFF2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FF2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42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20" w:type="dxa"/>
            <w:vAlign w:val="bottom"/>
            <w:shd w:val="clear" w:color="auto" w:fill="CFF2FC"/>
          </w:tcPr>
          <w:p>
            <w:pPr>
              <w:spacing w:after="0"/>
              <w:rPr>
                <w:sz w:val="21"/>
                <w:szCs w:val="21"/>
                <w:color w:val="auto"/>
              </w:rPr>
            </w:pPr>
          </w:p>
        </w:tc>
        <w:tc>
          <w:tcPr>
            <w:tcW w:w="280" w:type="dxa"/>
            <w:vAlign w:val="bottom"/>
            <w:shd w:val="clear" w:color="auto" w:fill="CFF2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shd w:val="clear" w:color="auto" w:fill="CFF2FC"/>
          </w:tcPr>
          <w:p>
            <w:pPr>
              <w:spacing w:after="0"/>
              <w:rPr>
                <w:sz w:val="21"/>
                <w:szCs w:val="21"/>
                <w:color w:val="auto"/>
              </w:rPr>
            </w:pPr>
          </w:p>
        </w:tc>
      </w:tr>
      <w:tr>
        <w:trPr>
          <w:trHeight w:val="25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21"/>
                <w:szCs w:val="21"/>
                <w:color w:val="auto"/>
              </w:rPr>
            </w:pPr>
          </w:p>
        </w:tc>
      </w:tr>
      <w:tr>
        <w:trPr>
          <w:trHeight w:val="279"/>
        </w:trPr>
        <w:tc>
          <w:tcPr>
            <w:tcW w:w="7060" w:type="dxa"/>
            <w:vAlign w:val="bottom"/>
            <w:tcBorders>
              <w:bottom w:val="single" w:sz="8" w:color="CFF2FC"/>
            </w:tcBorders>
            <w:shd w:val="clear" w:color="auto" w:fill="CFF2FC"/>
          </w:tcPr>
          <w:p>
            <w:pPr>
              <w:spacing w:after="0"/>
              <w:rPr>
                <w:sz w:val="24"/>
                <w:szCs w:val="24"/>
                <w:color w:val="auto"/>
              </w:rPr>
            </w:pPr>
          </w:p>
        </w:tc>
        <w:tc>
          <w:tcPr>
            <w:tcW w:w="260" w:type="dxa"/>
            <w:vAlign w:val="bottom"/>
            <w:tcBorders>
              <w:bottom w:val="single" w:sz="8" w:color="auto"/>
            </w:tcBorders>
            <w:shd w:val="clear" w:color="auto" w:fill="CFF2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240" w:type="dxa"/>
            <w:vAlign w:val="bottom"/>
            <w:tcBorders>
              <w:bottom w:val="single" w:sz="8" w:color="CFF2FC"/>
            </w:tcBorders>
            <w:shd w:val="clear" w:color="auto" w:fill="CFF2FC"/>
          </w:tcPr>
          <w:p>
            <w:pPr>
              <w:spacing w:after="0"/>
              <w:rPr>
                <w:sz w:val="24"/>
                <w:szCs w:val="24"/>
                <w:color w:val="auto"/>
              </w:rPr>
            </w:pPr>
          </w:p>
        </w:tc>
        <w:tc>
          <w:tcPr>
            <w:tcW w:w="18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220" w:type="dxa"/>
            <w:vAlign w:val="bottom"/>
            <w:tcBorders>
              <w:bottom w:val="single" w:sz="8" w:color="CFF2FC"/>
            </w:tcBorders>
            <w:shd w:val="clear" w:color="auto" w:fill="CFF2FC"/>
          </w:tcPr>
          <w:p>
            <w:pPr>
              <w:spacing w:after="0"/>
              <w:rPr>
                <w:sz w:val="24"/>
                <w:szCs w:val="24"/>
                <w:color w:val="auto"/>
              </w:rPr>
            </w:pPr>
          </w:p>
        </w:tc>
        <w:tc>
          <w:tcPr>
            <w:tcW w:w="280" w:type="dxa"/>
            <w:vAlign w:val="bottom"/>
            <w:tcBorders>
              <w:bottom w:val="single" w:sz="8" w:color="auto"/>
            </w:tcBorders>
            <w:shd w:val="clear" w:color="auto" w:fill="CFF2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tcBorders>
              <w:bottom w:val="single" w:sz="8" w:color="CFF2FC"/>
            </w:tcBorders>
            <w:shd w:val="clear" w:color="auto" w:fill="CFF2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Supplemental disclosure of cash flow information related to the Company's operating leases included in cash flows used in operating activities in the consolidated statements of cash flows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1"/>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8"/>
        </w:trPr>
        <w:tc>
          <w:tcPr>
            <w:tcW w:w="7040" w:type="dxa"/>
            <w:vAlign w:val="bottom"/>
            <w:shd w:val="clear" w:color="auto" w:fill="CFF2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60" w:type="dxa"/>
            <w:vAlign w:val="bottom"/>
            <w:shd w:val="clear" w:color="auto" w:fill="CFF2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420" w:type="dxa"/>
            <w:vAlign w:val="bottom"/>
            <w:gridSpan w:val="2"/>
            <w:shd w:val="clear" w:color="auto" w:fill="CFF2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2FC"/>
          </w:tcPr>
          <w:p>
            <w:pPr>
              <w:jc w:val="right"/>
              <w:ind w:right="20"/>
              <w:spacing w:after="0"/>
              <w:rPr>
                <w:sz w:val="20"/>
                <w:szCs w:val="20"/>
                <w:color w:val="auto"/>
              </w:rPr>
            </w:pPr>
            <w:r>
              <w:rPr>
                <w:rFonts w:ascii="Times New Roman" w:cs="Times New Roman" w:eastAsia="Times New Roman" w:hAnsi="Times New Roman"/>
                <w:sz w:val="18"/>
                <w:szCs w:val="18"/>
                <w:color w:val="auto"/>
              </w:rPr>
              <w:t>4,966</w:t>
            </w:r>
          </w:p>
        </w:tc>
        <w:tc>
          <w:tcPr>
            <w:tcW w:w="220" w:type="dxa"/>
            <w:vAlign w:val="bottom"/>
            <w:shd w:val="clear" w:color="auto" w:fill="CFF2FC"/>
          </w:tcPr>
          <w:p>
            <w:pPr>
              <w:spacing w:after="0"/>
              <w:rPr>
                <w:sz w:val="21"/>
                <w:szCs w:val="21"/>
                <w:color w:val="auto"/>
              </w:rPr>
            </w:pPr>
          </w:p>
        </w:tc>
        <w:tc>
          <w:tcPr>
            <w:tcW w:w="14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FF2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23,910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 were as follows: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7"/>
        </w:trPr>
        <w:tc>
          <w:tcPr>
            <w:tcW w:w="7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7040" w:type="dxa"/>
            <w:vAlign w:val="bottom"/>
            <w:shd w:val="clear" w:color="auto" w:fill="CFF2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260" w:type="dxa"/>
            <w:vAlign w:val="bottom"/>
            <w:shd w:val="clear" w:color="auto" w:fill="CFF2FC"/>
          </w:tcPr>
          <w:p>
            <w:pPr>
              <w:spacing w:after="0"/>
              <w:rPr>
                <w:sz w:val="20"/>
                <w:szCs w:val="20"/>
                <w:color w:val="auto"/>
              </w:rPr>
            </w:pPr>
          </w:p>
        </w:tc>
        <w:tc>
          <w:tcPr>
            <w:tcW w:w="640" w:type="dxa"/>
            <w:vAlign w:val="bottom"/>
            <w:shd w:val="clear" w:color="auto" w:fill="CFF2FC"/>
          </w:tcPr>
          <w:p>
            <w:pPr>
              <w:spacing w:after="0"/>
              <w:rPr>
                <w:sz w:val="20"/>
                <w:szCs w:val="20"/>
                <w:color w:val="auto"/>
              </w:rPr>
            </w:pPr>
          </w:p>
        </w:tc>
        <w:tc>
          <w:tcPr>
            <w:tcW w:w="200" w:type="dxa"/>
            <w:vAlign w:val="bottom"/>
            <w:shd w:val="clear" w:color="auto" w:fill="CFF2FC"/>
          </w:tcPr>
          <w:p>
            <w:pPr>
              <w:spacing w:after="0"/>
              <w:rPr>
                <w:sz w:val="20"/>
                <w:szCs w:val="20"/>
                <w:color w:val="auto"/>
              </w:rPr>
            </w:pPr>
          </w:p>
        </w:tc>
        <w:tc>
          <w:tcPr>
            <w:tcW w:w="240" w:type="dxa"/>
            <w:vAlign w:val="bottom"/>
            <w:shd w:val="clear" w:color="auto" w:fill="CFF2FC"/>
          </w:tcPr>
          <w:p>
            <w:pPr>
              <w:spacing w:after="0"/>
              <w:rPr>
                <w:sz w:val="20"/>
                <w:szCs w:val="20"/>
                <w:color w:val="auto"/>
              </w:rPr>
            </w:pPr>
          </w:p>
        </w:tc>
        <w:tc>
          <w:tcPr>
            <w:tcW w:w="180" w:type="dxa"/>
            <w:vAlign w:val="bottom"/>
            <w:shd w:val="clear" w:color="auto" w:fill="CFF2FC"/>
          </w:tcPr>
          <w:p>
            <w:pPr>
              <w:spacing w:after="0"/>
              <w:rPr>
                <w:sz w:val="20"/>
                <w:szCs w:val="20"/>
                <w:color w:val="auto"/>
              </w:rPr>
            </w:pPr>
          </w:p>
        </w:tc>
        <w:tc>
          <w:tcPr>
            <w:tcW w:w="660" w:type="dxa"/>
            <w:vAlign w:val="bottom"/>
            <w:shd w:val="clear" w:color="auto" w:fill="CFF2FC"/>
          </w:tcPr>
          <w:p>
            <w:pPr>
              <w:ind w:left="340"/>
              <w:spacing w:after="0"/>
              <w:rPr>
                <w:sz w:val="20"/>
                <w:szCs w:val="20"/>
                <w:color w:val="auto"/>
              </w:rPr>
            </w:pPr>
            <w:r>
              <w:rPr>
                <w:rFonts w:ascii="Times New Roman" w:cs="Times New Roman" w:eastAsia="Times New Roman" w:hAnsi="Times New Roman"/>
                <w:sz w:val="18"/>
                <w:szCs w:val="18"/>
                <w:color w:val="auto"/>
                <w:w w:val="95"/>
              </w:rPr>
              <w:t>6.51</w:t>
            </w:r>
          </w:p>
        </w:tc>
        <w:tc>
          <w:tcPr>
            <w:tcW w:w="220" w:type="dxa"/>
            <w:vAlign w:val="bottom"/>
            <w:shd w:val="clear" w:color="auto" w:fill="CFF2FC"/>
          </w:tcPr>
          <w:p>
            <w:pPr>
              <w:spacing w:after="0"/>
              <w:rPr>
                <w:sz w:val="20"/>
                <w:szCs w:val="20"/>
                <w:color w:val="auto"/>
              </w:rPr>
            </w:pPr>
          </w:p>
        </w:tc>
        <w:tc>
          <w:tcPr>
            <w:tcW w:w="300" w:type="dxa"/>
            <w:vAlign w:val="bottom"/>
            <w:shd w:val="clear" w:color="auto" w:fill="CFF2FC"/>
          </w:tcPr>
          <w:p>
            <w:pPr>
              <w:spacing w:after="0"/>
              <w:rPr>
                <w:sz w:val="20"/>
                <w:szCs w:val="20"/>
                <w:color w:val="auto"/>
              </w:rPr>
            </w:pPr>
          </w:p>
        </w:tc>
        <w:tc>
          <w:tcPr>
            <w:tcW w:w="220" w:type="dxa"/>
            <w:vAlign w:val="bottom"/>
            <w:shd w:val="clear" w:color="auto" w:fill="CFF2FC"/>
          </w:tcPr>
          <w:p>
            <w:pPr>
              <w:spacing w:after="0"/>
              <w:rPr>
                <w:sz w:val="20"/>
                <w:szCs w:val="20"/>
                <w:color w:val="auto"/>
              </w:rPr>
            </w:pPr>
          </w:p>
        </w:tc>
        <w:tc>
          <w:tcPr>
            <w:tcW w:w="140" w:type="dxa"/>
            <w:vAlign w:val="bottom"/>
            <w:shd w:val="clear" w:color="auto" w:fill="CFF2FC"/>
          </w:tcPr>
          <w:p>
            <w:pPr>
              <w:spacing w:after="0"/>
              <w:rPr>
                <w:sz w:val="20"/>
                <w:szCs w:val="20"/>
                <w:color w:val="auto"/>
              </w:rPr>
            </w:pPr>
          </w:p>
        </w:tc>
        <w:tc>
          <w:tcPr>
            <w:tcW w:w="104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FF2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7.18 %</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6.96 %</w:t>
            </w:r>
          </w:p>
        </w:tc>
      </w:tr>
    </w:tbl>
    <w:p>
      <w:pPr>
        <w:spacing w:after="0" w:line="98"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utilized its incremental borrowing rate based on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76" w:right="2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Future annual minimum lease payments relating to the Company's lease liabilities as of September 30, 2023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70"/>
        </w:trPr>
        <w:tc>
          <w:tcPr>
            <w:tcW w:w="1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5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20" w:type="dxa"/>
            <w:vAlign w:val="bottom"/>
            <w:tcBorders>
              <w:top w:val="single" w:sz="8" w:color="auto"/>
            </w:tcBorders>
            <w:shd w:val="clear" w:color="auto" w:fill="CFF0FC"/>
          </w:tcPr>
          <w:p>
            <w:pPr>
              <w:spacing w:after="0"/>
              <w:rPr>
                <w:sz w:val="23"/>
                <w:szCs w:val="23"/>
                <w:color w:val="auto"/>
              </w:rPr>
            </w:pPr>
          </w:p>
        </w:tc>
        <w:tc>
          <w:tcPr>
            <w:tcW w:w="520" w:type="dxa"/>
            <w:vAlign w:val="bottom"/>
            <w:tcBorders>
              <w:top w:val="single" w:sz="8" w:color="auto"/>
            </w:tcBorders>
            <w:shd w:val="clear" w:color="auto" w:fill="CFF0FC"/>
          </w:tcPr>
          <w:p>
            <w:pPr>
              <w:spacing w:after="0"/>
              <w:rPr>
                <w:sz w:val="23"/>
                <w:szCs w:val="23"/>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shd w:val="clear" w:color="auto" w:fill="CFF0FC"/>
          </w:tcPr>
          <w:p>
            <w:pPr>
              <w:spacing w:after="0"/>
              <w:rPr>
                <w:sz w:val="23"/>
                <w:szCs w:val="23"/>
                <w:color w:val="auto"/>
              </w:rPr>
            </w:pPr>
          </w:p>
        </w:tc>
      </w:tr>
      <w:tr>
        <w:trPr>
          <w:trHeight w:val="2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Pr>
          <w:p>
            <w:pPr>
              <w:spacing w:after="0"/>
              <w:rPr>
                <w:sz w:val="20"/>
                <w:szCs w:val="20"/>
                <w:color w:val="auto"/>
              </w:rPr>
            </w:pPr>
          </w:p>
        </w:tc>
      </w:tr>
      <w:tr>
        <w:trPr>
          <w:trHeight w:val="247"/>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FF0FC"/>
          </w:tcPr>
          <w:p>
            <w:pPr>
              <w:spacing w:after="0"/>
              <w:rPr>
                <w:sz w:val="21"/>
                <w:szCs w:val="21"/>
                <w:color w:val="auto"/>
              </w:rPr>
            </w:pPr>
          </w:p>
        </w:tc>
      </w:tr>
      <w:tr>
        <w:trPr>
          <w:trHeight w:val="2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20"/>
                <w:szCs w:val="20"/>
                <w:color w:val="auto"/>
              </w:rPr>
            </w:pPr>
          </w:p>
        </w:tc>
      </w:tr>
      <w:tr>
        <w:trPr>
          <w:trHeight w:val="247"/>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FF0FC"/>
          </w:tcPr>
          <w:p>
            <w:pPr>
              <w:spacing w:after="0"/>
              <w:rPr>
                <w:sz w:val="21"/>
                <w:szCs w:val="21"/>
                <w:color w:val="auto"/>
              </w:rPr>
            </w:pPr>
          </w:p>
        </w:tc>
      </w:tr>
      <w:tr>
        <w:trPr>
          <w:trHeight w:val="23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tcPr>
          <w:p>
            <w:pPr>
              <w:spacing w:after="0"/>
              <w:rPr>
                <w:sz w:val="20"/>
                <w:szCs w:val="20"/>
                <w:color w:val="auto"/>
              </w:rPr>
            </w:pPr>
          </w:p>
        </w:tc>
      </w:tr>
      <w:tr>
        <w:trPr>
          <w:trHeight w:val="241"/>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34,530</w:t>
            </w:r>
          </w:p>
        </w:tc>
        <w:tc>
          <w:tcPr>
            <w:tcW w:w="100" w:type="dxa"/>
            <w:vAlign w:val="bottom"/>
            <w:shd w:val="clear" w:color="auto" w:fill="CFF0FC"/>
          </w:tcPr>
          <w:p>
            <w:pPr>
              <w:spacing w:after="0"/>
              <w:rPr>
                <w:sz w:val="20"/>
                <w:szCs w:val="20"/>
                <w:color w:val="auto"/>
              </w:rPr>
            </w:pPr>
          </w:p>
        </w:tc>
      </w:tr>
      <w:tr>
        <w:trPr>
          <w:trHeight w:val="23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(8,017 )</w:t>
            </w:r>
          </w:p>
        </w:tc>
      </w:tr>
      <w:tr>
        <w:trPr>
          <w:trHeight w:val="277"/>
        </w:trPr>
        <w:tc>
          <w:tcPr>
            <w:tcW w:w="7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gridSpan w:val="2"/>
            <w:shd w:val="clear" w:color="auto" w:fill="CFF0FC"/>
          </w:tcPr>
          <w:p>
            <w:pPr>
              <w:jc w:val="center"/>
              <w:ind w:right="3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7"/>
        </w:trPr>
        <w:tc>
          <w:tcPr>
            <w:tcW w:w="16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Included in the balance sheet: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1"/>
        </w:trPr>
        <w:tc>
          <w:tcPr>
            <w:tcW w:w="16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4"/>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7200" w:type="dxa"/>
            <w:vAlign w:val="bottom"/>
            <w:gridSpan w:val="2"/>
            <w:shd w:val="clear" w:color="auto" w:fill="CFF2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shd w:val="clear" w:color="auto" w:fill="CFF2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FF2FC"/>
          </w:tcPr>
          <w:p>
            <w:pPr>
              <w:spacing w:after="0"/>
              <w:rPr>
                <w:sz w:val="21"/>
                <w:szCs w:val="21"/>
                <w:color w:val="auto"/>
              </w:rPr>
            </w:pPr>
          </w:p>
        </w:tc>
        <w:tc>
          <w:tcPr>
            <w:tcW w:w="540" w:type="dxa"/>
            <w:vAlign w:val="bottom"/>
            <w:gridSpan w:val="2"/>
            <w:shd w:val="clear" w:color="auto" w:fill="CFF2FC"/>
          </w:tcPr>
          <w:p>
            <w:pPr>
              <w:jc w:val="center"/>
              <w:ind w:right="3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FF2FC"/>
          </w:tcPr>
          <w:p>
            <w:pPr>
              <w:spacing w:after="0"/>
              <w:rPr>
                <w:sz w:val="21"/>
                <w:szCs w:val="21"/>
                <w:color w:val="auto"/>
              </w:rPr>
            </w:pPr>
          </w:p>
        </w:tc>
      </w:tr>
      <w:tr>
        <w:trPr>
          <w:trHeight w:val="25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00" w:type="dxa"/>
            <w:vAlign w:val="bottom"/>
          </w:tcPr>
          <w:p>
            <w:pPr>
              <w:spacing w:after="0"/>
              <w:rPr>
                <w:sz w:val="21"/>
                <w:szCs w:val="21"/>
                <w:color w:val="auto"/>
              </w:rPr>
            </w:pPr>
          </w:p>
        </w:tc>
      </w:tr>
      <w:tr>
        <w:trPr>
          <w:trHeight w:val="279"/>
        </w:trPr>
        <w:tc>
          <w:tcPr>
            <w:tcW w:w="7200" w:type="dxa"/>
            <w:vAlign w:val="bottom"/>
            <w:tcBorders>
              <w:bottom w:val="single" w:sz="8" w:color="CFF2FC"/>
            </w:tcBorders>
            <w:gridSpan w:val="2"/>
            <w:shd w:val="clear" w:color="auto" w:fill="CFF2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FF2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180" w:type="dxa"/>
            <w:vAlign w:val="bottom"/>
            <w:tcBorders>
              <w:bottom w:val="single" w:sz="8" w:color="CFF2FC"/>
            </w:tcBorders>
            <w:shd w:val="clear" w:color="auto" w:fill="CFF2FC"/>
          </w:tcPr>
          <w:p>
            <w:pPr>
              <w:spacing w:after="0"/>
              <w:rPr>
                <w:sz w:val="24"/>
                <w:szCs w:val="24"/>
                <w:color w:val="auto"/>
              </w:rPr>
            </w:pPr>
          </w:p>
        </w:tc>
        <w:tc>
          <w:tcPr>
            <w:tcW w:w="20" w:type="dxa"/>
            <w:vAlign w:val="bottom"/>
            <w:tcBorders>
              <w:bottom w:val="single" w:sz="8" w:color="CFF2FC"/>
            </w:tcBorders>
            <w:shd w:val="clear" w:color="auto" w:fill="CFF2FC"/>
          </w:tcPr>
          <w:p>
            <w:pPr>
              <w:spacing w:after="0"/>
              <w:rPr>
                <w:sz w:val="24"/>
                <w:szCs w:val="24"/>
                <w:color w:val="auto"/>
              </w:rPr>
            </w:pPr>
          </w:p>
        </w:tc>
        <w:tc>
          <w:tcPr>
            <w:tcW w:w="520" w:type="dxa"/>
            <w:vAlign w:val="bottom"/>
            <w:tcBorders>
              <w:bottom w:val="single" w:sz="8" w:color="auto"/>
            </w:tcBorders>
            <w:shd w:val="clear" w:color="auto" w:fill="CFF2FC"/>
          </w:tcPr>
          <w:p>
            <w:pPr>
              <w:jc w:val="center"/>
              <w:ind w:right="3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100" w:type="dxa"/>
            <w:vAlign w:val="bottom"/>
            <w:tcBorders>
              <w:bottom w:val="single" w:sz="8" w:color="CFF2FC"/>
            </w:tcBorders>
            <w:shd w:val="clear" w:color="auto" w:fill="CFF2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tables above do not include lease payments related to the Company’s Arsenal on the Charles facility because as of September 30, 2023, the lease commencement date had not occurred. Additionally, the tables above do not include the impact of shortening the term for the 500 Arsenal Street Lease as the term date is contingent upon events not in the Company's control.</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security deposits of $652 in connection with various of its real estate leases, which amounts are included in other long-term assets on the Company's consolidated balance sheets. In addition, the Company is required to maintain letters of credit for certain of its leases, collateralized by money market accounts of $3,968, which amounts are classified as long-term restricted cash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The Company records all legal expenses associated with the patent infringement suit as incurred in the consolidated statements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92" w:name="page93"/>
    <w:bookmarkEnd w:id="92"/>
    <w:p>
      <w:pPr>
        <w:ind w:right="300"/>
        <w:spacing w:after="0" w:line="266" w:lineRule="auto"/>
        <w:rPr>
          <w:sz w:val="20"/>
          <w:szCs w:val="20"/>
          <w:color w:val="auto"/>
        </w:rPr>
      </w:pPr>
      <w:r>
        <w:rPr>
          <w:rFonts w:ascii="Times New Roman" w:cs="Times New Roman" w:eastAsia="Times New Roman" w:hAnsi="Times New Roman"/>
          <w:sz w:val="18"/>
          <w:szCs w:val="18"/>
          <w:color w:val="auto"/>
        </w:rPr>
        <w:t>does not believe that the outcome of any claims under indemnification arrangements will have a material effect on its financial position, results of operations or cash flows, and has not accrued any liabilities related to such obligations in its consolidated financial statements as of September 30,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for all periods presented is from domestic operations, which are the Company’s only operations.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2022, and 2021, the Company recorded income tax (expense) benefit as follows: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left="815"/>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83"/>
        </w:trPr>
        <w:tc>
          <w:tcPr>
            <w:tcW w:w="21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020" w:type="dxa"/>
            <w:vAlign w:val="bottom"/>
            <w:gridSpan w:val="2"/>
            <w:shd w:val="clear" w:color="auto" w:fill="CFF0FC"/>
          </w:tcPr>
          <w:p>
            <w:pPr>
              <w:jc w:val="right"/>
              <w:ind w:right="3330"/>
              <w:spacing w:after="0"/>
              <w:rPr>
                <w:sz w:val="20"/>
                <w:szCs w:val="20"/>
                <w:color w:val="auto"/>
              </w:rPr>
            </w:pPr>
            <w:r>
              <w:rPr>
                <w:rFonts w:ascii="Times New Roman" w:cs="Times New Roman" w:eastAsia="Times New Roman" w:hAnsi="Times New Roman"/>
                <w:sz w:val="18"/>
                <w:szCs w:val="18"/>
                <w:color w:val="auto"/>
              </w:rPr>
              <w:t>benefit:</w:t>
            </w: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(2,522 )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28,721</w:t>
            </w:r>
          </w:p>
        </w:tc>
        <w:tc>
          <w:tcPr>
            <w:tcW w:w="100" w:type="dxa"/>
            <w:vAlign w:val="bottom"/>
          </w:tcPr>
          <w:p>
            <w:pPr>
              <w:spacing w:after="0"/>
              <w:rPr>
                <w:sz w:val="20"/>
                <w:szCs w:val="20"/>
                <w:color w:val="auto"/>
              </w:rPr>
            </w:pPr>
          </w:p>
        </w:tc>
      </w:tr>
      <w:tr>
        <w:trPr>
          <w:trHeight w:val="247"/>
        </w:trPr>
        <w:tc>
          <w:tcPr>
            <w:tcW w:w="2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21"/>
                <w:szCs w:val="21"/>
                <w:color w:val="auto"/>
              </w:rPr>
            </w:pPr>
          </w:p>
        </w:tc>
      </w:tr>
      <w:tr>
        <w:trPr>
          <w:trHeight w:val="239"/>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(343 )</w:t>
            </w:r>
          </w:p>
        </w:tc>
      </w:tr>
      <w:tr>
        <w:trPr>
          <w:trHeight w:val="239"/>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7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(2,821 )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shd w:val="clear" w:color="auto" w:fill="CFF0FC"/>
          </w:tcPr>
          <w:p>
            <w:pPr>
              <w:spacing w:after="0"/>
              <w:rPr>
                <w:sz w:val="22"/>
                <w:szCs w:val="22"/>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3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is as follows:</w:t>
      </w:r>
    </w:p>
    <w:p>
      <w:pPr>
        <w:spacing w:after="0" w:line="23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44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(21.0 ) %</w:t>
            </w: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7"/>
              </w:rPr>
              <w:t>(21.0 ) %</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(2.7 )</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research and development tax credit</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(4.6 )</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(4.6 )</w:t>
            </w: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research and development tax credit</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(0.9 )</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6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(7.0 )</w:t>
            </w:r>
          </w:p>
        </w:tc>
        <w:tc>
          <w:tcPr>
            <w:tcW w:w="78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deferred tax rate</w:t>
            </w: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(0.3 )</w:t>
            </w:r>
          </w:p>
        </w:tc>
        <w:tc>
          <w:tcPr>
            <w:tcW w:w="7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(0.3 )</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0"/>
              <w:spacing w:after="0" w:line="241" w:lineRule="exact"/>
              <w:rPr>
                <w:sz w:val="20"/>
                <w:szCs w:val="20"/>
                <w:color w:val="auto"/>
              </w:rPr>
            </w:pPr>
            <w:r>
              <w:rPr>
                <w:rFonts w:ascii="Times New Roman" w:cs="Times New Roman" w:eastAsia="Times New Roman" w:hAnsi="Times New Roman"/>
                <w:sz w:val="15"/>
                <w:szCs w:val="15"/>
                <w:color w:val="auto"/>
              </w:rPr>
              <w:t xml:space="preserve">(0.4 ) </w:t>
            </w:r>
            <w:r>
              <w:rPr>
                <w:rFonts w:ascii="Times New Roman" w:cs="Times New Roman" w:eastAsia="Times New Roman" w:hAnsi="Times New Roman"/>
                <w:sz w:val="27"/>
                <w:szCs w:val="27"/>
                <w:color w:val="auto"/>
                <w:vertAlign w:val="subscript"/>
              </w:rPr>
              <w:t>%</w:t>
            </w:r>
          </w:p>
        </w:tc>
        <w:tc>
          <w:tcPr>
            <w:tcW w:w="1200" w:type="dxa"/>
            <w:vAlign w:val="bottom"/>
            <w:gridSpan w:val="2"/>
          </w:tcPr>
          <w:p>
            <w:pPr>
              <w:jc w:val="right"/>
              <w:spacing w:after="0" w:line="241" w:lineRule="exact"/>
              <w:rPr>
                <w:sz w:val="20"/>
                <w:szCs w:val="20"/>
                <w:color w:val="auto"/>
              </w:rPr>
            </w:pPr>
            <w:r>
              <w:rPr>
                <w:rFonts w:ascii="Times New Roman" w:cs="Times New Roman" w:eastAsia="Times New Roman" w:hAnsi="Times New Roman"/>
                <w:sz w:val="15"/>
                <w:szCs w:val="15"/>
                <w:color w:val="auto"/>
              </w:rPr>
              <w:t xml:space="preserve">(26.6 ) </w:t>
            </w:r>
            <w:r>
              <w:rPr>
                <w:rFonts w:ascii="Times New Roman" w:cs="Times New Roman" w:eastAsia="Times New Roman" w:hAnsi="Times New Roman"/>
                <w:sz w:val="27"/>
                <w:szCs w:val="27"/>
                <w:color w:val="auto"/>
                <w:vertAlign w:val="subscript"/>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-187960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-187960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-187960</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 tax rates during the years ended September 30, 2023 and 2022 differ from the U.S. federal statutory rate primarily due to the full valuation allowance maintained on the Company’s net deferred tax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September 30, 2023, 2022, and 2021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 beginning of year</w:t>
            </w:r>
          </w:p>
        </w:tc>
        <w:tc>
          <w:tcPr>
            <w:tcW w:w="2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(67,726 )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(29,298 )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(18,259 )</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recorded to valuation allowance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(47,394 )</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(38,428 )</w:t>
            </w: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(11,039 )</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6"/>
        </w:trPr>
        <w:tc>
          <w:tcPr>
            <w:tcW w:w="580" w:type="dxa"/>
            <w:vAlign w:val="bottom"/>
          </w:tcPr>
          <w:p>
            <w:pPr>
              <w:spacing w:after="0"/>
              <w:rPr>
                <w:sz w:val="24"/>
                <w:szCs w:val="2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 end of year</w:t>
            </w:r>
          </w:p>
        </w:tc>
        <w:tc>
          <w:tcPr>
            <w:tcW w:w="196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(115,120 )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(67,726 )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(29,298 )</w:t>
            </w:r>
          </w:p>
        </w:tc>
        <w:tc>
          <w:tcPr>
            <w:tcW w:w="560" w:type="dxa"/>
            <w:vAlign w:val="bottom"/>
          </w:tcPr>
          <w:p>
            <w:pPr>
              <w:spacing w:after="0"/>
              <w:rPr>
                <w:sz w:val="24"/>
                <w:szCs w:val="24"/>
                <w:color w:val="auto"/>
              </w:rPr>
            </w:pPr>
          </w:p>
        </w:tc>
      </w:tr>
      <w:tr>
        <w:trPr>
          <w:trHeight w:val="575"/>
        </w:trPr>
        <w:tc>
          <w:tcPr>
            <w:tcW w:w="580" w:type="dxa"/>
            <w:vAlign w:val="bottom"/>
          </w:tcPr>
          <w:p>
            <w:pPr>
              <w:spacing w:after="0"/>
              <w:rPr>
                <w:sz w:val="24"/>
                <w:szCs w:val="24"/>
                <w:color w:val="auto"/>
              </w:rPr>
            </w:pPr>
          </w:p>
        </w:tc>
        <w:tc>
          <w:tcPr>
            <w:tcW w:w="396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ind w:left="920"/>
              <w:spacing w:after="0"/>
              <w:rPr>
                <w:sz w:val="20"/>
                <w:szCs w:val="20"/>
                <w:color w:val="auto"/>
              </w:rPr>
            </w:pPr>
            <w:r>
              <w:rPr>
                <w:rFonts w:ascii="Times New Roman" w:cs="Times New Roman" w:eastAsia="Times New Roman" w:hAnsi="Times New Roman"/>
                <w:sz w:val="18"/>
                <w:szCs w:val="18"/>
                <w:color w:val="auto"/>
              </w:rPr>
              <w:t>F-23</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-488315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-471170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-488315</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-471170</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Net deferred tax assets as of September 30, 2023 and 2022 consisted of the following:</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2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29,105</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loss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w:t>
            </w: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(115,120 )</w:t>
            </w: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(67,726 )</w:t>
            </w:r>
          </w:p>
        </w:tc>
      </w:tr>
      <w:tr>
        <w:trPr>
          <w:trHeight w:val="237"/>
        </w:trPr>
        <w:tc>
          <w:tcPr>
            <w:tcW w:w="69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tcBorders>
              <w:top w:val="single" w:sz="8" w:color="CFF0FC"/>
            </w:tcBorders>
          </w:tcPr>
          <w:p>
            <w:pPr>
              <w:spacing w:after="0"/>
              <w:rPr>
                <w:sz w:val="20"/>
                <w:szCs w:val="20"/>
                <w:color w:val="auto"/>
              </w:rPr>
            </w:pPr>
          </w:p>
        </w:tc>
      </w:tr>
      <w:tr>
        <w:trPr>
          <w:trHeight w:val="247"/>
        </w:trPr>
        <w:tc>
          <w:tcPr>
            <w:tcW w:w="6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(1,525 )</w:t>
            </w: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(5,606 )</w:t>
            </w:r>
          </w:p>
        </w:tc>
      </w:tr>
      <w:tr>
        <w:trPr>
          <w:trHeight w:val="239"/>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0"/>
                <w:szCs w:val="20"/>
                <w:color w:val="auto"/>
              </w:rPr>
            </w:pP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(5,456 )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r>
      <w:tr>
        <w:trPr>
          <w:trHeight w:val="243"/>
        </w:trPr>
        <w:tc>
          <w:tcPr>
            <w:tcW w:w="6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(581 )</w:t>
            </w: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(280 )</w:t>
            </w:r>
          </w:p>
        </w:tc>
      </w:tr>
      <w:tr>
        <w:trPr>
          <w:trHeight w:val="20"/>
        </w:trPr>
        <w:tc>
          <w:tcPr>
            <w:tcW w:w="6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Pr>
          <w:p>
            <w:pPr>
              <w:spacing w:after="0"/>
              <w:rPr>
                <w:sz w:val="20"/>
                <w:szCs w:val="20"/>
                <w:color w:val="auto"/>
              </w:rPr>
            </w:pP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(7,562 )</w:t>
            </w: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(5,974 )</w:t>
            </w:r>
          </w:p>
        </w:tc>
      </w:tr>
      <w:tr>
        <w:trPr>
          <w:trHeight w:val="27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-1602740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-1602740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-1285240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-1285240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-351155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2023, the Company did not have federal net operating loss carryforwards. As of September 30, 2023, the Company had state net operating loss carryforwards of $702, which may be available to offset future taxable income and expires in 2032. As of September 30, 2023, the Company also had federal and state research and development tax credit carryforwards of $11,377 and $6,035, respectively, which may be available to reduce future tax liabilities and expire at various dates beginning in 2042 and 2035, respectively.</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Utilization of the federal and state net operating loss carryforwards and research and development tax credit carryforwards may be subject to a substantial annual limitation under Sections 382 and 383 of the Internal Revenue Code ("IRC") of 1986, and corresponding provisions of state law, due to ownership changes that may have occurred previously or that could occur in the future. These ownership changes may limit the amount of net operating loss and research and development tax credit carryforwards that can be utilized annually to offset future tax liabilities. In general, an ownership change, as defined by Section 382, results from transactions that increase the ownership of 5% stockholders in the stock of a corporation by more than 50% in the aggregate over a three-year period. The Company completed a review of the changes in ownership through September 30, 2022 and determined that the transactions have not resulted in an ownership change during the year ended September 30, 2022, as defined by Section 382. The impact of the historical ownership changes have been reflected within our deferred tax assets shown in the table above. Although the Company believes that these ownership changes have not resulted in material limitations on its ability to use these net operating losses and credit carryforwards, its ability to utilize these and future net operating losses and credit carryforwards may be limited due to future ownership changes or for other reasons. As a result, the Company may not be able to take full advantage of its carryforwards for U.S. federal and state tax purposes.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which are comprised primarily of net operating loss carryforwards, research and development tax credit carryforwards and stock compensation expense. The Company considers it more likely that it will not have sufficient taxable income in the future that will allow it to realize all of its existing deferred tax assets. This is due to the fact the Company continues to progress its wholly-owned research and development programs and its declining royalty revenues from its Collaboration Agreement with AbbVie. As a result, the Company continued to record a valuation allowance as of September 30, 2023 against its deferred tax assets to reduce a portion of the Company’s deferred tax assets for which the Company does not believe it is more likely than not these will be realized.</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in the U.S. are still open under statute from 2020 to the present. Earlier years may be examined to the extent that tax credit or net operating loss carryforwards are used in future periods. The Company has not received notice of examination by any jurisdiction for any tax year open under statute.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4" w:name="page95"/>
    <w:bookmarkEnd w:id="94"/>
    <w:p>
      <w:pPr>
        <w:ind w:right="240"/>
        <w:spacing w:after="0" w:line="261" w:lineRule="auto"/>
        <w:rPr>
          <w:sz w:val="20"/>
          <w:szCs w:val="20"/>
          <w:color w:val="auto"/>
        </w:rPr>
      </w:pPr>
      <w:r>
        <w:rPr>
          <w:rFonts w:ascii="Times New Roman" w:cs="Times New Roman" w:eastAsia="Times New Roman" w:hAnsi="Times New Roman"/>
          <w:sz w:val="18"/>
          <w:szCs w:val="18"/>
          <w:color w:val="auto"/>
        </w:rPr>
        <w:t>Beginning in October 1, 2022, the Tax Cuts and Jobs Act of 2017 (the “Tax Act”) eliminated the Company’s option to deduct research and development expenditures currently and requires taxpayers to amortize them over five years for domestic research expenditures and over fifteen years for foreign research expenditures, pursuant to IRC 174. The most significant impact of this provision is an increase to the current taxable income for the year ended September 30, 2023, the tax year in which the provision took effect for the Company.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in March 2020. The CARES Act lifted certain deduction limitations originally imposed by the Tax Act. Under the CARES Act, the Company was permitted to carryback net operating losses for up to five years for losses generated in fiscal 2018 through fiscal 2021. Net operating loss carrybacks were previously prohibited under the Tax Act. The CARES Act also eliminated the 80% of taxable income limitations by allowing corporate entities to fully utilize net operating loss carryforwards to offset taxable income in fiscal years 2018, 2019 or 2020. In addition, the CARES Act made qualified improvement property eligible for 15-year cost-recovery and 100% bonus depreciation. The enactment of the CARES Act resulted in a $28,721 income tax benefit related to a federal net operating loss carryback at the previously enacted 35% rate in the Company’s consolidated financial statements during the year ended September 30, 2021. As of September 30, 2023 and 2022, the Company had an income tax receivable of $31,004 and $28,718, respectively, which includes interest receivable of $1,390 as of September 30, 2023.</w:t>
      </w:r>
    </w:p>
    <w:p>
      <w:pPr>
        <w:spacing w:after="0" w:line="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Company’s policy is to record interest and penalties related to uncertain tax positions as part of income tax expense. Total interest related to uncertain tax positions recorded as a liability on the Company’s consolidated balance sheets were $3 and $44 as of September 30, 2023 and 2022, respectively. A reconciliation of the beginning and ending amount of uncertain tax positions is summarized as follows: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86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100" w:type="dxa"/>
            <w:vAlign w:val="bottom"/>
            <w:vMerge w:val="continue"/>
          </w:tcPr>
          <w:p>
            <w:pPr>
              <w:spacing w:after="0"/>
              <w:rPr>
                <w:sz w:val="20"/>
                <w:szCs w:val="20"/>
                <w:color w:val="auto"/>
              </w:rPr>
            </w:pP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for the current period</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due to lapse of statute of limitations</w:t>
            </w:r>
          </w:p>
        </w:tc>
        <w:tc>
          <w:tcPr>
            <w:tcW w:w="8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(156 )</w:t>
            </w:r>
          </w:p>
        </w:tc>
        <w:tc>
          <w:tcPr>
            <w:tcW w:w="4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(reductions) for tax positions of prior periods</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9"/>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-187960</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that its uncertain tax position will materially change within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401(k) Plan</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 has a 401(k) plan. This plan covers substantially all employees who meet minimum age and service requirements. During the years ended September 30, 2023, 2022, and 2021, the Company recognized $1,784, $1,596, and $1,353, respectively, of expense related to its contributions to this plan.</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2"/>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24"/>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Subsidiaries of the Company</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1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24"/>
                <w:szCs w:val="24"/>
                <w:color w:val="auto"/>
              </w:rPr>
            </w:pPr>
          </w:p>
        </w:tc>
        <w:tc>
          <w:tcPr>
            <w:tcW w:w="37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24"/>
                <w:szCs w:val="24"/>
                <w:color w:val="auto"/>
              </w:rPr>
            </w:pPr>
          </w:p>
        </w:tc>
        <w:tc>
          <w:tcPr>
            <w:tcW w:w="3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STATE OR COUNTRY OF INCORPORATION</w:t>
            </w:r>
          </w:p>
        </w:tc>
      </w:tr>
      <w:tr>
        <w:trPr>
          <w:trHeight w:val="372"/>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Enanta Pharmaceuticals Security Corporation</w:t>
            </w:r>
          </w:p>
        </w:tc>
        <w:tc>
          <w:tcPr>
            <w:tcW w:w="30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Enanta Pharmaceuticals, Inc.</w:t>
            </w:r>
          </w:p>
        </w:tc>
        <w:tc>
          <w:tcPr>
            <w:tcW w:w="28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776"/>
        </w:trPr>
        <w:tc>
          <w:tcPr>
            <w:tcW w:w="3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(Nos. 333-189217, 333-192935, 333-202257, 333-209542, 333-215011, 333-221988, 333-231375, 333-231384, 333-255957, 333-264794, and 333-273800) of Enanta Pharmaceuticals, Inc. of our report dated November 22, 2023 relating to the financial statements and the effectiveness of internal control over financial reporting, which appears in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7" w:name="page98"/>
    <w:bookmarkEnd w:id="9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certify that:</w:t>
      </w:r>
    </w:p>
    <w:p>
      <w:pPr>
        <w:spacing w:after="0" w:line="117"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0" w:hanging="479"/>
        <w:spacing w:after="0" w:line="282"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3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00" w:hanging="479"/>
        <w:spacing w:after="0" w:line="282" w:lineRule="auto"/>
        <w:tabs>
          <w:tab w:leader="none" w:pos="8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2023</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8" w:name="page99"/>
    <w:bookmarkEnd w:id="9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28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3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00" w:hanging="479"/>
        <w:spacing w:after="0" w:line="282" w:lineRule="auto"/>
        <w:tabs>
          <w:tab w:leader="none" w:pos="8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2023</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Financial Office</w:t>
      </w:r>
      <w:r>
        <w:rPr>
          <w:rFonts w:ascii="Times New Roman" w:cs="Times New Roman" w:eastAsia="Times New Roman" w:hAnsi="Times New Roman"/>
          <w:sz w:val="18"/>
          <w:szCs w:val="18"/>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9" w:name="page100"/>
    <w:bookmarkEnd w:id="9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2023 complies with the requirements of Section 13(a) or 15(d) of the Securities Exchange Act of 1934 and that information contained in the Form 10-K fairly presents, in all material respects, the financial condition and results of operations of Enanta.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22, 2023</w:t>
      </w:r>
    </w:p>
    <w:p>
      <w:pPr>
        <w:spacing w:after="0" w:line="26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22, 2023</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8">
    <w:nsid w:val="22221A70"/>
    <w:multiLevelType w:val="hybridMultilevel"/>
    <w:lvl w:ilvl="0">
      <w:lvlJc w:val="left"/>
      <w:lvlText w:val="•"/>
      <w:numFmt w:val="bullet"/>
      <w:start w:val="1"/>
    </w:lvl>
    <w:lvl w:ilvl="1">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lvl w:ilvl="1">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4">
    <w:nsid w:val="3DC240FB"/>
    <w:multiLevelType w:val="hybridMultilevel"/>
    <w:lvl w:ilvl="0">
      <w:lvlJc w:val="left"/>
      <w:lvlText w:val="•"/>
      <w:numFmt w:val="bullet"/>
      <w:start w:val="1"/>
    </w:lvl>
    <w:lvl w:ilvl="1">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lvl w:ilvl="1">
      <w:lvlJc w:val="left"/>
      <w:lvlText w:val="%2"/>
      <w:numFmt w:val="decimal"/>
      <w:start w:val="104"/>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7"/>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107" Type="http://schemas.openxmlformats.org/officeDocument/2006/relationships/hyperlink" Target="https://www.sec.gov/Archives/edgar/data/1177648/000119312513132679/d511662dex31.htm" TargetMode="External"/><Relationship Id="rId108" Type="http://schemas.openxmlformats.org/officeDocument/2006/relationships/hyperlink" Target="https://www.sec.gov/Archives/edgar/data/1177648/000119312515294582/d95810dex32.htm" TargetMode="External"/><Relationship Id="rId109" Type="http://schemas.openxmlformats.org/officeDocument/2006/relationships/hyperlink" Target="https://www.sec.gov/Archives/edgar/data/1177648/000119312513038960/d401292dex41.htm" TargetMode="External"/><Relationship Id="rId110" Type="http://schemas.openxmlformats.org/officeDocument/2006/relationships/hyperlink" Target="https://www.sec.gov/Archives/edgar/data/1177648/000156459017024794/enta-ex43_1302.htm" TargetMode="External"/><Relationship Id="rId111" Type="http://schemas.openxmlformats.org/officeDocument/2006/relationships/hyperlink" Target="https://www.sec.gov/Archives/edgar/data/1177648/000156459019044729/enta-ex43_411.htm" TargetMode="External"/><Relationship Id="rId112" Type="http://schemas.openxmlformats.org/officeDocument/2006/relationships/hyperlink" Target="https://www.sec.gov/Archives/edgar/data/1177648/000119312513038960/d401292dex107.htm" TargetMode="External"/><Relationship Id="rId113" Type="http://schemas.openxmlformats.org/officeDocument/2006/relationships/hyperlink" Target="https://www.sec.gov/Archives/edgar/data/1177648/000119312513091763/d401292dex105.htm" TargetMode="External"/><Relationship Id="rId114" Type="http://schemas.openxmlformats.org/officeDocument/2006/relationships/hyperlink" Target="https://www.sec.gov/Archives/edgar/data/1177648/000119312513091763/d401292dex1017.htm" TargetMode="External"/><Relationship Id="rId115" Type="http://schemas.openxmlformats.org/officeDocument/2006/relationships/hyperlink" Target="https://www.sec.gov/Archives/edgar/data/1177648/000156459021004518/enta-ex101_25.htm" TargetMode="External"/><Relationship Id="rId116" Type="http://schemas.openxmlformats.org/officeDocument/2006/relationships/hyperlink" Target="https://www.sec.gov/Archives/edgar/data/1177648/000156459021004518/enta-ex102_24.htm" TargetMode="External"/><Relationship Id="rId117" Type="http://schemas.openxmlformats.org/officeDocument/2006/relationships/hyperlink" Target="https://www.sec.gov/Archives/edgar/data/1177648/000119312515179595/d873137dex101.htm" TargetMode="External"/><Relationship Id="rId118" Type="http://schemas.openxmlformats.org/officeDocument/2006/relationships/hyperlink" Target="https://www.sec.gov/Archives/edgar/data/1177648/000119312512454422/d401292dex106.htm" TargetMode="External"/><Relationship Id="rId119" Type="http://schemas.openxmlformats.org/officeDocument/2006/relationships/hyperlink" Target="https://www.sec.gov/Archives/edgar/data/1177648/000119312515179595/d873137dex102.htm" TargetMode="External"/><Relationship Id="rId122" Type="http://schemas.openxmlformats.org/officeDocument/2006/relationships/hyperlink" Target="https://www.sec.gov/Archives/edgar/data/1177648/000119312523122434/d500394dex101.htm" TargetMode="External"/><Relationship Id="rId123" Type="http://schemas.openxmlformats.org/officeDocument/2006/relationships/hyperlink" Target="https://www.sec.gov/Archives/edgar/data/1177648/000119312522153071/d349963dex101.htm" TargetMode="External"/><Relationship Id="rId124" Type="http://schemas.openxmlformats.org/officeDocument/2006/relationships/hyperlink" Target="https://www.sec.gov/Archives/edgar/data/1177648/000156459018030275/enta-ex1010_399.htm" TargetMode="External"/><Relationship Id="rId125" Type="http://schemas.openxmlformats.org/officeDocument/2006/relationships/hyperlink" Target="https://www.sec.gov/Archives/edgar/data/1177648/000119312522153071/d349963dex102.htm" TargetMode="External"/><Relationship Id="rId126" Type="http://schemas.openxmlformats.org/officeDocument/2006/relationships/hyperlink" Target="https://www.sec.gov/Archives/edgar/data/1177648/000119312522153071/d349963dex103.htm" TargetMode="External"/><Relationship Id="rId127" Type="http://schemas.openxmlformats.org/officeDocument/2006/relationships/hyperlink" Target="https://www.sec.gov/Archives/edgar/data/1177648/000119312517004530/d325877dex1014.htm" TargetMode="External"/><Relationship Id="rId128" Type="http://schemas.openxmlformats.org/officeDocument/2006/relationships/hyperlink" Target="https://www.sec.gov/Archives/edgar/data/1177648/000119312513091763/d401292dex1013.htm" TargetMode="External"/><Relationship Id="rId129" Type="http://schemas.openxmlformats.org/officeDocument/2006/relationships/hyperlink" Target="https://www.sec.gov/Archives/edgar/data/1177648/000119312513091763/d401292dex1014.htm" TargetMode="External"/><Relationship Id="rId130" Type="http://schemas.openxmlformats.org/officeDocument/2006/relationships/hyperlink" Target="https://www.sec.gov/Archives/edgar/data/1177648/000119312513091763/d401292dex1015.htm" TargetMode="External"/><Relationship Id="rId131" Type="http://schemas.openxmlformats.org/officeDocument/2006/relationships/hyperlink" Target="https://www.sec.gov/Archives/edgar/data/1177648/000156459017024794/enta-ex1018_1136.htm" TargetMode="External"/><Relationship Id="rId132" Type="http://schemas.openxmlformats.org/officeDocument/2006/relationships/hyperlink" Target="https://www.sec.gov/Archives/edgar/data/1177648/000156459017024794/enta-ex1019_1137.htm" TargetMode="External"/><Relationship Id="rId133" Type="http://schemas.openxmlformats.org/officeDocument/2006/relationships/hyperlink" Target="https://www.sec.gov/Archives/edgar/data/1177648/000119312513038960/d401292dex1016.htm" TargetMode="External"/><Relationship Id="rId134" Type="http://schemas.openxmlformats.org/officeDocument/2006/relationships/hyperlink" Target="https://www.sec.gov/Archives/edgar/data/1177648/000095017023006453/enta-ex10_1.htm" TargetMode="External"/><Relationship Id="rId135" Type="http://schemas.openxmlformats.org/officeDocument/2006/relationships/hyperlink" Target="https://www.sec.gov/Archives/edgar/data/1177648/000156459019018517/enta-ex102_12.htm" TargetMode="External"/><Relationship Id="rId136" Type="http://schemas.openxmlformats.org/officeDocument/2006/relationships/hyperlink" Target="https://www.sec.gov/Archives/edgar/data/1177648/000156459019018517/enta-ex103_11.htm" TargetMode="External"/><Relationship Id="rId137" Type="http://schemas.openxmlformats.org/officeDocument/2006/relationships/hyperlink" Target="https://www.sec.gov/Archives/edgar/data/1177648/000156459019018517/enta-ex104_166.htm" TargetMode="External"/><Relationship Id="rId138" Type="http://schemas.openxmlformats.org/officeDocument/2006/relationships/hyperlink" Target="https://www.sec.gov/Archives/edgar/data/1177648/000156459019018517/enta-ex105_165.htm" TargetMode="External"/><Relationship Id="rId139" Type="http://schemas.openxmlformats.org/officeDocument/2006/relationships/hyperlink" Target="https://www.sec.gov/Archives/edgar/data/1177648/000156459020055233/enta-ex1027_4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2023-11-22T15:55:26Z</dcterms:created>
  <dcterms:modified xsi:type="dcterms:W3CDTF">2023-11-22T15:55:26Z</dcterms:modified>
</cp:coreProperties>
</file>