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1223010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1238250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3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110"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8" w:lineRule="exact"/>
        <w:rPr>
          <w:rFonts w:ascii="MS PGothic" w:cs="MS PGothic" w:eastAsia="MS PGothic" w:hAnsi="MS PGothic"/>
          <w:sz w:val="16"/>
          <w:szCs w:val="16"/>
          <w:b w:val="1"/>
          <w:bCs w:val="1"/>
          <w:color w:val="auto"/>
        </w:rPr>
      </w:pPr>
    </w:p>
    <w:p>
      <w:pPr>
        <w:ind w:left="3920"/>
        <w:spacing w:after="0"/>
        <w:rPr>
          <w:rFonts w:ascii="MS PGothic" w:cs="MS PGothic" w:eastAsia="MS PGothic" w:hAnsi="MS PGothic"/>
          <w:sz w:val="16"/>
          <w:szCs w:val="16"/>
          <w:b w:val="1"/>
          <w:bCs w:val="1"/>
          <w:color w:val="auto"/>
        </w:rPr>
      </w:pPr>
      <w:r>
        <w:rPr>
          <w:rFonts w:ascii="Times New Roman" w:cs="Times New Roman" w:eastAsia="Times New Roman" w:hAnsi="Times New Roman"/>
          <w:sz w:val="14"/>
          <w:szCs w:val="14"/>
          <w:b w:val="1"/>
          <w:bCs w:val="1"/>
          <w:color w:val="auto"/>
        </w:rPr>
        <w:t>For the fiscal year ended September 30, 2025</w:t>
      </w:r>
    </w:p>
    <w:p>
      <w:pPr>
        <w:spacing w:after="0" w:line="13" w:lineRule="exact"/>
        <w:rPr>
          <w:rFonts w:ascii="MS PGothic" w:cs="MS PGothic" w:eastAsia="MS PGothic" w:hAnsi="MS PGothic"/>
          <w:sz w:val="16"/>
          <w:szCs w:val="16"/>
          <w:b w:val="1"/>
          <w:bCs w:val="1"/>
          <w:color w:val="auto"/>
        </w:rPr>
      </w:pPr>
    </w:p>
    <w:p>
      <w:pPr>
        <w:ind w:left="5180"/>
        <w:spacing w:after="0"/>
        <w:rPr>
          <w:rFonts w:ascii="MS PGothic" w:cs="MS PGothic" w:eastAsia="MS PGothic" w:hAnsi="MS PGothic"/>
          <w:sz w:val="16"/>
          <w:szCs w:val="16"/>
          <w:b w:val="1"/>
          <w:bCs w:val="1"/>
          <w:color w:val="auto"/>
        </w:rPr>
      </w:pPr>
      <w:r>
        <w:rPr>
          <w:rFonts w:ascii="Times New Roman" w:cs="Times New Roman" w:eastAsia="Times New Roman" w:hAnsi="Times New Roman"/>
          <w:sz w:val="14"/>
          <w:szCs w:val="14"/>
          <w:b w:val="1"/>
          <w:bCs w:val="1"/>
          <w:color w:val="auto"/>
        </w:rPr>
        <w:t>OR</w:t>
      </w:r>
    </w:p>
    <w:p>
      <w:pPr>
        <w:spacing w:after="0" w:line="54" w:lineRule="exact"/>
        <w:rPr>
          <w:sz w:val="24"/>
          <w:szCs w:val="24"/>
          <w:color w:val="auto"/>
        </w:rPr>
      </w:pPr>
    </w:p>
    <w:p>
      <w:pPr>
        <w:ind w:left="560" w:hanging="554"/>
        <w:spacing w:after="0"/>
        <w:tabs>
          <w:tab w:leader="none" w:pos="560" w:val="left"/>
        </w:tabs>
        <w:numPr>
          <w:ilvl w:val="0"/>
          <w:numId w:val="2"/>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1" w:lineRule="exact"/>
        <w:rPr>
          <w:rFonts w:ascii="MS PGothic" w:cs="MS PGothic" w:eastAsia="MS PGothic" w:hAnsi="MS PGothic"/>
          <w:sz w:val="14"/>
          <w:szCs w:val="14"/>
          <w:b w:val="1"/>
          <w:bCs w:val="1"/>
          <w:color w:val="auto"/>
        </w:rPr>
      </w:pPr>
    </w:p>
    <w:p>
      <w:pPr>
        <w:ind w:left="4180"/>
        <w:spacing w:after="0"/>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Commission File Number 001-35839</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ENANTA PHARMACEUTICALS, INC.</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40" w:orient="portrait"/>
          <w:cols w:equalWidth="0" w:num="1">
            <w:col w:w="10520"/>
          </w:cols>
          <w:pgMar w:left="660" w:top="1440" w:right="720" w:bottom="1440" w:gutter="0" w:footer="0" w:header="0"/>
        </w:sectPr>
      </w:pPr>
    </w:p>
    <w:p>
      <w:pPr>
        <w:spacing w:after="0" w:line="11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04-3205099</w:t>
      </w:r>
    </w:p>
    <w:p>
      <w:pPr>
        <w:spacing w:after="0" w:line="24" w:lineRule="exact"/>
        <w:rPr>
          <w:sz w:val="24"/>
          <w:szCs w:val="24"/>
          <w:color w:val="auto"/>
        </w:rPr>
      </w:pPr>
    </w:p>
    <w:p>
      <w:pPr>
        <w:sectPr>
          <w:pgSz w:w="11900" w:h="16840" w:orient="portrait"/>
          <w:cols w:equalWidth="0" w:num="2">
            <w:col w:w="7660" w:space="720"/>
            <w:col w:w="2140"/>
          </w:cols>
          <w:pgMar w:left="660" w:top="1440" w:right="720"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1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1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0"/>
          <w:szCs w:val="10"/>
          <w:b w:val="1"/>
          <w:bCs w:val="1"/>
          <w:color w:val="auto"/>
        </w:rPr>
        <w:t>Identification Number)</w:t>
      </w:r>
    </w:p>
    <w:p>
      <w:pPr>
        <w:spacing w:after="0" w:line="19" w:lineRule="exact"/>
        <w:rPr>
          <w:sz w:val="24"/>
          <w:szCs w:val="24"/>
          <w:color w:val="auto"/>
        </w:rPr>
      </w:pPr>
    </w:p>
    <w:p>
      <w:pPr>
        <w:sectPr>
          <w:pgSz w:w="11900" w:h="16840" w:orient="portrait"/>
          <w:cols w:equalWidth="0" w:num="2">
            <w:col w:w="7440" w:space="720"/>
            <w:col w:w="2360"/>
          </w:cols>
          <w:pgMar w:left="660" w:top="1440" w:right="720"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4 Kingsbury Avenue</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Watertown, Massachusetts 02472</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(617) 607-0800</w:t>
      </w:r>
    </w:p>
    <w:p>
      <w:pPr>
        <w:sectPr>
          <w:pgSz w:w="11900" w:h="16840" w:orient="portrait"/>
          <w:cols w:equalWidth="0" w:num="1">
            <w:col w:w="10520"/>
          </w:cols>
          <w:pgMar w:left="660" w:top="1440" w:right="720" w:bottom="1440" w:gutter="0" w:footer="0" w:header="0"/>
          <w:type w:val="continuous"/>
        </w:sectPr>
      </w:pP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ectPr>
          <w:pgSz w:w="11900" w:h="16840" w:orient="portrait"/>
          <w:cols w:equalWidth="0" w:num="1">
            <w:col w:w="10520"/>
          </w:cols>
          <w:pgMar w:left="660" w:top="1440" w:right="720" w:bottom="1440" w:gutter="0" w:footer="0" w:header="0"/>
          <w:type w:val="continuous"/>
        </w:sectPr>
      </w:pPr>
    </w:p>
    <w:p>
      <w:pPr>
        <w:spacing w:after="0" w:line="6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8"/>
          <w:szCs w:val="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Trading Symbol(s)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p>
      <w:pPr>
        <w:spacing w:after="0" w:line="34" w:lineRule="exact"/>
        <w:rPr>
          <w:sz w:val="24"/>
          <w:szCs w:val="24"/>
          <w:color w:val="auto"/>
        </w:rPr>
      </w:pPr>
    </w:p>
    <w:p>
      <w:pPr>
        <w:sectPr>
          <w:pgSz w:w="11900" w:h="16840" w:orient="portrait"/>
          <w:cols w:equalWidth="0" w:num="3">
            <w:col w:w="4180" w:space="720"/>
            <w:col w:w="1200" w:space="720"/>
            <w:col w:w="3700"/>
          </w:cols>
          <w:pgMar w:left="660" w:top="1440" w:right="720"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8"/>
          <w:szCs w:val="8"/>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ENTA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Nasdaq</w:t>
      </w:r>
    </w:p>
    <w:p>
      <w:pPr>
        <w:spacing w:after="0" w:line="11" w:lineRule="exact"/>
        <w:rPr>
          <w:sz w:val="24"/>
          <w:szCs w:val="24"/>
          <w:color w:val="auto"/>
        </w:rPr>
      </w:pPr>
    </w:p>
    <w:p>
      <w:pPr>
        <w:sectPr>
          <w:pgSz w:w="11900" w:h="16840" w:orient="portrait"/>
          <w:cols w:equalWidth="0" w:num="3">
            <w:col w:w="4440" w:space="720"/>
            <w:col w:w="1680" w:space="720"/>
            <w:col w:w="2960"/>
          </w:cols>
          <w:pgMar w:left="660" w:top="1440" w:right="720"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ectPr>
          <w:pgSz w:w="11900" w:h="16840" w:orient="portrait"/>
          <w:cols w:equalWidth="0" w:num="1">
            <w:col w:w="10520"/>
          </w:cols>
          <w:pgMar w:left="660" w:top="1440" w:right="720" w:bottom="1440" w:gutter="0" w:footer="0" w:header="0"/>
          <w:type w:val="continuous"/>
        </w:sectPr>
      </w:pPr>
    </w:p>
    <w:p>
      <w:pPr>
        <w:spacing w:after="0" w:line="10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p>
      <w:pPr>
        <w:spacing w:after="0" w:line="30"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p>
      <w:pPr>
        <w:spacing w:after="0" w:line="63" w:lineRule="exact"/>
        <w:rPr>
          <w:sz w:val="24"/>
          <w:szCs w:val="24"/>
          <w:color w:val="auto"/>
        </w:rPr>
      </w:pPr>
    </w:p>
    <w:p>
      <w:pPr>
        <w:ind w:left="10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color w:val="auto"/>
        </w:rPr>
        <w:t>No</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3" w:lineRule="exact"/>
        <w:rPr>
          <w:sz w:val="24"/>
          <w:szCs w:val="24"/>
          <w:color w:val="auto"/>
        </w:rPr>
      </w:pPr>
    </w:p>
    <w:p>
      <w:pPr>
        <w:sectPr>
          <w:pgSz w:w="11900" w:h="16840" w:orient="portrait"/>
          <w:cols w:equalWidth="0" w:num="4">
            <w:col w:w="6220" w:space="20"/>
            <w:col w:w="440" w:space="20"/>
            <w:col w:w="320" w:space="0"/>
            <w:col w:w="3500"/>
          </w:cols>
          <w:pgMar w:left="660" w:top="1440" w:right="720" w:bottom="1440" w:gutter="0" w:footer="0" w:header="0"/>
          <w:type w:val="continuous"/>
        </w:sectPr>
      </w:pPr>
    </w:p>
    <w:p>
      <w:pPr>
        <w:ind w:right="240" w:firstLine="46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right="200" w:firstLine="46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ectPr>
          <w:pgSz w:w="11900" w:h="16840" w:orient="portrait"/>
          <w:cols w:equalWidth="0" w:num="1">
            <w:col w:w="10520"/>
          </w:cols>
          <w:pgMar w:left="660" w:top="1440" w:right="720" w:bottom="1440" w:gutter="0" w:footer="0" w:header="0"/>
          <w:type w:val="continuous"/>
        </w:sectPr>
      </w:pPr>
    </w:p>
    <w:p>
      <w:pPr>
        <w:ind w:firstLine="468"/>
        <w:spacing w:after="0" w:line="271"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an emerging growth company. See the definitions of “large</w:t>
      </w:r>
    </w:p>
    <w:p>
      <w:pPr>
        <w:spacing w:after="0" w:line="197" w:lineRule="exact"/>
        <w:rPr>
          <w:sz w:val="24"/>
          <w:szCs w:val="24"/>
          <w:color w:val="auto"/>
        </w:rPr>
      </w:pPr>
    </w:p>
    <w:p>
      <w:pPr>
        <w:sectPr>
          <w:pgSz w:w="11900" w:h="16840" w:orient="portrait"/>
          <w:cols w:equalWidth="0" w:num="2">
            <w:col w:w="7560" w:space="120"/>
            <w:col w:w="2840"/>
          </w:cols>
          <w:pgMar w:left="660" w:top="1440" w:right="720"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5" w:lineRule="exact"/>
        <w:rPr>
          <w:sz w:val="24"/>
          <w:szCs w:val="24"/>
          <w:color w:val="auto"/>
        </w:rPr>
      </w:pPr>
    </w:p>
    <w:p>
      <w:pPr>
        <w:sectPr>
          <w:pgSz w:w="11900" w:h="16840" w:orient="portrait"/>
          <w:cols w:equalWidth="0" w:num="4">
            <w:col w:w="1200" w:space="660"/>
            <w:col w:w="5520" w:space="720"/>
            <w:col w:w="1520" w:space="720"/>
            <w:col w:w="180"/>
          </w:cols>
          <w:pgMar w:left="660" w:top="1440" w:right="720"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43" w:lineRule="exact"/>
        <w:rPr>
          <w:sz w:val="24"/>
          <w:szCs w:val="24"/>
          <w:color w:val="auto"/>
        </w:rPr>
      </w:pPr>
    </w:p>
    <w:p>
      <w:pPr>
        <w:sectPr>
          <w:pgSz w:w="11900" w:h="16840" w:orient="portrait"/>
          <w:cols w:equalWidth="0" w:num="4">
            <w:col w:w="1140" w:space="720"/>
            <w:col w:w="5520" w:space="720"/>
            <w:col w:w="1520" w:space="720"/>
            <w:col w:w="180"/>
          </w:cols>
          <w:pgMar w:left="660" w:top="1440" w:right="720" w:bottom="1440" w:gutter="0" w:footer="0" w:header="0"/>
          <w:type w:val="continuous"/>
        </w:sect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73" w:lineRule="exact"/>
        <w:rPr>
          <w:sz w:val="24"/>
          <w:szCs w:val="24"/>
          <w:color w:val="auto"/>
        </w:rPr>
      </w:pPr>
    </w:p>
    <w:p>
      <w:pPr>
        <w:ind w:right="200" w:firstLine="468"/>
        <w:spacing w:after="0" w:line="159"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2"/>
          <w:szCs w:val="12"/>
          <w:color w:val="auto"/>
        </w:rPr>
        <w:t>.</w:t>
      </w:r>
      <w:r>
        <w:rPr>
          <w:rFonts w:ascii="Times New Roman" w:cs="Times New Roman" w:eastAsia="Times New Roman" w:hAnsi="Times New Roman"/>
          <w:sz w:val="12"/>
          <w:szCs w:val="12"/>
          <w:color w:val="auto"/>
        </w:rPr>
        <w:t xml:space="preserve"> </w:t>
      </w:r>
      <w:r>
        <w:rPr>
          <w:rFonts w:ascii="MS PGothic" w:cs="MS PGothic" w:eastAsia="MS PGothic" w:hAnsi="MS PGothic"/>
          <w:sz w:val="12"/>
          <w:szCs w:val="12"/>
          <w:color w:val="auto"/>
        </w:rPr>
        <w:t>☐</w:t>
      </w:r>
    </w:p>
    <w:p>
      <w:pPr>
        <w:ind w:right="60" w:firstLine="46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ind w:right="220" w:firstLine="498"/>
        <w:spacing w:after="0" w:line="156"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ind w:firstLine="46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ind w:left="480"/>
        <w:spacing w:after="0" w:line="138" w:lineRule="exact"/>
        <w:tabs>
          <w:tab w:leader="none" w:pos="6020" w:val="left"/>
          <w:tab w:leader="none" w:pos="650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30" w:lineRule="exact"/>
        <w:rPr>
          <w:sz w:val="24"/>
          <w:szCs w:val="24"/>
          <w:color w:val="auto"/>
        </w:rPr>
      </w:pPr>
    </w:p>
    <w:p>
      <w:pPr>
        <w:jc w:val="both"/>
        <w:ind w:right="20" w:firstLine="468"/>
        <w:spacing w:after="0" w:line="260" w:lineRule="auto"/>
        <w:rPr>
          <w:sz w:val="20"/>
          <w:szCs w:val="20"/>
          <w:color w:val="auto"/>
        </w:rPr>
      </w:pPr>
      <w:r>
        <w:rPr>
          <w:rFonts w:ascii="Times New Roman" w:cs="Times New Roman" w:eastAsia="Times New Roman" w:hAnsi="Times New Roman"/>
          <w:sz w:val="12"/>
          <w:szCs w:val="12"/>
          <w:color w:val="auto"/>
        </w:rPr>
        <w:t>The aggregate market value of the registrant’s common stock held by non-affiliates of the registrant as of the last business day of the registrant’s most recently completed second fiscal quarter, March 31, 2025, based on the last reported sale price of the registrant’s common stock of $5.52 per share was $110,592,792. The number of shares of the registrant’s Common Stock, $0.01 par value, outstanding as of November 4, 2025 was 28,862,601 shares</w:t>
      </w:r>
      <w:r>
        <w:rPr>
          <w:rFonts w:ascii="Times New Roman" w:cs="Times New Roman" w:eastAsia="Times New Roman" w:hAnsi="Times New Roman"/>
          <w:sz w:val="12"/>
          <w:szCs w:val="12"/>
          <w:b w:val="1"/>
          <w:bCs w:val="1"/>
          <w:color w:val="auto"/>
        </w:rPr>
        <w:t>.</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3" w:lineRule="exact"/>
        <w:rPr>
          <w:sz w:val="24"/>
          <w:szCs w:val="24"/>
          <w:color w:val="auto"/>
        </w:rPr>
      </w:pPr>
    </w:p>
    <w:p>
      <w:pPr>
        <w:ind w:right="400" w:firstLine="468"/>
        <w:spacing w:after="0" w:line="280" w:lineRule="auto"/>
        <w:rPr>
          <w:sz w:val="20"/>
          <w:szCs w:val="20"/>
          <w:color w:val="auto"/>
        </w:rPr>
      </w:pPr>
      <w:r>
        <w:rPr>
          <w:rFonts w:ascii="Times New Roman" w:cs="Times New Roman" w:eastAsia="Times New Roman" w:hAnsi="Times New Roman"/>
          <w:sz w:val="12"/>
          <w:szCs w:val="12"/>
          <w:color w:val="auto"/>
        </w:rPr>
        <w:t>Information for Part III of this Form 10-K will either (i) be incorporated by reference to portions of the registrant’s Definitive Proxy Statement for its 2026 Annual Meeting of Stockholders, or (ii) if the Definitive Proxy is not filed with the Securities and Exchange Commission within 120 days after the registrant’s fiscal year end of September 30, 2025, it will be provided by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909955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107315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122555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type w:val="continuous"/>
        </w:sectPr>
      </w:pPr>
    </w:p>
    <w:bookmarkStart w:id="1" w:name="page2"/>
    <w:bookmarkEnd w:id="1"/>
    <w:p>
      <w:pPr>
        <w:spacing w:after="0" w:line="269"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6"/>
          <w:szCs w:val="16"/>
          <w:color w:val="auto"/>
        </w:rPr>
        <w:t>As used in this Form 10-K, “Enanta,” “the Company,” “we,” “our,” and “us” refer to Enanta Pharmaceuticals, Inc., and “MAVYRET/MAVIRET” refers to AbbVie’s HCV regimen consisting of tablets of glecaprevir/pibrentasvir, except where the context otherwise requires or as otherwise indicated.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MAVIRET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VIEKIRA PAK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VIEKIRAX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EXVIERA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are trademarks of AbbVie, Inc.</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 REGARDING FORWARD-LOOKING STATEMENTS</w:t>
      </w:r>
    </w:p>
    <w:p>
      <w:pPr>
        <w:spacing w:after="0" w:line="1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 looking statements are not guarantees of future performance or development and involve known and unknown risks, uncertainties and other factors that are in some cases beyond our control. As a result, any or all of our forward- 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 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916940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 w:name="page3"/>
    <w:bookmarkEnd w:id="2"/>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9"/>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w w:val="97"/>
              </w:rPr>
              <w:t>ENANTA PHARMACEUTICALS, INC.</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9"/>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w w:val="96"/>
              </w:rPr>
              <w:t>ANNUAL REPORT ON FORM 10-K</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9"/>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w w:val="97"/>
              </w:rPr>
              <w:t>For the year ended September 30, 2025</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gridSpan w:val="6"/>
          </w:tcPr>
          <w:p>
            <w:pPr>
              <w:jc w:val="center"/>
              <w:ind w:right="2040"/>
              <w:spacing w:after="0"/>
              <w:rPr>
                <w:sz w:val="20"/>
                <w:szCs w:val="20"/>
                <w:color w:val="auto"/>
              </w:rPr>
            </w:pPr>
            <w:r>
              <w:rPr>
                <w:rFonts w:ascii="Times New Roman" w:cs="Times New Roman" w:eastAsia="Times New Roman" w:hAnsi="Times New Roman"/>
                <w:sz w:val="16"/>
                <w:szCs w:val="16"/>
                <w:b w:val="1"/>
                <w:bCs w:val="1"/>
                <w:color w:val="auto"/>
                <w:w w:val="96"/>
              </w:rPr>
              <w:t>INDEX</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No.</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7220" w:type="dxa"/>
            <w:vAlign w:val="bottom"/>
            <w:gridSpan w:val="24"/>
          </w:tcPr>
          <w:p>
            <w:pPr>
              <w:spacing w:after="0"/>
              <w:rPr>
                <w:rFonts w:ascii="Times New Roman" w:cs="Times New Roman" w:eastAsia="Times New Roman" w:hAnsi="Times New Roman"/>
                <w:sz w:val="16"/>
                <w:szCs w:val="16"/>
                <w:color w:val="auto"/>
              </w:rPr>
            </w:pPr>
            <w:hyperlink w:anchor="page4">
              <w:r>
                <w:rPr>
                  <w:rFonts w:ascii="Times New Roman" w:cs="Times New Roman" w:eastAsia="Times New Roman" w:hAnsi="Times New Roman"/>
                  <w:sz w:val="16"/>
                  <w:szCs w:val="16"/>
                  <w:color w:val="auto"/>
                </w:rPr>
                <w:t>Summary of Principal Risk Factors</w:t>
              </w:r>
            </w:hyperlink>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60" w:type="dxa"/>
            <w:vAlign w:val="bottom"/>
            <w:gridSpan w:val="5"/>
          </w:tcPr>
          <w:p>
            <w:pPr>
              <w:jc w:val="center"/>
              <w:ind w:right="2280"/>
              <w:spacing w:after="0"/>
              <w:rPr>
                <w:sz w:val="20"/>
                <w:szCs w:val="20"/>
                <w:color w:val="auto"/>
              </w:rPr>
            </w:pPr>
            <w:r>
              <w:rPr>
                <w:rFonts w:ascii="Times New Roman" w:cs="Times New Roman" w:eastAsia="Times New Roman" w:hAnsi="Times New Roman"/>
                <w:sz w:val="16"/>
                <w:szCs w:val="16"/>
                <w:color w:val="auto"/>
                <w:w w:val="95"/>
              </w:rPr>
              <w:t>PART 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w:t>
            </w:r>
          </w:p>
        </w:tc>
        <w:tc>
          <w:tcPr>
            <w:tcW w:w="560" w:type="dxa"/>
            <w:vAlign w:val="bottom"/>
            <w:tcBorders>
              <w:bottom w:val="single" w:sz="8" w:color="0000EE"/>
            </w:tcBorders>
          </w:tcPr>
          <w:p>
            <w:pPr>
              <w:spacing w:after="0" w:line="169" w:lineRule="exact"/>
              <w:rPr>
                <w:rFonts w:ascii="Times New Roman" w:cs="Times New Roman" w:eastAsia="Times New Roman" w:hAnsi="Times New Roman"/>
                <w:sz w:val="16"/>
                <w:szCs w:val="16"/>
                <w:color w:val="auto"/>
                <w:w w:val="94"/>
              </w:rPr>
            </w:pPr>
            <w:hyperlink w:anchor="page6">
              <w:r>
                <w:rPr>
                  <w:rFonts w:ascii="Times New Roman" w:cs="Times New Roman" w:eastAsia="Times New Roman" w:hAnsi="Times New Roman"/>
                  <w:sz w:val="16"/>
                  <w:szCs w:val="16"/>
                  <w:color w:val="auto"/>
                  <w:w w:val="94"/>
                </w:rPr>
                <w:t>Business</w:t>
              </w:r>
            </w:hyperlink>
          </w:p>
        </w:tc>
        <w:tc>
          <w:tcPr>
            <w:tcW w:w="6660" w:type="dxa"/>
            <w:vAlign w:val="bottom"/>
            <w:gridSpan w:val="23"/>
          </w:tcPr>
          <w:p>
            <w:pPr>
              <w:spacing w:after="0"/>
              <w:rPr>
                <w:sz w:val="14"/>
                <w:szCs w:val="14"/>
                <w:color w:val="auto"/>
              </w:rPr>
            </w:pPr>
          </w:p>
        </w:tc>
        <w:tc>
          <w:tcPr>
            <w:tcW w:w="2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1A.</w:t>
            </w:r>
          </w:p>
        </w:tc>
        <w:tc>
          <w:tcPr>
            <w:tcW w:w="7220" w:type="dxa"/>
            <w:vAlign w:val="bottom"/>
            <w:gridSpan w:val="24"/>
          </w:tcPr>
          <w:p>
            <w:pPr>
              <w:spacing w:after="0" w:line="160" w:lineRule="exact"/>
              <w:rPr>
                <w:rFonts w:ascii="Times New Roman" w:cs="Times New Roman" w:eastAsia="Times New Roman" w:hAnsi="Times New Roman"/>
                <w:sz w:val="16"/>
                <w:szCs w:val="16"/>
                <w:color w:val="auto"/>
              </w:rPr>
            </w:pPr>
            <w:hyperlink w:anchor="page35">
              <w:r>
                <w:rPr>
                  <w:rFonts w:ascii="Times New Roman" w:cs="Times New Roman" w:eastAsia="Times New Roman" w:hAnsi="Times New Roman"/>
                  <w:sz w:val="16"/>
                  <w:szCs w:val="16"/>
                  <w:color w:val="auto"/>
                </w:rPr>
                <w:t>Risk Factors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1B.</w:t>
            </w:r>
          </w:p>
        </w:tc>
        <w:tc>
          <w:tcPr>
            <w:tcW w:w="7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rPr>
            </w:pPr>
            <w:hyperlink w:anchor="page59">
              <w:r>
                <w:rPr>
                  <w:rFonts w:ascii="Times New Roman" w:cs="Times New Roman" w:eastAsia="Times New Roman" w:hAnsi="Times New Roman"/>
                  <w:sz w:val="16"/>
                  <w:szCs w:val="16"/>
                  <w:color w:val="auto"/>
                </w:rPr>
                <w:t>Unresolved</w:t>
              </w:r>
            </w:hyperlink>
          </w:p>
        </w:tc>
        <w:tc>
          <w:tcPr>
            <w:tcW w:w="1000" w:type="dxa"/>
            <w:vAlign w:val="bottom"/>
            <w:tcBorders>
              <w:bottom w:val="single" w:sz="8" w:color="0000EE"/>
            </w:tcBorders>
            <w:gridSpan w:val="6"/>
          </w:tcPr>
          <w:p>
            <w:pPr>
              <w:spacing w:after="0" w:line="160" w:lineRule="exact"/>
              <w:rPr>
                <w:rFonts w:ascii="Times New Roman" w:cs="Times New Roman" w:eastAsia="Times New Roman" w:hAnsi="Times New Roman"/>
                <w:sz w:val="16"/>
                <w:szCs w:val="16"/>
                <w:color w:val="auto"/>
                <w:w w:val="93"/>
              </w:rPr>
            </w:pPr>
            <w:hyperlink w:anchor="page59">
              <w:r>
                <w:rPr>
                  <w:rFonts w:ascii="Times New Roman" w:cs="Times New Roman" w:eastAsia="Times New Roman" w:hAnsi="Times New Roman"/>
                  <w:sz w:val="16"/>
                  <w:szCs w:val="16"/>
                  <w:color w:val="auto"/>
                  <w:w w:val="93"/>
                </w:rPr>
                <w:t>Staff Comments</w:t>
              </w:r>
            </w:hyperlink>
          </w:p>
        </w:tc>
        <w:tc>
          <w:tcPr>
            <w:tcW w:w="5440" w:type="dxa"/>
            <w:vAlign w:val="bottom"/>
            <w:gridSpan w:val="13"/>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1C.</w:t>
            </w:r>
          </w:p>
        </w:tc>
        <w:tc>
          <w:tcPr>
            <w:tcW w:w="7220" w:type="dxa"/>
            <w:vAlign w:val="bottom"/>
            <w:gridSpan w:val="24"/>
          </w:tcPr>
          <w:p>
            <w:pPr>
              <w:spacing w:after="0" w:line="160" w:lineRule="exact"/>
              <w:rPr>
                <w:rFonts w:ascii="Times New Roman" w:cs="Times New Roman" w:eastAsia="Times New Roman" w:hAnsi="Times New Roman"/>
                <w:sz w:val="16"/>
                <w:szCs w:val="16"/>
                <w:color w:val="auto"/>
              </w:rPr>
            </w:pPr>
            <w:hyperlink w:anchor="page59">
              <w:r>
                <w:rPr>
                  <w:rFonts w:ascii="Times New Roman" w:cs="Times New Roman" w:eastAsia="Times New Roman" w:hAnsi="Times New Roman"/>
                  <w:sz w:val="16"/>
                  <w:szCs w:val="16"/>
                  <w:color w:val="auto"/>
                </w:rPr>
                <w:t>Cybersecurity Risk Management and Strategy</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2.</w:t>
            </w:r>
          </w:p>
        </w:tc>
        <w:tc>
          <w:tcPr>
            <w:tcW w:w="64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auto"/>
                <w:w w:val="95"/>
              </w:rPr>
            </w:pPr>
            <w:hyperlink w:anchor="page60">
              <w:r>
                <w:rPr>
                  <w:rFonts w:ascii="Times New Roman" w:cs="Times New Roman" w:eastAsia="Times New Roman" w:hAnsi="Times New Roman"/>
                  <w:sz w:val="16"/>
                  <w:szCs w:val="16"/>
                  <w:color w:val="auto"/>
                  <w:w w:val="95"/>
                </w:rPr>
                <w:t>Properties</w:t>
              </w:r>
            </w:hyperlink>
          </w:p>
        </w:tc>
        <w:tc>
          <w:tcPr>
            <w:tcW w:w="2240" w:type="dxa"/>
            <w:vAlign w:val="bottom"/>
            <w:tcBorders>
              <w:top w:val="single" w:sz="8" w:color="0000EE"/>
            </w:tcBorders>
            <w:gridSpan w:val="12"/>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3.</w:t>
            </w:r>
          </w:p>
        </w:tc>
        <w:tc>
          <w:tcPr>
            <w:tcW w:w="116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auto"/>
                <w:w w:val="96"/>
              </w:rPr>
            </w:pPr>
            <w:hyperlink w:anchor="page60">
              <w:r>
                <w:rPr>
                  <w:rFonts w:ascii="Times New Roman" w:cs="Times New Roman" w:eastAsia="Times New Roman" w:hAnsi="Times New Roman"/>
                  <w:sz w:val="16"/>
                  <w:szCs w:val="16"/>
                  <w:color w:val="auto"/>
                  <w:w w:val="96"/>
                </w:rPr>
                <w:t>Legal Proceedings</w:t>
              </w:r>
            </w:hyperlink>
          </w:p>
        </w:tc>
        <w:tc>
          <w:tcPr>
            <w:tcW w:w="6060" w:type="dxa"/>
            <w:vAlign w:val="bottom"/>
            <w:gridSpan w:val="17"/>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w:t>
            </w:r>
          </w:p>
        </w:tc>
        <w:tc>
          <w:tcPr>
            <w:tcW w:w="7220" w:type="dxa"/>
            <w:vAlign w:val="bottom"/>
            <w:gridSpan w:val="24"/>
          </w:tcPr>
          <w:p>
            <w:pPr>
              <w:spacing w:after="0" w:line="160" w:lineRule="exact"/>
              <w:rPr>
                <w:rFonts w:ascii="Times New Roman" w:cs="Times New Roman" w:eastAsia="Times New Roman" w:hAnsi="Times New Roman"/>
                <w:sz w:val="16"/>
                <w:szCs w:val="16"/>
                <w:color w:val="auto"/>
              </w:rPr>
            </w:pPr>
            <w:hyperlink w:anchor="page60">
              <w:r>
                <w:rPr>
                  <w:rFonts w:ascii="Times New Roman" w:cs="Times New Roman" w:eastAsia="Times New Roman" w:hAnsi="Times New Roman"/>
                  <w:sz w:val="16"/>
                  <w:szCs w:val="16"/>
                  <w:color w:val="auto"/>
                </w:rPr>
                <w:t>Mine Safety Disclosures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63"/>
        </w:trPr>
        <w:tc>
          <w:tcPr>
            <w:tcW w:w="8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60" w:type="dxa"/>
            <w:vAlign w:val="bottom"/>
            <w:gridSpan w:val="5"/>
          </w:tcPr>
          <w:p>
            <w:pPr>
              <w:jc w:val="center"/>
              <w:ind w:right="2260"/>
              <w:spacing w:after="0"/>
              <w:rPr>
                <w:sz w:val="20"/>
                <w:szCs w:val="20"/>
                <w:color w:val="auto"/>
              </w:rPr>
            </w:pPr>
            <w:r>
              <w:rPr>
                <w:rFonts w:ascii="Times New Roman" w:cs="Times New Roman" w:eastAsia="Times New Roman" w:hAnsi="Times New Roman"/>
                <w:sz w:val="16"/>
                <w:szCs w:val="16"/>
                <w:color w:val="auto"/>
                <w:w w:val="97"/>
              </w:rPr>
              <w:t>PART II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5.</w:t>
            </w:r>
          </w:p>
        </w:tc>
        <w:tc>
          <w:tcPr>
            <w:tcW w:w="7220" w:type="dxa"/>
            <w:vAlign w:val="bottom"/>
            <w:tcBorders>
              <w:bottom w:val="single" w:sz="8" w:color="0000EE"/>
            </w:tcBorders>
            <w:gridSpan w:val="24"/>
          </w:tcPr>
          <w:p>
            <w:pPr>
              <w:spacing w:after="0" w:line="169" w:lineRule="exact"/>
              <w:rPr>
                <w:rFonts w:ascii="Times New Roman" w:cs="Times New Roman" w:eastAsia="Times New Roman" w:hAnsi="Times New Roman"/>
                <w:sz w:val="16"/>
                <w:szCs w:val="16"/>
                <w:color w:val="auto"/>
                <w:w w:val="97"/>
              </w:rPr>
            </w:pPr>
            <w:hyperlink w:anchor="page61">
              <w:r>
                <w:rPr>
                  <w:rFonts w:ascii="Times New Roman" w:cs="Times New Roman" w:eastAsia="Times New Roman" w:hAnsi="Times New Roman"/>
                  <w:sz w:val="16"/>
                  <w:szCs w:val="16"/>
                  <w:color w:val="auto"/>
                  <w:w w:val="97"/>
                </w:rPr>
                <w:t>Market for the Company’s Common Equity, Related Stockholder Matters and Issuer Purchases of Equity Securities</w:t>
              </w:r>
            </w:hyperlink>
          </w:p>
        </w:tc>
        <w:tc>
          <w:tcPr>
            <w:tcW w:w="2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6.</w:t>
            </w:r>
          </w:p>
        </w:tc>
        <w:tc>
          <w:tcPr>
            <w:tcW w:w="7220" w:type="dxa"/>
            <w:vAlign w:val="bottom"/>
            <w:gridSpan w:val="24"/>
          </w:tcPr>
          <w:p>
            <w:pPr>
              <w:spacing w:after="0" w:line="160" w:lineRule="exact"/>
              <w:rPr>
                <w:rFonts w:ascii="Times New Roman" w:cs="Times New Roman" w:eastAsia="Times New Roman" w:hAnsi="Times New Roman"/>
                <w:sz w:val="16"/>
                <w:szCs w:val="16"/>
                <w:color w:val="auto"/>
              </w:rPr>
            </w:pPr>
            <w:hyperlink w:anchor="page62">
              <w:r>
                <w:rPr>
                  <w:rFonts w:ascii="Times New Roman" w:cs="Times New Roman" w:eastAsia="Times New Roman" w:hAnsi="Times New Roman"/>
                  <w:sz w:val="16"/>
                  <w:szCs w:val="16"/>
                  <w:color w:val="auto"/>
                </w:rPr>
                <w:t>Reserved</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7.</w:t>
            </w:r>
          </w:p>
        </w:tc>
        <w:tc>
          <w:tcPr>
            <w:tcW w:w="5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line="20" w:lineRule="exact"/>
              <w:rPr>
                <w:sz w:val="1"/>
                <w:szCs w:val="1"/>
                <w:color w:val="auto"/>
              </w:rPr>
            </w:pPr>
          </w:p>
        </w:tc>
      </w:tr>
      <w:tr>
        <w:trPr>
          <w:trHeight w:val="160"/>
        </w:trPr>
        <w:tc>
          <w:tcPr>
            <w:tcW w:w="820" w:type="dxa"/>
            <w:vAlign w:val="bottom"/>
            <w:vMerge w:val="continue"/>
          </w:tcPr>
          <w:p>
            <w:pPr>
              <w:spacing w:after="0"/>
              <w:rPr>
                <w:sz w:val="13"/>
                <w:szCs w:val="13"/>
                <w:color w:val="auto"/>
              </w:rPr>
            </w:pPr>
          </w:p>
        </w:tc>
        <w:tc>
          <w:tcPr>
            <w:tcW w:w="7220" w:type="dxa"/>
            <w:vAlign w:val="bottom"/>
            <w:gridSpan w:val="24"/>
          </w:tcPr>
          <w:p>
            <w:pPr>
              <w:spacing w:after="0" w:line="160"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Management’s Discussion and Analysis of Financial Condition and Results of Operations</w:t>
              </w:r>
            </w:hyperlink>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7A.</w:t>
            </w:r>
          </w:p>
        </w:tc>
        <w:tc>
          <w:tcPr>
            <w:tcW w:w="560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rPr>
            </w:pPr>
            <w:hyperlink w:anchor="page71">
              <w:r>
                <w:rPr>
                  <w:rFonts w:ascii="Times New Roman" w:cs="Times New Roman" w:eastAsia="Times New Roman" w:hAnsi="Times New Roman"/>
                  <w:sz w:val="16"/>
                  <w:szCs w:val="16"/>
                  <w:color w:val="auto"/>
                </w:rPr>
                <w:t>Quantitative and Qualitative Disclosures about Market Risk</w:t>
              </w:r>
            </w:hyperlink>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8.</w:t>
            </w:r>
          </w:p>
        </w:tc>
        <w:tc>
          <w:tcPr>
            <w:tcW w:w="3740" w:type="dxa"/>
            <w:vAlign w:val="bottom"/>
            <w:tcBorders>
              <w:top w:val="single" w:sz="8" w:color="0000EE"/>
              <w:bottom w:val="single" w:sz="8" w:color="0000EE"/>
            </w:tcBorders>
            <w:gridSpan w:val="17"/>
          </w:tcPr>
          <w:p>
            <w:pPr>
              <w:spacing w:after="0" w:line="160" w:lineRule="exact"/>
              <w:rPr>
                <w:rFonts w:ascii="Times New Roman" w:cs="Times New Roman" w:eastAsia="Times New Roman" w:hAnsi="Times New Roman"/>
                <w:sz w:val="16"/>
                <w:szCs w:val="16"/>
                <w:color w:val="auto"/>
                <w:w w:val="96"/>
              </w:rPr>
            </w:pPr>
            <w:hyperlink w:anchor="page71">
              <w:r>
                <w:rPr>
                  <w:rFonts w:ascii="Times New Roman" w:cs="Times New Roman" w:eastAsia="Times New Roman" w:hAnsi="Times New Roman"/>
                  <w:sz w:val="16"/>
                  <w:szCs w:val="16"/>
                  <w:color w:val="auto"/>
                  <w:w w:val="96"/>
                </w:rPr>
                <w:t>Consolidated Financial Statements and Supplementary Data</w:t>
              </w:r>
            </w:hyperlink>
          </w:p>
        </w:tc>
        <w:tc>
          <w:tcPr>
            <w:tcW w:w="20" w:type="dxa"/>
            <w:vAlign w:val="bottom"/>
            <w:tcBorders>
              <w:bottom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9.</w:t>
            </w:r>
          </w:p>
        </w:tc>
        <w:tc>
          <w:tcPr>
            <w:tcW w:w="7220" w:type="dxa"/>
            <w:vAlign w:val="bottom"/>
            <w:gridSpan w:val="24"/>
          </w:tcPr>
          <w:p>
            <w:pPr>
              <w:spacing w:after="0" w:line="160"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Changes in and Disagreements with Accountants on Accounting and Financial Disclosure</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9A.</w:t>
            </w:r>
          </w:p>
        </w:tc>
        <w:tc>
          <w:tcPr>
            <w:tcW w:w="562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Controls and Procedures</w:t>
              </w:r>
            </w:hyperlink>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9B.</w:t>
            </w:r>
          </w:p>
        </w:tc>
        <w:tc>
          <w:tcPr>
            <w:tcW w:w="7220" w:type="dxa"/>
            <w:vAlign w:val="bottom"/>
            <w:gridSpan w:val="24"/>
          </w:tcPr>
          <w:p>
            <w:pPr>
              <w:spacing w:after="0" w:line="169"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Other Information</w:t>
              </w:r>
            </w:hyperlink>
          </w:p>
        </w:tc>
        <w:tc>
          <w:tcPr>
            <w:tcW w:w="2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9C.</w:t>
            </w:r>
          </w:p>
        </w:tc>
        <w:tc>
          <w:tcPr>
            <w:tcW w:w="6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vMerge w:val="continue"/>
          </w:tcPr>
          <w:p>
            <w:pPr>
              <w:spacing w:after="0"/>
              <w:rPr>
                <w:sz w:val="13"/>
                <w:szCs w:val="13"/>
                <w:color w:val="auto"/>
              </w:rPr>
            </w:pPr>
          </w:p>
        </w:tc>
        <w:tc>
          <w:tcPr>
            <w:tcW w:w="7220" w:type="dxa"/>
            <w:vAlign w:val="bottom"/>
            <w:gridSpan w:val="24"/>
          </w:tcPr>
          <w:p>
            <w:pPr>
              <w:spacing w:after="0" w:line="160" w:lineRule="exact"/>
              <w:rPr>
                <w:rFonts w:ascii="Times New Roman" w:cs="Times New Roman" w:eastAsia="Times New Roman" w:hAnsi="Times New Roman"/>
                <w:sz w:val="16"/>
                <w:szCs w:val="16"/>
                <w:color w:val="auto"/>
              </w:rPr>
            </w:pPr>
            <w:hyperlink w:anchor="page72">
              <w:r>
                <w:rPr>
                  <w:rFonts w:ascii="Times New Roman" w:cs="Times New Roman" w:eastAsia="Times New Roman" w:hAnsi="Times New Roman"/>
                  <w:sz w:val="16"/>
                  <w:szCs w:val="16"/>
                  <w:color w:val="auto"/>
                </w:rPr>
                <w:t>Disclosure Regarding Foreign Jurisdictions that Prevent Inspections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363"/>
        </w:trPr>
        <w:tc>
          <w:tcPr>
            <w:tcW w:w="8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960" w:type="dxa"/>
            <w:vAlign w:val="bottom"/>
            <w:gridSpan w:val="5"/>
          </w:tcPr>
          <w:p>
            <w:pPr>
              <w:jc w:val="center"/>
              <w:ind w:right="2260"/>
              <w:spacing w:after="0"/>
              <w:rPr>
                <w:sz w:val="20"/>
                <w:szCs w:val="20"/>
                <w:color w:val="auto"/>
              </w:rPr>
            </w:pPr>
            <w:r>
              <w:rPr>
                <w:rFonts w:ascii="Times New Roman" w:cs="Times New Roman" w:eastAsia="Times New Roman" w:hAnsi="Times New Roman"/>
                <w:sz w:val="16"/>
                <w:szCs w:val="16"/>
                <w:color w:val="auto"/>
                <w:w w:val="95"/>
              </w:rPr>
              <w:t>PART III</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10.</w:t>
            </w:r>
          </w:p>
        </w:tc>
        <w:tc>
          <w:tcPr>
            <w:tcW w:w="7220" w:type="dxa"/>
            <w:vAlign w:val="bottom"/>
            <w:gridSpan w:val="24"/>
          </w:tcPr>
          <w:p>
            <w:pPr>
              <w:spacing w:after="0" w:line="169" w:lineRule="exact"/>
              <w:rPr>
                <w:rFonts w:ascii="Times New Roman" w:cs="Times New Roman" w:eastAsia="Times New Roman" w:hAnsi="Times New Roman"/>
                <w:sz w:val="16"/>
                <w:szCs w:val="16"/>
                <w:color w:val="auto"/>
              </w:rPr>
            </w:pPr>
            <w:hyperlink w:anchor="page73">
              <w:r>
                <w:rPr>
                  <w:rFonts w:ascii="Times New Roman" w:cs="Times New Roman" w:eastAsia="Times New Roman" w:hAnsi="Times New Roman"/>
                  <w:sz w:val="16"/>
                  <w:szCs w:val="16"/>
                  <w:color w:val="auto"/>
                </w:rPr>
                <w:t>Directors, Executive Officers and Corporate Governance</w:t>
              </w:r>
            </w:hyperlink>
          </w:p>
        </w:tc>
        <w:tc>
          <w:tcPr>
            <w:tcW w:w="2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35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auto"/>
              </w:rPr>
            </w:pPr>
            <w:hyperlink w:anchor="page73">
              <w:r>
                <w:rPr>
                  <w:rFonts w:ascii="Times New Roman" w:cs="Times New Roman" w:eastAsia="Times New Roman" w:hAnsi="Times New Roman"/>
                  <w:sz w:val="16"/>
                  <w:szCs w:val="16"/>
                  <w:color w:val="auto"/>
                </w:rPr>
                <w:t>Executive Compensation</w:t>
              </w:r>
            </w:hyperlink>
          </w:p>
        </w:tc>
        <w:tc>
          <w:tcPr>
            <w:tcW w:w="1180" w:type="dxa"/>
            <w:vAlign w:val="bottom"/>
            <w:gridSpan w:val="4"/>
          </w:tcPr>
          <w:p>
            <w:pPr>
              <w:spacing w:after="0"/>
              <w:rPr>
                <w:sz w:val="13"/>
                <w:szCs w:val="13"/>
                <w:color w:val="auto"/>
              </w:rPr>
            </w:pPr>
          </w:p>
        </w:tc>
        <w:tc>
          <w:tcPr>
            <w:tcW w:w="15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12.</w:t>
            </w:r>
          </w:p>
        </w:tc>
        <w:tc>
          <w:tcPr>
            <w:tcW w:w="156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auto"/>
              </w:rPr>
            </w:pPr>
            <w:hyperlink w:anchor="page73">
              <w:r>
                <w:rPr>
                  <w:rFonts w:ascii="Times New Roman" w:cs="Times New Roman" w:eastAsia="Times New Roman" w:hAnsi="Times New Roman"/>
                  <w:sz w:val="16"/>
                  <w:szCs w:val="16"/>
                  <w:color w:val="auto"/>
                </w:rPr>
                <w:t>Security Ownership of</w:t>
              </w:r>
            </w:hyperlink>
          </w:p>
        </w:tc>
        <w:tc>
          <w:tcPr>
            <w:tcW w:w="5660" w:type="dxa"/>
            <w:vAlign w:val="bottom"/>
            <w:gridSpan w:val="14"/>
          </w:tcPr>
          <w:p>
            <w:pPr>
              <w:spacing w:after="0" w:line="160" w:lineRule="exact"/>
              <w:rPr>
                <w:rFonts w:ascii="Times New Roman" w:cs="Times New Roman" w:eastAsia="Times New Roman" w:hAnsi="Times New Roman"/>
                <w:sz w:val="16"/>
                <w:szCs w:val="16"/>
                <w:color w:val="auto"/>
              </w:rPr>
            </w:pPr>
            <w:hyperlink w:anchor="page73">
              <w:r>
                <w:rPr>
                  <w:rFonts w:ascii="Times New Roman" w:cs="Times New Roman" w:eastAsia="Times New Roman" w:hAnsi="Times New Roman"/>
                  <w:sz w:val="16"/>
                  <w:szCs w:val="16"/>
                  <w:color w:val="auto"/>
                </w:rPr>
                <w:t>Certain Beneficial Owners and Management and Related Stockholder Matters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13.</w:t>
            </w:r>
          </w:p>
        </w:tc>
        <w:tc>
          <w:tcPr>
            <w:tcW w:w="632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auto"/>
              </w:rPr>
            </w:pPr>
            <w:hyperlink w:anchor="page74">
              <w:r>
                <w:rPr>
                  <w:rFonts w:ascii="Times New Roman" w:cs="Times New Roman" w:eastAsia="Times New Roman" w:hAnsi="Times New Roman"/>
                  <w:sz w:val="16"/>
                  <w:szCs w:val="16"/>
                  <w:color w:val="auto"/>
                </w:rPr>
                <w:t>Certain Relationships and Related Transactions, and Director Independence</w:t>
              </w:r>
            </w:hyperlink>
          </w:p>
        </w:tc>
        <w:tc>
          <w:tcPr>
            <w:tcW w:w="9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60"/>
        </w:trPr>
        <w:tc>
          <w:tcPr>
            <w:tcW w:w="8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14.</w:t>
            </w:r>
          </w:p>
        </w:tc>
        <w:tc>
          <w:tcPr>
            <w:tcW w:w="474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auto"/>
              </w:rPr>
            </w:pPr>
            <w:hyperlink w:anchor="page74">
              <w:r>
                <w:rPr>
                  <w:rFonts w:ascii="Times New Roman" w:cs="Times New Roman" w:eastAsia="Times New Roman" w:hAnsi="Times New Roman"/>
                  <w:sz w:val="16"/>
                  <w:szCs w:val="16"/>
                  <w:color w:val="auto"/>
                </w:rPr>
                <w:t>Principal Accounting Fees and Services</w:t>
              </w:r>
            </w:hyperlink>
          </w:p>
        </w:tc>
        <w:tc>
          <w:tcPr>
            <w:tcW w:w="2480" w:type="dxa"/>
            <w:vAlign w:val="bottom"/>
            <w:gridSpan w:val="4"/>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363"/>
        </w:trPr>
        <w:tc>
          <w:tcPr>
            <w:tcW w:w="8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60" w:type="dxa"/>
            <w:vAlign w:val="bottom"/>
            <w:gridSpan w:val="5"/>
          </w:tcPr>
          <w:p>
            <w:pPr>
              <w:jc w:val="center"/>
              <w:ind w:right="2280"/>
              <w:spacing w:after="0"/>
              <w:rPr>
                <w:sz w:val="20"/>
                <w:szCs w:val="20"/>
                <w:color w:val="auto"/>
              </w:rPr>
            </w:pPr>
            <w:r>
              <w:rPr>
                <w:rFonts w:ascii="Times New Roman" w:cs="Times New Roman" w:eastAsia="Times New Roman" w:hAnsi="Times New Roman"/>
                <w:sz w:val="16"/>
                <w:szCs w:val="16"/>
                <w:color w:val="auto"/>
                <w:w w:val="97"/>
              </w:rPr>
              <w:t>PART IV</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15.</w:t>
            </w:r>
          </w:p>
        </w:tc>
        <w:tc>
          <w:tcPr>
            <w:tcW w:w="2740" w:type="dxa"/>
            <w:vAlign w:val="bottom"/>
            <w:tcBorders>
              <w:bottom w:val="single" w:sz="8" w:color="0000EE"/>
            </w:tcBorders>
            <w:gridSpan w:val="14"/>
          </w:tcPr>
          <w:p>
            <w:pPr>
              <w:spacing w:after="0" w:line="169" w:lineRule="exact"/>
              <w:rPr>
                <w:rFonts w:ascii="Times New Roman" w:cs="Times New Roman" w:eastAsia="Times New Roman" w:hAnsi="Times New Roman"/>
                <w:sz w:val="16"/>
                <w:szCs w:val="16"/>
                <w:color w:val="auto"/>
                <w:w w:val="96"/>
              </w:rPr>
            </w:pPr>
            <w:hyperlink w:anchor="page75">
              <w:r>
                <w:rPr>
                  <w:rFonts w:ascii="Times New Roman" w:cs="Times New Roman" w:eastAsia="Times New Roman" w:hAnsi="Times New Roman"/>
                  <w:sz w:val="16"/>
                  <w:szCs w:val="16"/>
                  <w:color w:val="auto"/>
                  <w:w w:val="96"/>
                </w:rPr>
                <w:t>Exhibits and Financial Statement Schedules</w:t>
              </w:r>
            </w:hyperlink>
          </w:p>
        </w:tc>
        <w:tc>
          <w:tcPr>
            <w:tcW w:w="4480" w:type="dxa"/>
            <w:vAlign w:val="bottom"/>
            <w:gridSpan w:val="10"/>
          </w:tcPr>
          <w:p>
            <w:pPr>
              <w:spacing w:after="0"/>
              <w:rPr>
                <w:sz w:val="14"/>
                <w:szCs w:val="14"/>
                <w:color w:val="auto"/>
              </w:rPr>
            </w:pPr>
          </w:p>
        </w:tc>
        <w:tc>
          <w:tcPr>
            <w:tcW w:w="2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84"/>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16.</w:t>
            </w:r>
          </w:p>
        </w:tc>
        <w:tc>
          <w:tcPr>
            <w:tcW w:w="7220" w:type="dxa"/>
            <w:vAlign w:val="bottom"/>
            <w:gridSpan w:val="24"/>
          </w:tcPr>
          <w:p>
            <w:pPr>
              <w:spacing w:after="0"/>
              <w:rPr>
                <w:rFonts w:ascii="Times New Roman" w:cs="Times New Roman" w:eastAsia="Times New Roman" w:hAnsi="Times New Roman"/>
                <w:sz w:val="16"/>
                <w:szCs w:val="16"/>
                <w:color w:val="auto"/>
              </w:rPr>
            </w:pPr>
            <w:hyperlink w:anchor="page77">
              <w:r>
                <w:rPr>
                  <w:rFonts w:ascii="Times New Roman" w:cs="Times New Roman" w:eastAsia="Times New Roman" w:hAnsi="Times New Roman"/>
                  <w:sz w:val="16"/>
                  <w:szCs w:val="16"/>
                  <w:color w:val="auto"/>
                </w:rPr>
                <w:t>Form 10-K Summary</w:t>
              </w:r>
            </w:hyperlink>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134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auto"/>
              </w:rPr>
            </w:pPr>
            <w:hyperlink w:anchor="page78">
              <w:r>
                <w:rPr>
                  <w:rFonts w:ascii="Times New Roman" w:cs="Times New Roman" w:eastAsia="Times New Roman" w:hAnsi="Times New Roman"/>
                  <w:sz w:val="16"/>
                  <w:szCs w:val="16"/>
                  <w:color w:val="auto"/>
                </w:rPr>
                <w:t>Signatures</w:t>
              </w:r>
            </w:hyperlink>
          </w:p>
        </w:tc>
        <w:tc>
          <w:tcPr>
            <w:tcW w:w="5880" w:type="dxa"/>
            <w:vAlign w:val="bottom"/>
            <w:gridSpan w:val="16"/>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60"/>
        </w:trPr>
        <w:tc>
          <w:tcPr>
            <w:tcW w:w="820" w:type="dxa"/>
            <w:vAlign w:val="bottom"/>
            <w:tcBorders>
              <w:bottom w:val="single" w:sz="8" w:color="EEEEEE"/>
            </w:tcBorders>
          </w:tcPr>
          <w:p>
            <w:pPr>
              <w:spacing w:after="0"/>
              <w:rPr>
                <w:sz w:val="24"/>
                <w:szCs w:val="24"/>
                <w:color w:val="auto"/>
              </w:rPr>
            </w:pPr>
          </w:p>
        </w:tc>
        <w:tc>
          <w:tcPr>
            <w:tcW w:w="56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6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SUMMARY OF PRINCIPAL RISK FACTORS</w:t>
      </w:r>
    </w:p>
    <w:p>
      <w:pPr>
        <w:spacing w:after="0" w:line="1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i w:val="1"/>
          <w:iCs w:val="1"/>
          <w:color w:val="auto"/>
        </w:rPr>
        <w:t>This summary briefly states the principal risks and uncertainties facing our business that could affect our common stock, which are only a select portion of those risks. A more complete statement of those risks and uncertainties is set forth in the Section 1A “Risk Factors” of this report. This summary is qualified in its entirety by that more complete statement. You should carefully read the entire statement and “Risk Factors” when considering the risks and uncertainties as part of your evaluation of an investment in our common stock.</w:t>
      </w:r>
    </w:p>
    <w:p>
      <w:pPr>
        <w:spacing w:after="0" w:line="68"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 will require substantial additional funding to achieve our goals. If we do not generate sufficient funding from our existing collaboration and any future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collaborations, we will need to obtain additional funding to support our operations. A failure to obtain funding when needed could force us to delay, limit, reduce or terminate some or all of our product development efforts.</w:t>
      </w:r>
    </w:p>
    <w:p>
      <w:pPr>
        <w:spacing w:after="0" w:line="66"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Our revenues for the next several years are substantially dependent upon AbbVie’s success selling MAVYRET/MAVIRET, which includes our protease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inhibitor, glecaprevir, for the treatment of HCV</w:t>
      </w:r>
      <w:r>
        <w:rPr>
          <w:rFonts w:ascii="Times New Roman" w:cs="Times New Roman" w:eastAsia="Times New Roman" w:hAnsi="Times New Roman"/>
          <w:sz w:val="16"/>
          <w:szCs w:val="16"/>
          <w:color w:val="auto"/>
        </w:rPr>
        <w:t>.</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•AbbVie may experience lower sales volume in future quarters, primarily due to a reduction in diagnoses and treatment rates of HCV.</w:t>
      </w:r>
    </w:p>
    <w:p>
      <w:pPr>
        <w:spacing w:after="0" w:line="104" w:lineRule="exact"/>
        <w:rPr>
          <w:sz w:val="20"/>
          <w:szCs w:val="20"/>
          <w:color w:val="auto"/>
        </w:rPr>
      </w:pPr>
    </w:p>
    <w:p>
      <w:pPr>
        <w:ind w:left="480" w:right="320"/>
        <w:spacing w:after="0" w:line="247" w:lineRule="auto"/>
        <w:rPr>
          <w:sz w:val="20"/>
          <w:szCs w:val="20"/>
          <w:color w:val="auto"/>
        </w:rPr>
      </w:pPr>
      <w:r>
        <w:rPr>
          <w:rFonts w:ascii="Times New Roman" w:cs="Times New Roman" w:eastAsia="Times New Roman" w:hAnsi="Times New Roman"/>
          <w:sz w:val="16"/>
          <w:szCs w:val="16"/>
          <w:color w:val="auto"/>
        </w:rPr>
        <w:t>•AbbVie’s MAVYRET</w:t>
      </w:r>
      <w:r>
        <w:rPr>
          <w:rFonts w:ascii="Times New Roman" w:cs="Times New Roman" w:eastAsia="Times New Roman" w:hAnsi="Times New Roman"/>
          <w:sz w:val="16"/>
          <w:szCs w:val="16"/>
          <w:color w:val="auto"/>
          <w:vertAlign w:val="superscript"/>
        </w:rPr>
        <w:t>TM</w:t>
      </w:r>
      <w:r>
        <w:rPr>
          <w:rFonts w:ascii="Times New Roman" w:cs="Times New Roman" w:eastAsia="Times New Roman" w:hAnsi="Times New Roman"/>
          <w:sz w:val="16"/>
          <w:szCs w:val="16"/>
          <w:color w:val="auto"/>
        </w:rPr>
        <w:t>/MAVIRET</w:t>
      </w:r>
      <w:r>
        <w:rPr>
          <w:rFonts w:ascii="Times New Roman" w:cs="Times New Roman" w:eastAsia="Times New Roman" w:hAnsi="Times New Roman"/>
          <w:sz w:val="16"/>
          <w:szCs w:val="16"/>
          <w:color w:val="auto"/>
          <w:vertAlign w:val="superscript"/>
        </w:rPr>
        <w:t>TM</w:t>
      </w:r>
      <w:r>
        <w:rPr>
          <w:rFonts w:ascii="Times New Roman" w:cs="Times New Roman" w:eastAsia="Times New Roman" w:hAnsi="Times New Roman"/>
          <w:sz w:val="16"/>
          <w:szCs w:val="16"/>
          <w:color w:val="auto"/>
        </w:rPr>
        <w:t xml:space="preserve"> regimen will have to continue to compete successfully against other products and therapies for HCV, including competition for exclusive arrangements with third-party payors and governmental entities as well as price competition, both in the U.S. and in other markets worldwide.</w:t>
      </w:r>
    </w:p>
    <w:p>
      <w:pPr>
        <w:spacing w:after="0" w:line="68" w:lineRule="exact"/>
        <w:rPr>
          <w:sz w:val="20"/>
          <w:szCs w:val="20"/>
          <w:color w:val="auto"/>
        </w:rPr>
      </w:pPr>
    </w:p>
    <w:p>
      <w:pPr>
        <w:jc w:val="both"/>
        <w:ind w:left="480" w:right="140"/>
        <w:spacing w:after="0" w:line="331" w:lineRule="auto"/>
        <w:rPr>
          <w:sz w:val="20"/>
          <w:szCs w:val="20"/>
          <w:color w:val="auto"/>
        </w:rPr>
      </w:pPr>
      <w:r>
        <w:rPr>
          <w:rFonts w:ascii="Times New Roman" w:cs="Times New Roman" w:eastAsia="Times New Roman" w:hAnsi="Times New Roman"/>
          <w:sz w:val="14"/>
          <w:szCs w:val="14"/>
          <w:color w:val="auto"/>
        </w:rPr>
        <w:t>•Beginning after June 30, 2023, 54.5% of our reported revenues represent payments that go directly to OMERS following our April 2023 sale of that portion of our MAVYRET/MAVIRET royalties earned through June 30, 2032, subject to a cap on aggregate payments to OMERS equal to 1.42 times the purchase price.</w:t>
      </w:r>
    </w:p>
    <w:p>
      <w:pPr>
        <w:spacing w:after="0" w:line="1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Any further changes in royalty revenue earned under our AbbVie agreement or in the level of expenses associated with our research and clinical development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programs, or both, will cause our results of operations to fluctuate from period to period. If AbbVie experiences lower sales volumes in future quarters combined with research and development expenses in support of our advancing programs, we expect to have continuing operating losses for the foreseeable future.</w:t>
      </w:r>
    </w:p>
    <w:p>
      <w:pPr>
        <w:spacing w:after="0" w:line="70" w:lineRule="exact"/>
        <w:rPr>
          <w:sz w:val="20"/>
          <w:szCs w:val="20"/>
          <w:color w:val="auto"/>
        </w:rPr>
      </w:pPr>
    </w:p>
    <w:p>
      <w:pPr>
        <w:ind w:left="480" w:right="320"/>
        <w:spacing w:after="0" w:line="299" w:lineRule="auto"/>
        <w:rPr>
          <w:sz w:val="20"/>
          <w:szCs w:val="20"/>
          <w:color w:val="auto"/>
        </w:rPr>
      </w:pPr>
      <w:r>
        <w:rPr>
          <w:rFonts w:ascii="Times New Roman" w:cs="Times New Roman" w:eastAsia="Times New Roman" w:hAnsi="Times New Roman"/>
          <w:sz w:val="14"/>
          <w:szCs w:val="14"/>
          <w:color w:val="auto"/>
        </w:rPr>
        <w:t>•Many of the preclinical and clinical development activities required for our product candidates must be contracted out to contract research organizations, or CROs, at significant expense. We expect these expenses to increase substantially in the coming years if we are able to advance any of our compounds into registrational clinical studies, as well as any impact of inflation, the combination of which will likely result in continuing operating losses.</w:t>
      </w:r>
    </w:p>
    <w:p>
      <w:pPr>
        <w:spacing w:after="0" w:line="32" w:lineRule="exact"/>
        <w:rPr>
          <w:sz w:val="20"/>
          <w:szCs w:val="20"/>
          <w:color w:val="auto"/>
        </w:rPr>
      </w:pPr>
    </w:p>
    <w:p>
      <w:pPr>
        <w:ind w:right="580"/>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There are many companies developing potential therapies for RSV, type 2 immune and mast-cell-driven diseases and other virology and immunology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indications, which may result in others discovering, developing or commercializing products before we do or doing so more successfully than we do.</w:t>
      </w:r>
    </w:p>
    <w:p>
      <w:pPr>
        <w:spacing w:after="0" w:line="10"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•In most of the disease areas currently the subject of our research and development efforts, there are other companies with product candidates that are more advanced than ours.</w:t>
      </w:r>
    </w:p>
    <w:p>
      <w:pPr>
        <w:spacing w:after="0" w:line="59" w:lineRule="exact"/>
        <w:rPr>
          <w:sz w:val="20"/>
          <w:szCs w:val="20"/>
          <w:color w:val="auto"/>
        </w:rPr>
      </w:pPr>
    </w:p>
    <w:p>
      <w:pPr>
        <w:ind w:left="480" w:right="120"/>
        <w:spacing w:after="0" w:line="247" w:lineRule="auto"/>
        <w:rPr>
          <w:sz w:val="20"/>
          <w:szCs w:val="20"/>
          <w:color w:val="auto"/>
        </w:rPr>
      </w:pPr>
      <w:r>
        <w:rPr>
          <w:rFonts w:ascii="Times New Roman" w:cs="Times New Roman" w:eastAsia="Times New Roman" w:hAnsi="Times New Roman"/>
          <w:sz w:val="16"/>
          <w:szCs w:val="16"/>
          <w:color w:val="auto"/>
        </w:rPr>
        <w:t>•If we are not “first to market” or sufficiently differentiated with one of our product candidates in one or more of our targeted disease indications, such as CSU, our competitive position could be compromised because it may be more difficult for us to obtain marketing approval for that product candidate and/or market acceptance of that product candidate as a follow-on competitor.</w:t>
      </w:r>
    </w:p>
    <w:p>
      <w:pPr>
        <w:spacing w:after="0" w:line="6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Clinical drug development for viral infections and immunology indications involves a lengthy and expensive process with uncertain timelines, uncertain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outcomes and evolving clinical endpoints for regulatory approvals. If clinical trials of any of our proprietary product candidates are prolonged or delayed, we may be unable to commercialize our product candidates on a timely basis</w:t>
      </w:r>
      <w:r>
        <w:rPr>
          <w:rFonts w:ascii="Times New Roman" w:cs="Times New Roman" w:eastAsia="Times New Roman" w:hAnsi="Times New Roman"/>
          <w:sz w:val="16"/>
          <w:szCs w:val="16"/>
          <w:b w:val="1"/>
          <w:bCs w:val="1"/>
          <w:i w:val="1"/>
          <w:iCs w:val="1"/>
          <w:color w:val="auto"/>
        </w:rPr>
        <w:t>.</w:t>
      </w:r>
    </w:p>
    <w:p>
      <w:pPr>
        <w:spacing w:after="0" w:line="68"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•Changes in regulatory requirements, policies and guidelines, including guidelines specifically addressing requirements for the development of treatments for RSV, type 2 immune and mast-cell-driven diseases or other virology and immunology indications could also delay the time required to reach regulatory approval of one or more of our product candidates.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4" w:name="page5"/>
    <w:bookmarkEnd w:id="4"/>
    <w:p>
      <w:pPr>
        <w:spacing w:after="0" w:line="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The results of clinical trials are inherently uncertain. The results of preclinical studies and early clinical trials of our product candidates may not be predictive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of the results of later-stage clinical trials, if any, including sufficient efficacy and an acceptable safety and tolerability profile</w:t>
      </w:r>
      <w:r>
        <w:rPr>
          <w:rFonts w:ascii="Times New Roman" w:cs="Times New Roman" w:eastAsia="Times New Roman" w:hAnsi="Times New Roman"/>
          <w:sz w:val="16"/>
          <w:szCs w:val="16"/>
          <w:color w:val="auto"/>
        </w:rPr>
        <w:t>.</w:t>
      </w:r>
    </w:p>
    <w:p>
      <w:pPr>
        <w:spacing w:after="0" w:line="56"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6"/>
          <w:szCs w:val="16"/>
          <w:color w:val="auto"/>
        </w:rPr>
        <w:t>•Several companies in the disease areas we are seeking to address have suffered significant setbacks in advanced clinical trials due to adverse safety profiles or lack of efficacy, notwithstanding promising results in earlier studies.</w:t>
      </w:r>
    </w:p>
    <w:p>
      <w:pPr>
        <w:spacing w:after="0" w:line="59"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•Clinical trials involving our product candidates may be suspended or terminated at any time for a number of safety-related reasons. For example, administering any product candidate to humans may produce undesirable side effects not identified in preclinical studies.</w:t>
      </w:r>
    </w:p>
    <w:p>
      <w:pPr>
        <w:spacing w:after="0" w:line="59" w:lineRule="exact"/>
        <w:rPr>
          <w:sz w:val="20"/>
          <w:szCs w:val="20"/>
          <w:color w:val="auto"/>
        </w:rPr>
      </w:pPr>
    </w:p>
    <w:p>
      <w:pPr>
        <w:ind w:left="480" w:right="120"/>
        <w:spacing w:after="0" w:line="247" w:lineRule="auto"/>
        <w:rPr>
          <w:sz w:val="20"/>
          <w:szCs w:val="20"/>
          <w:color w:val="auto"/>
        </w:rPr>
      </w:pPr>
      <w:r>
        <w:rPr>
          <w:rFonts w:ascii="Times New Roman" w:cs="Times New Roman" w:eastAsia="Times New Roman" w:hAnsi="Times New Roman"/>
          <w:sz w:val="16"/>
          <w:szCs w:val="16"/>
          <w:color w:val="auto"/>
        </w:rPr>
        <w:t>•We may choose to test any of our clinical candidates preclinically and/or clinically in combination with other compounds with different mechanisms of action. Any adverse results from such testing may have adverse consequences for the further development potential of not only the combination but also the clinical candidate itself as a monotherapy or in combination with other mechanisms of action.</w:t>
      </w:r>
    </w:p>
    <w:p>
      <w:pPr>
        <w:spacing w:after="0" w:line="6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 may delay or terminate the development of a product candidate at any time if we believe the perceived market or commercial opportunity does not justify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further investment.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 could be unsuccessful in obtaining or maintaining adequate patent protection for one or more of our product candidates.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are competing to develop intellectual property in areas of small-molecule drug development that are highly competitive.</w:t>
      </w:r>
    </w:p>
    <w:p>
      <w:pPr>
        <w:spacing w:after="0" w:line="9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6"/>
          <w:szCs w:val="16"/>
          <w:color w:val="auto"/>
        </w:rPr>
        <w:t>•We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fail to provide us with any competitive advantage.</w:t>
      </w:r>
    </w:p>
    <w:p>
      <w:pPr>
        <w:spacing w:after="0" w:line="68"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•We cannot be certain that we were the first to file patent applications on our product candidates or for their uses, or that our product candidates will not infringe patents that are currently issued or that are issued in the future.</w:t>
      </w:r>
    </w:p>
    <w:p>
      <w:pPr>
        <w:spacing w:after="0" w:line="5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 rely on third parties to manufacture our clinical drug supplies, monitor, support, conduct and/or oversee clinical trials of our product candidates that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develop independently.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80" w:right="360"/>
        <w:spacing w:after="0" w:line="259" w:lineRule="auto"/>
        <w:rPr>
          <w:sz w:val="20"/>
          <w:szCs w:val="20"/>
          <w:color w:val="auto"/>
        </w:rPr>
      </w:pPr>
      <w:r>
        <w:rPr>
          <w:rFonts w:ascii="Times New Roman" w:cs="Times New Roman" w:eastAsia="Times New Roman" w:hAnsi="Times New Roman"/>
          <w:sz w:val="16"/>
          <w:szCs w:val="16"/>
          <w:color w:val="auto"/>
        </w:rPr>
        <w:t>We are a biotechnology company that uses our robust, chemistry-driven approach and drug discovery capabilities to discover and develop small molecule drugs for virology and immunology indications.</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Virology:</w:t>
      </w:r>
    </w:p>
    <w:p>
      <w:pPr>
        <w:spacing w:after="0" w:line="94" w:lineRule="exact"/>
        <w:rPr>
          <w:sz w:val="20"/>
          <w:szCs w:val="20"/>
          <w:color w:val="auto"/>
        </w:rPr>
      </w:pPr>
    </w:p>
    <w:p>
      <w:pPr>
        <w:ind w:left="80" w:right="180"/>
        <w:spacing w:after="0" w:line="285" w:lineRule="auto"/>
        <w:rPr>
          <w:sz w:val="20"/>
          <w:szCs w:val="20"/>
          <w:color w:val="auto"/>
        </w:rPr>
      </w:pPr>
      <w:r>
        <w:rPr>
          <w:rFonts w:ascii="Times New Roman" w:cs="Times New Roman" w:eastAsia="Times New Roman" w:hAnsi="Times New Roman"/>
          <w:sz w:val="14"/>
          <w:szCs w:val="14"/>
          <w:color w:val="auto"/>
        </w:rPr>
        <w:t>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or DAA, combination treatment for</w:t>
      </w:r>
    </w:p>
    <w:p>
      <w:pPr>
        <w:spacing w:after="0" w:line="1" w:lineRule="exact"/>
        <w:rPr>
          <w:sz w:val="20"/>
          <w:szCs w:val="20"/>
          <w:color w:val="auto"/>
        </w:rPr>
      </w:pPr>
    </w:p>
    <w:p>
      <w:pPr>
        <w:ind w:left="80" w:right="100"/>
        <w:spacing w:after="0" w:line="237" w:lineRule="auto"/>
        <w:rPr>
          <w:sz w:val="20"/>
          <w:szCs w:val="20"/>
          <w:color w:val="auto"/>
        </w:rPr>
      </w:pPr>
      <w:r>
        <w:rPr>
          <w:rFonts w:ascii="Times New Roman" w:cs="Times New Roman" w:eastAsia="Times New Roman" w:hAnsi="Times New Roman"/>
          <w:sz w:val="16"/>
          <w:szCs w:val="16"/>
          <w:color w:val="auto"/>
        </w:rPr>
        <w:t>HCV, which has been marketed under the tradenames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(U.S.) and MAVIRET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(ex-U.S.) (glecaprevir/pibrentasvir) since 2017 for the treatment of chronic HCV.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was also approved as the first and only treatment for acute HCV infection in June 2025.</w:t>
      </w:r>
    </w:p>
    <w:p>
      <w:pPr>
        <w:spacing w:after="0" w:line="4" w:lineRule="exact"/>
        <w:rPr>
          <w:sz w:val="20"/>
          <w:szCs w:val="20"/>
          <w:color w:val="auto"/>
        </w:rPr>
      </w:pPr>
    </w:p>
    <w:p>
      <w:pPr>
        <w:ind w:left="80" w:right="100"/>
        <w:spacing w:after="0" w:line="243" w:lineRule="auto"/>
        <w:rPr>
          <w:sz w:val="20"/>
          <w:szCs w:val="20"/>
          <w:color w:val="auto"/>
        </w:rPr>
      </w:pPr>
      <w:r>
        <w:rPr>
          <w:rFonts w:ascii="Times New Roman" w:cs="Times New Roman" w:eastAsia="Times New Roman" w:hAnsi="Times New Roman"/>
          <w:sz w:val="16"/>
          <w:szCs w:val="16"/>
          <w:color w:val="auto"/>
        </w:rPr>
        <w:t>Our active development programs in virology are focused on respiratory syncytial virus, or RSV, the most common cause of bronchiolitis and pneumonia and a leading cause of U.S. hospitalization in young children and a significant cause of respiratory illness in older adults. Populations at high risk for severe RSV infection include infants and young children, adults older than 65 years of age, and those with comorbidities such as chronic heart or lung disease. Recent CDC estimates suggest a significant RSV burden in the U.S., with up to 6.5 million outpatient visits, 350,000 hospitalizations and 23,000 deaths annually.</w:t>
      </w:r>
    </w:p>
    <w:p>
      <w:pPr>
        <w:spacing w:after="0" w:line="71" w:lineRule="exact"/>
        <w:rPr>
          <w:sz w:val="20"/>
          <w:szCs w:val="20"/>
          <w:color w:val="auto"/>
        </w:rPr>
      </w:pPr>
    </w:p>
    <w:p>
      <w:pPr>
        <w:ind w:left="80" w:right="600"/>
        <w:spacing w:after="0" w:line="259" w:lineRule="auto"/>
        <w:rPr>
          <w:sz w:val="20"/>
          <w:szCs w:val="20"/>
          <w:color w:val="auto"/>
        </w:rPr>
      </w:pPr>
      <w:r>
        <w:rPr>
          <w:rFonts w:ascii="Times New Roman" w:cs="Times New Roman" w:eastAsia="Times New Roman" w:hAnsi="Times New Roman"/>
          <w:sz w:val="16"/>
          <w:szCs w:val="16"/>
          <w:color w:val="auto"/>
        </w:rPr>
        <w:t>We also have clinical-stage programs in virology for SARS-CoV-2, the virus that causes COVID-19, and Hepatitis B virus, or HBV, the most prevalent chronic hepatitis.</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Immunology</w:t>
      </w:r>
    </w:p>
    <w:p>
      <w:pPr>
        <w:spacing w:after="0" w:line="94" w:lineRule="exact"/>
        <w:rPr>
          <w:sz w:val="20"/>
          <w:szCs w:val="20"/>
          <w:color w:val="auto"/>
        </w:rPr>
      </w:pPr>
    </w:p>
    <w:p>
      <w:pPr>
        <w:ind w:left="80" w:right="20"/>
        <w:spacing w:after="0" w:line="241" w:lineRule="auto"/>
        <w:rPr>
          <w:sz w:val="20"/>
          <w:szCs w:val="20"/>
          <w:color w:val="auto"/>
        </w:rPr>
      </w:pPr>
      <w:r>
        <w:rPr>
          <w:rFonts w:ascii="Times New Roman" w:cs="Times New Roman" w:eastAsia="Times New Roman" w:hAnsi="Times New Roman"/>
          <w:sz w:val="16"/>
          <w:szCs w:val="16"/>
          <w:color w:val="auto"/>
        </w:rPr>
        <w:t>In immunology, we are designing and developing highly potent and selective, oral small molecule inhibitors for the treatment of type 2 inflammatory disease by targeting key mechanisms of the immune response. An overactive response is a primary driver of a number of inflammatory diseases for which there is an enduring unmet need including atopic dermatitis, or AD, urticarias, asthma, prurigo nodularis, or PN, chronic rhinosinusitis with nasal polyps, or CRSwNP, as well as some forms of chronic obstructive pulmonary disease, or COPD, and other conditions. Based on industry reports, by 2030 the market is projected to be approximately $5 billion for urticaria, $30 billion for AD and $35 billion for the combined market of asthma, COPD, CRSwNP, and PN.</w:t>
      </w:r>
    </w:p>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Our initial immunology targets involve the following mechanisms of immune response:</w:t>
      </w:r>
    </w:p>
    <w:p>
      <w:pPr>
        <w:spacing w:after="0" w:line="92"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6"/>
          <w:szCs w:val="16"/>
          <w:color w:val="auto"/>
        </w:rPr>
        <w:t>•The receptor tyrosine kinase, known as KIT, which is critical for regulating mast cell survival and activation, including release of potent inflammatory mediators such as histamine, which is a primary driver of inflammation in the skin and implicated in multiple allergic diseases; and</w:t>
      </w:r>
    </w:p>
    <w:p>
      <w:pPr>
        <w:spacing w:after="0" w:line="59" w:lineRule="exact"/>
        <w:rPr>
          <w:sz w:val="20"/>
          <w:szCs w:val="20"/>
          <w:color w:val="auto"/>
        </w:rPr>
      </w:pPr>
    </w:p>
    <w:p>
      <w:pPr>
        <w:ind w:left="560" w:right="500"/>
        <w:spacing w:after="0" w:line="246" w:lineRule="auto"/>
        <w:rPr>
          <w:sz w:val="20"/>
          <w:szCs w:val="20"/>
          <w:color w:val="auto"/>
        </w:rPr>
      </w:pPr>
      <w:r>
        <w:rPr>
          <w:rFonts w:ascii="Times New Roman" w:cs="Times New Roman" w:eastAsia="Times New Roman" w:hAnsi="Times New Roman"/>
          <w:sz w:val="16"/>
          <w:szCs w:val="16"/>
          <w:color w:val="auto"/>
        </w:rPr>
        <w:t>•STAT6, a transcription factor uniquely responsible for interleukin-4, or IL-4, and interleukin-13, or IL-13, cell signaling, which drives a type 2 dominant phenotype and downstream inflammation.</w:t>
      </w:r>
    </w:p>
    <w:p>
      <w:pPr>
        <w:spacing w:after="0" w:line="1" w:lineRule="exact"/>
        <w:rPr>
          <w:sz w:val="20"/>
          <w:szCs w:val="20"/>
          <w:color w:val="auto"/>
        </w:rPr>
      </w:pPr>
    </w:p>
    <w:p>
      <w:pPr>
        <w:jc w:val="both"/>
        <w:ind w:left="80" w:right="160"/>
        <w:spacing w:after="0" w:line="304" w:lineRule="auto"/>
        <w:rPr>
          <w:sz w:val="20"/>
          <w:szCs w:val="20"/>
          <w:color w:val="auto"/>
        </w:rPr>
      </w:pPr>
      <w:r>
        <w:rPr>
          <w:rFonts w:ascii="Times New Roman" w:cs="Times New Roman" w:eastAsia="Times New Roman" w:hAnsi="Times New Roman"/>
          <w:sz w:val="14"/>
          <w:szCs w:val="14"/>
          <w:color w:val="auto"/>
        </w:rPr>
        <w:t>These mechanisms are implicated, along with others, in several diseases, and it is not uncommon for an efficacious treatment for one disease to be tested and approved for other immunology indications. We currently plan to focus our initial immunology drug development proof-of-concept efforts on the following disease indications:</w:t>
      </w:r>
    </w:p>
    <w:p>
      <w:pPr>
        <w:spacing w:after="0" w:line="30" w:lineRule="exact"/>
        <w:rPr>
          <w:sz w:val="20"/>
          <w:szCs w:val="20"/>
          <w:color w:val="auto"/>
        </w:rPr>
      </w:pPr>
    </w:p>
    <w:p>
      <w:pPr>
        <w:ind w:left="560" w:right="220"/>
        <w:spacing w:after="0" w:line="281" w:lineRule="auto"/>
        <w:rPr>
          <w:sz w:val="20"/>
          <w:szCs w:val="20"/>
          <w:color w:val="auto"/>
        </w:rPr>
      </w:pPr>
      <w:r>
        <w:rPr>
          <w:rFonts w:ascii="Times New Roman" w:cs="Times New Roman" w:eastAsia="Times New Roman" w:hAnsi="Times New Roman"/>
          <w:sz w:val="14"/>
          <w:szCs w:val="14"/>
          <w:color w:val="auto"/>
        </w:rPr>
        <w:t>•Chronic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w:t>
      </w:r>
    </w:p>
    <w:p>
      <w:pPr>
        <w:spacing w:after="0" w:line="1" w:lineRule="exact"/>
        <w:rPr>
          <w:sz w:val="20"/>
          <w:szCs w:val="20"/>
          <w:color w:val="auto"/>
        </w:rPr>
      </w:pPr>
    </w:p>
    <w:p>
      <w:pPr>
        <w:ind w:left="560" w:right="180"/>
        <w:spacing w:after="0" w:line="238" w:lineRule="auto"/>
        <w:rPr>
          <w:sz w:val="20"/>
          <w:szCs w:val="20"/>
          <w:color w:val="auto"/>
        </w:rPr>
      </w:pPr>
      <w:r>
        <w:rPr>
          <w:rFonts w:ascii="Times New Roman" w:cs="Times New Roman" w:eastAsia="Times New Roman" w:hAnsi="Times New Roman"/>
          <w:sz w:val="16"/>
          <w:szCs w:val="16"/>
          <w:color w:val="auto"/>
        </w:rPr>
        <w:t>1.75–3.5 million people with this condition at any given time in the U.S. alone or chronic inducible urticaria (CIndU) of various forms with a variety of known triggers; and</w:t>
      </w:r>
    </w:p>
    <w:p>
      <w:pPr>
        <w:spacing w:after="0" w:line="73" w:lineRule="exact"/>
        <w:rPr>
          <w:sz w:val="20"/>
          <w:szCs w:val="20"/>
          <w:color w:val="auto"/>
        </w:rPr>
      </w:pPr>
    </w:p>
    <w:p>
      <w:pPr>
        <w:ind w:left="560"/>
        <w:spacing w:after="0" w:line="247" w:lineRule="auto"/>
        <w:rPr>
          <w:sz w:val="20"/>
          <w:szCs w:val="20"/>
          <w:color w:val="auto"/>
        </w:rPr>
      </w:pPr>
      <w:r>
        <w:rPr>
          <w:rFonts w:ascii="Times New Roman" w:cs="Times New Roman" w:eastAsia="Times New Roman" w:hAnsi="Times New Roman"/>
          <w:sz w:val="16"/>
          <w:szCs w:val="16"/>
          <w:color w:val="auto"/>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w:t>
      </w:r>
    </w:p>
    <w:p>
      <w:pPr>
        <w:spacing w:after="0" w:line="152" w:lineRule="exact"/>
        <w:rPr>
          <w:sz w:val="20"/>
          <w:szCs w:val="20"/>
          <w:color w:val="auto"/>
        </w:rPr>
      </w:pPr>
    </w:p>
    <w:p>
      <w:pPr>
        <w:ind w:left="80" w:right="460"/>
        <w:spacing w:after="0" w:line="259" w:lineRule="auto"/>
        <w:rPr>
          <w:sz w:val="20"/>
          <w:szCs w:val="20"/>
          <w:color w:val="auto"/>
        </w:rPr>
      </w:pPr>
      <w:r>
        <w:rPr>
          <w:rFonts w:ascii="Times New Roman" w:cs="Times New Roman" w:eastAsia="Times New Roman" w:hAnsi="Times New Roman"/>
          <w:sz w:val="16"/>
          <w:szCs w:val="16"/>
          <w:color w:val="auto"/>
        </w:rPr>
        <w:t>As of September 30, 2025, we had $188.9 million in cash, cash equivalents and short -term marketable securities. Based on our operating plan, we believe that our existing cash, cash equivalents, and short-term marketable securities as of September</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419" w:right="660" w:bottom="1440" w:gutter="0" w:footer="0" w:header="0"/>
        </w:sectPr>
      </w:pPr>
    </w:p>
    <w:bookmarkStart w:id="6" w:name="page7"/>
    <w:bookmarkEnd w:id="6"/>
    <w:p>
      <w:pPr>
        <w:ind w:right="160"/>
        <w:spacing w:after="0" w:line="247" w:lineRule="auto"/>
        <w:rPr>
          <w:sz w:val="20"/>
          <w:szCs w:val="20"/>
          <w:color w:val="auto"/>
        </w:rPr>
      </w:pPr>
      <w:r>
        <w:rPr>
          <w:rFonts w:ascii="Times New Roman" w:cs="Times New Roman" w:eastAsia="Times New Roman" w:hAnsi="Times New Roman"/>
          <w:sz w:val="16"/>
          <w:szCs w:val="16"/>
          <w:color w:val="auto"/>
        </w:rPr>
        <w:t>30, 2025, as well as the cash flows from our retained portion of future HCV royalties and the proceeds from our public offering in October 2025, will enable us to fund our operating expenses and capital expenditure requirements into fiscal 2029. We have based this estimate on assumptions that may prove to be wrong, and we could exhaust our available capital resources sooner than we expect. See “Liquidity and Capital Resources.”</w:t>
      </w:r>
    </w:p>
    <w:p>
      <w:pPr>
        <w:spacing w:after="0" w:line="6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clinical development and commercialization, we are unable to accurately predict the timing or amount of increased expenses or when, or if, we will be able to achieve or maintain profitability. Until such time, if ever, as we can generate substantial revenue sufficient to achieve profitability, we expect to finance our operations through a combination of equity offerings, non -dilutive financings, collaborations, strategic alliances or licensing agreements. We may be unable to raise additional funds or enter into such other agreements or arrangements, when needed, on favorable terms, or at all. If we are unable to raise capital or enter into such agreements as, and when, needed, we may have to significantly delay, scale back or discontinue the further development and commercialization efforts of one or more of our products, or may be forced to reduce or terminate our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Wholly-Owned Programs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of our development programs in virology and immunology are wholly-owned, including our RSV, KIT and STAT6 programs.</w:t>
      </w:r>
    </w:p>
    <w:p>
      <w:pPr>
        <w:spacing w:after="0" w:line="9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6"/>
          <w:szCs w:val="16"/>
          <w:b w:val="1"/>
          <w:bCs w:val="1"/>
          <w:color w:val="auto"/>
        </w:rPr>
        <w:t>RSV</w:t>
      </w:r>
      <w:r>
        <w:rPr>
          <w:rFonts w:ascii="Times New Roman" w:cs="Times New Roman" w:eastAsia="Times New Roman" w:hAnsi="Times New Roman"/>
          <w:sz w:val="16"/>
          <w:szCs w:val="16"/>
          <w:color w:val="auto"/>
        </w:rPr>
        <w:t>. We have two clinical stage candidates for RSV – zelicapavir (formerly EDP- 938) and EDP -323. Both candidates inhibit viral replication and the production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new virions. These clinical candidates differ from fusion inhibitors, which act only at viral entry. Zelicapavir, which has Fast Track designation from the U.S. Food and Drug Administration, or FDA, is a potent inhibitor of the RSV N-protein for both major subgroups of RSV, referred to as RSV-A and RSV -B. Zelicapavir has been studied in two Phase 2 studies, each in a different high-risk patient population. EDP-323, which also has a Fast Track designation from the FDA, is an inhibitor of the RSV L-protein for both major subgroups of RSV that has completed a Phase 2 challenge study. We are evaluating potential partnership opportunities to advance our RSV programs to the next stage of clinical development.</w:t>
      </w:r>
    </w:p>
    <w:p>
      <w:pPr>
        <w:spacing w:after="0" w:line="72" w:lineRule="exact"/>
        <w:rPr>
          <w:sz w:val="20"/>
          <w:szCs w:val="20"/>
          <w:color w:val="auto"/>
        </w:rPr>
      </w:pPr>
    </w:p>
    <w:p>
      <w:pPr>
        <w:ind w:left="480" w:right="8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Zelicapavir - N-protein Inhibitor Candidate.</w:t>
      </w:r>
      <w:r>
        <w:rPr>
          <w:rFonts w:ascii="Times New Roman" w:cs="Times New Roman" w:eastAsia="Times New Roman" w:hAnsi="Times New Roman"/>
          <w:sz w:val="16"/>
          <w:szCs w:val="16"/>
          <w:color w:val="auto"/>
        </w:rPr>
        <w:t xml:space="preserve"> Zelicapavir, a once-daily, oral, direct-acting antiviral selectively targeting the N-protein, has demonstrated statistically significant reductions in RSV viral load and symptoms in a human challenge model, Phase 2 clinical study. We believe that zelicapavir has the greatest potential to show optimal efficacy in high -risk populations since these patients have reduced RSV immunity, which manifests in a higher and longer duration of viral load and greater disease severity, allowing a bigger window to realize the full potential of zelicapavir. We are continuing to evaluate zelicapavir in high-risk populations, including pediatric patients and high-risk adults, all of which have significant unmet need:</w:t>
      </w:r>
    </w:p>
    <w:p>
      <w:pPr>
        <w:spacing w:after="0" w:line="73" w:lineRule="exact"/>
        <w:rPr>
          <w:sz w:val="20"/>
          <w:szCs w:val="20"/>
          <w:color w:val="auto"/>
        </w:rPr>
      </w:pPr>
    </w:p>
    <w:p>
      <w:pPr>
        <w:ind w:left="1060" w:right="120"/>
        <w:spacing w:after="0" w:line="262" w:lineRule="auto"/>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6"/>
          <w:szCs w:val="16"/>
          <w:i w:val="1"/>
          <w:iCs w:val="1"/>
          <w:color w:val="auto"/>
        </w:rPr>
        <w:t>High-Risk Adults Study of Zelicapavir.</w:t>
      </w:r>
      <w:r>
        <w:rPr>
          <w:rFonts w:ascii="Times New Roman" w:cs="Times New Roman" w:eastAsia="Times New Roman" w:hAnsi="Times New Roman"/>
          <w:sz w:val="16"/>
          <w:szCs w:val="16"/>
          <w:color w:val="auto"/>
        </w:rPr>
        <w:t xml:space="preserve"> In September 2025, we announced positive topline results from a Phase 2b study in high -risk adults, including those who are older than 65 years of age and those who have asthma, chronic obstructive pulmonary disease, or congestive heart failure.</w:t>
      </w:r>
    </w:p>
    <w:p>
      <w:pPr>
        <w:spacing w:after="0" w:line="54" w:lineRule="exact"/>
        <w:rPr>
          <w:sz w:val="20"/>
          <w:szCs w:val="20"/>
          <w:color w:val="auto"/>
        </w:rPr>
      </w:pPr>
    </w:p>
    <w:p>
      <w:pPr>
        <w:ind w:left="1060" w:right="360"/>
        <w:spacing w:after="0" w:line="334" w:lineRule="auto"/>
        <w:rPr>
          <w:sz w:val="20"/>
          <w:szCs w:val="20"/>
          <w:color w:val="auto"/>
        </w:rPr>
      </w:pPr>
      <w:r>
        <w:rPr>
          <w:rFonts w:ascii="Times New Roman" w:cs="Times New Roman" w:eastAsia="Times New Roman" w:hAnsi="Times New Roman"/>
          <w:sz w:val="14"/>
          <w:szCs w:val="14"/>
          <w:color w:val="auto"/>
        </w:rPr>
        <w:t>o</w:t>
      </w:r>
      <w:r>
        <w:rPr>
          <w:rFonts w:ascii="Times New Roman" w:cs="Times New Roman" w:eastAsia="Times New Roman" w:hAnsi="Times New Roman"/>
          <w:sz w:val="14"/>
          <w:szCs w:val="14"/>
          <w:i w:val="1"/>
          <w:iCs w:val="1"/>
          <w:color w:val="auto"/>
        </w:rPr>
        <w:t>Pediatric Study of Zelicapavir.</w:t>
      </w:r>
      <w:r>
        <w:rPr>
          <w:rFonts w:ascii="Times New Roman" w:cs="Times New Roman" w:eastAsia="Times New Roman" w:hAnsi="Times New Roman"/>
          <w:sz w:val="14"/>
          <w:szCs w:val="14"/>
          <w:color w:val="auto"/>
        </w:rPr>
        <w:t xml:space="preserve"> In December 2024, we announced positive topline results from the first- in-pediatrics Phase 2 randomized, double-blind, placebo-controlled study evaluating zelicapavir in hospitalized and non-hospitalized children aged 28 days to 36 months with RSV.</w:t>
      </w:r>
    </w:p>
    <w:p>
      <w:pPr>
        <w:spacing w:after="0" w:line="10" w:lineRule="exact"/>
        <w:rPr>
          <w:sz w:val="20"/>
          <w:szCs w:val="20"/>
          <w:color w:val="auto"/>
        </w:rPr>
      </w:pPr>
    </w:p>
    <w:p>
      <w:pPr>
        <w:ind w:left="960" w:right="280"/>
        <w:spacing w:after="0" w:line="259" w:lineRule="auto"/>
        <w:rPr>
          <w:sz w:val="20"/>
          <w:szCs w:val="20"/>
          <w:color w:val="auto"/>
        </w:rPr>
      </w:pPr>
      <w:r>
        <w:rPr>
          <w:rFonts w:ascii="Times New Roman" w:cs="Times New Roman" w:eastAsia="Times New Roman" w:hAnsi="Times New Roman"/>
          <w:sz w:val="16"/>
          <w:szCs w:val="16"/>
          <w:color w:val="auto"/>
        </w:rPr>
        <w:t>In these Phase 2 clinical studies, zelicapavir has demonstrated a favorable safety profile, consistent with that observed in over 700 subjects exposed to zelicapavir to date.</w:t>
      </w:r>
    </w:p>
    <w:p>
      <w:pPr>
        <w:spacing w:after="0" w:line="57" w:lineRule="exact"/>
        <w:rPr>
          <w:sz w:val="20"/>
          <w:szCs w:val="20"/>
          <w:color w:val="auto"/>
        </w:rPr>
      </w:pPr>
    </w:p>
    <w:p>
      <w:pPr>
        <w:ind w:left="480" w:right="12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EDP-323 - L- protein Inhibitor Candidate.</w:t>
      </w:r>
      <w:r>
        <w:rPr>
          <w:rFonts w:ascii="Times New Roman" w:cs="Times New Roman" w:eastAsia="Times New Roman" w:hAnsi="Times New Roman"/>
          <w:sz w:val="16"/>
          <w:szCs w:val="16"/>
          <w:color w:val="auto"/>
        </w:rPr>
        <w:t xml:space="preserve"> Our second clinical RSV candidate, EDP-323, is an oral, direct-acting antiviral selectively targeting the RSV L-protein, a viral RNA-dependent RNA polymerase enzyme that contains multiple enzymatic activities required for RSV replication. EDP-323 has sub- nanomolar potency against RSV-A and RSV -B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protected mice in a dose- dependent manner from RSV infection as demonstrated by both virological and pathological endpoints. EDP- 323 is not expected to have cross- resistance to other classes of inhibitors and has the potential to be used alone, or in combination with other RSV mechanisms, to broaden the treatment window or addressable patient populations.</w:t>
      </w:r>
    </w:p>
    <w:p>
      <w:pPr>
        <w:spacing w:after="0" w:line="73" w:lineRule="exact"/>
        <w:rPr>
          <w:sz w:val="20"/>
          <w:szCs w:val="20"/>
          <w:color w:val="auto"/>
        </w:rPr>
      </w:pPr>
    </w:p>
    <w:p>
      <w:pPr>
        <w:ind w:left="1060" w:right="220"/>
        <w:spacing w:after="0" w:line="262" w:lineRule="auto"/>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6"/>
          <w:szCs w:val="16"/>
          <w:i w:val="1"/>
          <w:iCs w:val="1"/>
          <w:color w:val="auto"/>
        </w:rPr>
        <w:t>Phase 2a Study of EDP-323</w:t>
      </w:r>
      <w:r>
        <w:rPr>
          <w:rFonts w:ascii="Times New Roman" w:cs="Times New Roman" w:eastAsia="Times New Roman" w:hAnsi="Times New Roman"/>
          <w:sz w:val="16"/>
          <w:szCs w:val="16"/>
          <w:color w:val="auto"/>
        </w:rPr>
        <w:t>. In September 2024, we announced positive topline results for EDP-323 in a Phase 2a challenge study of healthy adults infected with RSV.</w:t>
      </w:r>
    </w:p>
    <w:p>
      <w:pPr>
        <w:spacing w:after="0" w:line="5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6"/>
          <w:szCs w:val="16"/>
          <w:b w:val="1"/>
          <w:bCs w:val="1"/>
          <w:color w:val="auto"/>
        </w:rPr>
        <w:t>Immunology</w:t>
      </w:r>
      <w:r>
        <w:rPr>
          <w:rFonts w:ascii="Times New Roman" w:cs="Times New Roman" w:eastAsia="Times New Roman" w:hAnsi="Times New Roman"/>
          <w:sz w:val="16"/>
          <w:szCs w:val="16"/>
          <w:color w:val="auto"/>
        </w:rPr>
        <w:t>. We are leveraging our expertise in developing inhibitors to design and develop highly potent and selective oral small molecule inhibitors targeting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mechanisms of immune response:</w:t>
      </w:r>
    </w:p>
    <w:p>
      <w:pPr>
        <w:spacing w:after="0" w:line="56"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•KIT Inhibitors. We have a preclinical stage program to develop oral KIT inhibitors for the treatment of CSU and potentially other indications by depleting mast cells, thereby addressing a primary driver of these diseases. We</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21" w:right="640" w:bottom="1440" w:gutter="0" w:footer="0" w:header="0"/>
        </w:sectPr>
      </w:pPr>
    </w:p>
    <w:bookmarkStart w:id="7" w:name="page8"/>
    <w:bookmarkEnd w:id="7"/>
    <w:p>
      <w:pPr>
        <w:spacing w:after="0" w:line="77"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16"/>
          <w:szCs w:val="16"/>
          <w:color w:val="auto"/>
        </w:rPr>
        <w:t xml:space="preserve">have selected EDP-978 as our clinical candidate. EDP-978 demonstrates potent nanomolar activity in both binding and cellular function assays, sub-nanomolar activity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and high selectivity for KIT versus other kinases. EDP-978 also demonstrates strong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absorption, distribution, metabolism and excretion (ADME) properties. We are finalizing the IND-enabling activities for this program in the fourth quarter of 2025 and expect to file an Investigational New Drug application, or IND, in the first quarter of 2026.</w:t>
      </w:r>
    </w:p>
    <w:p>
      <w:pPr>
        <w:spacing w:after="0" w:line="71" w:lineRule="exact"/>
        <w:rPr>
          <w:sz w:val="20"/>
          <w:szCs w:val="20"/>
          <w:color w:val="auto"/>
        </w:rPr>
      </w:pPr>
    </w:p>
    <w:p>
      <w:pPr>
        <w:ind w:left="480" w:right="20"/>
        <w:spacing w:after="0" w:line="238" w:lineRule="auto"/>
        <w:rPr>
          <w:sz w:val="20"/>
          <w:szCs w:val="20"/>
          <w:color w:val="auto"/>
        </w:rPr>
      </w:pPr>
      <w:r>
        <w:rPr>
          <w:rFonts w:ascii="Times New Roman" w:cs="Times New Roman" w:eastAsia="Times New Roman" w:hAnsi="Times New Roman"/>
          <w:sz w:val="16"/>
          <w:szCs w:val="16"/>
          <w:color w:val="auto"/>
        </w:rPr>
        <w:t xml:space="preserve">•STAT6 Inhibitors. We have a preclinical stage program to develop oral inhibitors of the signal transducer and activator of transcription 6 transcription factor, known as STAT6, for the treatment of type 2 immune driven diseases. We are initially focusing on AD and potentially other indications by blocking the IL-4/IL-13 signaling pathway, thereby addressing a primary driver of these diseases. We have selected EPS-3903 as our lead development candidate. EPS-3903 inhibits STAT6 with nanomolar potency in both binding and cellular assays and is highly selective for STAT6 versus other STATs. EPS-3903 also demonstrates a rapid, continuous and complete (&gt;90%) inhibition of phosphorylated STAT6 after oral dosing in mice. Importantly, EPS-3903 shows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efficacy comparable to dupilumab, or an anti-mouse IL-4/IL -13 antibody, in multiple disease models of asthma (ovalbumin, house dust mite) and AD (MC903). EPS -3903 displays favorable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ADME properties, supportive of once-daily dosing potential. We have initiated IND-enabling activities with the goal of filing an IND in the second half of 2026.</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plan to expand our presence in immunology with the introduction of a third program in the fourth quarter of 2025.</w:t>
      </w:r>
    </w:p>
    <w:p>
      <w:pPr>
        <w:spacing w:after="0" w:line="17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Out-Licensed Products</w:t>
      </w:r>
    </w:p>
    <w:p>
      <w:pPr>
        <w:spacing w:after="0" w:line="9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b w:val="1"/>
          <w:bCs w:val="1"/>
          <w:color w:val="auto"/>
        </w:rPr>
        <w:t>HCV</w:t>
      </w:r>
      <w:r>
        <w:rPr>
          <w:rFonts w:ascii="Times New Roman" w:cs="Times New Roman" w:eastAsia="Times New Roman" w:hAnsi="Times New Roman"/>
          <w:sz w:val="16"/>
          <w:szCs w:val="16"/>
          <w:color w:val="auto"/>
        </w:rPr>
        <w:t>. Two protease inhibitors developed through our Collaborative Development and License Agreement with AbbVie have been clinically tested, manufactured,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commercialized by AbbVie as part of its combination regimens for HCV. We have received the full $330.0 million of contractual milestone payments under the agreement related to clinical development and commercialization regulatory approvals of these regimens in major markets, and we continue to earn royalties on sales of the second generation regimen.</w:t>
      </w:r>
    </w:p>
    <w:p>
      <w:pPr>
        <w:spacing w:after="0" w:line="7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Glecaprevir is the HCV protease inhibitor we discovered that was developed by AbbVie in a fixed-dose combination with its NS5A inhibitor, pibrentasvir, for the treatment of chronic HCV. In June 2025 it was also approved by the FDA as the first and only treatment for acute HCV infection. This patented combination, currently marketed under the brand names MAVYRET®(U.S.) and MAVIRET® (ex-U.S.), is referred to in this report as MAVYRET/MAVIRET. This regimen is a once-daily, all -oral, fixed-dose, ribavirin-free treatment for HCV genotypes 1-6, or GT1- 6, which is referred to as being pan-genotypic. In the U.S., EU and Japan it is approved as an 8-week treatment for patients with and without compensated cirrhosis and new to treatment. Today, these patients are estimated to represent the majority of HCV patients in over 50 countries where MAVYRET/MAVIRET is sold by AbbVie and where MAVYRET/MAVIRET remains the only 8-week pan-genotypic HCV treatment. The first protease inhibitor developed through this collaboration, paritaprevir, is part of AbbVie’s initial HCV regimens, which have been almost entirely replaced by MAVYRET/MAVIRET.</w:t>
      </w:r>
    </w:p>
    <w:p>
      <w:pPr>
        <w:spacing w:after="0" w:line="77"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6"/>
          <w:szCs w:val="16"/>
          <w:color w:val="auto"/>
        </w:rPr>
        <w:t>Since August 2017, substantially all of our royalty revenue has been derived from AbbVie’s net sales of MAVYRET/MAVIRET. Our ongoing royalty revenues from this regimen consist of annually tiered, double-digit, per -product royalties on 50% of the calendar year net sales of the glecaprevir/pibrentasvir combination in MAVYRET/MAVIRET. The annual royalty tiers return to the lowest tier for sales on and after each January 1. In April 2023, we sold 54.5% of our future MAVYRET/MAVIRET royalties to an affiliate of OMERS, a Canadian public employee pension fund, for a $200.0 million cash payment, subject to a cap of total royalties sold equal to 1.42 times the cash payment.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Our primary objective is to become a leader in the discovery and development of small molecule drugs with an emphasis on first-in-disease treatments for RSV and best-in-class small molecule treatments for diseases with significant unmet medical needs in immunology. Our strategy includes the following key elements:</w:t>
      </w:r>
    </w:p>
    <w:p>
      <w:pPr>
        <w:spacing w:after="0" w:line="57" w:lineRule="exact"/>
        <w:rPr>
          <w:sz w:val="20"/>
          <w:szCs w:val="20"/>
          <w:color w:val="auto"/>
        </w:rPr>
      </w:pPr>
    </w:p>
    <w:p>
      <w:pPr>
        <w:jc w:val="both"/>
        <w:ind w:left="480" w:right="12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Advance clinical development of novel virology product candidates for RSV.</w:t>
      </w:r>
      <w:r>
        <w:rPr>
          <w:rFonts w:ascii="Times New Roman" w:cs="Times New Roman" w:eastAsia="Times New Roman" w:hAnsi="Times New Roman"/>
          <w:sz w:val="16"/>
          <w:szCs w:val="16"/>
          <w:color w:val="auto"/>
        </w:rPr>
        <w:t xml:space="preserve"> We have completed clinical studies of two compounds discovered in our research program for RSV, a viral infection for which there is currently no safe and effective treatment and as such there exists a substantial unmet medical need. We are evaluating potential partnership opportunities to advance our RSV programs to the next stage of clinical development.</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 w:name="page9"/>
    <w:bookmarkEnd w:id="8"/>
    <w:p>
      <w:pPr>
        <w:spacing w:after="0" w:line="75" w:lineRule="exact"/>
        <w:rPr>
          <w:sz w:val="20"/>
          <w:szCs w:val="20"/>
          <w:color w:val="auto"/>
        </w:rPr>
      </w:pPr>
    </w:p>
    <w:p>
      <w:pPr>
        <w:ind w:left="48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Advance our preclinical immunology portfolio of novel, oral inhibitors.</w:t>
      </w:r>
      <w:r>
        <w:rPr>
          <w:rFonts w:ascii="Times New Roman" w:cs="Times New Roman" w:eastAsia="Times New Roman" w:hAnsi="Times New Roman"/>
          <w:sz w:val="16"/>
          <w:szCs w:val="16"/>
          <w:color w:val="auto"/>
        </w:rPr>
        <w:t xml:space="preserve"> We have ongoing discovery and preclinical efforts targeting multiple mechanisms of the immune response, including KIT, addressing mast cell driven diseases, with an initial focus on CSU. We also have a preclinical program targeting the STAT6 pathway, with an initial focus on AD.</w:t>
      </w:r>
    </w:p>
    <w:p>
      <w:pPr>
        <w:spacing w:after="0" w:line="66" w:lineRule="exact"/>
        <w:rPr>
          <w:sz w:val="20"/>
          <w:szCs w:val="20"/>
          <w:color w:val="auto"/>
        </w:rPr>
      </w:pPr>
    </w:p>
    <w:p>
      <w:pPr>
        <w:ind w:left="480" w:right="4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Invest in research and development of compounds against other immunology targets</w:t>
      </w:r>
      <w:r>
        <w:rPr>
          <w:rFonts w:ascii="Times New Roman" w:cs="Times New Roman" w:eastAsia="Times New Roman" w:hAnsi="Times New Roman"/>
          <w:sz w:val="14"/>
          <w:szCs w:val="14"/>
          <w:color w:val="auto"/>
        </w:rPr>
        <w:t>. We are continuing to invest resources in our research programs to identify and advance additional novel compounds that have the potential to address significant unmet medical needs in immunology. We may also seek to augment our product candidate pipeline through the acquisition or in-licensing of external assets and/or technologies in one or more of our disease areas of focus.</w:t>
      </w:r>
    </w:p>
    <w:p>
      <w:pPr>
        <w:spacing w:after="0" w:line="30" w:lineRule="exact"/>
        <w:rPr>
          <w:sz w:val="20"/>
          <w:szCs w:val="20"/>
          <w:color w:val="auto"/>
        </w:rPr>
      </w:pPr>
    </w:p>
    <w:p>
      <w:pPr>
        <w:ind w:left="480"/>
        <w:spacing w:after="0" w:line="28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Collaborate or out-license, where and when appropriate, with pharmaceutical partners to accelerate the development and commercialization of our proprietary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compounds and/or create combination therapies</w:t>
      </w:r>
      <w:r>
        <w:rPr>
          <w:rFonts w:ascii="Times New Roman" w:cs="Times New Roman" w:eastAsia="Times New Roman" w:hAnsi="Times New Roman"/>
          <w:sz w:val="14"/>
          <w:szCs w:val="14"/>
          <w:color w:val="auto"/>
        </w:rPr>
        <w:t>. We may choose to collaborate with other companies to accelerate the global clinical development of one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of our product candidates. We are also prepared to join forces, where and when appropriate, with collaborators where there is the potential for better treatments with combination therapies, as we did in HCV. Our decisions regarding our proprietary programs will be based on the results of our studies and the potential for collaborations, including combinations with one or more drugs targeting other mechanisms of action in these diseases.</w:t>
      </w:r>
    </w:p>
    <w:p>
      <w:pPr>
        <w:spacing w:after="0" w:line="44" w:lineRule="exact"/>
        <w:rPr>
          <w:sz w:val="20"/>
          <w:szCs w:val="20"/>
          <w:color w:val="auto"/>
        </w:rPr>
      </w:pPr>
    </w:p>
    <w:p>
      <w:pPr>
        <w:ind w:left="480"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Continue to use our existing resources and future cash flow from our AbbVie collaboration to fund our research and development activities</w:t>
      </w:r>
      <w:r>
        <w:rPr>
          <w:rFonts w:ascii="Times New Roman" w:cs="Times New Roman" w:eastAsia="Times New Roman" w:hAnsi="Times New Roman"/>
          <w:sz w:val="16"/>
          <w:szCs w:val="16"/>
          <w:color w:val="auto"/>
        </w:rPr>
        <w:t>. Based on our operating plan, we believe our existing financial resources, as well as the cash flows from our retained portion of future HCV royalties and the proceeds from our October 2025 public offering, will enable us to fund our operating expenses and capital expenditure requirements into fiscal 2029. These resources will allow us to continue to advance compounds in clinical development and to progress the most promising candidates at least through proof-of-concept trials. Further development of any compound as a monotherapy or in combinations with other therapeutic agents when we believe such combinations will provide the most promising opportunities will require additional financial resources.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Research and Development Pipeline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product development pipeline in our virology and immunology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5114290" cy="2096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14290" cy="209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*Fixed-dose antiviral combination contains glecaprevir and AbbVie's NS5A inhibitor, pibrentasvir. Marketed by AbbVie as MAVYRET® (U.S.) and MAVIRET® (ex-U.S.).</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**Continued development dependent on partnering.</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***Initial indications. Potential future indications include asthma, chronic inducible urticaria (CIndU), eosinophilic esophagitis (EoE), prurigo nodularis (PN) and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RSV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 and Overview of RSV</w:t>
      </w:r>
    </w:p>
    <w:p>
      <w:pPr>
        <w:spacing w:after="0" w:line="96"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Respiratory syncytial virus, or RSV, is a virus that infects the lungs and is the most common cause of bronchiolitis and pneumonia in young children and a significant cause of respiratory illness in older adults, with estimates in the United States of up to 350,000 hospitalizations and up to 6.5 million outpatient visits during the 2024-2025 season. Populations at high risk</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 w:name="page10"/>
    <w:bookmarkEnd w:id="9"/>
    <w:p>
      <w:pPr>
        <w:spacing w:after="0" w:line="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for severe RSV infection include infants and young children, adults older than 65 years of age, and those with comorbidities such as chronic heart or lung disease. There are currently no safe and effective therapies for RSV infection.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two long-acting monoclonal antibody products recently approved for prophylaxis use in all infants from AstraZeneca/Sanofi (BEYFORTUS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Merck</w:t>
      </w:r>
    </w:p>
    <w:p>
      <w:pPr>
        <w:ind w:right="140"/>
        <w:spacing w:after="0" w:line="227" w:lineRule="auto"/>
        <w:rPr>
          <w:sz w:val="20"/>
          <w:szCs w:val="20"/>
          <w:color w:val="auto"/>
        </w:rPr>
      </w:pPr>
      <w:r>
        <w:rPr>
          <w:rFonts w:ascii="Times New Roman" w:cs="Times New Roman" w:eastAsia="Times New Roman" w:hAnsi="Times New Roman"/>
          <w:sz w:val="15"/>
          <w:szCs w:val="15"/>
          <w:color w:val="auto"/>
        </w:rPr>
        <w:t>(ENFLONSIA™), with BEYFORTUS also approved for those at risk up to 24 months of age. A maternal vaccine (ABRYSVO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/Pfizer) has been approved for women and is recommended at 32-36 weeks (U.S.) &amp; 24-36 weeks (EU) of pregnancy during the RSV season. In addition, two RSV vaccines have been approved in high-risk</w:t>
      </w:r>
    </w:p>
    <w:p>
      <w:pPr>
        <w:spacing w:after="0" w:line="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adults age 18-59 years and for all adults aged 60 years and above (ABRYSVO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/Pfizer and Moderna/mRESVIA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a third RSV vaccine has been approved for high-risk adults age 50-59 years and for all adults age 60 years old and above (GSK/AREXVY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p>
    <w:p>
      <w:pPr>
        <w:spacing w:after="0" w:line="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While prophylaxis options have recently become available, there is still a significant unmet need for safe and effective antiviral treatments in patients at high -risk for serious RSV outcomes. The adoption of RSV vaccines has declined year over year, especially as the CDC recommendation for a single RSV vaccine dose is now restricted to high-risk adults age 50-74 years and for all adults 75 years and above, which is narrower than the FDA-approved labeling. Even with adoption, breakthrough infections will still occur, as vaccine efficacy is not complete. In the pediatric population, both the maternal vaccine and the prophylactic antibody approaches provide only passive immunity, which lasts for a limited period of time (approximately 4-5 months) and will generally shift the time of first RSV infection to the next season. Similarly, uptake of these options will not be optimal and breakthrough infections will still occur in the population that does receive them. Finally, the antibody approach has a low barrier to the development of viral resistance. Thus, despite these options for prophylaxis, antiviral treatments are urgently needed.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Scientific Background</w:t>
      </w:r>
    </w:p>
    <w:p>
      <w:pPr>
        <w:spacing w:after="0" w:line="9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RSV is a single- stranded, negative- sense RNA virus. There are two major subgroups of RSV, designated RSV- A and RSV-B, each of which contains numerous genotypes. Both groups are viewed as capable of causing RSV infections that can result in hospitalization. The RSV genome consists of ten genes that encode for 11 proteins, namely NS1, NS2, N, P, M, SH, G, F, M2-1, M2 -2, and L. The F and G proteins are the predominant target proteins for RSV vaccines. Similarly, small molecule therapeutics have focused primarily on the F (or fusion) protein, while some efforts have targeted the N (nucleocapsid) and L (contains viral RNA polymerase) proteins. Fusion inhibitors work by blocking viral entry, a mechanism that may be less ideal when treatment begins at a time when massive amounts of viral replication is already ongoing. Additionally, fusion inhibitors have been generally shown to have a lower barrier to the development of viral resistance when in clinical use. Replication inhibitors (e.g., N and L inhibitors) work by blocking viral replication at its source, stopping production on new virions. They have demonstrated a higher bar to the emergence of viral resistance. While certain companies are developing potential approaches geared toward the F-protein (or fusion protein, responsible for mediating viral entry of RSV into host cells), we are focused on mechanisms, such as the N-protein and L-protein inhibitors, that target the replication process of RSV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59055</wp:posOffset>
            </wp:positionV>
            <wp:extent cx="4565650" cy="2172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65650" cy="217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 Landscape</w:t>
      </w:r>
    </w:p>
    <w:p>
      <w:pPr>
        <w:spacing w:after="0" w:line="96"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Several companies are seeking to develop antiviral treatments for RSV infection in adult and pediatric patients. Ark Biosciences and Shionogi have compounds in clinical development.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 w:name="page11"/>
    <w:bookmarkEnd w:id="10"/>
    <w:p>
      <w:pPr>
        <w:ind w:right="80"/>
        <w:spacing w:after="0" w:line="222" w:lineRule="auto"/>
        <w:rPr>
          <w:sz w:val="20"/>
          <w:szCs w:val="20"/>
          <w:color w:val="auto"/>
        </w:rPr>
      </w:pPr>
      <w:r>
        <w:rPr>
          <w:rFonts w:ascii="Times New Roman" w:cs="Times New Roman" w:eastAsia="Times New Roman" w:hAnsi="Times New Roman"/>
          <w:sz w:val="16"/>
          <w:szCs w:val="16"/>
          <w:color w:val="auto"/>
        </w:rPr>
        <w:t>There are several prophylaxis options on the market or in development. AstraZeneca/Sanofi (BEYFORTUS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Merck (ENFLONSIA™) have approved long-acting monoclonal antibodies for prophylaxis use in infants, and Pfizer has an approved maternal vaccine (ABRYSVO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all of which provide passive, short-term immunity to infants. There are also two approved RSV vaccines for high-risk adults age 18–59 years and for all adults age 60 years and above (Pfizer/ABRYSVO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Moderna/mRESVIA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one approved RSV vaccine for high-risk adults age 50–59 years and in adults age 60 years and older (GSK/AREXVY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Zelicapavir, Our N-Protein Inhibitor</w:t>
      </w:r>
    </w:p>
    <w:p>
      <w:pPr>
        <w:spacing w:after="0" w:line="9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 xml:space="preserve">Through our internal chemistry efforts, we identified our lead clinical candidate, zelicapavir (formerly EDP-938). During preclinical studies, zelicapavir demonstrated a greater than 4-log reduction in viral load in an animal model challenged with RSV. Further, zelicapavir maintained nanomolar antiviral potency across all clinical isolates tested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as well as virus that was resistant to fusion inhibitors. The compound inhibited RSV at a post-entry replication step and maintained its activity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vitro </w:t>
      </w:r>
      <w:r>
        <w:rPr>
          <w:rFonts w:ascii="Times New Roman" w:cs="Times New Roman" w:eastAsia="Times New Roman" w:hAnsi="Times New Roman"/>
          <w:sz w:val="16"/>
          <w:szCs w:val="16"/>
          <w:color w:val="auto"/>
        </w:rPr>
        <w:t>when given 24 hours post infection. It was also shown to have a high barrier to viral resistance. In addition, combination studies of zelicapavir with other types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RSV inhibitors, such as L-protein and fusion inhibitors, showed synergistic antiviral effects.</w:t>
      </w:r>
    </w:p>
    <w:p>
      <w:pPr>
        <w:spacing w:after="0" w:line="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have studied zelicapavir in Phase 2 studies that were designed to be proof-of -concept and exploratory studies to understand the viral response better in the context of RSV infection. These studies were conducted in otherwise healthy adults (not at high-risk for serious outcomes with RSV) infected with RSV. Data from these studies demonstrated that zelicapavir was safe and well-tolerated. Based on the growing safety profile of zelicapavir and differences in the range of the course of RSV infection in higher risk populations, which have always been our target populations, we continued the development of zelicapavir in patients at high-risk for developing severe infection leading to hospitalization or death. We believe zelicapavir has the greatest potential to show optimal efficacy in these high-risk populations with significant unmet need, since these patients have reduced RSV immunity, which manifests in a higher and longer duration of viral replication and greater disease severity, allowing a bigger window to realize the full potential of zelicapavir.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High-Risk Adults Study of Zelicapavir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29, 2025, we announced positive topline results from our Phase 2b high-risk adults study of zelicapavir for the treatment of RSV. This Phase 2b study was</w:t>
      </w:r>
    </w:p>
    <w:p>
      <w:pPr>
        <w:spacing w:after="0" w:line="37" w:lineRule="exact"/>
        <w:rPr>
          <w:sz w:val="20"/>
          <w:szCs w:val="20"/>
          <w:color w:val="auto"/>
        </w:rPr>
      </w:pPr>
    </w:p>
    <w:p>
      <w:pPr>
        <w:ind w:right="40" w:firstLine="6"/>
        <w:spacing w:after="0" w:line="227" w:lineRule="auto"/>
        <w:tabs>
          <w:tab w:leader="none" w:pos="10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randomized, double-blind, placebo-controlled study of RSV infection in non-hospitalized adults who are at high risk of complications, including the elderly and/or those with congestive heart failure, or CHF, chronic obstructive pulmonary disease, or COPD, or asthma. The proportion of patients aged 65-74 years or those with asthma was capped at 20% of the total population. Patients were enrolled within 72 hours of symptom onset and received 800mg of zelicapavir or placebo once daily for 5 days. The goal of this proof-of-concept, signal finding study was to inform the design of a Phase 3 trial, including populations and endpoints, as well as give an indication of a treatment effect on symptoms that could be confirmed in a larger registrational study. Symptoms were measured using the Respiratory Infection Intensity and Impact Questionnaire, or RiiQ</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scale, which evaluates a total of 29 parameters, including 13 RSV symptoms, four of which are lower respiratory tract disease, or LRTD, symptoms, and three other impact of disease components (daily activities, emotions, and social relationships). The primary endpoint evaluated the time to resolution of the LRTD subset of four symptoms to mild. Predefined analyses of complete resolution, defined by all symptoms absent, were also conducted. Multiple secondary endpoints, including all 13 RSV symptoms, total RiiQ</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score, additional patient reported outcomes (e.g., PGI-S), virology, safety, and hospitalization rate, were assessed.</w:t>
      </w:r>
    </w:p>
    <w:p>
      <w:pPr>
        <w:spacing w:after="0" w:line="7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A total of 186 subjects received 800mg of zelicapavir (n=121) or placebo (n=65) orally, once daily for 5 days and were evaluated for 28 days thereafter (safety population). An efficacy population of 175 patients was further defined as those who were polymerase chain reaction, or PCR, positive for RSV at a central laboratory. An HR3 population was defined as those who had CHF, COPD, or were age 75 or older, which represented 81% of the efficacy population. Demographics and baseline characteristics were balanced across treatment groups, with the majority of patients being enrolled within 48 hours of symptom onset.</w:t>
      </w:r>
    </w:p>
    <w:p>
      <w:pPr>
        <w:spacing w:after="0" w:line="71" w:lineRule="exact"/>
        <w:rPr>
          <w:sz w:val="20"/>
          <w:szCs w:val="20"/>
          <w:color w:val="auto"/>
        </w:rPr>
      </w:pPr>
    </w:p>
    <w:p>
      <w:pPr>
        <w:jc w:val="both"/>
        <w:ind w:left="480" w:right="180"/>
        <w:spacing w:after="0" w:line="247" w:lineRule="auto"/>
        <w:rPr>
          <w:sz w:val="20"/>
          <w:szCs w:val="20"/>
          <w:color w:val="auto"/>
        </w:rPr>
      </w:pPr>
      <w:r>
        <w:rPr>
          <w:rFonts w:ascii="Times New Roman" w:cs="Times New Roman" w:eastAsia="Times New Roman" w:hAnsi="Times New Roman"/>
          <w:sz w:val="16"/>
          <w:szCs w:val="16"/>
          <w:color w:val="auto"/>
        </w:rPr>
        <w:t>•Zelicapavir demonstrated a favorable safety profile over the initial 5-day dosing period and through 28 days of follow-up, with adverse events, or AEs, being similar between zelicapavir and placebo. No AEs led to treatment discontinuation or study withdrawal in the zelicapavir group. The majority of AEs were mild with diarrhea and asthma being the most common AEs on zelicapavir at 3.3% and 2.5%, respectively.</w:t>
      </w:r>
    </w:p>
    <w:p>
      <w:pPr>
        <w:spacing w:after="0" w:line="68"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16"/>
          <w:szCs w:val="16"/>
          <w:color w:val="auto"/>
        </w:rPr>
        <w:t>•A clinically meaningful improvement in time to complete resolution (defined as all symptoms absent) of all 13 RSV symptoms was observed for zelicapavir compared to placebo, with a benefit of 2.2 days for the overall efficacy population and 6.7 days for the HR3 population. Zelicapavir also showed an improvement in time to complete resolution on the 29-parameter total RiiQ™ symptom scale of 3.6 days for the efficacy population and 7.2 days for the HR3 population compared to placebo. Additionally, there was a 3.0-day faster time to complete</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34" w:right="660" w:bottom="1440" w:gutter="0" w:footer="0" w:header="0"/>
        </w:sectPr>
      </w:pPr>
    </w:p>
    <w:bookmarkStart w:id="11" w:name="page12"/>
    <w:bookmarkEnd w:id="11"/>
    <w:p>
      <w:pPr>
        <w:ind w:left="480" w:right="280"/>
        <w:spacing w:after="0" w:line="331" w:lineRule="auto"/>
        <w:rPr>
          <w:sz w:val="20"/>
          <w:szCs w:val="20"/>
          <w:color w:val="auto"/>
        </w:rPr>
      </w:pPr>
      <w:r>
        <w:rPr>
          <w:rFonts w:ascii="Times New Roman" w:cs="Times New Roman" w:eastAsia="Times New Roman" w:hAnsi="Times New Roman"/>
          <w:sz w:val="14"/>
          <w:szCs w:val="14"/>
          <w:color w:val="auto"/>
        </w:rPr>
        <w:t>resolution of lower respiratory tract disease (LRTD) symptoms in the HR3 population. No effect was observed on the time to partial resolution of symptoms (defined as mild or absent), including the primary endpoint of time to resolution of the LRTD subset of four symptoms in the efficacy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69215</wp:posOffset>
            </wp:positionV>
            <wp:extent cx="4024630" cy="1791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2463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•A statistically significant improvement in RiiQTM RSV 13-symptom score in the HR3 population at Days 9 (p=0.0403) and 14 (p=0.0247) was observed in a post hoc analysis for zelicapavir compared to placebo.</w:t>
      </w:r>
    </w:p>
    <w:p>
      <w:pPr>
        <w:spacing w:after="0" w:line="59" w:lineRule="exact"/>
        <w:rPr>
          <w:sz w:val="20"/>
          <w:szCs w:val="20"/>
          <w:color w:val="auto"/>
        </w:rPr>
      </w:pPr>
    </w:p>
    <w:p>
      <w:pPr>
        <w:ind w:left="480" w:right="340"/>
        <w:spacing w:after="0" w:line="331" w:lineRule="auto"/>
        <w:rPr>
          <w:sz w:val="20"/>
          <w:szCs w:val="20"/>
          <w:color w:val="auto"/>
        </w:rPr>
      </w:pPr>
      <w:r>
        <w:rPr>
          <w:rFonts w:ascii="Times New Roman" w:cs="Times New Roman" w:eastAsia="Times New Roman" w:hAnsi="Times New Roman"/>
          <w:sz w:val="14"/>
          <w:szCs w:val="14"/>
          <w:color w:val="auto"/>
        </w:rPr>
        <w:t>•Furthermore, the study met a key secondary endpoint with zelicapavir treatment resulting in a statistically significant 2 -day faster improvement in a Patient Global Impression of Severity, or PGI-S, score compared to placebo in both the efficacy population (p=0.0446) and the HR3 population (p=0.0465).</w:t>
      </w:r>
    </w:p>
    <w:p>
      <w:pPr>
        <w:spacing w:after="0" w:line="12" w:lineRule="exact"/>
        <w:rPr>
          <w:sz w:val="20"/>
          <w:szCs w:val="20"/>
          <w:color w:val="auto"/>
        </w:rPr>
      </w:pPr>
    </w:p>
    <w:p>
      <w:pPr>
        <w:ind w:left="480" w:right="180"/>
        <w:spacing w:after="0" w:line="247" w:lineRule="auto"/>
        <w:rPr>
          <w:sz w:val="20"/>
          <w:szCs w:val="20"/>
          <w:color w:val="auto"/>
        </w:rPr>
      </w:pPr>
      <w:r>
        <w:rPr>
          <w:rFonts w:ascii="Times New Roman" w:cs="Times New Roman" w:eastAsia="Times New Roman" w:hAnsi="Times New Roman"/>
          <w:sz w:val="16"/>
          <w:szCs w:val="16"/>
          <w:color w:val="auto"/>
        </w:rPr>
        <w:t>•Importantly, a lower hospitalization rate was observed for patients treated with zelicapavir (1.7%) compared to placebo (5.0%). Blinded attribution by investigators judged none (0%) of the hospitalizations on zelicapavir and all (5.0%) of the hospitalization on placebo to be related to RSV. Post hoc attribution suggested RSV-relatedness of 0.9% for the patients on zelicapavir compared to 5.0% on placebo.</w:t>
      </w:r>
    </w:p>
    <w:p>
      <w:pPr>
        <w:spacing w:after="0" w:line="68" w:lineRule="exact"/>
        <w:rPr>
          <w:sz w:val="20"/>
          <w:szCs w:val="20"/>
          <w:color w:val="auto"/>
        </w:rPr>
      </w:pPr>
    </w:p>
    <w:p>
      <w:pPr>
        <w:ind w:left="480" w:right="220"/>
        <w:spacing w:after="0" w:line="281" w:lineRule="auto"/>
        <w:rPr>
          <w:sz w:val="20"/>
          <w:szCs w:val="20"/>
          <w:color w:val="auto"/>
        </w:rPr>
      </w:pPr>
      <w:r>
        <w:rPr>
          <w:rFonts w:ascii="Times New Roman" w:cs="Times New Roman" w:eastAsia="Times New Roman" w:hAnsi="Times New Roman"/>
          <w:sz w:val="14"/>
          <w:szCs w:val="14"/>
          <w:color w:val="auto"/>
        </w:rPr>
        <w:t>•The study met key secondary virology endpoints showing a robust antiviral effect, with a statistically significantly greater proportion of zelicapavir patients having an undetectable viral load at the end of treatment compared with placebo. In the efficacy population undetectable viral load at the end of treatment was</w:t>
      </w:r>
    </w:p>
    <w:p>
      <w:pPr>
        <w:spacing w:after="0" w:line="1" w:lineRule="exact"/>
        <w:rPr>
          <w:sz w:val="20"/>
          <w:szCs w:val="20"/>
          <w:color w:val="auto"/>
        </w:rPr>
      </w:pPr>
    </w:p>
    <w:p>
      <w:pPr>
        <w:ind w:left="480"/>
        <w:spacing w:after="0" w:line="237" w:lineRule="auto"/>
        <w:rPr>
          <w:sz w:val="20"/>
          <w:szCs w:val="20"/>
          <w:color w:val="auto"/>
        </w:rPr>
      </w:pPr>
      <w:r>
        <w:rPr>
          <w:rFonts w:ascii="Times New Roman" w:cs="Times New Roman" w:eastAsia="Times New Roman" w:hAnsi="Times New Roman"/>
          <w:sz w:val="16"/>
          <w:szCs w:val="16"/>
          <w:color w:val="auto"/>
        </w:rPr>
        <w:t>23.5% vs. 10.0% in placebo (p=0.0198), and in the HR3 population was 23.9% vs. 10.0% in placebo (p=0.0292) . Treatment with zelicapavir resulted in a 4- or 5-day faster median time to undetectable viral load and a 0.6 or 0.7 log decline in viral load at the end of treatment compared to placebo for the efficacy and HR3 populations,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Pediatric Study of Zelicapavir</w:t>
      </w:r>
    </w:p>
    <w:p>
      <w:pPr>
        <w:spacing w:after="0" w:line="178"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In December 2024, we announced positive topline results from the first-in-pediatrics Phase 2 randomized, double-blind, placebo-controlled study evaluating zelicapavir in 96 hospitalized and non-hospitalized children aged 28 days to 36 months with RSV. The first part of the study included dose ranging in two different age cohorts, focused on safety and pharmacokinetics (PK), and the second part of the study focused on virology outcomes from a single dose selected from the first part of the study.</w:t>
      </w:r>
    </w:p>
    <w:p>
      <w:pPr>
        <w:spacing w:after="0" w:line="34"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16"/>
          <w:szCs w:val="16"/>
          <w:color w:val="auto"/>
        </w:rPr>
        <w:t>•Zelicapavir demonstrated a favorable safety profile over the 5-day dosing period and through 23 days of follow-up. There were no adverse effects leading to treatment discontinuation or study withdrawal.</w:t>
      </w:r>
    </w:p>
    <w:p>
      <w:pPr>
        <w:spacing w:after="0" w:line="59" w:lineRule="exact"/>
        <w:rPr>
          <w:sz w:val="20"/>
          <w:szCs w:val="20"/>
          <w:color w:val="auto"/>
        </w:rPr>
      </w:pPr>
    </w:p>
    <w:p>
      <w:pPr>
        <w:ind w:left="480" w:right="220"/>
        <w:spacing w:after="0" w:line="247" w:lineRule="auto"/>
        <w:rPr>
          <w:sz w:val="20"/>
          <w:szCs w:val="20"/>
          <w:color w:val="auto"/>
        </w:rPr>
      </w:pPr>
      <w:r>
        <w:rPr>
          <w:rFonts w:ascii="Times New Roman" w:cs="Times New Roman" w:eastAsia="Times New Roman" w:hAnsi="Times New Roman"/>
          <w:sz w:val="16"/>
          <w:szCs w:val="16"/>
          <w:color w:val="auto"/>
        </w:rPr>
        <w:t>•Zelicapavir achieved target drug exposure levels across all age groups and dosing cohorts. Exposure was similar across cohorts and doses, and all patients received a therapeutic dose. A dose of 5 mg/kg was selected for patients aged ≥28 days to &lt;12 months, and a dose of 7.5 mg/kg was selected for patients aged ≥12 months to ≤36 months.</w:t>
      </w:r>
    </w:p>
    <w:p>
      <w:pPr>
        <w:spacing w:after="0" w:line="68"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6"/>
          <w:szCs w:val="16"/>
          <w:color w:val="auto"/>
        </w:rPr>
        <w:t>•An antiviral effect was observed for the primary and secondary virology endpoints in the overall pooled efficacy population, with the viral load decline peaking at 0.7 log on Day 9 compared to placebo. The primary endpoint for Part 2 of the study showed a more pronounced effect, with a viral load decline of 1.0 log at Day 3 and 1.4 log at Day 5 compared to placebo. Additionally, a rapid and robust antiviral effect was observed in the prespecified subset of patients who were randomized within 3 days of symptom onset, which represents about 40% of patients in the study (n=38/96). In these patients, a viral load decline of 0.9 log at Day 3 and 1.2 log at Day 5 was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2" w:name="page13"/>
    <w:bookmarkEnd w:id="12"/>
    <w:p>
      <w:pPr>
        <w:spacing w:after="0" w:line="77" w:lineRule="exact"/>
        <w:rPr>
          <w:sz w:val="20"/>
          <w:szCs w:val="20"/>
          <w:color w:val="auto"/>
        </w:rPr>
      </w:pPr>
    </w:p>
    <w:p>
      <w:pPr>
        <w:ind w:left="480" w:right="20"/>
        <w:spacing w:after="0" w:line="243" w:lineRule="auto"/>
        <w:rPr>
          <w:sz w:val="20"/>
          <w:szCs w:val="20"/>
          <w:color w:val="auto"/>
        </w:rPr>
      </w:pPr>
      <w:r>
        <w:rPr>
          <w:rFonts w:ascii="Times New Roman" w:cs="Times New Roman" w:eastAsia="Times New Roman" w:hAnsi="Times New Roman"/>
          <w:sz w:val="16"/>
          <w:szCs w:val="16"/>
          <w:color w:val="auto"/>
        </w:rPr>
        <w:t>observed compared to placebo. Furthermore, zelicapavir treatment resulted in a greater proportion of patients having undetectable viral load at Days 5 and 9 compared to placebo and improvements in area under the curve (AUC) of change from baseline for viral load at all timepoints. Qualitative improvement in time to undetectable viral load was observed at early timepoints, although median time to undetectable viral load was similar between groups. Overall, virology results were similar regardless of age or whether patients were enrolled from a hospitalized or outpatient setting.</w:t>
      </w:r>
    </w:p>
    <w:p>
      <w:pPr>
        <w:spacing w:after="0" w:line="7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In a post hoc analysis of this Phase 2 study, zelicapavir demonstrated that treatment with zelicapavir resulted in a shorter time to complete resolution of RSV-related symptoms, as measured by ReSViNET, a parent/guardian clinical scoring system. Caregivers reported the severity of RSV-related symptoms daily from baseline through Day 14. A post hoc analysis of time to complete resolution of symptoms (defined as absent and discharged from hospital), showed an estimated Kaplan-Meier median of 6.99 days for zelicapavir versus 8.60 days for placebo. Similarly, an analysis of sustained resolution (defined as absent and remaining absent at all subsequent time points and discharged from hospital) resulted in 6.99 days for zelicapavir versus 10.68 days for placebo.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EDP-323, Our RSV L-Protein Inhibitor:</w:t>
      </w:r>
    </w:p>
    <w:p>
      <w:pPr>
        <w:spacing w:after="0" w:line="9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 xml:space="preserve">In addition to our N-protein inhibitor, zelicapavir, our second clinical candidate for RSV is EDP-323, a novel oral, direct- acting antiviral selectively targeting the RSV L-protein, a viral RNA-dependent RNA polymerase enzyme that contains multiple enzymatic activities required for RSV replication. EDP-323 has sub-nanomolar potency against RSV-A and RSV -B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has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Phase 2a Study of EDP-323</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In September 2024, we announced positive top-line results for EDP -323 in a Phase 2a human challenge study. This study was a randomized, double-blind, placebo-controlled, human challenge study of 142 healthy adult participants inoculated with RSV. Randomized participants (n=141) received either a once-daily (QD) 600 mg dose of EDP -323 for five days (high dose, n=47), a single 600 mg loading dose on day one followed by a 200 mg once-daily (QD) dose of EDP-323 for four days (low dose, n=47), or placebo for five days (n=47) . The intent-to-treat-infected population (ITT-I) was defined as all randomized participants receiving challenge virus and at least one dose of study drug with confirmed RSV infection. EDP-323 demonstrated a rapid and sustained antiviral effect and reduced RSV symptoms.</w:t>
      </w:r>
    </w:p>
    <w:p>
      <w:pPr>
        <w:spacing w:after="0" w:line="44" w:lineRule="exact"/>
        <w:rPr>
          <w:sz w:val="20"/>
          <w:szCs w:val="20"/>
          <w:color w:val="auto"/>
        </w:rPr>
      </w:pPr>
    </w:p>
    <w:p>
      <w:pPr>
        <w:ind w:left="480" w:right="60"/>
        <w:spacing w:after="0" w:line="243" w:lineRule="auto"/>
        <w:rPr>
          <w:sz w:val="20"/>
          <w:szCs w:val="20"/>
          <w:color w:val="auto"/>
        </w:rPr>
      </w:pPr>
      <w:r>
        <w:rPr>
          <w:rFonts w:ascii="Times New Roman" w:cs="Times New Roman" w:eastAsia="Times New Roman" w:hAnsi="Times New Roman"/>
          <w:sz w:val="16"/>
          <w:szCs w:val="16"/>
          <w:color w:val="auto"/>
        </w:rPr>
        <w:t>•A highly statistically significant reduction (p&lt;0.0001) was observed for the primary efficacy endpoint of area under the curve, or AUC, for viral load as measured by qRT-PCR in the ITT- I population for each of the EDP-323 dosing groups as compared with placebo. Specifically, EDP-323 lowered viral load AUC by 85% in the high dose arm and 87% in the low dose arm compared to placebo. There was no statistically significant difference between the two EDP-323 dosing groups.</w:t>
      </w:r>
    </w:p>
    <w:p>
      <w:pPr>
        <w:spacing w:after="0" w:line="71" w:lineRule="exact"/>
        <w:rPr>
          <w:sz w:val="20"/>
          <w:szCs w:val="20"/>
          <w:color w:val="auto"/>
        </w:rPr>
      </w:pPr>
    </w:p>
    <w:p>
      <w:pPr>
        <w:ind w:left="480" w:right="120"/>
        <w:spacing w:after="0" w:line="247" w:lineRule="auto"/>
        <w:rPr>
          <w:sz w:val="20"/>
          <w:szCs w:val="20"/>
          <w:color w:val="auto"/>
        </w:rPr>
      </w:pPr>
      <w:r>
        <w:rPr>
          <w:rFonts w:ascii="Times New Roman" w:cs="Times New Roman" w:eastAsia="Times New Roman" w:hAnsi="Times New Roman"/>
          <w:sz w:val="16"/>
          <w:szCs w:val="16"/>
          <w:color w:val="auto"/>
        </w:rPr>
        <w:t>•A highly statistically significant reduction (p&lt;0.0001) was observed for the secondary efficacy endpoint of AUC for infectious viral load as measured by quantitative culture in the ITT-I population for each of the EDP-323 dosing groups, with a reduction in viral culture AUC by 98% in the high dose arm and 97% in the low dose arm compared to placebo. There was no statistically significant difference between the two EDP-323 dosing groups.</w:t>
      </w:r>
    </w:p>
    <w:p>
      <w:pPr>
        <w:spacing w:after="0" w:line="68" w:lineRule="exact"/>
        <w:rPr>
          <w:sz w:val="20"/>
          <w:szCs w:val="20"/>
          <w:color w:val="auto"/>
        </w:rPr>
      </w:pPr>
    </w:p>
    <w:p>
      <w:pPr>
        <w:jc w:val="both"/>
        <w:ind w:left="480"/>
        <w:spacing w:after="0" w:line="247" w:lineRule="auto"/>
        <w:rPr>
          <w:sz w:val="20"/>
          <w:szCs w:val="20"/>
          <w:color w:val="auto"/>
        </w:rPr>
      </w:pPr>
      <w:r>
        <w:rPr>
          <w:rFonts w:ascii="Times New Roman" w:cs="Times New Roman" w:eastAsia="Times New Roman" w:hAnsi="Times New Roman"/>
          <w:sz w:val="16"/>
          <w:szCs w:val="16"/>
          <w:color w:val="auto"/>
        </w:rPr>
        <w:t>•For the secondary efficacy endpoint of AUC for total symptom score, a highly statistically significant reduction (p&lt;0.0001) was observed in the ITT-I population for each of the EDP-323 dosing groups, with a symptom reduction of 66% in the high dose arm and 78% in the low dose arm compared to placebo. There was no statistically significant difference between the two EDP-323 dosing groups.</w:t>
      </w:r>
    </w:p>
    <w:p>
      <w:pPr>
        <w:spacing w:after="0" w:line="68" w:lineRule="exact"/>
        <w:rPr>
          <w:sz w:val="20"/>
          <w:szCs w:val="20"/>
          <w:color w:val="auto"/>
        </w:rPr>
      </w:pPr>
    </w:p>
    <w:p>
      <w:pPr>
        <w:ind w:left="480" w:right="340"/>
        <w:spacing w:after="0" w:line="246" w:lineRule="auto"/>
        <w:rPr>
          <w:sz w:val="20"/>
          <w:szCs w:val="20"/>
          <w:color w:val="auto"/>
        </w:rPr>
      </w:pPr>
      <w:r>
        <w:rPr>
          <w:rFonts w:ascii="Times New Roman" w:cs="Times New Roman" w:eastAsia="Times New Roman" w:hAnsi="Times New Roman"/>
          <w:sz w:val="15"/>
          <w:szCs w:val="15"/>
          <w:color w:val="auto"/>
        </w:rPr>
        <w:t>•EDP-323 demonstrated favorable PK, supportive of once-daily dosing. Mean trough plasma concentrations were maintained at 16-fold above the protein-adjusted EC</w:t>
      </w:r>
      <w:r>
        <w:rPr>
          <w:rFonts w:ascii="Times New Roman" w:cs="Times New Roman" w:eastAsia="Times New Roman" w:hAnsi="Times New Roman"/>
          <w:sz w:val="20"/>
          <w:szCs w:val="20"/>
          <w:color w:val="auto"/>
          <w:vertAlign w:val="subscript"/>
        </w:rPr>
        <w:t>90</w:t>
      </w:r>
      <w:r>
        <w:rPr>
          <w:rFonts w:ascii="Times New Roman" w:cs="Times New Roman" w:eastAsia="Times New Roman" w:hAnsi="Times New Roman"/>
          <w:sz w:val="15"/>
          <w:szCs w:val="15"/>
          <w:color w:val="auto"/>
        </w:rPr>
        <w:t xml:space="preserve"> with the low dose, and 35-fold above the protein-adjusted EC</w:t>
      </w:r>
      <w:r>
        <w:rPr>
          <w:rFonts w:ascii="Times New Roman" w:cs="Times New Roman" w:eastAsia="Times New Roman" w:hAnsi="Times New Roman"/>
          <w:sz w:val="20"/>
          <w:szCs w:val="20"/>
          <w:color w:val="auto"/>
          <w:vertAlign w:val="subscript"/>
        </w:rPr>
        <w:t>90</w:t>
      </w:r>
      <w:r>
        <w:rPr>
          <w:rFonts w:ascii="Times New Roman" w:cs="Times New Roman" w:eastAsia="Times New Roman" w:hAnsi="Times New Roman"/>
          <w:sz w:val="15"/>
          <w:szCs w:val="15"/>
          <w:color w:val="auto"/>
        </w:rPr>
        <w:t xml:space="preserve"> with the high dose, for both RSV-A and RSV-B strains. In addition, EDP-323</w:t>
      </w:r>
    </w:p>
    <w:p>
      <w:pPr>
        <w:spacing w:after="0" w:line="2" w:lineRule="exact"/>
        <w:rPr>
          <w:sz w:val="20"/>
          <w:szCs w:val="20"/>
          <w:color w:val="auto"/>
        </w:rPr>
      </w:pPr>
    </w:p>
    <w:p>
      <w:pPr>
        <w:ind w:left="480" w:right="260"/>
        <w:spacing w:after="0" w:line="238" w:lineRule="auto"/>
        <w:rPr>
          <w:sz w:val="20"/>
          <w:szCs w:val="20"/>
          <w:color w:val="auto"/>
        </w:rPr>
      </w:pPr>
      <w:r>
        <w:rPr>
          <w:rFonts w:ascii="Times New Roman" w:cs="Times New Roman" w:eastAsia="Times New Roman" w:hAnsi="Times New Roman"/>
          <w:sz w:val="16"/>
          <w:szCs w:val="16"/>
          <w:color w:val="auto"/>
        </w:rPr>
        <w:t>demonstrated a favorable safety profile over a 5-day dosing period and through 28 days of follow-up. Adverse events, or AEs, were similar between EDP-323 dosing groups and placebo. There were no serious AEs, no severe AEs, and no AEs leading to treatment discontinuation or study withdrawal.</w:t>
      </w:r>
    </w:p>
    <w:p>
      <w:pPr>
        <w:spacing w:after="0" w:line="15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In addition, a post exposure prophylaxis, or PEP, analysis was performed in subjects who were not infected by Day 5 after RSV exposure. In this population, 68 RSV-exposed, susceptible subjects were randomized to receive EDP-323 (low dose n=24, high dose n=21) or placebo (n=23). Of these subjects, 26% (6/23) of those who received placebo became infected</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 w:name="page14"/>
    <w:bookmarkEnd w:id="13"/>
    <w:p>
      <w:pPr>
        <w:spacing w:after="0" w:line="259" w:lineRule="auto"/>
        <w:rPr>
          <w:sz w:val="20"/>
          <w:szCs w:val="20"/>
          <w:color w:val="auto"/>
        </w:rPr>
      </w:pPr>
      <w:r>
        <w:rPr>
          <w:rFonts w:ascii="Times New Roman" w:cs="Times New Roman" w:eastAsia="Times New Roman" w:hAnsi="Times New Roman"/>
          <w:sz w:val="16"/>
          <w:szCs w:val="16"/>
          <w:color w:val="auto"/>
        </w:rPr>
        <w:t>versus 0% (0/45) of EDP-323 recipients (p&lt;0.001). Evaluated separately, the two EDP-323 dosing groups’ PEP effects were statistically significant (low dose p=0.009, high dose p=0.022) versus placebo.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Immunology Programs</w:t>
      </w:r>
    </w:p>
    <w:p>
      <w:pPr>
        <w:spacing w:after="0" w:line="9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4"/>
          <w:szCs w:val="14"/>
          <w:color w:val="auto"/>
        </w:rPr>
        <w:t>In immunology, we are designing and developing highly potent and selective, oral small molecule inhibitors for the treatment of type 2 inflammatory disease by targeting key mechanisms of immune response. Type 2 immune responses are characterized by the overproduction of interleukin -4 (IL- 4), interleukin-5 (IL-5), interleukin -13 (IL-13), and immunoglobulin E (IgE), through the activation of T helper 2 (Th2) cells, CD4+ T cells, B cells, and innate cellular response consisting of mast cells, ILC2s, eosinophils, basophils, and IL-4 and/or IL-13-activated macrophages. This immune response is a crucial part of the body’s defense mechanism; however, an overactive response is the primary driver of a number of inflammatory diseases, including AD, urticarias, asthma, eosinophilic esophagitis (EoE), allergic rhinoconjunctivitis, prurigo nodularis (PN), chronic rhinosinusitis with nasal polyps (CRSwNP), as well as some forms of COPD and other conditions.</w:t>
      </w: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21" w:right="780" w:bottom="1440" w:gutter="0" w:footer="0" w:header="0"/>
        </w:sectPr>
      </w:pPr>
    </w:p>
    <w:bookmarkStart w:id="14" w:name="page15"/>
    <w:bookmarkEnd w:id="14"/>
    <w:p>
      <w:pPr>
        <w:ind w:right="280"/>
        <w:spacing w:after="0" w:line="247" w:lineRule="auto"/>
        <w:rPr>
          <w:sz w:val="20"/>
          <w:szCs w:val="20"/>
          <w:color w:val="auto"/>
        </w:rPr>
      </w:pPr>
      <w:r>
        <w:rPr>
          <w:rFonts w:ascii="Times New Roman" w:cs="Times New Roman" w:eastAsia="Times New Roman" w:hAnsi="Times New Roman"/>
          <w:sz w:val="16"/>
          <w:szCs w:val="16"/>
          <w:color w:val="auto"/>
        </w:rPr>
        <w:t>Our initial targets include the receptor tyrosine kinase, known as KIT, which is critical for regulating mast cell activity. KIT inhibitors may have potential in the treatment of CSU and other mast-cell-driven diseases. We are also targeting STAT6, a transcription factor responsible for IL-4/IL-13 signaling, which drives a Th2 dominant phenotype. STAT6 inhibitors may have potential in the treatment of AD and other type 2 immune driven phenotypes.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112395</wp:posOffset>
            </wp:positionV>
            <wp:extent cx="3681730" cy="2789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1730" cy="278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and Overview of CSU</w:t>
      </w:r>
    </w:p>
    <w:p>
      <w:pPr>
        <w:spacing w:after="0" w:line="9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CSU is a severely debilitating, chronic inflammatory skin disease with no identified triggers. Clinical manifestations include hives, angioedema, or both. Hives are variable in size and shape and are characterized by swelling, itchiness, and/or a burning sensation. Angioedema is characterized by pronounced deep tissue swelling along with tingling, burning, tightness and sometimes pain. Patients with CSU also experience symptoms beyond skin manifestations, including sleep disturbances, fatigue, irritability, anxiety and depression and can affect performance at work or school. CSU is typically a self-limiting disorder, persisting for 2–5 years although some reports estimate that more than half of patients suffer for more than 5 years. CSU may also recur after months or years of full remission. CSU impacts twice as many women as men, with an estimated global prevalence between 0.5% – 1% of the population, which means that at any given time in the U.S. alone approximately</w:t>
      </w:r>
    </w:p>
    <w:p>
      <w:pPr>
        <w:spacing w:after="0" w:line="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1.75–3.5 million people are experiencing this condition. The peak age of diagnosis is during the core years of working age, 20–40 years old. Standard of care treatment for CSU is antihistamines, however in approximately half the patients, symptom alleviation is not adequate. Only a minority of these uncontrolled cases, approximately 10%, are treated with the biologic approved over a decade ago, which does not fully relieve symptoms for most patients, likely in part due to impacting only IgE-</w:t>
      </w:r>
    </w:p>
    <w:p>
      <w:pPr>
        <w:spacing w:after="0" w:line="206" w:lineRule="auto"/>
        <w:rPr>
          <w:sz w:val="20"/>
          <w:szCs w:val="20"/>
          <w:color w:val="auto"/>
        </w:rPr>
      </w:pPr>
      <w:r>
        <w:rPr>
          <w:rFonts w:ascii="Times New Roman" w:cs="Times New Roman" w:eastAsia="Times New Roman" w:hAnsi="Times New Roman"/>
          <w:sz w:val="16"/>
          <w:szCs w:val="16"/>
          <w:color w:val="auto"/>
        </w:rPr>
        <w:t>dependent activation pathways. While there are two agents newly approved for CSU, an IL-4 and IL-13 monoclonal antibody (DUPIXENT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BTK inhibitor</w:t>
      </w:r>
    </w:p>
    <w:p>
      <w:pPr>
        <w:ind w:right="120"/>
        <w:spacing w:after="0" w:line="215" w:lineRule="auto"/>
        <w:rPr>
          <w:sz w:val="20"/>
          <w:szCs w:val="20"/>
          <w:color w:val="auto"/>
        </w:rPr>
      </w:pPr>
      <w:r>
        <w:rPr>
          <w:rFonts w:ascii="Times New Roman" w:cs="Times New Roman" w:eastAsia="Times New Roman" w:hAnsi="Times New Roman"/>
          <w:sz w:val="16"/>
          <w:szCs w:val="16"/>
          <w:color w:val="auto"/>
        </w:rPr>
        <w:t>(RHAPSIDO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there still remains substantial unmet need for an oral agent which offers efficacy against hives and itch for all patients irrespective of prior treatments and/or drugs taken concomitantly, with an acceptable safety profile.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Scientific Background</w:t>
      </w:r>
    </w:p>
    <w:p>
      <w:pPr>
        <w:spacing w:after="0" w:line="9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Our approach to treating CSU is to directly target mast cells which are the root cause of pathology in CSU, and multiple other diseases. Mast cells are tissue-resident immune cells (e.g., skin, lung or GI) that can be activated through various cell surface receptors, resulting in a signaling cascade that leads to degranulation and release of tryptase, histamine and other inflammatory mediators. This release of inflammatory mediators from mast cells and subsequent propagation of a type 2 inflammatory response has been implicated in multiple inflammatory diseases, including chronic urticaria, prurigo nodularis, eosinophilic esophagitis, asthma, and AD. Current therapies modulate only a small subset of either mast cell stimulants or the downstream mediators of inflammation that mast cells produce (e.g., antihistamines), but do not address the underlying cause of disease, as they do not directly affect mast cells themselves.</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21" w:right="760" w:bottom="1440" w:gutter="0" w:footer="0" w:header="0"/>
        </w:sectPr>
      </w:pPr>
    </w:p>
    <w:bookmarkStart w:id="15" w:name="page16"/>
    <w:bookmarkEnd w:id="15"/>
    <w:p>
      <w:pPr>
        <w:spacing w:after="0" w:line="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We are targeting mast cells by inhibiting KIT, a central regulator of mast cell development and activation. KIT provides pro-survival signals critical to mast cell survival and, therefore, the inhibition of KIT signaling leads to rapid mast cell inactivation and depletion through apoptosis, thereby directly reducing the quantity of mast cells available to drive pathology. Clinical proof of concept for this approach has been demonstrated with positive phase 2 data for anti-KIT monoclonal antibodies in CSU, suggesting best-in-disease efficacy and a reasonable safety profile.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 Landscape</w:t>
      </w:r>
    </w:p>
    <w:p>
      <w:pPr>
        <w:spacing w:after="0" w:line="9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There are a number of different mechanisms being explored for the treatment of CSU, including inhibitors of IL-4R, IgE, Bruton’s tyrosine kinase, or BTK, and MRGPRX2. Specifically for KIT inhibitors, there are companies with antibodies in development, including Celldex (barzolvolimab - Phase 3) and Jasper (briquilimab - Phase 1b/2a), as well as companies with oral, small molecules in early clinical development (Sanofi/Blueprint). Based on industry reports, by 2032 the market for urticaria is projected to be approximately $ 7 billion, the market for AD is projected be approximately $33 billion and the projected combined market for asthma, COPD, allergic rhinoconjunctivitis, CRSwNP, and PN is projected to be approximately $40 billion.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KIT program</w:t>
      </w:r>
    </w:p>
    <w:p>
      <w:pPr>
        <w:spacing w:after="0" w:line="96"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We have a preclinical stage program to develop oral KIT inhibitors for the treatment of CSU and potentially other indications by depleting mast cells, thereby addressing a primary driver of these diseases. We have selected EDP-978 as our clinical candidate. EDP-978 demonstrates potent nanomolar activity in both binding (Kd = 0.3nM) and cellular function assays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6"/>
          <w:szCs w:val="16"/>
          <w:color w:val="auto"/>
        </w:rPr>
        <w:t xml:space="preserve"> = 1.6-3.4nM), sub-nanomolar activity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(EC</w:t>
      </w:r>
      <w:r>
        <w:rPr>
          <w:rFonts w:ascii="Times New Roman" w:cs="Times New Roman" w:eastAsia="Times New Roman" w:hAnsi="Times New Roman"/>
          <w:sz w:val="21"/>
          <w:szCs w:val="21"/>
          <w:color w:val="auto"/>
          <w:vertAlign w:val="subscript"/>
        </w:rPr>
        <w:t>50</w:t>
      </w:r>
      <w:r>
        <w:rPr>
          <w:rFonts w:ascii="Times New Roman" w:cs="Times New Roman" w:eastAsia="Times New Roman" w:hAnsi="Times New Roman"/>
          <w:sz w:val="16"/>
          <w:szCs w:val="16"/>
          <w:color w:val="auto"/>
        </w:rPr>
        <w:t xml:space="preserve"> = 0.25nM), and high selectivity for KIT versus other kinases.</w:t>
      </w:r>
    </w:p>
    <w:p>
      <w:pPr>
        <w:spacing w:after="0" w:line="74"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6"/>
          <w:szCs w:val="16"/>
          <w:color w:val="auto"/>
        </w:rPr>
        <w:t xml:space="preserve">EDP-978 also demonstrates strong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absorption, distribution, metabolism and excretion (ADME) properties. We are finalizing the IND-enabling activities for EDP-978 in the fourth quarter of 2025 and expect to file an IND in the first quarter of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Background and Overview of AD</w:t>
      </w:r>
    </w:p>
    <w:p>
      <w:pPr>
        <w:spacing w:after="0" w:line="94" w:lineRule="exact"/>
        <w:rPr>
          <w:sz w:val="20"/>
          <w:szCs w:val="20"/>
          <w:color w:val="auto"/>
        </w:rPr>
      </w:pPr>
    </w:p>
    <w:p>
      <w:pPr>
        <w:jc w:val="both"/>
        <w:ind w:right="180"/>
        <w:spacing w:after="0" w:line="279" w:lineRule="auto"/>
        <w:rPr>
          <w:sz w:val="20"/>
          <w:szCs w:val="20"/>
          <w:color w:val="auto"/>
        </w:rPr>
      </w:pPr>
      <w:r>
        <w:rPr>
          <w:rFonts w:ascii="Times New Roman" w:cs="Times New Roman" w:eastAsia="Times New Roman" w:hAnsi="Times New Roman"/>
          <w:sz w:val="14"/>
          <w:szCs w:val="14"/>
          <w:color w:val="auto"/>
        </w:rPr>
        <w:t>AD is a chronic dermatological disease characterized by dry, red, inflamed, irritated and itchy skin, and has significant quality of life impacts such as leading a limited lifestyle, avoidance of social interactions and impacted activities. The disease affects an estimated 7.3% of the U.S, adult population and approximately 40% of those have moderate to severe disease. The majority (&gt;90%) of moderate to severe patients are treated with an IL-4 and IL-13 monoclonal antibody (e.g., DUPIXENT®</w:t>
      </w:r>
    </w:p>
    <w:p>
      <w:pPr>
        <w:spacing w:after="0" w:line="2"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6"/>
          <w:szCs w:val="16"/>
          <w:color w:val="auto"/>
        </w:rPr>
        <w:t>(dupilumab)) despite modest efficacy, while a minority (&lt;10%) are treated with an oral janus kinase, or JAK inhibitor (e.g., RINVOQ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(upadacitinib)) due to safety concerns (black box warning for serious infections, mortality, malignancy, major adverse cardiovascular events, or MACE, and thrombosis). Thus, there is a significant need for an efficacious and safe oral agent.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Scientific Background</w:t>
      </w:r>
    </w:p>
    <w:p>
      <w:pPr>
        <w:spacing w:after="0" w:line="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4"/>
          <w:szCs w:val="14"/>
          <w:color w:val="auto"/>
        </w:rPr>
        <w:t>Dysregulation of the Th2 immune response drives many allergic and autoimmune diseases, including AD and asthma, which is characterized by an overproduction of IL-4 and IL-13. STAT6 is a transcription factor predominantly expressed in immune and epithelial cells that is responsible for IL-4/IL-13 signaling, which results in a</w:t>
      </w:r>
    </w:p>
    <w:p>
      <w:pPr>
        <w:ind w:right="40"/>
        <w:spacing w:after="0" w:line="241" w:lineRule="auto"/>
        <w:rPr>
          <w:sz w:val="20"/>
          <w:szCs w:val="20"/>
          <w:color w:val="auto"/>
        </w:rPr>
      </w:pPr>
      <w:r>
        <w:rPr>
          <w:rFonts w:ascii="Times New Roman" w:cs="Times New Roman" w:eastAsia="Times New Roman" w:hAnsi="Times New Roman"/>
          <w:sz w:val="16"/>
          <w:szCs w:val="16"/>
          <w:color w:val="auto"/>
        </w:rPr>
        <w:t>Th2 dominant phenotype. Evidence for STAT6 as a key driver of AD and asthma is the presence of STAT6 gain-of-function variants resulting in severe AD and STAT6 loss-of-function variants protect against type 2 high asthma. Furthermore, clinical validation of this pathway exists in a number of immunology indications from anti-IL-4 and 13 monoclonal antibodies and JAK inhibitors, which block the IL-4/IL-13 signaling pathway. Our STAT6 inhibitor program offers the potential for an “oral Dupixent”, as it directly blocks IL-4/IL-13 signaling, reduces inflammation in Th2 driven preclinical models and no oral therapies selectively targeting this pathway are currently available.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 Landscape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moderate-to-severe AD treatment landscape is dominated by biologics targeting the IL-4 and/or IL-13 pathway (e.g., DUPIXENT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(dupilumab), ADBRY</w:t>
      </w:r>
      <w:r>
        <w:rPr>
          <w:rFonts w:ascii="Times New Roman" w:cs="Times New Roman" w:eastAsia="Times New Roman" w:hAnsi="Times New Roman"/>
          <w:sz w:val="21"/>
          <w:szCs w:val="21"/>
          <w:color w:val="auto"/>
          <w:vertAlign w:val="superscript"/>
        </w:rPr>
        <w:t>®</w:t>
      </w:r>
    </w:p>
    <w:p>
      <w:pPr>
        <w:spacing w:after="0" w:line="224" w:lineRule="auto"/>
        <w:rPr>
          <w:sz w:val="20"/>
          <w:szCs w:val="20"/>
          <w:color w:val="auto"/>
        </w:rPr>
      </w:pPr>
      <w:r>
        <w:rPr>
          <w:rFonts w:ascii="Times New Roman" w:cs="Times New Roman" w:eastAsia="Times New Roman" w:hAnsi="Times New Roman"/>
          <w:sz w:val="16"/>
          <w:szCs w:val="16"/>
          <w:color w:val="auto"/>
        </w:rPr>
        <w:t>(tralokinumab-ldrm), and EBGLYSS™ (lebrikizumab-lbkz)), with JAK inhibitors (e.g., RINVOQ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(upadacitinib) and CIBINQO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(abrocitinib)) as the only oral option. Multiple oral mechanisms are in development, including modulators of MRGPRX2, IRAK4, ITK, STAT6, RASP and PKM2. The latest stage oral assets being evaluated in moderate-to-severe AD patients are in Phase 2b (Evommune - MRGPRX2) and Phase 1 (Corvus - ITK; Kymera - STAT6) . For STAT6 inhibitors specifically, companies with oral assets in preclinical development include Sanofi/Recludix, J&amp;J/Kaken, Gilead/LEO, DeepCure, and JW Pharma.</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 w:name="page17"/>
    <w:bookmarkEnd w:id="16"/>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STAT6 program</w:t>
      </w:r>
    </w:p>
    <w:p>
      <w:pPr>
        <w:spacing w:after="0" w:line="96"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15"/>
          <w:szCs w:val="15"/>
          <w:color w:val="auto"/>
        </w:rPr>
        <w:t>We have a discovery stage program to develop an oral STAT6 inhibitor for the treatment of type 2 immune driven diseases, initially focusing on AD and potentially other indications by blocking the IL-4/IL-13 signaling pathway, thereby addressing a primary driver of these diseases. We have selected EPS -3903 as our lead development candidate. EPS-3903 demonstrates nanomolar potency in both binding (Kd=0.4nM) and cellular assays, including inhibition of IL-4 induced STAT6 phosphorylation in human peripheral blood mononuclear cells, or hPBMCs (EC</w:t>
      </w:r>
      <w:r>
        <w:rPr>
          <w:rFonts w:ascii="Times New Roman" w:cs="Times New Roman" w:eastAsia="Times New Roman" w:hAnsi="Times New Roman"/>
          <w:sz w:val="20"/>
          <w:szCs w:val="20"/>
          <w:color w:val="auto"/>
          <w:vertAlign w:val="subscript"/>
        </w:rPr>
        <w:t>50</w:t>
      </w:r>
      <w:r>
        <w:rPr>
          <w:rFonts w:ascii="Times New Roman" w:cs="Times New Roman" w:eastAsia="Times New Roman" w:hAnsi="Times New Roman"/>
          <w:sz w:val="15"/>
          <w:szCs w:val="15"/>
          <w:color w:val="auto"/>
        </w:rPr>
        <w:t xml:space="preserve"> = 4nM), STAT6-mediated cellular proliferation (EC</w:t>
      </w:r>
      <w:r>
        <w:rPr>
          <w:rFonts w:ascii="Times New Roman" w:cs="Times New Roman" w:eastAsia="Times New Roman" w:hAnsi="Times New Roman"/>
          <w:sz w:val="20"/>
          <w:szCs w:val="20"/>
          <w:color w:val="auto"/>
          <w:vertAlign w:val="subscript"/>
        </w:rPr>
        <w:t>50</w:t>
      </w:r>
      <w:r>
        <w:rPr>
          <w:rFonts w:ascii="Times New Roman" w:cs="Times New Roman" w:eastAsia="Times New Roman" w:hAnsi="Times New Roman"/>
          <w:sz w:val="15"/>
          <w:szCs w:val="15"/>
          <w:color w:val="auto"/>
        </w:rPr>
        <w:t xml:space="preserve"> = 8nM) and prevention of</w:t>
      </w:r>
    </w:p>
    <w:p>
      <w:pPr>
        <w:spacing w:after="0" w:line="2"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5"/>
          <w:szCs w:val="15"/>
          <w:color w:val="auto"/>
        </w:rPr>
        <w:t>STAT6-driven biomarkers of type 2 inflammation (including TARC EC</w:t>
      </w:r>
      <w:r>
        <w:rPr>
          <w:rFonts w:ascii="Times New Roman" w:cs="Times New Roman" w:eastAsia="Times New Roman" w:hAnsi="Times New Roman"/>
          <w:sz w:val="20"/>
          <w:szCs w:val="20"/>
          <w:color w:val="auto"/>
          <w:vertAlign w:val="subscript"/>
        </w:rPr>
        <w:t>50</w:t>
      </w:r>
      <w:r>
        <w:rPr>
          <w:rFonts w:ascii="Times New Roman" w:cs="Times New Roman" w:eastAsia="Times New Roman" w:hAnsi="Times New Roman"/>
          <w:sz w:val="15"/>
          <w:szCs w:val="15"/>
          <w:color w:val="auto"/>
        </w:rPr>
        <w:t xml:space="preserve"> = 16nM and periostin EC</w:t>
      </w:r>
      <w:r>
        <w:rPr>
          <w:rFonts w:ascii="Times New Roman" w:cs="Times New Roman" w:eastAsia="Times New Roman" w:hAnsi="Times New Roman"/>
          <w:sz w:val="20"/>
          <w:szCs w:val="20"/>
          <w:color w:val="auto"/>
          <w:vertAlign w:val="subscript"/>
        </w:rPr>
        <w:t>50</w:t>
      </w:r>
      <w:r>
        <w:rPr>
          <w:rFonts w:ascii="Times New Roman" w:cs="Times New Roman" w:eastAsia="Times New Roman" w:hAnsi="Times New Roman"/>
          <w:sz w:val="15"/>
          <w:szCs w:val="15"/>
          <w:color w:val="auto"/>
        </w:rPr>
        <w:t>= 3nM). Further, EPS-3903 is highly selective, with no inhibition of other STATs in hPBMCs and more than 1000-fold biochemical selectivity over other STATs, demonstrating significantly more selectivity than JAK inhibitors.</w:t>
      </w:r>
    </w:p>
    <w:p>
      <w:pPr>
        <w:spacing w:after="0" w:line="7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6"/>
          <w:szCs w:val="16"/>
          <w:color w:val="auto"/>
        </w:rPr>
        <w:t xml:space="preserve">EPS -3903 also demonstrates a rapid, continuous and complete (&gt;90%) inhibition of phosphorylated STAT6 after oral dosing in mice. Importantly, EPS-3903 shows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vivo </w:t>
      </w:r>
      <w:r>
        <w:rPr>
          <w:rFonts w:ascii="Times New Roman" w:cs="Times New Roman" w:eastAsia="Times New Roman" w:hAnsi="Times New Roman"/>
          <w:sz w:val="16"/>
          <w:szCs w:val="16"/>
          <w:color w:val="auto"/>
        </w:rPr>
        <w:t>efficacy comparable to dupilumab, or an anti- mouse IL-4 and IL -13 antibody, in multiple disease models of asthma (ovalbumin, house dust mite) and AD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(MC903). In the house dust mite challenge asthma model, EPS-3903 results in complete (&gt;90%) inhibition of lung pSTAT6 and decreased inflammation comparable to dupilumab, including clinically relevant biomarkers of eosinophils and thymus and activation-regulated chemokine, or TARC, in the lung and serum IgE. In the MC903 atopic dermatitis model, EPS-3903 demonstrates complete (&gt;90%) inhibition of pSTAT6 in the skin and spleen, comparable to dupilumab, as well as a robust decrease in serum IgE.</w:t>
      </w:r>
    </w:p>
    <w:p>
      <w:pPr>
        <w:spacing w:after="0" w:line="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 xml:space="preserve">EPS-3903 displays favorable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ADME properties, supportive of once-daily dosing potential. We have initiated IND-enabling activities with the goal of filing an IND in the second half of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Out-Licensed HCV Protease Inhibitor Products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 and Overview of HCV Market</w:t>
      </w:r>
    </w:p>
    <w:p>
      <w:pPr>
        <w:spacing w:after="0" w:line="9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7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Approximately 290,000 people die every year from HCV-related liver diseases. According to the CDC, there are an estimated 5,000 new cases of acute HCV infections in 2023, the most recent year for which the CDC has published data, with an estimated total of 69,000 acute HCV infections. In 2023, there were over 100,000 cases of newly reported chronic HCV, in addition to over 11,000 deaths in the United States due to HCV. We believe that both the acute and chronically infected populations remain significantly untreated, even with the introduction of several new treatment regimens beginning in 2013.</w:t>
      </w:r>
    </w:p>
    <w:p>
      <w:pPr>
        <w:spacing w:after="0" w:line="7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The approved treatments for HCV have provided significant benefit to HCV patients.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 For AbbVie’s MAVYRET/MAVIRET regimen, the majority of chronic HCV patients only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 8 weeks of treatment compared to 12 weeks with other HCV regimens, including Gilead’s EPCLUSA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HARVONI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almost all HCV genotypes.</w:t>
      </w:r>
    </w:p>
    <w:p>
      <w:pPr>
        <w:spacing w:after="0" w:line="4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6"/>
          <w:szCs w:val="16"/>
          <w:color w:val="auto"/>
        </w:rPr>
        <w:t xml:space="preserve">Since the introduction of Gilead’s Harvoni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AbbVie’s VIEKIRA PAK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late 2014, the reported worldwide sales of the leading HCV therapies have declined from $23 billion in 2015 to $2.9 billion in 2024. Through the first nine months of calendar 2025, reported worldwide net sales were $ 2.0 billion. HCV sales have declined since their peak in 2015 due to payers obtaining additional discounts, competitive market dynamics and a decline in the number of patients treated annually after the initial wave of diagnosed chronic HCV patients who had urgency for treatment. Despite the high numbers of HCV patients that have been successfully treated, there remains a large population of chronic HCV-infected patients who have yet to be treated with one of the newer “high cure” regimens. In addition, and as noted above, new HCV infections (principally in association with IV drug use) are an ongoing target population for treatment.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Out-Licensed Products in AbbVie’s Marketed Therapies</w:t>
      </w:r>
    </w:p>
    <w:p>
      <w:pPr>
        <w:spacing w:after="0" w:line="9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Glecaprevir </w:t>
      </w:r>
      <w:r>
        <w:rPr>
          <w:rFonts w:ascii="Times New Roman" w:cs="Times New Roman" w:eastAsia="Times New Roman" w:hAnsi="Times New Roman"/>
          <w:sz w:val="16"/>
          <w:szCs w:val="16"/>
          <w:color w:val="auto"/>
        </w:rPr>
        <w:t>- Our protease inhibitor, glecaprevir, which is part of the latest HCV regimen from AbbVie, was developed by AbbVie in combination with pibrentasvir,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AbbVie’s second NS5A inhibitor. This co-formulated combination, marketed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line="9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5"/>
          <w:szCs w:val="15"/>
          <w:color w:val="auto"/>
        </w:rPr>
        <w:t>under the tradenames MAVYRET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(U.S.) and MAVIRET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(ex -U.S.), contains two novel DAAs that target and inhibit proteins essential for the replication of HCV. MAVYRET/MAVIRET is approved in the U.S., EU, Japan and numerous other countries globally as an 8- week, pan-genotypic, fixed-dose combination treatment, dosed once-daily as three oral tablets, taken with food, for acute 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or CKD, or those with genotype 3 chronic HCV. MAVYRET/MAVIRET is approved for use in patients across all stages of CKD with any of the major HCV genotypes (GT1-6). The approvals of MAVYRET/MAVIRET for the treatment of CKD are supported by data from nine registrational studies in AbbVie’s clinical development program, which evaluated more than 2,300 patients in 27 countries across all major HCV genotypes (GT1-6) and special populations:</w:t>
      </w:r>
    </w:p>
    <w:p>
      <w:pPr>
        <w:spacing w:after="0" w:line="64" w:lineRule="exact"/>
        <w:rPr>
          <w:sz w:val="20"/>
          <w:szCs w:val="20"/>
          <w:color w:val="auto"/>
        </w:rPr>
      </w:pPr>
    </w:p>
    <w:p>
      <w:pPr>
        <w:ind w:left="480" w:right="340"/>
        <w:spacing w:after="0" w:line="23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8 weeks for treatment-naïve, non-cirrhotic patients:</w:t>
      </w:r>
      <w:r>
        <w:rPr>
          <w:rFonts w:ascii="Times New Roman" w:cs="Times New Roman" w:eastAsia="Times New Roman" w:hAnsi="Times New Roman"/>
          <w:sz w:val="16"/>
          <w:szCs w:val="16"/>
          <w:color w:val="auto"/>
        </w:rPr>
        <w:t xml:space="preserve"> In November 2016, results from several Phase 3 studies of this combination demonstrated 97.5% of chronic HCV infected patients without cirrhosis and new to treatment across all major genotypes (GT1-6) achieved sustained virologic response at 12 weeks post-treatment, referred to as SVR</w:t>
      </w:r>
      <w:r>
        <w:rPr>
          <w:rFonts w:ascii="Times New Roman" w:cs="Times New Roman" w:eastAsia="Times New Roman" w:hAnsi="Times New Roman"/>
          <w:sz w:val="21"/>
          <w:szCs w:val="21"/>
          <w:color w:val="auto"/>
          <w:vertAlign w:val="subscript"/>
        </w:rPr>
        <w:t>12</w:t>
      </w:r>
      <w:r>
        <w:rPr>
          <w:rFonts w:ascii="Times New Roman" w:cs="Times New Roman" w:eastAsia="Times New Roman" w:hAnsi="Times New Roman"/>
          <w:sz w:val="16"/>
          <w:szCs w:val="16"/>
          <w:color w:val="auto"/>
        </w:rPr>
        <w:t>, with just 8 weeks of MAVYRET/MAVIRET treatment.</w:t>
      </w:r>
    </w:p>
    <w:p>
      <w:pPr>
        <w:spacing w:after="0" w:line="73" w:lineRule="exact"/>
        <w:rPr>
          <w:sz w:val="20"/>
          <w:szCs w:val="20"/>
          <w:color w:val="auto"/>
        </w:rPr>
      </w:pPr>
    </w:p>
    <w:p>
      <w:pPr>
        <w:jc w:val="both"/>
        <w:ind w:left="480" w:right="180"/>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8 weeks for GT-3:</w:t>
      </w:r>
      <w:r>
        <w:rPr>
          <w:rFonts w:ascii="Times New Roman" w:cs="Times New Roman" w:eastAsia="Times New Roman" w:hAnsi="Times New Roman"/>
          <w:sz w:val="15"/>
          <w:szCs w:val="15"/>
          <w:color w:val="auto"/>
        </w:rPr>
        <w:t xml:space="preserve"> Data from AbbVie’s ENDURANCE-3 study were presented at the 2017 ILC, demonstrating that 95% of patients with challenging-to-treat, genotype 3, or GT3, chronic HCV infection, without cirrhosis and new to treatment, achieved SVR</w:t>
      </w:r>
      <w:r>
        <w:rPr>
          <w:rFonts w:ascii="Times New Roman" w:cs="Times New Roman" w:eastAsia="Times New Roman" w:hAnsi="Times New Roman"/>
          <w:sz w:val="20"/>
          <w:szCs w:val="20"/>
          <w:color w:val="auto"/>
          <w:vertAlign w:val="subscript"/>
        </w:rPr>
        <w:t>12</w:t>
      </w:r>
      <w:r>
        <w:rPr>
          <w:rFonts w:ascii="Times New Roman" w:cs="Times New Roman" w:eastAsia="Times New Roman" w:hAnsi="Times New Roman"/>
          <w:sz w:val="15"/>
          <w:szCs w:val="15"/>
          <w:color w:val="auto"/>
        </w:rPr>
        <w:t xml:space="preserve"> after 8 weeks of treatment with MAVYRET/MAVIRET.</w:t>
      </w:r>
    </w:p>
    <w:p>
      <w:pPr>
        <w:spacing w:after="0" w:line="58" w:lineRule="exact"/>
        <w:rPr>
          <w:sz w:val="20"/>
          <w:szCs w:val="20"/>
          <w:color w:val="auto"/>
        </w:rPr>
      </w:pPr>
    </w:p>
    <w:p>
      <w:pPr>
        <w:ind w:left="480" w:right="300"/>
        <w:spacing w:after="0" w:line="24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8 weeks for compensated cirrhosis:</w:t>
      </w:r>
      <w:r>
        <w:rPr>
          <w:rFonts w:ascii="Times New Roman" w:cs="Times New Roman" w:eastAsia="Times New Roman" w:hAnsi="Times New Roman"/>
          <w:sz w:val="15"/>
          <w:szCs w:val="15"/>
          <w:color w:val="auto"/>
        </w:rPr>
        <w:t xml:space="preserve"> Based on data from AbbVie’s EXPEDITION -8 study, which demonstrated that with 8 weeks of MAVYRET treatment, 100 percent (n=273/273) of genotype 1, 2, 4, 5 and 6 patients achieved a sustained virologic response 8 weeks after treatment (SVR</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5"/>
          <w:szCs w:val="15"/>
          <w:color w:val="auto"/>
        </w:rPr>
        <w:t>) per protocol analysis.</w:t>
      </w:r>
    </w:p>
    <w:p>
      <w:pPr>
        <w:spacing w:after="0" w:line="1" w:lineRule="exact"/>
        <w:rPr>
          <w:sz w:val="20"/>
          <w:szCs w:val="20"/>
          <w:color w:val="auto"/>
        </w:rPr>
      </w:pPr>
    </w:p>
    <w:p>
      <w:pPr>
        <w:ind w:left="480" w:right="300"/>
        <w:spacing w:after="0" w:line="238" w:lineRule="auto"/>
        <w:rPr>
          <w:sz w:val="20"/>
          <w:szCs w:val="20"/>
          <w:color w:val="auto"/>
        </w:rPr>
      </w:pPr>
      <w:r>
        <w:rPr>
          <w:rFonts w:ascii="Times New Roman" w:cs="Times New Roman" w:eastAsia="Times New Roman" w:hAnsi="Times New Roman"/>
          <w:sz w:val="16"/>
          <w:szCs w:val="16"/>
          <w:color w:val="auto"/>
        </w:rPr>
        <w:t>Based on this data and a second cohort of the study in GT3 chronic HCV-infected patients, MAVYRET is now approved for all genotypes with compensated cirrhosis in the U.S.</w:t>
      </w:r>
    </w:p>
    <w:p>
      <w:pPr>
        <w:spacing w:after="0" w:line="69"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12 weeks with chronic kidney disease:</w:t>
      </w:r>
      <w:r>
        <w:rPr>
          <w:rFonts w:ascii="Times New Roman" w:cs="Times New Roman" w:eastAsia="Times New Roman" w:hAnsi="Times New Roman"/>
          <w:sz w:val="15"/>
          <w:szCs w:val="15"/>
          <w:color w:val="auto"/>
        </w:rPr>
        <w:t xml:space="preserve"> Results were also presented from AbbVie’s EXPEDITION-4 study in chronic HCV patients with chronic kidney disease, or CKD, in which 98% of patients (n=102/104) across all major genotypes (GT1-6) achieved SVR</w:t>
      </w:r>
      <w:r>
        <w:rPr>
          <w:rFonts w:ascii="Times New Roman" w:cs="Times New Roman" w:eastAsia="Times New Roman" w:hAnsi="Times New Roman"/>
          <w:sz w:val="20"/>
          <w:szCs w:val="20"/>
          <w:color w:val="auto"/>
          <w:vertAlign w:val="subscript"/>
        </w:rPr>
        <w:t>12</w:t>
      </w:r>
      <w:r>
        <w:rPr>
          <w:rFonts w:ascii="Times New Roman" w:cs="Times New Roman" w:eastAsia="Times New Roman" w:hAnsi="Times New Roman"/>
          <w:sz w:val="15"/>
          <w:szCs w:val="15"/>
          <w:color w:val="auto"/>
        </w:rPr>
        <w:t xml:space="preserve"> with 12 weeks of treatment with MAVYRET/MAVIRET.</w:t>
      </w:r>
    </w:p>
    <w:p>
      <w:pPr>
        <w:spacing w:after="0" w:line="6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In June 2025, the FDA approved a label expansion for MAVYRET as the first and only treatment for acute HCV. The label expansion was supported by data from a Phase 3, multicenter, single-arm prospective study evaluating the safety and efficacy of MAVYRET eight -week treatment in adults with acute HCV infection. The study results showed MAVYRET to be a highly efficacious treatment for people with acute HCV. The majority of the adverse events reported were mild or moderate in severity. The most common adverse events were fatigue, asthenia, headache, and diarrhea.</w:t>
      </w:r>
    </w:p>
    <w:p>
      <w:pPr>
        <w:spacing w:after="0" w:line="163"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 xml:space="preserve">Paritaprevir </w:t>
      </w:r>
      <w:r>
        <w:rPr>
          <w:rFonts w:ascii="Times New Roman" w:cs="Times New Roman" w:eastAsia="Times New Roman" w:hAnsi="Times New Roman"/>
          <w:sz w:val="15"/>
          <w:szCs w:val="15"/>
          <w:color w:val="auto"/>
        </w:rPr>
        <w:t>- The first protease inhibitor developed through our collaboration with AbbVie, paritaprevir, is part of AbbVie’s 3-DAA regimen approved for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treatment of genotype 1 and 4 HCV patients. This 3-DAA combination was sold as VIEKIRA PAK</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(paritaprevir/ritonavir/ombitasvir/dasabuvir) in the U.S. from</w:t>
      </w:r>
    </w:p>
    <w:p>
      <w:pPr>
        <w:ind w:right="120"/>
        <w:spacing w:after="0" w:line="215" w:lineRule="auto"/>
        <w:rPr>
          <w:sz w:val="20"/>
          <w:szCs w:val="20"/>
          <w:color w:val="auto"/>
        </w:rPr>
      </w:pPr>
      <w:r>
        <w:rPr>
          <w:rFonts w:ascii="Times New Roman" w:cs="Times New Roman" w:eastAsia="Times New Roman" w:hAnsi="Times New Roman"/>
          <w:sz w:val="16"/>
          <w:szCs w:val="16"/>
          <w:color w:val="auto"/>
        </w:rPr>
        <w:t>December 2014 to December 2018, and as VIEKIRAX</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+EXVIERA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most other jurisdictions, for non-cirrhotic patients and those with early stage, or compensated, cirrhosis. These regimens have been almost entirely replaced by MAVYRET/MAVIRET.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Collaboration and License Agreement with AbbVie</w:t>
      </w:r>
    </w:p>
    <w:p>
      <w:pPr>
        <w:spacing w:after="0" w:line="9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78"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A joint steering committee was established under the agreement with review and oversight responsibilities for all research, development and commercialization activities. The joint steering committee is comprised of three of our senior personnel and</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 w:name="page19"/>
    <w:bookmarkEnd w:id="18"/>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senior personnel from AbbVie; however, AbbVie has final authority to make all decisions regarding development and commercialization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research program and the evaluation period, which was performed by both parties, ended in June 2011. The first commercialized compound was paritaprevir with the</w:t>
      </w:r>
    </w:p>
    <w:p>
      <w:pPr>
        <w:spacing w:after="0" w:line="42" w:lineRule="exact"/>
        <w:rPr>
          <w:sz w:val="20"/>
          <w:szCs w:val="20"/>
          <w:color w:val="auto"/>
        </w:rPr>
      </w:pPr>
    </w:p>
    <w:p>
      <w:pPr>
        <w:ind w:right="300"/>
        <w:spacing w:after="0" w:line="222" w:lineRule="auto"/>
        <w:rPr>
          <w:sz w:val="20"/>
          <w:szCs w:val="20"/>
          <w:color w:val="auto"/>
        </w:rPr>
      </w:pPr>
      <w:r>
        <w:rPr>
          <w:rFonts w:ascii="Times New Roman" w:cs="Times New Roman" w:eastAsia="Times New Roman" w:hAnsi="Times New Roman"/>
          <w:sz w:val="16"/>
          <w:szCs w:val="16"/>
          <w:color w:val="auto"/>
        </w:rPr>
        <w:t>second commercialized compound, glecaprevir, approved in 2017 and marketed under the tradenames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(U.S.) or MAVIRET™ (ex-U.S.). Under this collaboration we have received $396 million in payments from AbbVie for license payments, proceeds from a sale of preferred stock, research funding payments and milestone payments.</w:t>
      </w:r>
    </w:p>
    <w:p>
      <w:pPr>
        <w:spacing w:after="0" w:line="7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We also receive annually tiered, double-digit royalties per protease inhibitor product developed under the agreement, which range from ten percent up to twenty percent, or on a blended basis from the low double digits up to the high teens. However, if a product is determined to be a combination product, as is the case for both glecaprevir and paritaprevir, the net sales of the combination product are adjusted on a country-by-country and product-by- 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 bearing portion is multiplied by the annually tiered royalty rates to determine our actual royalty for the protease product in that regimen in a given period. Under the terms of our agreement, as amended in October 2014, 50% of AbbVie’s net sales of MAVYRET/MAVIRET are allocated to glecaprevir. Beginning with each January 1, the cumulative net sales of a given royalty- bearing protease inhibitor product start at zero for purposes of calculating the tiered royalties on a product -by-product basis. Under this collaboration, we have received royalty payments from AbbVie totaling $954 million through September 30, 2025. Further details of these tiered royalties are set forth in Note 7 in Notes to Consolidated Financial Statements included in this report, which are incorporated herein by this reference.</w:t>
      </w:r>
    </w:p>
    <w:p>
      <w:pPr>
        <w:spacing w:after="0" w:line="8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71"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6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74"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6"/>
          <w:szCs w:val="16"/>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71"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9" w:name="page20"/>
    <w:bookmarkEnd w:id="19"/>
    <w:p>
      <w:pPr>
        <w:spacing w:after="0" w:line="77"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commercialize any products derived from such compounds. Upon our request, AbbVie will also transfer to us all rights, title and interest in any related product trademarks, regulatory filings and clinical trials.</w:t>
      </w:r>
    </w:p>
    <w:p>
      <w:pPr>
        <w:spacing w:after="0" w:line="59"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If AbbVie terminates the agreement for our uncured breach, the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Royalty Sale Agreement</w:t>
      </w:r>
    </w:p>
    <w:p>
      <w:pPr>
        <w:spacing w:after="0" w:line="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For accounting purposes, we will continue to record 100% of HCV royalties earned under the AbbVie agreement as royalty revenue in our consolidated statements of operation. The $200.0 million received in April 2023 was recognized on our consolidated balance sheets as a liability which will be reduced by the payments made to OMERS over the term of the Agreement. We will recognize imputed interest expense over the life of the royalty sale agreement based on our estimated future MAVYRET/MAVIRET royalties.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Programs for Out-Licensing in Virology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SARS-CoV-2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 and Overview of SARS-CoV-2</w:t>
      </w:r>
    </w:p>
    <w:p>
      <w:pPr>
        <w:spacing w:after="0" w:line="9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Severe acute respiratory syndrome coronavirus 2, or SARS-CoV-2, is the virus that causes COVID-19 (coronavirus disease 2019), the respiratory illness responsible for the COVID-19 pandemic. SARS-CoV-2 is the seventh known coronavirus to infect people, after 229E, NL63, OC43, HKU1, MERS-CoV, and the original SARS-CoV. Patients at higher risk for developing severe complications from COVID-19 include the elderly and those with underlying medical conditions like cardiovascular disease, diabetes, chronic respiratory disease, or cancer. As of October 2025, the World Health Organization estimated over 7 million deaths have been caused by COVID-19. There are also many patients who experience continuing effects of COVID-19, often referred to as “long COVID”. While vaccines that reduce the severity of COVID- 19 are available, uptake has not been optimal. In addition, breakthrough infection occurs in many cases because the vaccines are not completely effective or their effect diminishes over time, especially against emerging variants. Thus, there remains an urgent need for effective, safe and well-tolerated, conveniently-dosed, once-daily oral antiviral treatments.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Scientific Background</w:t>
      </w:r>
    </w:p>
    <w:p>
      <w:pPr>
        <w:spacing w:after="0" w:line="9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All coronaviruses have a single- stranded, positive-sense RNA (+ssRNA) genome, which is the largest known genome for an RNA virus. The overall structure of the SARS-CoV-2 genome is shared with other betacoronaviruses, namely MERS-CoV and SARS-CoV. The 3C-like protease, or 3CL protease (also known as 3CLpro or the main protease, or Mpro), is essential for viral replication, and is a highly attractive target for the development of direct-acting antiviral agents.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 Landscape</w:t>
      </w:r>
    </w:p>
    <w:p>
      <w:pPr>
        <w:spacing w:after="0" w:line="96"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4"/>
          <w:szCs w:val="14"/>
          <w:color w:val="auto"/>
        </w:rPr>
        <w:t>In the United States, there are two oral antiviral treatments for non-hospitalized, high-risk patients with SARS-CoV-2 infection: PAXLOVID™, a 3CL protease inhibitor (nirmatrelvir) boosted with ritonavir (full approval), and LAGEVRIO™ (molnupiravir), a polymerase inhibitor (Emergency Use Authorization). The most advanced oral, direct acting antiviral (DAA) for the treatment of high-risk patients with SARS-CoV-2 is in Phase 3 studies (Pfizer/ibuzatrelvir).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 w:name="page21"/>
    <w:bookmarkEnd w:id="20"/>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EDP-235, Our Lead, Oral, 3CL Protease Inhibitor</w:t>
      </w:r>
    </w:p>
    <w:p>
      <w:pPr>
        <w:spacing w:after="0" w:line="9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We leveraged our expertise in developing protease inhibitors to discover compounds specifically designed to target the SARS -CoV-2 virus and potentially other coronaviruses. We selected EDP-235, an oral inhibitor of the coronavirus 3CL protease,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 In May 2023, we reported topline results from a Phase 2 clinical trial of EDP-235 in non-hospitalized, symptomatic patients with mild to moderate COVID-19 who were not at increased risk for developing severe disease. EDP-235 met the primary endpoint of the trial and was generally safe and well-tolerated. A dose-dependent improvement in total symptom score was observed with EDP -235 treatment compared to placebo, which achieved statistical significance (p&lt;0.05) in the 400 mg treatment group at multiple time points, starting as early as one day after the first dose. An analysis of a subset of six symptoms showed a two- day shorter time (5 days to 3 days) to improvement in patients receiving EDP -235 400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 We will continue to focus on potential collaborations to progress EDP-235, as we will not advance this candidate into Phase 3 studies on our own.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HBV Program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 and Overview of HBV</w:t>
      </w:r>
    </w:p>
    <w:p>
      <w:pPr>
        <w:spacing w:after="0" w:line="9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Hepatitis B virus, or HBV, is a potentially life-threatening liver infection. It is estimated that close to 300 million people worldwide are chronically infected, and 15-40% of patients with chronic HBV infection develop chronic liver disease, including cirrhosis, liver cancer, or liver decompensation. HBV is a leading cause of chronic liver disease and liver transplantation.</w:t>
      </w:r>
    </w:p>
    <w:p>
      <w:pPr>
        <w:spacing w:after="0" w:line="68"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4"/>
          <w:szCs w:val="14"/>
          <w:color w:val="auto"/>
        </w:rPr>
        <w:t>Current approaches to treatment include interferon therapy and/or inhibitors of HBV nucleoside reverse transcriptase, which suppress the virus but require lifelong therapy and rarely result in full eradication of the virus from the liver. Treatment with interferon offers modest cure rates, and is accompanied by serious side effects, including flu-like symptoms, fatigue, headache and nausea. New treatments that can provide functional cures to chronically-infected patients are urgently needed.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Scientific Background</w:t>
      </w:r>
    </w:p>
    <w:p>
      <w:pPr>
        <w:spacing w:after="0" w:line="9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HBV is a partially double-stranded DNA virus with a complex life cycle. There are multiple mechanisms associated with HBV replication that could potentially be targeted with new drugs. Mechanisms under study for HBV include entry inhibitors, core inhibitors or capsid assembly modulators (CAMs), siRNA/ASO targeting the HBV S antigen, and immune modulators (e.g., TLRs, PD-L1s, therapeutic vaccines, etc.). These new HBV mechanisms are being studied with nucleoside inhibitors and in combination with each other, with the goal of achieving a functional cure for a significant number of HBV patients.</w:t>
      </w:r>
    </w:p>
    <w:p>
      <w:pPr>
        <w:spacing w:after="0" w:line="7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We believe that HBV, like HIV and HCV, will be optimally treated with multiple agents that have different mechanisms, and therefore seek to develop a combination regimen. We initially focused on inhibitors of the HBV core protein, as it plays a critical role in viral replication, intracellular trafficking, and maintenance of chronic infections. Core inhibitors are replication inhibitors that have been shown to act at multiple steps in the HBV lifecycle; preventing proper uncoating, nuclear import, assembly, and recycling as well as potentially impacting other viral processes. This approach is supported by clinical validation, demonstrating reduction of viral RNA and DNA in chronic HBV patients in Phase 2 clinical studies.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Competitive Landscape</w:t>
      </w:r>
    </w:p>
    <w:p>
      <w:pPr>
        <w:spacing w:after="0" w:line="12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EDP-514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Our lead clinical candidate for the treatment of chronic infection with HBV is EDP-514, a core inhibitor that displays potent anti-HBV activity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at multiple points in the HBV lifecycle. Two Phase 1b studies of EDP-514 demonstrate the compound is safe with strong antiviral activity in two different chronic HBV patient populations – those who have a high viral load and those who are on a treatment with a nucleoside reverse transcriptase inhibitor. Our goal has been to develop a combination therapy approach, including existing approved treatments such as a nucleoside reverse transcriptase inhibitor, or NUC, with EDP-514 and one or more other mechanisms, which could lead to a functional cure for patients with chronic HBV infection. Advancement of this program is dependent upon our accessing another compound that could be developed with EDP-514 for such a treatment regimen.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Drug Discovery</w:t>
      </w:r>
    </w:p>
    <w:p>
      <w:pPr>
        <w:spacing w:after="0" w:line="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We have internally discovered all of the compounds in our research and development programs. Our scientists have expertise in the areas of medicinal chemistry, molecular virology, pharmacology, and toxicology with highly developed sets of skills in compound generation, target selection, screening and pharmacology, preclinical development and lead optimization. We are utilizing these skills and capabilities in our discovery and development of small molecule drugs with an emphasis on virology and immunology indications.</w:t>
      </w:r>
    </w:p>
    <w:p>
      <w:pPr>
        <w:spacing w:after="0" w:line="9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 xml:space="preserve">We focus on virology and immunology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 activity relationships to assist lead optimization and secure relevant intellectual property rights. Once we have identified lead compounds, they are tested using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pharmacology studies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research models of antiviral or antibacterial efficacy.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Development</w:t>
      </w:r>
    </w:p>
    <w:p>
      <w:pPr>
        <w:spacing w:after="0" w:line="94"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We also regularly examine opportunities to in-license compounds and technologies to complement our existing internal discovery programs. In addition, we engage in discussions with third parties to out-license intellectual property that no longer fits in our strategic priorities for our internal research and development programs. For example, in December 2022 we out-licensed one of our antibiotic compounds in exchange for a $1.0 million up-front fee and future milestone payments and royalties.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RSV, SARS-CoV-2, HBV, CSU, AD and other virology and immunology indications that we may target now or in the future.</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•design and develop products that are superior to other products in the market;</w:t>
      </w:r>
    </w:p>
    <w:p>
      <w:pPr>
        <w:spacing w:after="0" w:line="92" w:lineRule="exact"/>
        <w:rPr>
          <w:sz w:val="20"/>
          <w:szCs w:val="20"/>
          <w:color w:val="auto"/>
        </w:rPr>
      </w:pPr>
    </w:p>
    <w:p>
      <w:pPr>
        <w:ind w:left="480" w:right="4120"/>
        <w:spacing w:after="0" w:line="360" w:lineRule="auto"/>
        <w:rPr>
          <w:sz w:val="20"/>
          <w:szCs w:val="20"/>
          <w:color w:val="auto"/>
        </w:rPr>
      </w:pPr>
      <w:r>
        <w:rPr>
          <w:rFonts w:ascii="Times New Roman" w:cs="Times New Roman" w:eastAsia="Times New Roman" w:hAnsi="Times New Roman"/>
          <w:sz w:val="16"/>
          <w:szCs w:val="16"/>
          <w:color w:val="auto"/>
        </w:rPr>
        <w:t>•attract qualified scientific, medical, regulatory, sales and marketing and commercial personnel; •obtain patent and/or other proprietary protection for our processes and product candidates; •obtain required regulatory approvals; or</w:t>
      </w:r>
    </w:p>
    <w:p>
      <w:pPr>
        <w:ind w:left="480"/>
        <w:spacing w:after="0"/>
        <w:rPr>
          <w:sz w:val="20"/>
          <w:szCs w:val="20"/>
          <w:color w:val="auto"/>
        </w:rPr>
      </w:pPr>
      <w:r>
        <w:rPr>
          <w:rFonts w:ascii="Times New Roman" w:cs="Times New Roman" w:eastAsia="Times New Roman" w:hAnsi="Times New Roman"/>
          <w:sz w:val="16"/>
          <w:szCs w:val="16"/>
          <w:color w:val="auto"/>
        </w:rPr>
        <w:t>•collaborate with others in the development and commercialization of new products.</w:t>
      </w:r>
    </w:p>
    <w:p>
      <w:pPr>
        <w:spacing w:after="0" w:line="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to overcome competition and to be commercially successful.</w:t>
      </w:r>
    </w:p>
    <w:p>
      <w:pPr>
        <w:spacing w:after="0" w:line="6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We expect AbbVie’s MAVYRET/MAVIRET to continue to face intense competition due to existing approved products in the HCV market. AbbVie’s MAVYRET/MAVIRET regimen currently faces competition in various world markets and subpopulations of HCV from Gilead’s Epclusa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(a fixed dose combination of sofosbuvir and velpatasvir), Vosevi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(a triple combination therapy of sofosbuvir, velpatasvir and voxilaprevir approved by the FDA for specified sofosbuvir -treatment</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7" w:right="660" w:bottom="1440" w:gutter="0" w:footer="0" w:header="0"/>
        </w:sectPr>
      </w:pPr>
    </w:p>
    <w:bookmarkStart w:id="22" w:name="page23"/>
    <w:bookmarkEnd w:id="22"/>
    <w:p>
      <w:pPr>
        <w:spacing w:after="0" w:line="90" w:lineRule="exact"/>
        <w:rPr>
          <w:sz w:val="20"/>
          <w:szCs w:val="20"/>
          <w:color w:val="auto"/>
        </w:rPr>
      </w:pPr>
    </w:p>
    <w:p>
      <w:pPr>
        <w:ind w:right="160"/>
        <w:spacing w:after="0" w:line="228" w:lineRule="auto"/>
        <w:rPr>
          <w:sz w:val="20"/>
          <w:szCs w:val="20"/>
          <w:color w:val="auto"/>
        </w:rPr>
      </w:pPr>
      <w:r>
        <w:rPr>
          <w:rFonts w:ascii="Times New Roman" w:cs="Times New Roman" w:eastAsia="Times New Roman" w:hAnsi="Times New Roman"/>
          <w:sz w:val="16"/>
          <w:szCs w:val="16"/>
          <w:color w:val="auto"/>
        </w:rPr>
        <w:t>failures and NS5A-inhibitor treatment failures) and Harvoni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 fixed -dose combination of sofosbuvir and ledipasvir); and to a lesser extent - Merck’s Zepatier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 fixed- 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74"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6"/>
          <w:szCs w:val="16"/>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 -by-country basis. If AbbVie is not able to compete effectively against its competitors in HCV, our business will not grow and our financial condition, operations and stock price will suffer.</w:t>
      </w:r>
    </w:p>
    <w:p>
      <w:pPr>
        <w:spacing w:after="0" w:line="16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RSV, COVID-19, HBV, CSU, and AD represent competitive therapeutic areas. For RSV, there are currently no safe and effective therapies for already established RSV infection. Several companies are seeking to develop antiviral treatments for RSV infection in adult and pediatric patients. Ark Biosciences and Shionogi have compounds in clinical development. There are several prophylaxis options on the market or in development. Long-acting monoclonal antibodies from AstraZeneca/Sanofi</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5"/>
          <w:szCs w:val="15"/>
          <w:color w:val="auto"/>
        </w:rPr>
        <w:t>(BEYFORTUS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and Merck (ENFLONSIA™) are approved for prophylaxis use in infants, and Pfizer has an approved maternal vaccine (ABRYSVO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all of which provide passive immunity to infants. Sanofi is also evaluating a vaccine in infants and toddlers (RSVt vaccine – Phase 3). There are also two approved RSV vaccines for</w:t>
      </w:r>
    </w:p>
    <w:p>
      <w:pPr>
        <w:ind w:right="80"/>
        <w:spacing w:after="0" w:line="237" w:lineRule="auto"/>
        <w:rPr>
          <w:sz w:val="20"/>
          <w:szCs w:val="20"/>
          <w:color w:val="auto"/>
        </w:rPr>
      </w:pPr>
      <w:r>
        <w:rPr>
          <w:rFonts w:ascii="Times New Roman" w:cs="Times New Roman" w:eastAsia="Times New Roman" w:hAnsi="Times New Roman"/>
          <w:sz w:val="16"/>
          <w:szCs w:val="16"/>
          <w:color w:val="auto"/>
        </w:rPr>
        <w:t>high-risk adults age 18 – 59 years and for all adults age 60 years and above (Pfizer/ABRYSVO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Moderna/mRESVIA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a third RSV vaccine has been approved for high-risk adults age 50-59 years and for all adults age 60 years and above (GSK/AREXVY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p>
    <w:p>
      <w:pPr>
        <w:spacing w:after="0" w:line="88"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6"/>
          <w:szCs w:val="16"/>
          <w:color w:val="auto"/>
        </w:rPr>
        <w:t>In the United States, there are two oral antiviral treatments for non-hospitalized, high-risk patients with SARS-CoV-2 infection: PAXLOVID™, a 3CL protease inhibitor (nirmatrelvir) boosted with ritonavir (full approval), and LAGEVRIO™ (molnupiravir), a polymerase inhibitor (Emergency Use Authorization). The most advanced direct acting oral antiviral for the treatment of high-risk patients with SARS-CoV-2 is in Phase 3 studies (ibuzatrelvir).</w:t>
      </w:r>
    </w:p>
    <w:p>
      <w:pPr>
        <w:spacing w:after="0" w:line="15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spacing w:after="0" w:line="15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For CSU, there are a number of different mechanisms being explored, including inhibitors of IL-4R, IgE, BTK, and MRGPRX2. Specifically for KIT inhibitors, there are companies with antibodies in development, including Celldex (barzolvolimab - Phase 3) and Jasper (briquilimab - Phase 1b/2a), as well as companies with oral, small molecules in early Phase 1 development (Sanofi).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 the moderate-severe AD treatment landscape is dominated by biologics targeting the IL-4 and/or IL-13 pathway (e.g., DUPIXENT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(dupilumab),</w:t>
      </w:r>
    </w:p>
    <w:p>
      <w:pPr>
        <w:ind w:right="180"/>
        <w:spacing w:after="0" w:line="238" w:lineRule="auto"/>
        <w:rPr>
          <w:sz w:val="20"/>
          <w:szCs w:val="20"/>
          <w:color w:val="auto"/>
        </w:rPr>
      </w:pPr>
      <w:r>
        <w:rPr>
          <w:rFonts w:ascii="Times New Roman" w:cs="Times New Roman" w:eastAsia="Times New Roman" w:hAnsi="Times New Roman"/>
          <w:sz w:val="15"/>
          <w:szCs w:val="15"/>
          <w:color w:val="auto"/>
        </w:rPr>
        <w:t>ADBRY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(tralokinumab-ldrm), and EBGLYSS (lebrikizumab-lbkz)), with JAK inhibitors (e.g., RINVOQ</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(upadacitinib) and CIBINQO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(abrocitinib)) as the only oral option. Multiple oral mechanisms are in development, including modulators of MRGPRX2, IRAK4, ITK, STAT6, RASP and PKM2. The latest stage oral assets being evaluated in moderate-severe AD patients are in Phase 2b (Evommune MRGPRX2) and Phase 1 (Corvus ITK; Kymera STAT6). For STAT6 inhibitors specifically, there are several companies with oral assets in preclinical development (Sanofi/Recludix, J&amp;J/Kaken, Gilead/LEO, DeepCure and JW Pharma).</w:t>
      </w:r>
    </w:p>
    <w:p>
      <w:pPr>
        <w:spacing w:after="0" w:line="158"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If we are not able to develop new products that can compete effectively against our current and future competitors, our business will not grow and our financial condition, operations and stock price will suffer.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94"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 how, technological innovations and agreements with third parties to develop, maintain and protect our competitive position. Our ability to be competitive will depend on the success of this strategy.</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 w:name="page24"/>
    <w:bookmarkEnd w:id="23"/>
    <w:p>
      <w:pPr>
        <w:spacing w:after="0" w:line="7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Each of our major research and development programs for RSV as well as our out-licensed products for HCV and our SARS-CoV-2 and HBV assets, typically has several pending patent claims and issued patents in the program area containing claims to compounds, methods of use and processes for synthesis. However, only a few of the issued patents and/or pending patent applications cover the lead product candidates in a given program. We also have patent applications pending for earlier stage immunology programs.</w:t>
      </w:r>
    </w:p>
    <w:p>
      <w:pPr>
        <w:spacing w:after="0" w:line="6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RSV, SARS-CoV-2, HBV. </w:t>
      </w:r>
      <w:r>
        <w:rPr>
          <w:rFonts w:ascii="Times New Roman" w:cs="Times New Roman" w:eastAsia="Times New Roman" w:hAnsi="Times New Roman"/>
          <w:sz w:val="16"/>
          <w:szCs w:val="16"/>
          <w:color w:val="auto"/>
        </w:rPr>
        <w:t>Our patent portfolio directed to N-and L-protein inhibitors for RSV, protease inhibitors for SARS-CoV-2 and core inhibitors for HBV,</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includes issued U.S. patents or pending U.S. patent applications, or both, as well as numerous foreign patent applications. We expect that our existing patents and patent applications (assuming patents are ultimately issued), will provide patent coverage in the U.S., if and when a compound is approved by the FDA, until at least 2038 for each of our compounds currently in clinical development.</w:t>
      </w:r>
    </w:p>
    <w:p>
      <w:pPr>
        <w:spacing w:after="0" w:line="68"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HCV NS3 Protease Inhibitor Program. </w:t>
      </w:r>
      <w:r>
        <w:rPr>
          <w:rFonts w:ascii="Times New Roman" w:cs="Times New Roman" w:eastAsia="Times New Roman" w:hAnsi="Times New Roman"/>
          <w:sz w:val="16"/>
          <w:szCs w:val="16"/>
          <w:color w:val="auto"/>
        </w:rPr>
        <w:t>The patent portfolio directed to the HCV protease inhibitor program with AbbVie includes U.S. patents and foreign patents,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well as pending applications. The issued U.S. composition-of-matter patent covering paritaprevir is expected to expire in 2031. The issued U.S. composition-of-matter patent covering glecaprevir is expected to expire in 2032. AbbVie is a joint owner of a number of patents and patent applications. AbbVie also has rights to some or all of these patents and patent applications pursuant to its collaboration agreement with us.</w:t>
      </w:r>
    </w:p>
    <w:p>
      <w:pPr>
        <w:spacing w:after="0" w:line="7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and other countries, compensating in part for delays in obtaining marketing approval, but we cannot be certain we will obtain such extensions.</w:t>
      </w:r>
    </w:p>
    <w:p>
      <w:pPr>
        <w:spacing w:after="0" w:line="7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73"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7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7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Factors—Risks Related to Our Intellectual Property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United States Drug Development Process</w:t>
      </w:r>
    </w:p>
    <w:p>
      <w:pPr>
        <w:spacing w:after="0" w:line="9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4" w:name="page25"/>
    <w:bookmarkEnd w:id="24"/>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requirements at any time during the product development process, approval process or after approval, may subject an applicant to administrative or judicial sanctions. FDA and other governmental sanctions could include refusal to approve pending applications, withdrawal of an approval, a clinical hold, enforcement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process required by the FDA before a drug may be marketed in the United States generally involves the following:</w:t>
      </w:r>
    </w:p>
    <w:p>
      <w:pPr>
        <w:spacing w:after="0" w:line="92" w:lineRule="exact"/>
        <w:rPr>
          <w:sz w:val="20"/>
          <w:szCs w:val="20"/>
          <w:color w:val="auto"/>
        </w:rPr>
      </w:pPr>
    </w:p>
    <w:p>
      <w:pPr>
        <w:ind w:left="480" w:right="620"/>
        <w:spacing w:after="0" w:line="259" w:lineRule="auto"/>
        <w:rPr>
          <w:sz w:val="20"/>
          <w:szCs w:val="20"/>
          <w:color w:val="auto"/>
        </w:rPr>
      </w:pPr>
      <w:r>
        <w:rPr>
          <w:rFonts w:ascii="Times New Roman" w:cs="Times New Roman" w:eastAsia="Times New Roman" w:hAnsi="Times New Roman"/>
          <w:sz w:val="16"/>
          <w:szCs w:val="16"/>
          <w:color w:val="auto"/>
        </w:rPr>
        <w:t>•Completion of preclinical laboratory tests, animal studies and formulation studies according to Good Laboratory Practice, or GLPs, or other applicable regulations;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•Submission to the FDA of an Investigational New Drug Application, or an IND, which must become effective before human clinical trials may begin;</w:t>
      </w:r>
    </w:p>
    <w:p>
      <w:pPr>
        <w:spacing w:after="0" w:line="92"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6"/>
          <w:szCs w:val="16"/>
          <w:color w:val="auto"/>
        </w:rPr>
        <w:t>•Performance of adequate and well-controlled human clinical trials according to the FDA’s current Good Clinical Practice, or GCPs, to establish the safety and efficacy of the proposed drug for its intended use;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•Submission to the FDA of a New Drug Application, or an NDA, for a new drug product;</w:t>
      </w:r>
    </w:p>
    <w:p>
      <w:pPr>
        <w:spacing w:after="0" w:line="9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6"/>
          <w:szCs w:val="16"/>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68" w:lineRule="exact"/>
        <w:rPr>
          <w:sz w:val="20"/>
          <w:szCs w:val="20"/>
          <w:color w:val="auto"/>
        </w:rPr>
      </w:pPr>
    </w:p>
    <w:p>
      <w:pPr>
        <w:ind w:left="480" w:right="3080"/>
        <w:spacing w:after="0" w:line="360" w:lineRule="auto"/>
        <w:rPr>
          <w:sz w:val="20"/>
          <w:szCs w:val="20"/>
          <w:color w:val="auto"/>
        </w:rPr>
      </w:pPr>
      <w:r>
        <w:rPr>
          <w:rFonts w:ascii="Times New Roman" w:cs="Times New Roman" w:eastAsia="Times New Roman" w:hAnsi="Times New Roman"/>
          <w:sz w:val="16"/>
          <w:szCs w:val="16"/>
          <w:color w:val="auto"/>
        </w:rPr>
        <w:t>•Potential FDA audit of the nonclinical and clinical trial sites that generated the data in support of the NDA; and •FDA review and approval of the NDA.</w:t>
      </w:r>
    </w:p>
    <w:p>
      <w:pPr>
        <w:ind w:right="340"/>
        <w:spacing w:after="0" w:line="247" w:lineRule="auto"/>
        <w:rPr>
          <w:sz w:val="20"/>
          <w:szCs w:val="20"/>
          <w:color w:val="auto"/>
        </w:rPr>
      </w:pPr>
      <w:r>
        <w:rPr>
          <w:rFonts w:ascii="Times New Roman" w:cs="Times New Roman" w:eastAsia="Times New Roman" w:hAnsi="Times New Roman"/>
          <w:sz w:val="16"/>
          <w:szCs w:val="16"/>
          <w:color w:val="auto"/>
        </w:rPr>
        <w:t>The lengthy process of seeking required approvals, which can often take anywhere from six months from the time the NDA is filed if there is a priority review for a breakthrough therapy to at least ten months for a standard review, and the continuing need for compliance with applicable statutes and regulations, require the expenditure of substantial resources. There can be no certainty that approvals will be granted.</w:t>
      </w:r>
    </w:p>
    <w:p>
      <w:pPr>
        <w:spacing w:after="0" w:line="6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7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Human clinical trials prior to approval are typically conducted in three sequential phases that may overlap or be combined:</w:t>
      </w:r>
    </w:p>
    <w:p>
      <w:pPr>
        <w:spacing w:after="0" w:line="90" w:lineRule="exact"/>
        <w:rPr>
          <w:sz w:val="20"/>
          <w:szCs w:val="20"/>
          <w:color w:val="auto"/>
        </w:rPr>
      </w:pPr>
    </w:p>
    <w:p>
      <w:pPr>
        <w:ind w:left="480" w:right="1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Phase 1</w:t>
      </w:r>
      <w:r>
        <w:rPr>
          <w:rFonts w:ascii="Times New Roman" w:cs="Times New Roman" w:eastAsia="Times New Roman" w:hAnsi="Times New Roman"/>
          <w:sz w:val="16"/>
          <w:szCs w:val="16"/>
          <w:color w:val="auto"/>
        </w:rPr>
        <w:t>. The drug is initially introduced into healthy humans and tested for safety, dosage tolerance, absorption, metabolism, distribution and excretion. In the case of some products for severe or life-threatening diseases,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 w:name="page26"/>
    <w:bookmarkEnd w:id="25"/>
    <w:p>
      <w:pPr>
        <w:spacing w:after="0" w:line="77"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especially when the product may be too inherently toxic to ethically administer to healthy volunteers, the initial human testing is often conducted only in patients having the specific disease.</w:t>
      </w:r>
    </w:p>
    <w:p>
      <w:pPr>
        <w:spacing w:after="0" w:line="57" w:lineRule="exact"/>
        <w:rPr>
          <w:sz w:val="20"/>
          <w:szCs w:val="20"/>
          <w:color w:val="auto"/>
        </w:rPr>
      </w:pPr>
    </w:p>
    <w:p>
      <w:pPr>
        <w:ind w:left="480" w:right="220"/>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Phase 2</w:t>
      </w:r>
      <w:r>
        <w:rPr>
          <w:rFonts w:ascii="Times New Roman" w:cs="Times New Roman" w:eastAsia="Times New Roman" w:hAnsi="Times New Roman"/>
          <w:sz w:val="14"/>
          <w:szCs w:val="14"/>
          <w:color w:val="auto"/>
        </w:rPr>
        <w:t>. The drug is evaluated in a limited patient population to identify possible adverse effects and safety risks, to preliminarily evaluate the efficacy of the product for specific targeted diseases and to determine dosage tolerance, optimal dosage and dosing schedule for patients having the specific disease.</w:t>
      </w:r>
    </w:p>
    <w:p>
      <w:pPr>
        <w:spacing w:after="0" w:line="8" w:lineRule="exact"/>
        <w:rPr>
          <w:sz w:val="20"/>
          <w:szCs w:val="20"/>
          <w:color w:val="auto"/>
        </w:rPr>
      </w:pPr>
    </w:p>
    <w:p>
      <w:pPr>
        <w:ind w:left="480" w:right="4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Phase 3</w:t>
      </w:r>
      <w:r>
        <w:rPr>
          <w:rFonts w:ascii="Times New Roman" w:cs="Times New Roman" w:eastAsia="Times New Roman" w:hAnsi="Times New Roman"/>
          <w:sz w:val="16"/>
          <w:szCs w:val="16"/>
          <w:color w:val="auto"/>
        </w:rPr>
        <w:t>. Clinical trials are undertaken to further evaluate dosage, clinical efficacy and safety in an expanded patient population at geographically 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70"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5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Review and Approval Processes</w:t>
      </w:r>
    </w:p>
    <w:p>
      <w:pPr>
        <w:spacing w:after="0" w:line="96"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4"/>
          <w:szCs w:val="14"/>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3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6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FDA reviews all NDAs submitted before it accepts them for filing and may request additional information rather than accepting an NDA for filing. Once the submission is accepted for filing, the FDA begins an in -depth review of the NDA. Under the goals and policies agreed to by the FDA under the Prescription Drug User Fee Act, or PDUFA, the FDA has ten months in which to complete its initial review of a standard NDA and respond to the applicant, and six months for a priority NDA. The review clock for an NDA may be extended if a major amendment is submitted during the review cycle. In addition, the FDA does not always meet its PDUFA goal dates for standard and priority NDAs.</w:t>
      </w:r>
    </w:p>
    <w:p>
      <w:pPr>
        <w:spacing w:after="0" w:line="7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4"/>
          <w:szCs w:val="14"/>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6" w:name="page27"/>
    <w:bookmarkEnd w:id="26"/>
    <w:p>
      <w:pPr>
        <w:spacing w:after="0" w:line="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of the drug. If the FDA concludes that a REMS is needed, the sponsor of the NDA must submit a proposed REMS; the FDA will not approve the NDA without a REMS, if required.</w:t>
      </w:r>
    </w:p>
    <w:p>
      <w:pPr>
        <w:spacing w:after="0" w:line="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7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77"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6"/>
          <w:szCs w:val="16"/>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w:t>
      </w:r>
    </w:p>
    <w:p>
      <w:pPr>
        <w:spacing w:after="0" w:line="96"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The FDA has four established programs and one pilot program intended to expedite the development and review of new drugs addressing unmet medical needs or treating serious or life-threatening conditions, or drugs that align with U.S. national health priorities: fast track, breakthrough therapy, priority review, and accelerated approval, and the Commissioner’s National Priority Voucher (CNPV) Pilot Program, in addition to emergency use authorization, or EUA, in situations such as the COVID-19 pandemic.</w:t>
      </w:r>
    </w:p>
    <w:p>
      <w:pPr>
        <w:spacing w:after="0" w:line="71"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4"/>
          <w:szCs w:val="14"/>
          <w:color w:val="auto"/>
        </w:rPr>
        <w:t>The FDA “fast track” program is intended to expedite or facilitate the process for reviewing new products to treat serious or life -threatening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4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 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77"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6"/>
          <w:szCs w:val="16"/>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6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7" w:name="page28"/>
    <w:bookmarkEnd w:id="27"/>
    <w:p>
      <w:pPr>
        <w:spacing w:after="0" w:line="7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5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“CNPV Pilot Program” uses a collaborative review process to accelerate approvals for companies aligned with critical U.S. national health priorities (e.g., addressing a U.S. public health crisis, delivering more innovative cures for the American people, addressing a large unmet medical need, onshoring drug development and manufacturing to advance the health interests of Americans and strengthen U.S. supply chain resiliency, increasing affordability). Companies selected for the program are issued a voucher entitling the company to benefits including enhanced communications and rolling review to allow for a shortened review time, from 10-12 months to 1-2 months.</w:t>
      </w:r>
    </w:p>
    <w:p>
      <w:pPr>
        <w:spacing w:after="0" w:line="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FDA may also allow the use of unapproved medical products, or unapproved uses of approved medical products, under an emergency use authorization, or EUA, to diagnose, treat, or prevent serious or life-threatening diseases or conditions when certain statutory criteria have been met, including that there are no adequate, approved, and available alternatives. An EUA is a mechanism to facilitate the availability and use of medical countermeasures during public health emergencies, such as the COVID-19 pandemic. Once submitted, the FDA will evaluate an EUA request and determine whether the relevant statutory criteria are met, taking into account the totality of the scientific evidence about the drug that is available to FDA. EUAs can be terminated, revoked or reissued, depending on the state of the public health emergency and new data about the drug.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w:t>
      </w:r>
    </w:p>
    <w:p>
      <w:pPr>
        <w:spacing w:after="0" w:line="9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drug supply chain requirements, product sampling and distribution requirements, complying with certain electronic records and signature requirements and complying with FDA prescription drug promotion and advertising requirements. These promotion and advertising requirements include, among others, standards for direct -to-consumer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7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76"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Patent Term Restoration and Marketing Exclusivity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Drug Price Competition and Patent Term Restoration Act of 1984</w:t>
      </w:r>
    </w:p>
    <w:p>
      <w:pPr>
        <w:spacing w:after="0" w:line="9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 w:name="page29"/>
    <w:bookmarkEnd w:id="28"/>
    <w:p>
      <w:pPr>
        <w:spacing w:after="0" w:line="7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Federal Food, Drug and Cosmetic Act, or FDCA</w:t>
      </w:r>
    </w:p>
    <w:p>
      <w:pPr>
        <w:spacing w:after="0" w:line="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 -called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 - 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U.S. Healthcare Laws and Compliance Requirements</w:t>
      </w:r>
    </w:p>
    <w:p>
      <w:pPr>
        <w:spacing w:after="0" w:line="180"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In the United States, our activities are potentially subject to regulation by various federal, state and local authorities in addition to the FDA, including the Centers for Medicare &amp; Medicaid Services (formerly the Health Care Financing Administration), other divisions of the United States Department of Health and Human Services (e.g., the Office of Inspector General), the United States Department of Justice and individual United States Attorney offices within the Department of Justice, state attorney generals and state and local governments.</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At such time as we market, sell and distribute any products for which we obtain marketing approval, it is possible that our business activities could be subject to scrutiny and enforcement under one or more federal or state health care fraud and abuse laws and regulations. These fraud and abuse laws include:</w:t>
      </w:r>
    </w:p>
    <w:p>
      <w:pPr>
        <w:spacing w:after="0" w:line="59"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•The federal Anti-Kickback Statute,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 care programs such as Medicare and Medicaid;</w:t>
      </w:r>
    </w:p>
    <w:p>
      <w:pPr>
        <w:spacing w:after="0" w:line="68" w:lineRule="exact"/>
        <w:rPr>
          <w:sz w:val="20"/>
          <w:szCs w:val="20"/>
          <w:color w:val="auto"/>
        </w:rPr>
      </w:pPr>
    </w:p>
    <w:p>
      <w:pPr>
        <w:ind w:left="480" w:right="20"/>
        <w:spacing w:after="0" w:line="243" w:lineRule="auto"/>
        <w:rPr>
          <w:sz w:val="20"/>
          <w:szCs w:val="20"/>
          <w:color w:val="auto"/>
        </w:rPr>
      </w:pPr>
      <w:r>
        <w:rPr>
          <w:rFonts w:ascii="Times New Roman" w:cs="Times New Roman" w:eastAsia="Times New Roman" w:hAnsi="Times New Roman"/>
          <w:sz w:val="16"/>
          <w:szCs w:val="16"/>
          <w:color w:val="auto"/>
        </w:rPr>
        <w:t>•The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w:t>
      </w:r>
    </w:p>
    <w:p>
      <w:pPr>
        <w:spacing w:after="0" w:line="71" w:lineRule="exact"/>
        <w:rPr>
          <w:sz w:val="20"/>
          <w:szCs w:val="20"/>
          <w:color w:val="auto"/>
        </w:rPr>
      </w:pPr>
    </w:p>
    <w:p>
      <w:pPr>
        <w:ind w:left="480" w:right="160"/>
        <w:spacing w:after="0" w:line="247" w:lineRule="auto"/>
        <w:rPr>
          <w:sz w:val="20"/>
          <w:szCs w:val="20"/>
          <w:color w:val="auto"/>
        </w:rPr>
      </w:pPr>
      <w:r>
        <w:rPr>
          <w:rFonts w:ascii="Times New Roman" w:cs="Times New Roman" w:eastAsia="Times New Roman" w:hAnsi="Times New Roman"/>
          <w:sz w:val="16"/>
          <w:szCs w:val="16"/>
          <w:color w:val="auto"/>
        </w:rPr>
        <w:t>•The federal Health Insurance Portability and Accountability Act of 1996, or HIPAA, which imposes criminal liability for knowingly and willfully executing a scheme to defraud any healthcare benefit program, knowingly and willfully embezzling or stealing from a health care benefit program, willfully obstructing a criminal</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 w:name="page30"/>
    <w:bookmarkEnd w:id="29"/>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investigation of a health care offense, or knowingly and willfully making false statements relating to healthcare matters;</w:t>
      </w:r>
    </w:p>
    <w:p>
      <w:pPr>
        <w:spacing w:after="0" w:line="92" w:lineRule="exact"/>
        <w:rPr>
          <w:sz w:val="20"/>
          <w:szCs w:val="20"/>
          <w:color w:val="auto"/>
        </w:rPr>
      </w:pPr>
    </w:p>
    <w:p>
      <w:pPr>
        <w:ind w:left="480" w:right="40"/>
        <w:spacing w:after="0" w:line="247" w:lineRule="auto"/>
        <w:rPr>
          <w:sz w:val="20"/>
          <w:szCs w:val="20"/>
          <w:color w:val="auto"/>
        </w:rPr>
      </w:pPr>
      <w:r>
        <w:rPr>
          <w:rFonts w:ascii="Times New Roman" w:cs="Times New Roman" w:eastAsia="Times New Roman" w:hAnsi="Times New Roman"/>
          <w:sz w:val="16"/>
          <w:szCs w:val="16"/>
          <w:color w:val="auto"/>
        </w:rPr>
        <w:t>•The federal Physician Payment Sunshine Act, being implemented as the Open Payments Program, requires certain pharmaceutical manufacturers to engage in extensive tracking of payments and other transfers of value to physicians and teaching hospitals, and to submit such data to the Centers for Medicare &amp; Medicaid Studies, or CMS, which will then make all of this data publicly available on the CMS website; and</w:t>
      </w:r>
    </w:p>
    <w:p>
      <w:pPr>
        <w:spacing w:after="0" w:line="68" w:lineRule="exact"/>
        <w:rPr>
          <w:sz w:val="20"/>
          <w:szCs w:val="20"/>
          <w:color w:val="auto"/>
        </w:rPr>
      </w:pPr>
    </w:p>
    <w:p>
      <w:pPr>
        <w:ind w:left="480" w:right="60"/>
        <w:spacing w:after="0" w:line="243" w:lineRule="auto"/>
        <w:rPr>
          <w:sz w:val="20"/>
          <w:szCs w:val="20"/>
          <w:color w:val="auto"/>
        </w:rPr>
      </w:pPr>
      <w:r>
        <w:rPr>
          <w:rFonts w:ascii="Times New Roman" w:cs="Times New Roman" w:eastAsia="Times New Roman" w:hAnsi="Times New Roman"/>
          <w:sz w:val="16"/>
          <w:szCs w:val="16"/>
          <w:color w:val="auto"/>
        </w:rPr>
        <w:t>•Analogous state laws and regulations, including state anti-kickback and false claims laws, which may apply to items or services reimbursed under Medicaid and other state programs or, in several states, apply regardless of the payer, as well as other state laws that require pharmaceutical companies to report expenses related to the marketing and promotion of pharmaceutical products, prohibit certain gifts or payments to health care providers in the state, and/or require pharmaceutical companies to implement compliance programs or marketing codes of conduct.</w:t>
      </w:r>
    </w:p>
    <w:p>
      <w:pPr>
        <w:spacing w:after="0" w:line="1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Violations of fraud and abuse laws may be punishable by significant criminal and/or civil sanctions, including fines and civil monetary penalties, the possibility of exclusion from federal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 If the government was to allege or convict us or our executive officers, employees or consultants of violating these laws, our business could be harmed. In addition, private individuals have the ability to bring similar actions under some of the fraud and abuse laws described above. Our activities could be subject to challenge for the reasons discussed above and due to the broad scope of these laws and extensive enforcement of them by law enforcement authorities. Further, federal and state laws that require manufacturers to make reports on pricing and marketing information could subject us to penalty provisions.</w:t>
      </w:r>
    </w:p>
    <w:p>
      <w:pPr>
        <w:spacing w:after="0" w:line="7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 addition,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7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Europe / Rest of World Government Regulation</w:t>
      </w:r>
    </w:p>
    <w:p>
      <w:pPr>
        <w:spacing w:after="0" w:line="9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59" w:lineRule="exact"/>
        <w:rPr>
          <w:sz w:val="20"/>
          <w:szCs w:val="20"/>
          <w:color w:val="auto"/>
        </w:rPr>
      </w:pPr>
    </w:p>
    <w:p>
      <w:pPr>
        <w:ind w:right="1000"/>
        <w:spacing w:after="0" w:line="259" w:lineRule="auto"/>
        <w:rPr>
          <w:sz w:val="20"/>
          <w:szCs w:val="20"/>
          <w:color w:val="auto"/>
        </w:rPr>
      </w:pPr>
      <w:r>
        <w:rPr>
          <w:rFonts w:ascii="Times New Roman" w:cs="Times New Roman" w:eastAsia="Times New Roman" w:hAnsi="Times New Roman"/>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7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7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Pharmaceutical Coverage, Pricing and Reimbursement</w:t>
      </w:r>
    </w:p>
    <w:p>
      <w:pPr>
        <w:spacing w:after="0" w:line="9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 -party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 -party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In recent years, both the Federal and State governments are increasingly considering and adopting laws that exert greater influence over the price of prescription drugs. For example, a number of states are increasingly using more aggressive price control tools such as Prescription Drug Affordability Boards that have the authority to conduct affordability reviews and establish upper payment limits. The Inflation Reduction Act passed by Congress in 2022 (discussed below), authorized the Centers for Medicare &amp; Medicaid Services, or CMS, to begin negotiating the prices on certain drugs based on factors such as research &amp; developments costs and the health economic impact of a particular therapy. We may need to conduct expensive pharmaco-economic studies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 In certain circumstances, we may need to negotiate discounts on a drug product in order to ensure adequate formulary access for patients.</w:t>
      </w:r>
    </w:p>
    <w:p>
      <w:pPr>
        <w:spacing w:after="0" w:line="8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private prescription drug plans that contract with the federal government and adhere to certain minimum requirements.</w:t>
      </w:r>
    </w:p>
    <w:p>
      <w:pPr>
        <w:spacing w:after="0" w:line="71" w:lineRule="exact"/>
        <w:rPr>
          <w:sz w:val="20"/>
          <w:szCs w:val="20"/>
          <w:color w:val="auto"/>
        </w:rPr>
      </w:pPr>
    </w:p>
    <w:p>
      <w:pPr>
        <w:ind w:right="240"/>
        <w:spacing w:after="0" w:line="331" w:lineRule="auto"/>
        <w:rPr>
          <w:sz w:val="20"/>
          <w:szCs w:val="20"/>
          <w:color w:val="auto"/>
        </w:rPr>
      </w:pPr>
      <w:r>
        <w:rPr>
          <w:rFonts w:ascii="Times New Roman" w:cs="Times New Roman" w:eastAsia="Times New Roman" w:hAnsi="Times New Roman"/>
          <w:sz w:val="14"/>
          <w:szCs w:val="14"/>
          <w:color w:val="auto"/>
        </w:rPr>
        <w:t>The Patient Protection and Affordable Care Act, as amended by the Health Care and Education Reconciliation Act, collectively known as the Affordable Care Act, or ACA, substantially changed the way healthcare is financed by both governmental and private insurers, and significantly impacted the pharmaceutical industry.</w:t>
      </w:r>
    </w:p>
    <w:p>
      <w:pPr>
        <w:spacing w:after="0" w:line="1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Since its adoption, the ACA contains a number of provisions, including those governing enrollment in federal healthcare programs, reimbursement changes and fraud and abuse, which have affected existing government healthcare programs and</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1" w:name="page32"/>
    <w:bookmarkEnd w:id="31"/>
    <w:p>
      <w:pPr>
        <w:spacing w:after="0" w:line="77" w:lineRule="exact"/>
        <w:rPr>
          <w:sz w:val="20"/>
          <w:szCs w:val="20"/>
          <w:color w:val="auto"/>
        </w:rPr>
      </w:pPr>
    </w:p>
    <w:p>
      <w:pPr>
        <w:ind w:left="480" w:right="1780" w:hanging="467"/>
        <w:spacing w:after="0" w:line="360" w:lineRule="auto"/>
        <w:rPr>
          <w:sz w:val="20"/>
          <w:szCs w:val="20"/>
          <w:color w:val="auto"/>
        </w:rPr>
      </w:pPr>
      <w:r>
        <w:rPr>
          <w:rFonts w:ascii="Times New Roman" w:cs="Times New Roman" w:eastAsia="Times New Roman" w:hAnsi="Times New Roman"/>
          <w:sz w:val="16"/>
          <w:szCs w:val="16"/>
          <w:color w:val="auto"/>
        </w:rPr>
        <w:t>have resulted in the development of new programs, including Medicare payment tied to performance. Additionally, the Affordable Care Act: •increased the minimum level of Medicaid rebates payable by manufacturers of brand-name drugs from 15.1% to 23.1%; •required collection of rebates for drugs paid by Medicaid managed care organizations;</w:t>
      </w:r>
    </w:p>
    <w:p>
      <w:pPr>
        <w:ind w:left="480" w:right="220"/>
        <w:spacing w:after="0" w:line="247" w:lineRule="auto"/>
        <w:rPr>
          <w:sz w:val="20"/>
          <w:szCs w:val="20"/>
          <w:color w:val="auto"/>
        </w:rPr>
      </w:pPr>
      <w:r>
        <w:rPr>
          <w:rFonts w:ascii="Times New Roman" w:cs="Times New Roman" w:eastAsia="Times New Roman" w:hAnsi="Times New Roman"/>
          <w:sz w:val="16"/>
          <w:szCs w:val="16"/>
          <w:color w:val="auto"/>
        </w:rPr>
        <w:t>•required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68"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•imposed a non-deductible annual fee on pharmaceutical manufacturers or importers who sell “branded prescription drugs” to specified federal government programs.</w:t>
      </w:r>
    </w:p>
    <w:p>
      <w:pPr>
        <w:spacing w:after="0" w:line="5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Ten states have not implemented the provisions of the ACA that involve the expansion of Medicaid eligibility to low-income adults. While the United States Supreme Court recently rejected the latest challenge to the constitutionality of the ACA, it is possible that other legislative efforts may seek to modify it. In addition, other legislative changes have been proposed since the Affordable Care Act was enacted, and other judicial challenges to the ACA are pending in the lower courts. The One Big Beautiful Bill Act was signed into law on July 4, 2025 and makes significant changes to the Medicaid eligibility rules for low-income adults, among other changes, which the Congressional Budget Office estimates will result in a loss of coverage for approximately 7.5 million Medicaid beneficiaries.</w:t>
      </w:r>
    </w:p>
    <w:p>
      <w:pPr>
        <w:spacing w:after="0" w:line="4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There has been increasing legislative and enforcement interest in the United States with respect to drug pricing practices. For example, the Inflation Reduction Act of 2022, or IRA, introduces some of the most significant changes to Medicare payment for prescription drugs since the ACA. Among its many provisions, the IRA authorizes the Medicare program to negotiate pricing for certain high-cost and/or high-volume drugs, including physician -administered and self-administered drugs, that have been on the market for a minimum amount of time without generic competition. Each year, beginning with calendar year 2026, the Secretary of the Department of Health and Human Services will implement a negotiated price, known as the “Maximum Fair Price”, or MFP, that will be made public and apply to the drug’s Medicare utilization if the drug is among the top 10 drugs with the highest Medicare spending. Manufacturers who fail to offer the MFP, or fail to come to the table to negotiate after the Secretary has determined their drug is eligible for negotiation, will incur an excise tax of up to 95% for each sale of the drug in the United States. Depending on the share of Medicare spending each year that is attributed to MAVYRET or any other drug we may develop or out-license, and whether or not those drugs become eligible for Medicare negotiation, those drugs and our revenue may be adversely impacted by this provision.</w:t>
      </w:r>
    </w:p>
    <w:p>
      <w:pPr>
        <w:spacing w:after="0" w:line="7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IRA also requires manufacturers, beginning in 2023, to rebate the Medicare program for Medicare utilization of Part B and Part D drugs that have price increases faster than the rate of inflation. The benchmark to which price increases are compared varies depending on the drug. Although manufacturers are generally familiar with inflation rebates under the Medicaid program, where they have existed for decades, the IRA represents the first time that the Centers for Medicare and Medicaid Services, or CMS, has extended inflation rebates to the Medicare program.</w:t>
      </w:r>
    </w:p>
    <w:p>
      <w:pPr>
        <w:spacing w:after="0" w:line="7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IRA also redesigns the Medicare prescription drug benefit in several important ways, beginning in calendar year 2024. First, the IRA places an annual out-of-pocket cap on Medicare beneficiary cost sharing amounts, which will take effect in calendar year 2025 before the full benefit redesign. Previously, beneficiaries’ out-of -pocket costs were uncapped, even if heavily subsidized. Second, the IRA requires that manufacturers share in the cost of prescription drugs throughout the prescription drug benefit, beginning in calendar year 2025. Previously manufacturers only needed to offer discounted pricing for a single phase of the prescription drug benefit. As described above, in calendar year 2025, the IRA introduces a new $2,000 out- of-pocket maximum in the Part D program for beneficiaries. Finally, the IRA shifts the majority of liability in the “catastrophic phase”—the phase of the prescription drug benefit that only the costliest of Medicare beneficiaries enter—to the private Part D plans, thereby encouraging them to better manage costs. Previously, the Federal government incurred the vast majority of liability during the catastrophic phase. Together, these changes to the Medicare prescription drug benefit will create new pricing dynamics for payers and manufacturers.</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United States Congress is also considering legislation that would dramatically reform the business model of the pharmacy benefit management, or PBM, industry. In general, the principal PBM business model relies on rebate payments from pharmaceutical manufacturers to PBMs (acting as agents of insurers) in exchange for administrative tasks such as formulary development, development of pharmacy networks, and plan benefit design. The proposed legislation would replace the rebate model with a model that relies on up-front discounts and would potentially significantly alter the relationship between manufacturers and PBMs.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 w:name="page33"/>
    <w:bookmarkEnd w:id="32"/>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As noted above, state legislatures are also increasingly considering and adopting laws that exert greater influence over the price of prescription drugs. In recent years, many states have passed cost transparency and pharmaceutical pricing laws. These laws often require manufacturers to report certain product information or other financial data to the state. States are expected to continue their focus on pharmaceutical pricing and will increasingly move to more aggressive price control tools such as Prescription Drug Affordability Boards that have the authority to conduct affordability reviews and establish upper payment limits.</w:t>
      </w:r>
    </w:p>
    <w:p>
      <w:pPr>
        <w:spacing w:after="0" w:line="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94"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Our research and development expenses were $106.7 million, $131.5 million and $163.5 million for the fiscal years ended September 30, 2025, 2024, and 2023,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We do not have our own manufacturing capabilities, except with respect to limited amounts of active pharmaceutical ingredients needed for preclinical development. To date, we have relied on third-party manufacturers, including manufacturers in China, for supply of active pharmaceutical ingredients and ingredients for use in clinical trials of our product candidates. We also expect that in the future we will rely on such manufacturers to produce commercial quantities of any product candidates that we commercialize ourselves. Manufacturing for glecaprevir is conducted by AbbVie. Wherever possible, we seek to identify multiple suppliers for raw materials and key intermediaries to be used in our manufacturing process.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9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We currently do not have any commercialization or sales and marketing capabilities, and currently have no fixed plans to invest in or build such capabilities internally. We have partnered our protease inhibitor compounds for HCV with AbbVie. We may also partner or collaborate with, or license commercial rights to, other larger pharmaceutical or biopharmaceutical companies to support the development of one or more of our wholly-owned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Corporate Information</w:t>
      </w:r>
    </w:p>
    <w:p>
      <w:pPr>
        <w:spacing w:after="0" w:line="9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We are a Delaware corporation, incorporated in 1995. Our principal executive offices are located at 4 Kingsbury Avenue, Watertown, Massachusetts 02472, and our telephone number is (617) 607-0800. Our website address is http://www.enanta.com.</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3" w:name="page34"/>
    <w:bookmarkEnd w:id="33"/>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9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We provide segment information in Notes 2 and 16 to our Consolidated Financial Statements included in Item 8 of this report. We are incorporating that information into this section by this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As of September 30, 2025, we had 120 full-time employees, 61 of whom hold Ph.D. or M.D. degrees and an additional 29 of whom hold a master's degree or other post-graduate degree. We consider the intellectual capital of our employees to be an essential driver of our business and key to our future prospects. Historically we have had relatively low turnover of employees, but as the number of biotechnology and pharmaceutical companies in the Boston area has increased, we have experienced an increase in the number of employees leaving for other opportunities. Given our financial resources and our track record, we continue to be able to fill the vacated positions. We also monitor our compensation programs closely and provide what we consider to be a very competitive mix of compensation and insurance benefits for all our employees, as well as participation in our equity programs. None of our employees is subject to a collective bargaining agreement or represented by a trade or labor union. We consider our relations with our employees to be good.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9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color w:val="auto"/>
        </w:rPr>
        <w:t>Our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4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In addition, the SEC maintains a website that contains reports, proxy and information statements, and other information regarding Enanta Pharmaceuticals, Inc. and other issuers that file electronically with the SEC. The SEC’s website address is http://www.sec.gov.</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94" w:lineRule="exact"/>
        <w:rPr>
          <w:sz w:val="20"/>
          <w:szCs w:val="20"/>
          <w:color w:val="auto"/>
        </w:rPr>
      </w:pPr>
    </w:p>
    <w:p>
      <w:pPr>
        <w:ind w:left="80"/>
        <w:spacing w:after="0" w:line="241" w:lineRule="auto"/>
        <w:rPr>
          <w:sz w:val="20"/>
          <w:szCs w:val="20"/>
          <w:color w:val="auto"/>
        </w:rPr>
      </w:pPr>
      <w:r>
        <w:rPr>
          <w:rFonts w:ascii="Times New Roman" w:cs="Times New Roman" w:eastAsia="Times New Roman" w:hAnsi="Times New Roman"/>
          <w:sz w:val="16"/>
          <w:szCs w:val="16"/>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90" w:lineRule="exact"/>
        <w:rPr>
          <w:sz w:val="20"/>
          <w:szCs w:val="20"/>
          <w:color w:val="auto"/>
        </w:rPr>
      </w:pPr>
    </w:p>
    <w:p>
      <w:pPr>
        <w:ind w:left="80"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require substantial additional funding to achieve our goals. A failure to obtain this funding when needed could force us to delay, limit, reduce or terminate some or all of our product development efforts.</w:t>
      </w:r>
    </w:p>
    <w:p>
      <w:pPr>
        <w:spacing w:after="0" w:line="55" w:lineRule="exact"/>
        <w:rPr>
          <w:sz w:val="20"/>
          <w:szCs w:val="20"/>
          <w:color w:val="auto"/>
        </w:rPr>
      </w:pPr>
    </w:p>
    <w:p>
      <w:pPr>
        <w:ind w:left="80" w:right="20"/>
        <w:spacing w:after="0" w:line="243" w:lineRule="auto"/>
        <w:rPr>
          <w:sz w:val="20"/>
          <w:szCs w:val="20"/>
          <w:color w:val="auto"/>
        </w:rPr>
      </w:pPr>
      <w:r>
        <w:rPr>
          <w:rFonts w:ascii="Times New Roman" w:cs="Times New Roman" w:eastAsia="Times New Roman" w:hAnsi="Times New Roman"/>
          <w:sz w:val="16"/>
          <w:szCs w:val="16"/>
          <w:color w:val="auto"/>
        </w:rPr>
        <w:t>We will continue to expend substantial resources discovering and developing our proprietary product candidates. These expenditures will exceed our royalty revenues from our AbbVie collaboration and will include costs associated with research and development, preclinical manufacturing of product candidates, conducting preclinical experiments and clinical trials and obtaining regulatory approvals, as well as commercializing any products later approved for sale. Our future capital requirements depend on many factors, including:</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number and characteristics of our research and development programs;</w:t>
      </w:r>
    </w:p>
    <w:p>
      <w:pPr>
        <w:spacing w:after="0" w:line="92" w:lineRule="exact"/>
        <w:rPr>
          <w:sz w:val="20"/>
          <w:szCs w:val="20"/>
          <w:color w:val="auto"/>
        </w:rPr>
      </w:pPr>
    </w:p>
    <w:p>
      <w:pPr>
        <w:ind w:left="560" w:right="680"/>
        <w:spacing w:after="0" w:line="360" w:lineRule="auto"/>
        <w:rPr>
          <w:sz w:val="20"/>
          <w:szCs w:val="20"/>
          <w:color w:val="auto"/>
        </w:rPr>
      </w:pPr>
      <w:r>
        <w:rPr>
          <w:rFonts w:ascii="Times New Roman" w:cs="Times New Roman" w:eastAsia="Times New Roman" w:hAnsi="Times New Roman"/>
          <w:sz w:val="16"/>
          <w:szCs w:val="16"/>
          <w:color w:val="auto"/>
        </w:rPr>
        <w:t>•the scope, progress, results and costs of researching and developing our product candidates on our own, including conducting advanced clinical trials; •our ability to establish new collaborations, licensing or other arrangements, if any, and the financial terms of such arrangements;</w:t>
      </w:r>
    </w:p>
    <w:p>
      <w:pPr>
        <w:ind w:left="560" w:right="1320"/>
        <w:spacing w:after="0" w:line="360" w:lineRule="auto"/>
        <w:rPr>
          <w:sz w:val="20"/>
          <w:szCs w:val="20"/>
          <w:color w:val="auto"/>
        </w:rPr>
      </w:pPr>
      <w:r>
        <w:rPr>
          <w:rFonts w:ascii="Times New Roman" w:cs="Times New Roman" w:eastAsia="Times New Roman" w:hAnsi="Times New Roman"/>
          <w:sz w:val="16"/>
          <w:szCs w:val="16"/>
          <w:color w:val="auto"/>
        </w:rPr>
        <w:t>•the amount of our retained portion of royalties generated from MAVYRET/MAVIRET sales under our existing collaboration with AbbVie; •delays and additional expenses in our clinical trials;</w:t>
      </w:r>
    </w:p>
    <w:p>
      <w:pPr>
        <w:ind w:left="560" w:right="1360"/>
        <w:spacing w:after="0" w:line="360" w:lineRule="auto"/>
        <w:rPr>
          <w:sz w:val="20"/>
          <w:szCs w:val="20"/>
          <w:color w:val="auto"/>
        </w:rPr>
      </w:pPr>
      <w:r>
        <w:rPr>
          <w:rFonts w:ascii="Times New Roman" w:cs="Times New Roman" w:eastAsia="Times New Roman" w:hAnsi="Times New Roman"/>
          <w:sz w:val="16"/>
          <w:szCs w:val="16"/>
          <w:color w:val="auto"/>
        </w:rPr>
        <w:t>•the cost of manufacturing our product candidates for clinical development and any products we successfully commercialize independently; •opportunities to in-license or otherwise acquire new technologies and therapeutic candidates;</w:t>
      </w:r>
    </w:p>
    <w:p>
      <w:pPr>
        <w:ind w:left="560" w:right="280"/>
        <w:spacing w:after="0" w:line="259" w:lineRule="auto"/>
        <w:rPr>
          <w:sz w:val="20"/>
          <w:szCs w:val="20"/>
          <w:color w:val="auto"/>
        </w:rPr>
      </w:pPr>
      <w:r>
        <w:rPr>
          <w:rFonts w:ascii="Times New Roman" w:cs="Times New Roman" w:eastAsia="Times New Roman" w:hAnsi="Times New Roman"/>
          <w:sz w:val="16"/>
          <w:szCs w:val="16"/>
          <w:color w:val="auto"/>
        </w:rPr>
        <w:t>•costs associated with prosecuting our patent infringement litigation in the United States and Europe regarding use of a coronavirus 3CL protease inhibitor in Paxlovid, Pfizer’s antiviral treatment for COVID-19;</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timing of, and the costs involved in, obtaining regulatory approvals for any product candidates we develop independently;</w:t>
      </w:r>
    </w:p>
    <w:p>
      <w:pPr>
        <w:spacing w:after="0" w:line="92" w:lineRule="exact"/>
        <w:rPr>
          <w:sz w:val="20"/>
          <w:szCs w:val="20"/>
          <w:color w:val="auto"/>
        </w:rPr>
      </w:pPr>
    </w:p>
    <w:p>
      <w:pPr>
        <w:ind w:left="560" w:right="160"/>
        <w:spacing w:after="0" w:line="259" w:lineRule="auto"/>
        <w:rPr>
          <w:sz w:val="20"/>
          <w:szCs w:val="20"/>
          <w:color w:val="auto"/>
        </w:rPr>
      </w:pPr>
      <w:r>
        <w:rPr>
          <w:rFonts w:ascii="Times New Roman" w:cs="Times New Roman" w:eastAsia="Times New Roman" w:hAnsi="Times New Roman"/>
          <w:sz w:val="16"/>
          <w:szCs w:val="16"/>
          <w:color w:val="auto"/>
        </w:rPr>
        <w:t>•the cost of commercialization activities, if any, of any product candidates we develop independently that are approved for sale, including marketing, sales and distribution costs;</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timing and amount of any sales of our product candidates, if any, or royalties thereon;</w:t>
      </w:r>
    </w:p>
    <w:p>
      <w:pPr>
        <w:spacing w:after="0" w:line="92" w:lineRule="exact"/>
        <w:rPr>
          <w:sz w:val="20"/>
          <w:szCs w:val="20"/>
          <w:color w:val="auto"/>
        </w:rPr>
      </w:pPr>
    </w:p>
    <w:p>
      <w:pPr>
        <w:ind w:left="560" w:right="200"/>
        <w:spacing w:after="0" w:line="259" w:lineRule="auto"/>
        <w:rPr>
          <w:sz w:val="20"/>
          <w:szCs w:val="20"/>
          <w:color w:val="auto"/>
        </w:rPr>
      </w:pPr>
      <w:r>
        <w:rPr>
          <w:rFonts w:ascii="Times New Roman" w:cs="Times New Roman" w:eastAsia="Times New Roman" w:hAnsi="Times New Roman"/>
          <w:sz w:val="16"/>
          <w:szCs w:val="16"/>
          <w:color w:val="auto"/>
        </w:rPr>
        <w:t>•the costs involved in preparing, filing, prosecuting, maintaining, defending and enforcing patents, including any litigation costs and the outcomes of any such litigation; and</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•potential fluctuations in foreign currency exchange rates.</w:t>
      </w:r>
    </w:p>
    <w:p>
      <w:pPr>
        <w:spacing w:after="0" w:line="92" w:lineRule="exact"/>
        <w:rPr>
          <w:sz w:val="20"/>
          <w:szCs w:val="20"/>
          <w:color w:val="auto"/>
        </w:rPr>
      </w:pPr>
    </w:p>
    <w:p>
      <w:pPr>
        <w:ind w:left="80" w:right="20"/>
        <w:spacing w:after="0" w:line="241" w:lineRule="auto"/>
        <w:rPr>
          <w:sz w:val="20"/>
          <w:szCs w:val="20"/>
          <w:color w:val="auto"/>
        </w:rPr>
      </w:pPr>
      <w:r>
        <w:rPr>
          <w:rFonts w:ascii="Times New Roman" w:cs="Times New Roman" w:eastAsia="Times New Roman" w:hAnsi="Times New Roman"/>
          <w:sz w:val="16"/>
          <w:szCs w:val="16"/>
          <w:color w:val="auto"/>
        </w:rPr>
        <w:t>Accordingly, we will need to obtain additional funding to support our operations. In October 2025, we completed a public offering of our common stock, resulting in gross proceeds of approximately $74.8 million. 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69" w:lineRule="exact"/>
        <w:rPr>
          <w:sz w:val="20"/>
          <w:szCs w:val="20"/>
          <w:color w:val="auto"/>
        </w:rPr>
      </w:pPr>
    </w:p>
    <w:p>
      <w:pPr>
        <w:ind w:left="80"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revenues are dependent upon royalty revenues derived from AbbVie’s net sales of its MAVYRET/MAVIRET regimen for HCV, which includes our protease inhibitor, glecaprevir. If AbbVie is unable to maintain sales of this regimen at or</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35" w:name="page36"/>
    <w:bookmarkEnd w:id="35"/>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above current levels of sales, our royalty revenues, as well as our retained cash portion of royalties, will be adversely affected.</w:t>
      </w:r>
    </w:p>
    <w:p>
      <w:pPr>
        <w:spacing w:after="0" w:line="9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4"/>
          <w:szCs w:val="14"/>
          <w:color w:val="auto"/>
        </w:rPr>
        <w:t>AbbVie’s MAVYRET/MAVIRET regimen continues to be a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has been awarded the contract in Louisiana and other states and AbbVie has been awarded the contract in Washington and other states. In addition, Gilead has been able to access the Medicaid market at a lower</w:t>
      </w:r>
    </w:p>
    <w:p>
      <w:pPr>
        <w:spacing w:after="0" w:line="1"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6"/>
          <w:szCs w:val="16"/>
          <w:color w:val="auto"/>
        </w:rPr>
        <w:t xml:space="preserve">price point to build its market share by using an authorized generic version of its HCV regimen branded as Epclusa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recent years, federal and state governments have proposed or implemented Most Favored Nation, or MFN, pricing models that tie reimbursement rates for certain drugs to the lowest prices paid by other countries. 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7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royalty revenues.</w:t>
      </w:r>
    </w:p>
    <w:p>
      <w:pPr>
        <w:spacing w:after="0" w:line="6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and AbbVie face substantial competition in the markets for HCV drugs, and there are many companies developing potential therapies for RSV and other viral infections, as well as for CSU, AD and other immunology diseases, which may result in others discovering, developing or commercializing products before we do or doing so more successfully than we do.</w:t>
      </w:r>
    </w:p>
    <w:p>
      <w:pPr>
        <w:spacing w:after="0" w:line="6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viral infections, including HCV, RSV and immunology diseases, including CSU and AD, as well as SARS-CoV-2 and HBV assets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all the disease areas currently in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to gain regulatory approvals, overcome price competition and be commercially successful.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RSV, CSU and AD, as well as COVID-19 and HBV, represent competitive therapeutic areas.</w:t>
      </w:r>
    </w:p>
    <w:p>
      <w:pPr>
        <w:spacing w:after="0" w:line="9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For RSV, there are currently no safe and effective therapies for already established RSV infection. Several companies are seeking to develop antiviral treatments for RSV infection in adult and pediatric patients. Ark Biosciences and Shionogi have compounds in clinical development.</w:t>
      </w:r>
    </w:p>
    <w:p>
      <w:pPr>
        <w:spacing w:after="0" w:line="72"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6"/>
          <w:szCs w:val="16"/>
          <w:color w:val="auto"/>
        </w:rPr>
        <w:t>There are several prophylaxis options on the market or in development. AstraZeneca/Sanofi (BEYFORTUS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Merck (ENFLONSIA™) have approved long-acting monoclonal antibodies for prophylaxis use in infants, and Pfizer has an approved maternal vaccine (ABRYSVO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all of which provide passive immunity to infants. There are also two approved RSV vaccines for high-risk adults age 18 – 59 years and for all adults age 60 years and above (Pfizer/ABRYSVO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 w:name="page37"/>
    <w:bookmarkEnd w:id="36"/>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Moderna/mRESVIA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and one approved RSV vaccine for high-risk adults age 50-59 years and in adults age 60 years and older (GSK/AREXVY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p>
    <w:p>
      <w:pPr>
        <w:spacing w:after="0" w:line="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For CSU, there are a number of different mechanisms being explored, including inhibitors of IL-4R, IgE, BTK, and MRGPRX2. Specifically for KIT inhibitors, there are companies with antibodies in development, including Celldex (barzolvolimab - Phase 3) and Jasper (briquilimab - Phase 1b/2a), as well as companies with oral, small molecules in early clinical or preclinical development, including Sanofi/Blueprint.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AD, the moderate-severe atopic dermatitis treatment landscape is dominated by biologics targeting the IL-4 and/or IL-13 pathway (e.g., 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(dupilumab),</w:t>
      </w:r>
    </w:p>
    <w:p>
      <w:pPr>
        <w:ind w:right="240"/>
        <w:spacing w:after="0" w:line="224" w:lineRule="auto"/>
        <w:rPr>
          <w:sz w:val="20"/>
          <w:szCs w:val="20"/>
          <w:color w:val="auto"/>
        </w:rPr>
      </w:pPr>
      <w:r>
        <w:rPr>
          <w:rFonts w:ascii="Times New Roman" w:cs="Times New Roman" w:eastAsia="Times New Roman" w:hAnsi="Times New Roman"/>
          <w:sz w:val="16"/>
          <w:szCs w:val="16"/>
          <w:color w:val="auto"/>
        </w:rPr>
        <w:t>ADBRY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(tralokinumab- ldrm), and EBGLYSS™ (lebrikizumab-lbkz)), with JAK inhibitors (e.g., RINVOQ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(upadacitinib) and CIBINQO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(abrocitinib)) as the only oral option. Multiple oral mechanisms are in development, including inhibitors of MRGPRX2, IRAK4, ITK, STAT6, RASP and PKM2. The latest stage oral assets being evaluated in moderate- severe AD patients are in Phase 2b (Evommune MRGPRX2) and Phase 1 (Corvus ITKl; Kymera STAT6)). For STAT6 inhibitors specifically, companies with oral assets in preclinical development include Sanofi/Recludix, J&amp;J/Katen, Gilead/LEO, DeepCure and JW Pharma.</w:t>
      </w:r>
    </w:p>
    <w:p>
      <w:pPr>
        <w:spacing w:after="0" w:line="75"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5"/>
          <w:szCs w:val="15"/>
          <w:color w:val="auto"/>
        </w:rPr>
        <w:t>In the HCV market, we expect AbbVie’s MAVYRET/MAVIRET to continue to face intense competition due to existing approved HCV products. AbbVie’s MAVYRET/MAVIRET regimen currently faces competition in various world markets and subpopulations of HCV from Gilead’s Epclusa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(a fixed dose combination of sofosbuvir and velpatasvir), Vosevi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(a triple combination therapy of sofosbuvir, velpatasvir and voxilaprevir approved by the FDA for specified sofosbuvir treatment</w:t>
      </w:r>
    </w:p>
    <w:p>
      <w:pPr>
        <w:spacing w:after="0" w:line="2" w:lineRule="exact"/>
        <w:rPr>
          <w:sz w:val="20"/>
          <w:szCs w:val="20"/>
          <w:color w:val="auto"/>
        </w:rPr>
      </w:pPr>
    </w:p>
    <w:p>
      <w:pPr>
        <w:ind w:right="160"/>
        <w:spacing w:after="0" w:line="224" w:lineRule="auto"/>
        <w:rPr>
          <w:sz w:val="20"/>
          <w:szCs w:val="20"/>
          <w:color w:val="auto"/>
        </w:rPr>
      </w:pPr>
      <w:r>
        <w:rPr>
          <w:rFonts w:ascii="Times New Roman" w:cs="Times New Roman" w:eastAsia="Times New Roman" w:hAnsi="Times New Roman"/>
          <w:sz w:val="16"/>
          <w:szCs w:val="16"/>
          <w:color w:val="auto"/>
        </w:rPr>
        <w:t>failures and NS5A-inhibitor treatment failures) and Harvoni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 fixed -dose combination of sofosbuvir and ledipasvir); and to a lesser extent - Merck’s Zepatier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 fixed- 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7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4"/>
          <w:szCs w:val="14"/>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(e.g., Gilead and Asegua Therapeutics), our collaboration agreement provides that the royalty rate applicable to our protease product contained in the regimen is reduced significantly by a specified percentage on a product -by -product, country-by-country basis. If AbbVie is not able to compete effectively against its competitors in HCV, including any generic products, our business will not grow and our financial condition, operations and stock price will suffer.</w:t>
      </w:r>
    </w:p>
    <w:p>
      <w:pPr>
        <w:spacing w:after="0" w:line="49"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For COVID, there are two oral antiviral treatments for non-hospitalized, high-risk patients with SARS -CoV-2 infection: PAXLOVID™, a 3CL protease inhibitor (nirmatrelvir) boosted with ritonavir (full approval), and LAGEVRIO™ (molnupiravir), a polymerase inhibitor (Emergency Use Authorization). The most advanced direct acting oral antiviral for the treatment of high-risk patients with SARS-CoV-2 is in Phase 3 (ibuzatrelvir).</w:t>
      </w:r>
    </w:p>
    <w:p>
      <w:pPr>
        <w:spacing w:after="0" w:line="6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spacing w:after="0" w:line="71"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If we are not able to develop new products that can compete effectively against our current and future competitors, our business will not grow and our financial condition, operations and stock price will suffer.</w:t>
      </w:r>
    </w:p>
    <w:p>
      <w:pPr>
        <w:spacing w:after="0" w:line="5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55"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clinical-stage programs, we will need to successfully:</w:t>
      </w:r>
    </w:p>
    <w:p>
      <w:pPr>
        <w:spacing w:after="0" w:line="34"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6"/>
          <w:szCs w:val="16"/>
          <w:color w:val="auto"/>
        </w:rPr>
        <w:t>•execute clinical development of our product candidates and demonstrate acceptable safety and efficacy for them alone or in combination with other drugs or drug candidates;</w:t>
      </w:r>
    </w:p>
    <w:p>
      <w:pPr>
        <w:spacing w:after="0" w:line="59" w:lineRule="exact"/>
        <w:rPr>
          <w:sz w:val="20"/>
          <w:szCs w:val="20"/>
          <w:color w:val="auto"/>
        </w:rPr>
      </w:pPr>
    </w:p>
    <w:p>
      <w:pPr>
        <w:ind w:left="480" w:right="3360"/>
        <w:spacing w:after="0" w:line="384" w:lineRule="auto"/>
        <w:rPr>
          <w:sz w:val="20"/>
          <w:szCs w:val="20"/>
          <w:color w:val="auto"/>
        </w:rPr>
      </w:pPr>
      <w:r>
        <w:rPr>
          <w:rFonts w:ascii="Times New Roman" w:cs="Times New Roman" w:eastAsia="Times New Roman" w:hAnsi="Times New Roman"/>
          <w:sz w:val="16"/>
          <w:szCs w:val="16"/>
          <w:color w:val="auto"/>
        </w:rPr>
        <w:t>•obtain required regulatory approvals for the development and commercialization of our product candidates; •develop and maintain any future collaborations we may enter into for any of these programs;</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7" w:name="page38"/>
    <w:bookmarkEnd w:id="37"/>
    <w:p>
      <w:pPr>
        <w:spacing w:after="0" w:line="77" w:lineRule="exact"/>
        <w:rPr>
          <w:sz w:val="20"/>
          <w:szCs w:val="20"/>
          <w:color w:val="auto"/>
        </w:rPr>
      </w:pPr>
    </w:p>
    <w:p>
      <w:pPr>
        <w:ind w:left="480" w:right="1900"/>
        <w:spacing w:after="0" w:line="360" w:lineRule="auto"/>
        <w:rPr>
          <w:sz w:val="20"/>
          <w:szCs w:val="20"/>
          <w:color w:val="auto"/>
        </w:rPr>
      </w:pPr>
      <w:r>
        <w:rPr>
          <w:rFonts w:ascii="Times New Roman" w:cs="Times New Roman" w:eastAsia="Times New Roman" w:hAnsi="Times New Roman"/>
          <w:sz w:val="16"/>
          <w:szCs w:val="16"/>
          <w:color w:val="auto"/>
        </w:rPr>
        <w:t>•obtain and maintain patent protection for our product candidates and freedom from infringement of intellectual property of others; •establish acceptable commercial manufacturing arrangements with third-party manufacturers;</w:t>
      </w:r>
    </w:p>
    <w:p>
      <w:pPr>
        <w:ind w:left="480" w:right="1440"/>
        <w:spacing w:after="0" w:line="360" w:lineRule="auto"/>
        <w:rPr>
          <w:sz w:val="20"/>
          <w:szCs w:val="20"/>
          <w:color w:val="auto"/>
        </w:rPr>
      </w:pPr>
      <w:r>
        <w:rPr>
          <w:rFonts w:ascii="Times New Roman" w:cs="Times New Roman" w:eastAsia="Times New Roman" w:hAnsi="Times New Roman"/>
          <w:sz w:val="16"/>
          <w:szCs w:val="16"/>
          <w:color w:val="auto"/>
        </w:rPr>
        <w:t>•build and maintain robust sales, distribution and marketing capabilities, either independently or in collaboration with future collaborators; •gain market acceptance for our product candidates among physicians, payors and patients; and</w:t>
      </w:r>
    </w:p>
    <w:p>
      <w:pPr>
        <w:ind w:left="480"/>
        <w:spacing w:after="0"/>
        <w:rPr>
          <w:sz w:val="20"/>
          <w:szCs w:val="20"/>
          <w:color w:val="auto"/>
        </w:rPr>
      </w:pPr>
      <w:r>
        <w:rPr>
          <w:rFonts w:ascii="Times New Roman" w:cs="Times New Roman" w:eastAsia="Times New Roman" w:hAnsi="Times New Roman"/>
          <w:sz w:val="16"/>
          <w:szCs w:val="16"/>
          <w:color w:val="auto"/>
        </w:rPr>
        <w:t>•manage our spending as costs and expenses increase due to clinical trials, regulatory approvals and commercialization.</w:t>
      </w:r>
    </w:p>
    <w:p>
      <w:pPr>
        <w:spacing w:after="0" w:line="92"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If we are unsuccessful in accomplishing these objectives, we may not be able to successfully develop and commercialize our product candidates and expand our business or continue our operations.</w:t>
      </w:r>
    </w:p>
    <w:p>
      <w:pPr>
        <w:spacing w:after="0" w:line="5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are not successful in discovering and developing KIT and STAT6 inhibitors, or in obtaining one or more partners to advance zelicapavir, EDP-323, EDP-235 or EDP-514, or in discovering further product candidates, our ability to expand our business and achieve our strategic objectives will be impaired.</w:t>
      </w:r>
    </w:p>
    <w:p>
      <w:pPr>
        <w:spacing w:after="0" w:line="5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68" w:lineRule="exact"/>
        <w:rPr>
          <w:sz w:val="20"/>
          <w:szCs w:val="20"/>
          <w:color w:val="auto"/>
        </w:rPr>
      </w:pPr>
    </w:p>
    <w:p>
      <w:pPr>
        <w:ind w:left="480" w:right="2480"/>
        <w:spacing w:after="0" w:line="411" w:lineRule="auto"/>
        <w:rPr>
          <w:sz w:val="20"/>
          <w:szCs w:val="20"/>
          <w:color w:val="auto"/>
        </w:rPr>
      </w:pPr>
      <w:r>
        <w:rPr>
          <w:rFonts w:ascii="Times New Roman" w:cs="Times New Roman" w:eastAsia="Times New Roman" w:hAnsi="Times New Roman"/>
          <w:sz w:val="14"/>
          <w:szCs w:val="14"/>
          <w:color w:val="auto"/>
        </w:rPr>
        <w:t>•the research methodology used may not be successful in identifying additional potential product candidates; •competitors may develop alternatives that render our product candidates less commercially viable or obsolete; •competitors may obtain intellectual property protection that effectively prevents us from developing a product candidate;</w:t>
      </w:r>
    </w:p>
    <w:p>
      <w:pPr>
        <w:spacing w:after="0" w:line="1"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product candidate may not be capable of being produced in commercial quantities at an acceptable cost, or at all.</w:t>
      </w:r>
    </w:p>
    <w:p>
      <w:pPr>
        <w:spacing w:after="0" w:line="9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5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Tara Kieffer, our Chief Product Strategy Officer, and Scott T. Rottinghaus, M.D., our Senior Vice President and Chief Medical Officer, as well as other employees and consultants. Although none of Drs. Luly, Or, Kieffer or Rottinghaus has informed us to date that he expects to retire or resign in the near future, the loss of the services of any of these individuals or one or more of our other members of senior management could delay or prevent the successful development of our product candidates.</w:t>
      </w:r>
    </w:p>
    <w:p>
      <w:pPr>
        <w:spacing w:after="0" w:line="77"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6"/>
          <w:szCs w:val="16"/>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encounter difficulties expanding our operations successfully to advance our product candidates.</w:t>
      </w:r>
    </w:p>
    <w:p>
      <w:pPr>
        <w:spacing w:after="0" w:line="9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As we seek to advance our product candidates through clinical trials, we will need to expand our development, regulatory, manufacturing, marketing and sales capabilities or contract with third parties to obtain these capabilities. As our pipeline expands,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Development, Clinical Testing and Regulatory Approval of Our Product Candidates</w:t>
      </w:r>
    </w:p>
    <w:p>
      <w:pPr>
        <w:spacing w:after="0" w:line="90"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6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Phase 2 clinical trials. Any ongoing or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Clinical trials can be delayed for a variety of reasons, including delays related to:</w:t>
      </w:r>
    </w:p>
    <w:p>
      <w:pPr>
        <w:spacing w:after="0" w:line="92"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•failure of third-party contractors, such as CROs, or investigators to comply with regulatory requirements;</w:t>
      </w:r>
    </w:p>
    <w:p>
      <w:pPr>
        <w:spacing w:after="0" w:line="92" w:lineRule="exact"/>
        <w:rPr>
          <w:sz w:val="20"/>
          <w:szCs w:val="20"/>
          <w:color w:val="auto"/>
        </w:rPr>
      </w:pPr>
    </w:p>
    <w:p>
      <w:pPr>
        <w:ind w:left="480" w:right="340"/>
        <w:spacing w:after="0" w:line="259" w:lineRule="auto"/>
        <w:rPr>
          <w:sz w:val="20"/>
          <w:szCs w:val="20"/>
          <w:color w:val="auto"/>
        </w:rPr>
      </w:pPr>
      <w:r>
        <w:rPr>
          <w:rFonts w:ascii="Times New Roman" w:cs="Times New Roman" w:eastAsia="Times New Roman" w:hAnsi="Times New Roman"/>
          <w:sz w:val="16"/>
          <w:szCs w:val="16"/>
          <w:color w:val="auto"/>
        </w:rPr>
        <w:t>•failure to obtain on a timely basis, or at all, the necessary approvals from regulators or institutional review boards, or IRBs, to commence a clinical trial at a prospective trial site, or their suspension or termination of a clinical trial once commenced;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•difficulty in recruiting suitable patients to participate in a trial;</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broader impact of COVID-19 and other viruses on the incidence of RSV;</w:t>
      </w:r>
    </w:p>
    <w:p>
      <w:pPr>
        <w:spacing w:after="0" w:line="92" w:lineRule="exact"/>
        <w:rPr>
          <w:sz w:val="20"/>
          <w:szCs w:val="20"/>
          <w:color w:val="auto"/>
        </w:rPr>
      </w:pPr>
    </w:p>
    <w:p>
      <w:pPr>
        <w:ind w:left="480" w:right="2760"/>
        <w:spacing w:after="0" w:line="360" w:lineRule="auto"/>
        <w:rPr>
          <w:sz w:val="20"/>
          <w:szCs w:val="20"/>
          <w:color w:val="auto"/>
        </w:rPr>
      </w:pPr>
      <w:r>
        <w:rPr>
          <w:rFonts w:ascii="Times New Roman" w:cs="Times New Roman" w:eastAsia="Times New Roman" w:hAnsi="Times New Roman"/>
          <w:sz w:val="16"/>
          <w:szCs w:val="16"/>
          <w:color w:val="auto"/>
        </w:rPr>
        <w:t>•seasonality and variations in the incidence of infection year to year (e.g., RSV) affecting enrollment in clinical trials; •difficulty in having patients complete a trial or return for post-treatment follow-up; •clinical sites deviating from trial protocol or dropping out of a trial;</w:t>
      </w:r>
    </w:p>
    <w:p>
      <w:pPr>
        <w:ind w:left="480"/>
        <w:spacing w:after="0"/>
        <w:rPr>
          <w:sz w:val="20"/>
          <w:szCs w:val="20"/>
          <w:color w:val="auto"/>
        </w:rPr>
      </w:pPr>
      <w:r>
        <w:rPr>
          <w:rFonts w:ascii="Times New Roman" w:cs="Times New Roman" w:eastAsia="Times New Roman" w:hAnsi="Times New Roman"/>
          <w:sz w:val="16"/>
          <w:szCs w:val="16"/>
          <w:color w:val="auto"/>
        </w:rPr>
        <w:t>•problems with drug product or drug substance storage and distribution;</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•having to add new clinical trial sites;</w:t>
      </w:r>
    </w:p>
    <w:p>
      <w:pPr>
        <w:spacing w:after="0" w:line="92" w:lineRule="exact"/>
        <w:rPr>
          <w:sz w:val="20"/>
          <w:szCs w:val="20"/>
          <w:color w:val="auto"/>
        </w:rPr>
      </w:pPr>
    </w:p>
    <w:p>
      <w:pPr>
        <w:ind w:left="480" w:right="460"/>
        <w:spacing w:after="0" w:line="360" w:lineRule="auto"/>
        <w:rPr>
          <w:sz w:val="20"/>
          <w:szCs w:val="20"/>
          <w:color w:val="auto"/>
        </w:rPr>
      </w:pPr>
      <w:r>
        <w:rPr>
          <w:rFonts w:ascii="Times New Roman" w:cs="Times New Roman" w:eastAsia="Times New Roman" w:hAnsi="Times New Roman"/>
          <w:sz w:val="16"/>
          <w:szCs w:val="16"/>
          <w:color w:val="auto"/>
        </w:rPr>
        <w:t>•our inability to manufacture, or obtain from third parties, adequate supply of drug product sufficient to complete our preclinical studies and clinical trials; •changes in governmental or regulatory administration;</w:t>
      </w:r>
    </w:p>
    <w:p>
      <w:pPr>
        <w:ind w:left="480" w:right="740"/>
        <w:spacing w:after="0" w:line="259" w:lineRule="auto"/>
        <w:rPr>
          <w:sz w:val="20"/>
          <w:szCs w:val="20"/>
          <w:color w:val="auto"/>
        </w:rPr>
      </w:pPr>
      <w:r>
        <w:rPr>
          <w:rFonts w:ascii="Times New Roman" w:cs="Times New Roman" w:eastAsia="Times New Roman" w:hAnsi="Times New Roman"/>
          <w:sz w:val="16"/>
          <w:szCs w:val="16"/>
          <w:color w:val="auto"/>
        </w:rPr>
        <w:t>•lack of clear guidance or changes in regulatory requirements, policy and guidelines, including guidelines specifically addressing requirements for the development of treatments for RSV, COVID-19 or HBV infection;</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•difficulty in obtaining and maintaining adequate insurance coverage;</w:t>
      </w:r>
    </w:p>
    <w:p>
      <w:pPr>
        <w:spacing w:after="0" w:line="92" w:lineRule="exact"/>
        <w:rPr>
          <w:sz w:val="20"/>
          <w:szCs w:val="20"/>
          <w:color w:val="auto"/>
        </w:rPr>
      </w:pPr>
    </w:p>
    <w:p>
      <w:pPr>
        <w:ind w:left="480" w:right="340"/>
        <w:spacing w:after="0" w:line="259" w:lineRule="auto"/>
        <w:rPr>
          <w:sz w:val="20"/>
          <w:szCs w:val="20"/>
          <w:color w:val="auto"/>
        </w:rPr>
      </w:pPr>
      <w:r>
        <w:rPr>
          <w:rFonts w:ascii="Times New Roman" w:cs="Times New Roman" w:eastAsia="Times New Roman" w:hAnsi="Times New Roman"/>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9" w:name="page40"/>
    <w:bookmarkEnd w:id="39"/>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•varying interpretations of data by the FDA, the EMA and similar foreign regulatory agencies.</w:t>
      </w:r>
    </w:p>
    <w:p>
      <w:pPr>
        <w:spacing w:after="0" w:line="9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7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Zelicapavir or EDP-323,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68"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212121"/>
        </w:rPr>
        <w:t>In our RSV program, we are developing inhibitors of the N-protein and L-protein. No inhibitor of the RSV N- or L-protein has progressed beyond a Phase 2 clinical trial, so we are not yet able to assess the potential liabilities of an N-protein or L-protein inhibitor in large scale studies or in the general population. In addition, the principal target populations in RSV, namely infants, the elderly, and the immunocompromised, represent sensitive or high-risk patient populations that could be more prone to adverse effects of therapy.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121"/>
        </w:rPr>
        <w:t>If any of our product candidates receives marketing approval and we or others later identify undesirable or unacceptable side effects caused by such products: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•regulatory authorities may require the addition of labeling statements, specific warnings, a contraindication or field alerts to physicians and pharmacies;</w:t>
      </w:r>
    </w:p>
    <w:p>
      <w:pPr>
        <w:spacing w:after="0" w:line="92" w:lineRule="exact"/>
        <w:rPr>
          <w:sz w:val="20"/>
          <w:szCs w:val="20"/>
          <w:color w:val="auto"/>
        </w:rPr>
      </w:pPr>
    </w:p>
    <w:p>
      <w:pPr>
        <w:ind w:left="480" w:right="20"/>
        <w:spacing w:after="0" w:line="360" w:lineRule="auto"/>
        <w:rPr>
          <w:sz w:val="20"/>
          <w:szCs w:val="20"/>
          <w:color w:val="auto"/>
        </w:rPr>
      </w:pPr>
      <w:r>
        <w:rPr>
          <w:rFonts w:ascii="Times New Roman" w:cs="Times New Roman" w:eastAsia="Times New Roman" w:hAnsi="Times New Roman"/>
          <w:sz w:val="16"/>
          <w:szCs w:val="16"/>
          <w:color w:val="auto"/>
        </w:rPr>
        <w:t>•we may be required to change instructions regarding the way the product is administered, conduct additional clinical trials or change the labeling of the product; •we may be subject to limitations on how we may promote the product;</w:t>
      </w:r>
    </w:p>
    <w:p>
      <w:pPr>
        <w:ind w:left="480" w:right="3520"/>
        <w:spacing w:after="0" w:line="360" w:lineRule="auto"/>
        <w:rPr>
          <w:sz w:val="20"/>
          <w:szCs w:val="20"/>
          <w:color w:val="auto"/>
        </w:rPr>
      </w:pPr>
      <w:r>
        <w:rPr>
          <w:rFonts w:ascii="Times New Roman" w:cs="Times New Roman" w:eastAsia="Times New Roman" w:hAnsi="Times New Roman"/>
          <w:sz w:val="16"/>
          <w:szCs w:val="16"/>
          <w:color w:val="auto"/>
        </w:rPr>
        <w:t>•the product may be subject to additional distribution restrictions under a REMS, if required by the FDA; •sales of the product may decrease significantly;</w:t>
      </w:r>
    </w:p>
    <w:p>
      <w:pPr>
        <w:ind w:left="480"/>
        <w:spacing w:after="0"/>
        <w:rPr>
          <w:sz w:val="20"/>
          <w:szCs w:val="20"/>
          <w:color w:val="auto"/>
        </w:rPr>
      </w:pPr>
      <w:r>
        <w:rPr>
          <w:rFonts w:ascii="Times New Roman" w:cs="Times New Roman" w:eastAsia="Times New Roman" w:hAnsi="Times New Roman"/>
          <w:sz w:val="16"/>
          <w:szCs w:val="16"/>
          <w:color w:val="auto"/>
        </w:rPr>
        <w:t>•regulatory authorities may require us to take our approved product off the market;</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may be subject to litigation or product liability claims;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reputation and our stock price may suffer.</w:t>
      </w:r>
    </w:p>
    <w:p>
      <w:pPr>
        <w:spacing w:after="0" w:line="9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may develop.</w:t>
      </w:r>
    </w:p>
    <w:p>
      <w:pPr>
        <w:spacing w:after="0" w:line="5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Clinical trials involving our product candidates may be suspended or terminated at any time for a number of safety- 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 w:name="page41"/>
    <w:bookmarkEnd w:id="40"/>
    <w:p>
      <w:pPr>
        <w:spacing w:after="0" w:line="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earlier clinical trials may not be predictive of the results of later-stage clinical trials.</w:t>
      </w:r>
    </w:p>
    <w:p>
      <w:pPr>
        <w:spacing w:after="0" w:line="9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To date we have only tested our product candidates through Phase 2 clinical studies. The results of preclinical studies and these early clinical trials of our product candidates may not be predictive of the results of later- 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7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Product candidate development risk is heightened by any changes in the planned clinical trials compared to the completed clinical trials. As product candidates are developed through preclinical studies and early-stage and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5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 -containing regimens and for MAVYRET/MAVIRET, which contains glecaprevir. We have not obtained regulatory approval by ourselves for any of our wholly- 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product candidates could fail to receive regulatory approval for many reasons, including the following:</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FDA, the EMA or other comparable foreign regulatory authorities may disagree with the design or implementation of our clinical trials;</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•we may be unable to demonstrate to the satisfaction of the FDA, the EMA or other comparable foreign regulatory authorities that a product candidate is safe and effective for its proposed indication;</w:t>
      </w:r>
    </w:p>
    <w:p>
      <w:pPr>
        <w:spacing w:after="0" w:line="59"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•the results of clinical trials may not meet the level of statistical significance required by the FDA, the EMA or other comparable foreign regulatory authorities for approval;</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may be unable to demonstrate that a product candidate’s clinical and other benefits outweigh its safety risks;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FDA, the EMA or other comparable foreign regulatory authorities may disagree with our interpretation of data from preclinical studies or clinical trials;</w:t>
      </w:r>
    </w:p>
    <w:p>
      <w:pPr>
        <w:spacing w:after="0" w:line="92"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•the data collected from clinical trials of our product candidates may not be sufficient to support the submission of an NDA or other submissions or to obtain regulatory approval in the United States or elsewhere;</w:t>
      </w:r>
    </w:p>
    <w:p>
      <w:pPr>
        <w:spacing w:after="0" w:line="59"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 w:name="page42"/>
    <w:bookmarkEnd w:id="41"/>
    <w:p>
      <w:pPr>
        <w:spacing w:after="0" w:line="77"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•the approval policies or regulations of the FDA, the EMA or other comparable foreign regulatory authorities may significantly change in a manner rendering our clinical data insufficient for approval.</w:t>
      </w:r>
    </w:p>
    <w:p>
      <w:pPr>
        <w:spacing w:after="0" w:line="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 candidates.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70" w:lineRule="exact"/>
        <w:rPr>
          <w:sz w:val="20"/>
          <w:szCs w:val="20"/>
          <w:color w:val="auto"/>
        </w:rPr>
      </w:pPr>
    </w:p>
    <w:p>
      <w:pPr>
        <w:ind w:right="7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5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Initial COVID-19 vaccines, therapeutic antibodies and other therapeutics that demonstrated positive results in clinical trials have moved rapidly through the FDA regulatory review and emergency use authorization, or EUA, process, as well as the review and authorization process in a number of other jurisdictions, including the EU when there were no adequate, approved, and available alternatives. The speed at which all parties acted to create and test many therapeutics for COVID-19 was unusual. The end of the pandemic, however, may have changed those dynamics. Evolving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 Accordingly, it is still uncertain what will be the timelines or regulatory processes required for the authorization or approval of new treatments for COVID-19, including EDP-235.</w:t>
      </w:r>
    </w:p>
    <w:p>
      <w:pPr>
        <w:spacing w:after="0" w:line="7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72"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6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7" w:lineRule="exact"/>
        <w:rPr>
          <w:sz w:val="20"/>
          <w:szCs w:val="20"/>
          <w:color w:val="auto"/>
        </w:rPr>
      </w:pPr>
    </w:p>
    <w:p>
      <w:pPr>
        <w:ind w:left="480" w:right="800"/>
        <w:spacing w:after="0" w:line="360" w:lineRule="auto"/>
        <w:rPr>
          <w:sz w:val="20"/>
          <w:szCs w:val="20"/>
          <w:color w:val="auto"/>
        </w:rPr>
      </w:pPr>
      <w:r>
        <w:rPr>
          <w:rFonts w:ascii="Times New Roman" w:cs="Times New Roman" w:eastAsia="Times New Roman" w:hAnsi="Times New Roman"/>
          <w:sz w:val="16"/>
          <w:szCs w:val="16"/>
          <w:color w:val="auto"/>
        </w:rPr>
        <w:t>•restrictions on the marketing or manufacturing of the product, withdrawal of the product from the market or voluntary or mandatory product recalls; •fines, warning letters or holds on any post-approval clinical trials;</w:t>
      </w:r>
    </w:p>
    <w:p>
      <w:pPr>
        <w:ind w:left="480" w:right="600"/>
        <w:spacing w:after="0" w:line="259" w:lineRule="auto"/>
        <w:rPr>
          <w:sz w:val="20"/>
          <w:szCs w:val="20"/>
          <w:color w:val="auto"/>
        </w:rPr>
      </w:pPr>
      <w:r>
        <w:rPr>
          <w:rFonts w:ascii="Times New Roman" w:cs="Times New Roman" w:eastAsia="Times New Roman" w:hAnsi="Times New Roman"/>
          <w:sz w:val="16"/>
          <w:szCs w:val="16"/>
          <w:color w:val="auto"/>
        </w:rPr>
        <w:t>•refusal by the FDA to approve pending applications or supplements to approved applications filed by us, or suspension or revocation of product license approvals;</w:t>
      </w:r>
    </w:p>
    <w:p>
      <w:pPr>
        <w:spacing w:after="0" w:line="59" w:lineRule="exact"/>
        <w:rPr>
          <w:sz w:val="20"/>
          <w:szCs w:val="20"/>
          <w:color w:val="auto"/>
        </w:rPr>
      </w:pPr>
    </w:p>
    <w:p>
      <w:pPr>
        <w:ind w:left="480" w:right="4680"/>
        <w:spacing w:after="0" w:line="360" w:lineRule="auto"/>
        <w:rPr>
          <w:sz w:val="20"/>
          <w:szCs w:val="20"/>
          <w:color w:val="auto"/>
        </w:rPr>
      </w:pPr>
      <w:r>
        <w:rPr>
          <w:rFonts w:ascii="Times New Roman" w:cs="Times New Roman" w:eastAsia="Times New Roman" w:hAnsi="Times New Roman"/>
          <w:sz w:val="16"/>
          <w:szCs w:val="16"/>
          <w:color w:val="auto"/>
        </w:rPr>
        <w:t>•product seizure or detention, or refusal to permit the import or export of products; and •injunctions or the imposition of civil or criminal penalties.</w:t>
      </w: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2" w:name="page43"/>
    <w:bookmarkEnd w:id="42"/>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marketing approval that may have been obtained and we may not achieve or sustain profitability, which would adversely affect our business.</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5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Commercialization of Our Product Candidates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Unfavorable pricing regulations, third-party reimbursement practices or healthcare reform initiatives in the United States could harm our business.</w:t>
      </w:r>
    </w:p>
    <w:p>
      <w:pPr>
        <w:spacing w:after="0" w:line="9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regulations that govern marketing approvals, pricing and reimbursement for new drug products vary widely from country to country. In the United States, the Patient Protection and Affordable Care Act, as amended by the Health Care and Education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the provisions of the ACA that involve the expansion of Medicaid-eligibility for low-income adults. While the United States Supreme Court rejected the most recent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Most recently, the Inflation Reduction Act of 2022, or IRA, which, among other provisions, included several measures intended to lower the cost of prescription drugs and related healthcare reforms. Specifically, the Act authorizes and directs the Department of Health and Human Services, or DHHS, to set drug price caps for certain high-cost Medicare Part B and Part D qualified drugs, with the initial list of drugs selected in August 2023, and the first year of maximum price applicability to begin in calendar year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beginning in calendar year 2025. We cannot be sure whether additional or related legislation or rulemaking will be issued or enacted, or what impact, if any, such changes will have on the royalty revenue we receive from MAVYRET/MAVIRET or revenue from any of our drug candidates, if approved for commercial use, in the future. If any further healthcare reform measures adopted in the future result in additional downward pressure on the price that AbbVie receives for MAVYRET/MAVIRET, this would adversely affect our future revenues, and the price of our common stock could be materially adversely affected.</w:t>
      </w:r>
    </w:p>
    <w:p>
      <w:pPr>
        <w:spacing w:after="0" w:line="23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3" w:name="page44"/>
    <w:bookmarkEnd w:id="43"/>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limited levels, we may not be able to successfully commercialize any product candidate for which we may seek marketing approval.</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5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For example, in recent years, federal and state governments have proposed or implemented MFN pricing models that tie reimbursement rates for certain drugs to the lowest prices paid by other countries.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governments tend to impose strict price controls, which may adversely affect our future profitability.</w:t>
      </w:r>
    </w:p>
    <w:p>
      <w:pPr>
        <w:spacing w:after="0" w:line="9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45"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inability to recruit and retain adequate numbers of effective sales and marketing personnel;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inability of sales personnel to obtain access to physicians or persuade adequate numbers of physicians to prescribe any products;</w:t>
      </w:r>
    </w:p>
    <w:p>
      <w:pPr>
        <w:spacing w:after="0" w:line="9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•the lack of complementary products to be offered by sales personnel, which may put us at a competitive disadvantage relative to companies with more extensive product lines;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•unforeseen costs and expenses associated with creating an independent sales and marketing organization.</w:t>
      </w:r>
    </w:p>
    <w:p>
      <w:pPr>
        <w:spacing w:after="0" w:line="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4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If we do not establish sales, marketing and distribution capabilities successfully, either on our own or in collaboration with third parties, we will not be successful in commercializing our product candidates.</w:t>
      </w:r>
    </w:p>
    <w:p>
      <w:pPr>
        <w:spacing w:after="0" w:line="5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Commercial success of our product candidates depends upon significant market acceptance among physicians, patients and healthcare payors of any resulting approved drug.</w:t>
      </w:r>
    </w:p>
    <w:p>
      <w:pPr>
        <w:spacing w:after="0" w:line="55"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Zelicapavir, EDP-323,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68"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clinical indications for which any treatment regimen containing one of our product candidates become approved;</w:t>
      </w:r>
    </w:p>
    <w:p>
      <w:pPr>
        <w:spacing w:after="0" w:line="92" w:lineRule="exact"/>
        <w:rPr>
          <w:sz w:val="20"/>
          <w:szCs w:val="20"/>
          <w:color w:val="auto"/>
        </w:rPr>
      </w:pPr>
    </w:p>
    <w:p>
      <w:pPr>
        <w:ind w:left="480" w:right="1000"/>
        <w:spacing w:after="0" w:line="360" w:lineRule="auto"/>
        <w:rPr>
          <w:sz w:val="20"/>
          <w:szCs w:val="20"/>
          <w:color w:val="auto"/>
        </w:rPr>
      </w:pPr>
      <w:r>
        <w:rPr>
          <w:rFonts w:ascii="Times New Roman" w:cs="Times New Roman" w:eastAsia="Times New Roman" w:hAnsi="Times New Roman"/>
          <w:sz w:val="16"/>
          <w:szCs w:val="16"/>
          <w:color w:val="auto"/>
        </w:rPr>
        <w:t>•acceptance among physicians, major operators of clinics, payors and patients of any treatment regimen containing one of our product candidates; •the willingness of the target patient population to try new therapies and of physicians to prescribe these therapies;</w:t>
      </w:r>
    </w:p>
    <w:p>
      <w:pPr>
        <w:ind w:left="480" w:right="1880"/>
        <w:spacing w:after="0" w:line="411" w:lineRule="auto"/>
        <w:rPr>
          <w:sz w:val="20"/>
          <w:szCs w:val="20"/>
          <w:color w:val="auto"/>
        </w:rPr>
      </w:pPr>
      <w:r>
        <w:rPr>
          <w:rFonts w:ascii="Times New Roman" w:cs="Times New Roman" w:eastAsia="Times New Roman" w:hAnsi="Times New Roman"/>
          <w:sz w:val="14"/>
          <w:szCs w:val="14"/>
          <w:color w:val="auto"/>
        </w:rPr>
        <w:t>•the potential and perceived advantages of treatment regimens containing one of our product candidates over alternative treatments; •the cost of treatment of regimens containing one of our product candidates in relation to the cost of alternative treatments;</w:t>
      </w:r>
    </w:p>
    <w:p>
      <w:pPr>
        <w:spacing w:after="0" w:line="1"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continued longevity of any market for which we develop a drug;</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levels of funding provided by government-funded healthcare for treatment of any disease for which we develop a drug;</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relative convenience and ease of administration of any treatment regimen containing one of our product candidates compared to competitive regimens;</w:t>
      </w:r>
    </w:p>
    <w:p>
      <w:pPr>
        <w:spacing w:after="0" w:line="92" w:lineRule="exact"/>
        <w:rPr>
          <w:sz w:val="20"/>
          <w:szCs w:val="20"/>
          <w:color w:val="auto"/>
        </w:rPr>
      </w:pPr>
    </w:p>
    <w:p>
      <w:pPr>
        <w:ind w:left="480" w:right="480"/>
        <w:spacing w:after="0" w:line="259" w:lineRule="auto"/>
        <w:rPr>
          <w:sz w:val="20"/>
          <w:szCs w:val="20"/>
          <w:color w:val="auto"/>
        </w:rPr>
      </w:pPr>
      <w:r>
        <w:rPr>
          <w:rFonts w:ascii="Times New Roman" w:cs="Times New Roman" w:eastAsia="Times New Roman" w:hAnsi="Times New Roman"/>
          <w:sz w:val="16"/>
          <w:szCs w:val="16"/>
          <w:color w:val="auto"/>
        </w:rPr>
        <w:t>•the prevalence and severity of adverse side effects, whether involving the use of treatment regimens containing one of our products candidates or similar, competitive treatment regimens;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effectiveness of our sales and marketing efforts.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p>
      <w:pPr>
        <w:spacing w:after="0" w:line="77"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Dependence on Third Parties</w:t>
      </w:r>
    </w:p>
    <w:p>
      <w:pPr>
        <w:spacing w:after="0" w:line="90"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5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our continued development of EDP-235 and EDP-514 are dependent on establishing collaborations. We are also evaluating potential partnership opportunities to advance our RSV programs to the next stage of clinical development. We face significant competition in seeking appropriate collaborators and the negotiation process is time -consuming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7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development of certain of our product candidates may be terminated or delayed;</w:t>
      </w:r>
    </w:p>
    <w:p>
      <w:pPr>
        <w:spacing w:after="0" w:line="92" w:lineRule="exact"/>
        <w:rPr>
          <w:sz w:val="20"/>
          <w:szCs w:val="20"/>
          <w:color w:val="auto"/>
        </w:rPr>
      </w:pPr>
    </w:p>
    <w:p>
      <w:pPr>
        <w:ind w:left="480" w:right="660"/>
        <w:spacing w:after="0" w:line="259" w:lineRule="auto"/>
        <w:rPr>
          <w:sz w:val="20"/>
          <w:szCs w:val="20"/>
          <w:color w:val="auto"/>
        </w:rPr>
      </w:pPr>
      <w:r>
        <w:rPr>
          <w:rFonts w:ascii="Times New Roman" w:cs="Times New Roman" w:eastAsia="Times New Roman" w:hAnsi="Times New Roman"/>
          <w:sz w:val="16"/>
          <w:szCs w:val="16"/>
          <w:color w:val="auto"/>
        </w:rPr>
        <w:t>•our cash expenditures related to the development of certain of our product candidates would increase significantly and we may need to seek additional financing;</w:t>
      </w:r>
    </w:p>
    <w:p>
      <w:pPr>
        <w:spacing w:after="0" w:line="59"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•we may be required to hire additional employees or otherwise develop expertise, such as clinical, regulatory, sales and marketing expertise, which we do not currently have;</w:t>
      </w:r>
    </w:p>
    <w:p>
      <w:pPr>
        <w:spacing w:after="0" w:line="59" w:lineRule="exact"/>
        <w:rPr>
          <w:sz w:val="20"/>
          <w:szCs w:val="20"/>
          <w:color w:val="auto"/>
        </w:rPr>
      </w:pPr>
    </w:p>
    <w:p>
      <w:pPr>
        <w:ind w:left="480" w:right="4440"/>
        <w:spacing w:after="0" w:line="408" w:lineRule="auto"/>
        <w:rPr>
          <w:sz w:val="20"/>
          <w:szCs w:val="20"/>
          <w:color w:val="auto"/>
        </w:rPr>
      </w:pPr>
      <w:r>
        <w:rPr>
          <w:rFonts w:ascii="Times New Roman" w:cs="Times New Roman" w:eastAsia="Times New Roman" w:hAnsi="Times New Roman"/>
          <w:sz w:val="14"/>
          <w:szCs w:val="14"/>
          <w:color w:val="auto"/>
        </w:rPr>
        <w:t>•we will bear all of the risk related to the development of any such product candidates; and •the competitiveness of any product candidate that is commercialized could be reduced.</w:t>
      </w:r>
    </w:p>
    <w:p>
      <w:pPr>
        <w:spacing w:after="0" w:line="1"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intend to rely on third- party manufacturers to produce our development- 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6" w:name="page47"/>
    <w:bookmarkEnd w:id="46"/>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sufficient quantities of product candidates in a timely manner, could lead to a delay in, or failure to obtain, regulatory approval of any of our product candidates.</w:t>
      </w:r>
    </w:p>
    <w:p>
      <w:pPr>
        <w:spacing w:after="0" w:line="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We plan to rely on third-party manufacturers to purchase from third -party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5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6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geopolitical unrest, legislation (such as the proposed BIOSECURE Act), sanctions or other regulatory requirements, or an epidemic in China, such as the COVID-19 pandemic, could materially adversely affect our business, financial condition and results of operations.</w:t>
      </w:r>
    </w:p>
    <w:p>
      <w:pPr>
        <w:spacing w:after="0" w:line="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third-party manufacturers for such intermediates for any product candidates we develop independently. Any disruption in production or inability of our manufacturers in China to produce adequate quantities to meet our needs, whether as a result of a natural disaster, pandemic or other cause, could impair our ability to operate our business on a day -to- 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or the series of so-called “lock-downs” in China when strict quarantine requirements were imposed on large population areas in response to new incidents of COVID infection. Our contract manufacturers in China, which are not located in the Wuhan region, managed to avoid any material delays in their ability to deliver API and other services through extraordinary efforts, including temporarily housing staff in the manufacturing facility. Furthermore, since these researchers and manufacturers are located in China, we are exposed to the possibility of product supply disruption and increased costs in the event of changes in the policies of the United States or Chinese governments, geopolitical unrest or unstable economic conditions in China. For example, a trade war could lead to tariffs on the chemical intermediates we use that are manufactured in China. In addition, our contract manufacturers and researchers in China may be subject to U.S. legislation, sanctions, tariffs, trade restrictions and other foreign regulatory requirements, which could increase the cost or reduce the supply of material available to us or delay or prevent the procurement or supply of such material. Any of these matters could materially and adversely affect our business and results of operations despite our ongoing efforts to mitigate these risks. For example, the proposed BIOSECURE Act, currently under consideration by the U.S. Congress, target U.S. government contracts, grants, and loans for entities that use equipment and services from certain named Chinese biotech companies, and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w:t>
      </w:r>
    </w:p>
    <w:p>
      <w:pPr>
        <w:spacing w:after="0" w:line="7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5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if geopolitical unrest disrupts activity at a number of our clinical trial sites, or if these third parties fail to timely transfer any regulatory information held by them to us, we may not be able to conduct our clinical trials in a timely manner, obtain regulatory approval for, or commercialize, our product candidates.</w:t>
      </w:r>
    </w:p>
    <w:p>
      <w:pPr>
        <w:spacing w:after="0" w:line="7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We rely on CROs, hospitals, clinics, academic institutions and other third -party collaborators who are outside our control to monitor, support, conduct and/or oversee preclinical and clinical studies of our product candidates. We also rely on third parties to perform clinical trials of our product candidates if and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Additionally, although no situations to date have caused a significant disruption in our clinical trial operations, geopolitical unrest or a pandemic could disrupt a number of our clinical trial sites and cause one or more of our clinical trials to be delayed. In the case of zelicapavir, we paused recruitment and dosing as a result of the COVID -19 pandemic in March 2020, but we were able to resume the studies in July 2020. The pause in these studies, as well as the absence of RSV in the population generally, delayed enrollment of these studies, and it is uncertain whether any of our other ongoing studies may be subject to further disruptions.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6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5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7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 w:name="page49"/>
    <w:bookmarkEnd w:id="48"/>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 Rights</w:t>
      </w:r>
    </w:p>
    <w:p>
      <w:pPr>
        <w:spacing w:after="0" w:line="9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5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7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6"/>
          <w:szCs w:val="16"/>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 -funded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7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5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7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It is also possible that we failed to identify, or may in the future fail to identify, relevant patents or patent applications held by third parties that cover our product candidates.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231"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9" w:name="page50"/>
    <w:bookmarkEnd w:id="49"/>
    <w:p>
      <w:pPr>
        <w:spacing w:after="0" w:line="7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1"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69" w:lineRule="exact"/>
        <w:rPr>
          <w:sz w:val="20"/>
          <w:szCs w:val="20"/>
          <w:color w:val="auto"/>
        </w:rPr>
      </w:pPr>
    </w:p>
    <w:p>
      <w:pPr>
        <w:ind w:right="9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Issued patents covering one or more of our product candidates could be found invalid or unenforceable if challenged in court, including as a result of counterclaims filed against us in connection with our efforts to enforce our intellectual property rights against third parties.</w:t>
      </w:r>
    </w:p>
    <w:p>
      <w:pPr>
        <w:spacing w:after="0" w:line="5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as has been asserted by Pfizer in our patent infringement suit in the United States regarding Paxlovid, Pfizer’s antiviral treatment for COVID-19. In patent litigation in the United States, Europe and in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If a defendant were to prevail on a legal assertion of invalidity and/or unenforceability, other than in litigation like the Pfizer case, which does not cover EDP-235,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23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as has been and may continue to be the case with the Pfizer litigation, and may divert the efforts of our scientific and management personnel.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causes the market price of our common stock to decline.</w:t>
      </w:r>
    </w:p>
    <w:p>
      <w:pPr>
        <w:spacing w:after="0" w:line="96"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0" w:name="page51"/>
    <w:bookmarkEnd w:id="50"/>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protect us from all potential threats to our competitive advantage.</w:t>
      </w:r>
    </w:p>
    <w:p>
      <w:pPr>
        <w:spacing w:after="0" w:line="9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9"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•others may be able to make compounds that are similar to our product candidates but that are not covered by the claims of the patents that we own or have exclusively licensed;</w:t>
      </w:r>
    </w:p>
    <w:p>
      <w:pPr>
        <w:spacing w:after="0" w:line="59" w:lineRule="exact"/>
        <w:rPr>
          <w:sz w:val="20"/>
          <w:szCs w:val="20"/>
          <w:color w:val="auto"/>
        </w:rPr>
      </w:pPr>
    </w:p>
    <w:p>
      <w:pPr>
        <w:ind w:left="480" w:right="700"/>
        <w:spacing w:after="0" w:line="259" w:lineRule="auto"/>
        <w:rPr>
          <w:sz w:val="20"/>
          <w:szCs w:val="20"/>
          <w:color w:val="auto"/>
        </w:rPr>
      </w:pPr>
      <w:r>
        <w:rPr>
          <w:rFonts w:ascii="Times New Roman" w:cs="Times New Roman" w:eastAsia="Times New Roman" w:hAnsi="Times New Roman"/>
          <w:sz w:val="16"/>
          <w:szCs w:val="16"/>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59" w:lineRule="exact"/>
        <w:rPr>
          <w:sz w:val="20"/>
          <w:szCs w:val="20"/>
          <w:color w:val="auto"/>
        </w:rPr>
      </w:pPr>
    </w:p>
    <w:p>
      <w:pPr>
        <w:ind w:left="480" w:right="140"/>
        <w:spacing w:after="0" w:line="259" w:lineRule="auto"/>
        <w:rPr>
          <w:sz w:val="20"/>
          <w:szCs w:val="20"/>
          <w:color w:val="auto"/>
        </w:rPr>
      </w:pPr>
      <w:r>
        <w:rPr>
          <w:rFonts w:ascii="Times New Roman" w:cs="Times New Roman" w:eastAsia="Times New Roman" w:hAnsi="Times New Roman"/>
          <w:sz w:val="16"/>
          <w:szCs w:val="16"/>
          <w:color w:val="auto"/>
        </w:rPr>
        <w:t>•we might not have been the first to file patent applications covering certain of our inventions, which could result in the patent applications not issuing or being invalidated after issuing;</w:t>
      </w:r>
    </w:p>
    <w:p>
      <w:pPr>
        <w:spacing w:after="0" w:line="59" w:lineRule="exact"/>
        <w:rPr>
          <w:sz w:val="20"/>
          <w:szCs w:val="20"/>
          <w:color w:val="auto"/>
        </w:rPr>
      </w:pPr>
    </w:p>
    <w:p>
      <w:pPr>
        <w:ind w:left="480" w:right="260"/>
        <w:spacing w:after="0" w:line="360" w:lineRule="auto"/>
        <w:rPr>
          <w:sz w:val="20"/>
          <w:szCs w:val="20"/>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 •it is possible that our pending patent applications will not lead to issued patents;</w:t>
      </w:r>
    </w:p>
    <w:p>
      <w:pPr>
        <w:ind w:left="480" w:right="100"/>
        <w:spacing w:after="0" w:line="243" w:lineRule="auto"/>
        <w:rPr>
          <w:sz w:val="20"/>
          <w:szCs w:val="20"/>
          <w:color w:val="auto"/>
        </w:rPr>
      </w:pPr>
      <w:r>
        <w:rPr>
          <w:rFonts w:ascii="Times New Roman" w:cs="Times New Roman" w:eastAsia="Times New Roman" w:hAnsi="Times New Roman"/>
          <w:sz w:val="16"/>
          <w:szCs w:val="16"/>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1"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 may fail to develop additional proprietary technologies that are patentable;</w:t>
      </w:r>
    </w:p>
    <w:p>
      <w:pPr>
        <w:spacing w:after="0" w:line="92" w:lineRule="exact"/>
        <w:rPr>
          <w:sz w:val="20"/>
          <w:szCs w:val="20"/>
          <w:color w:val="auto"/>
        </w:rPr>
      </w:pPr>
    </w:p>
    <w:p>
      <w:pPr>
        <w:ind w:left="480"/>
        <w:spacing w:after="0" w:line="243" w:lineRule="auto"/>
        <w:rPr>
          <w:sz w:val="20"/>
          <w:szCs w:val="20"/>
          <w:color w:val="auto"/>
        </w:rPr>
      </w:pPr>
      <w:r>
        <w:rPr>
          <w:rFonts w:ascii="Times New Roman" w:cs="Times New Roman" w:eastAsia="Times New Roman" w:hAnsi="Times New Roman"/>
          <w:sz w:val="16"/>
          <w:szCs w:val="16"/>
          <w:color w:val="auto"/>
        </w:rPr>
        <w:t>•the laws of certain foreign countries may not protect our intellectual property rights to the same extent as the laws of the United States (e.g., in March 2022, the Russian government adopted a decree allowing Russian local entities and individuals to use inventions, utility models and industrial designs held by owners from “unfriendly states” without the consent from the owner and liability for compensation), or we may fail to apply for or obtain adequate intellectual property protection in all the jurisdictions in which we operate; and</w:t>
      </w:r>
    </w:p>
    <w:p>
      <w:pPr>
        <w:spacing w:after="0" w:line="71"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6"/>
          <w:szCs w:val="16"/>
          <w:color w:val="auto"/>
        </w:rPr>
        <w:t>•the patents of others may have an adverse effect on our business, for example, by preventing us from marketing one or more of our product candidates for one or more indications.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the aforementioned threats to our competitive advantage could have a material adverse effect on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outcomes in intellectual property litigation could limit our research and development activities and/or our ability to commercialize certain products.</w:t>
      </w:r>
    </w:p>
    <w:p>
      <w:pPr>
        <w:spacing w:after="0" w:line="11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to continue our research and development programs or to market any resulting product. It is possible that the necessary license will not be available to us on commercially acceptable terms, or at all. Alternatively, we may be required to modify or redesign our products to avoid infringing or otherwise violating third -party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5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1" w:name="page52"/>
    <w:bookmarkEnd w:id="51"/>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continue our internal research programs, in-license needed technology, or enter into strategic partnerships that would help us bring our product candidates to market.</w:t>
      </w:r>
    </w:p>
    <w:p>
      <w:pPr>
        <w:spacing w:after="0" w:line="92"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Confidentiality agreements with employees and third parties may not prevent unauthorized disclosure of trade secrets and other proprietary information.</w:t>
      </w:r>
    </w:p>
    <w:p>
      <w:pPr>
        <w:spacing w:after="0" w:line="9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In addition to patents, we rely on trade secrets, technical know-how and proprietary information concerning our business strategy and product candidates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8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7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patent law could diminish the value of patents in general, thereby impairing our ability to protect our products.</w:t>
      </w:r>
    </w:p>
    <w:p>
      <w:pPr>
        <w:spacing w:after="0" w:line="9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2" w:name="page53"/>
    <w:bookmarkEnd w:id="52"/>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Industry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1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is alleged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Regardless of the merits or eventual outcome, liability claims may result in:</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•decreased demand for our product candidates or any resulting products;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•injury to our reputation;</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•withdrawal of clinical trial participants;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•costs to defend the related litigation;</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diversion of management’s time and our resources;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•substantial monetary awards to trial participants or patients;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•product recalls, withdrawals or labeling, marketing or promotional restrictions;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•loss of revenue;</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inability to commercialize our product candidates;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decline in our stock price.</w:t>
      </w:r>
    </w:p>
    <w:p>
      <w:pPr>
        <w:spacing w:after="0" w:line="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5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7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3" w:name="page54"/>
    <w:bookmarkEnd w:id="53"/>
    <w:p>
      <w:pPr>
        <w:spacing w:after="0" w:line="7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67"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Healthcare providers, physicians and third -party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41" w:lineRule="exact"/>
        <w:rPr>
          <w:sz w:val="20"/>
          <w:szCs w:val="20"/>
          <w:color w:val="auto"/>
        </w:rPr>
      </w:pPr>
    </w:p>
    <w:p>
      <w:pPr>
        <w:ind w:left="480" w:right="180"/>
        <w:spacing w:after="0" w:line="247" w:lineRule="auto"/>
        <w:rPr>
          <w:sz w:val="20"/>
          <w:szCs w:val="20"/>
          <w:color w:val="auto"/>
        </w:rPr>
      </w:pPr>
      <w:r>
        <w:rPr>
          <w:rFonts w:ascii="Times New Roman" w:cs="Times New Roman" w:eastAsia="Times New Roman" w:hAnsi="Times New Roman"/>
          <w:sz w:val="16"/>
          <w:szCs w:val="16"/>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6" w:lineRule="exact"/>
        <w:rPr>
          <w:sz w:val="20"/>
          <w:szCs w:val="20"/>
          <w:color w:val="auto"/>
        </w:rPr>
      </w:pPr>
    </w:p>
    <w:p>
      <w:pPr>
        <w:jc w:val="both"/>
        <w:ind w:left="480" w:right="20"/>
        <w:spacing w:after="0" w:line="248" w:lineRule="auto"/>
        <w:rPr>
          <w:sz w:val="20"/>
          <w:szCs w:val="20"/>
          <w:color w:val="auto"/>
        </w:rPr>
      </w:pPr>
      <w:r>
        <w:rPr>
          <w:rFonts w:ascii="Times New Roman" w:cs="Times New Roman" w:eastAsia="Times New Roman" w:hAnsi="Times New Roman"/>
          <w:sz w:val="16"/>
          <w:szCs w:val="16"/>
          <w:color w:val="auto"/>
        </w:rPr>
        <w:t xml:space="preserve">•the federal False Claims Act imposes criminal and civil penalties, including civil whistleblower or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8" w:lineRule="exact"/>
        <w:rPr>
          <w:sz w:val="20"/>
          <w:szCs w:val="20"/>
          <w:color w:val="auto"/>
        </w:rPr>
      </w:pPr>
    </w:p>
    <w:p>
      <w:pPr>
        <w:ind w:left="480" w:right="180"/>
        <w:spacing w:after="0" w:line="247" w:lineRule="auto"/>
        <w:rPr>
          <w:sz w:val="20"/>
          <w:szCs w:val="20"/>
          <w:color w:val="auto"/>
        </w:rPr>
      </w:pPr>
      <w:r>
        <w:rPr>
          <w:rFonts w:ascii="Times New Roman" w:cs="Times New Roman" w:eastAsia="Times New Roman" w:hAnsi="Times New Roman"/>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68" w:lineRule="exact"/>
        <w:rPr>
          <w:sz w:val="20"/>
          <w:szCs w:val="20"/>
          <w:color w:val="auto"/>
        </w:rPr>
      </w:pPr>
    </w:p>
    <w:p>
      <w:pPr>
        <w:ind w:left="480" w:right="560"/>
        <w:spacing w:after="0" w:line="259" w:lineRule="auto"/>
        <w:rPr>
          <w:sz w:val="20"/>
          <w:szCs w:val="20"/>
          <w:color w:val="auto"/>
        </w:rPr>
      </w:pPr>
      <w:r>
        <w:rPr>
          <w:rFonts w:ascii="Times New Roman" w:cs="Times New Roman" w:eastAsia="Times New Roman" w:hAnsi="Times New Roman"/>
          <w:sz w:val="16"/>
          <w:szCs w:val="16"/>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9"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•the federal transparency requirements under the Patient Protection and Affordable Care Act of 2010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68" w:lineRule="exact"/>
        <w:rPr>
          <w:sz w:val="20"/>
          <w:szCs w:val="20"/>
          <w:color w:val="auto"/>
        </w:rPr>
      </w:pPr>
    </w:p>
    <w:p>
      <w:pPr>
        <w:ind w:left="480" w:right="360"/>
        <w:spacing w:after="0" w:line="241" w:lineRule="auto"/>
        <w:rPr>
          <w:sz w:val="20"/>
          <w:szCs w:val="20"/>
          <w:color w:val="auto"/>
        </w:rPr>
      </w:pPr>
      <w:r>
        <w:rPr>
          <w:rFonts w:ascii="Times New Roman" w:cs="Times New Roman" w:eastAsia="Times New Roman" w:hAnsi="Times New Roman"/>
          <w:sz w:val="16"/>
          <w:szCs w:val="16"/>
          <w:color w:val="auto"/>
        </w:rPr>
        <w:t>•analogous state laws and regulations, such as state anti-kickback and false claims laws, may apply to sales or marketing arrangements and claims involving healthcare items or services reimbursed by non-governmental third -party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•analogous anti-kickback, fraud and abuse and healthcare laws and regulations states, as well as in foreign countries.</w:t>
      </w:r>
    </w:p>
    <w:p>
      <w:pPr>
        <w:spacing w:after="0" w:line="9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4" w:name="page55"/>
    <w:bookmarkEnd w:id="54"/>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stock price has been, and is likely to continue to be, volatile, and thus our stockholders could incur substantial losses.</w:t>
      </w:r>
    </w:p>
    <w:p>
      <w:pPr>
        <w:spacing w:after="0" w:line="9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Our stock price has been volatile and could be subject to wide fluctuations in response to various factors, many of which are beyond our control. From October 1, 2020 through September 30, 2025, the daily closing price of our common stock on the Nasdaq Global Select Market has ranged from $4.26 to $97.37. The stock market in general and the market for biopharmaceutical companies, and for those developing potential therapies for viral infections in particular, have experienced extreme volatility that has often been unrelated to the operating performance of particular companies. As a result of this volatility, you may not be able to sell your holdings of our common stock at or above your purchase price, if at all. The market price for our common stock may be influenced by many factors, including:</w:t>
      </w:r>
    </w:p>
    <w:p>
      <w:pPr>
        <w:spacing w:after="0" w:line="73" w:lineRule="exact"/>
        <w:rPr>
          <w:sz w:val="20"/>
          <w:szCs w:val="20"/>
          <w:color w:val="auto"/>
        </w:rPr>
      </w:pPr>
    </w:p>
    <w:p>
      <w:pPr>
        <w:ind w:left="480" w:right="360"/>
        <w:spacing w:after="0" w:line="360" w:lineRule="auto"/>
        <w:rPr>
          <w:sz w:val="20"/>
          <w:szCs w:val="20"/>
          <w:color w:val="auto"/>
        </w:rPr>
      </w:pPr>
      <w:r>
        <w:rPr>
          <w:rFonts w:ascii="Times New Roman" w:cs="Times New Roman" w:eastAsia="Times New Roman" w:hAnsi="Times New Roman"/>
          <w:sz w:val="16"/>
          <w:szCs w:val="16"/>
          <w:color w:val="auto"/>
        </w:rPr>
        <w:t>•results from or delays of clinical trials of our product candidates, as well as results of regulatory reviews relating to the approval of our product candidates; •the results of our efforts to discover or develop additional product candidates;</w:t>
      </w:r>
    </w:p>
    <w:p>
      <w:pPr>
        <w:ind w:left="480" w:right="560"/>
        <w:spacing w:after="0" w:line="259" w:lineRule="auto"/>
        <w:rPr>
          <w:sz w:val="20"/>
          <w:szCs w:val="20"/>
          <w:color w:val="auto"/>
        </w:rPr>
      </w:pPr>
      <w:r>
        <w:rPr>
          <w:rFonts w:ascii="Times New Roman" w:cs="Times New Roman" w:eastAsia="Times New Roman" w:hAnsi="Times New Roman"/>
          <w:sz w:val="16"/>
          <w:szCs w:val="16"/>
          <w:color w:val="auto"/>
        </w:rPr>
        <w:t>•new products, product candidates or new uses for existing products or technologies introduced or announced by our competitors and the timing of these introductions or announcements;</w:t>
      </w:r>
    </w:p>
    <w:p>
      <w:pPr>
        <w:spacing w:after="0" w:line="59"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•market expectations about and response to the levels of sales or scripts achieved by, or the announced prices or discounts for, AbbVie’s MAVYRET/MAVIRET regimen or competitive HCV drugs;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•failure of AbbVie’s MAVYRET/MAVIRET regimen to maintain its sales levels;</w:t>
      </w:r>
    </w:p>
    <w:p>
      <w:pPr>
        <w:spacing w:after="0" w:line="92" w:lineRule="exact"/>
        <w:rPr>
          <w:sz w:val="20"/>
          <w:szCs w:val="20"/>
          <w:color w:val="auto"/>
        </w:rPr>
      </w:pPr>
    </w:p>
    <w:p>
      <w:pPr>
        <w:ind w:left="480" w:right="1800"/>
        <w:spacing w:after="0" w:line="360" w:lineRule="auto"/>
        <w:rPr>
          <w:sz w:val="20"/>
          <w:szCs w:val="20"/>
          <w:color w:val="auto"/>
        </w:rPr>
      </w:pPr>
      <w:r>
        <w:rPr>
          <w:rFonts w:ascii="Times New Roman" w:cs="Times New Roman" w:eastAsia="Times New Roman" w:hAnsi="Times New Roman"/>
          <w:sz w:val="16"/>
          <w:szCs w:val="16"/>
          <w:color w:val="auto"/>
        </w:rPr>
        <w:t>•our dependence on third parties, including our collaborators, CROs, manufacturers, clinical trial sponsors and clinical investigators; •regulatory, political or legal developments in the United States or other countries;</w:t>
      </w:r>
    </w:p>
    <w:p>
      <w:pPr>
        <w:ind w:left="480" w:right="3840"/>
        <w:spacing w:after="0" w:line="360" w:lineRule="auto"/>
        <w:rPr>
          <w:sz w:val="20"/>
          <w:szCs w:val="20"/>
          <w:color w:val="auto"/>
        </w:rPr>
      </w:pPr>
      <w:r>
        <w:rPr>
          <w:rFonts w:ascii="Times New Roman" w:cs="Times New Roman" w:eastAsia="Times New Roman" w:hAnsi="Times New Roman"/>
          <w:sz w:val="16"/>
          <w:szCs w:val="16"/>
          <w:color w:val="auto"/>
        </w:rPr>
        <w:t>•developments or disputes concerning patent applications, issued patents or other proprietary rights; •the recruitment or departure of key scientific or management personnel;</w:t>
      </w:r>
    </w:p>
    <w:p>
      <w:pPr>
        <w:ind w:left="480" w:right="4020"/>
        <w:spacing w:after="0" w:line="411" w:lineRule="auto"/>
        <w:rPr>
          <w:sz w:val="20"/>
          <w:szCs w:val="20"/>
          <w:color w:val="auto"/>
        </w:rPr>
      </w:pPr>
      <w:r>
        <w:rPr>
          <w:rFonts w:ascii="Times New Roman" w:cs="Times New Roman" w:eastAsia="Times New Roman" w:hAnsi="Times New Roman"/>
          <w:sz w:val="14"/>
          <w:szCs w:val="14"/>
          <w:color w:val="auto"/>
        </w:rPr>
        <w:t>•our ability to commercialize our product candidates we develop independently, if approved; •the level of expenses related to any of our product candidates or clinical development programs;</w:t>
      </w:r>
    </w:p>
    <w:p>
      <w:pPr>
        <w:spacing w:after="0" w:line="1" w:lineRule="exact"/>
        <w:rPr>
          <w:sz w:val="20"/>
          <w:szCs w:val="20"/>
          <w:color w:val="auto"/>
        </w:rPr>
      </w:pPr>
    </w:p>
    <w:p>
      <w:pPr>
        <w:ind w:left="480" w:right="1860"/>
        <w:spacing w:after="0" w:line="360" w:lineRule="auto"/>
        <w:rPr>
          <w:sz w:val="20"/>
          <w:szCs w:val="20"/>
          <w:color w:val="auto"/>
        </w:rPr>
      </w:pPr>
      <w:r>
        <w:rPr>
          <w:rFonts w:ascii="Times New Roman" w:cs="Times New Roman" w:eastAsia="Times New Roman" w:hAnsi="Times New Roman"/>
          <w:sz w:val="16"/>
          <w:szCs w:val="16"/>
          <w:color w:val="auto"/>
        </w:rPr>
        <w:t>•actual or anticipated changes in estimates as to financial results, development timelines or recommendations by securities analysts; •period-to-period variations in our financial results or those of companies that are perceived to be similar to us; •market conditions in the pharmaceutical and biotechnology sectors;</w:t>
      </w:r>
    </w:p>
    <w:p>
      <w:pPr>
        <w:ind w:left="480"/>
        <w:spacing w:after="0"/>
        <w:rPr>
          <w:sz w:val="20"/>
          <w:szCs w:val="20"/>
          <w:color w:val="auto"/>
        </w:rPr>
      </w:pPr>
      <w:r>
        <w:rPr>
          <w:rFonts w:ascii="Times New Roman" w:cs="Times New Roman" w:eastAsia="Times New Roman" w:hAnsi="Times New Roman"/>
          <w:sz w:val="16"/>
          <w:szCs w:val="16"/>
          <w:color w:val="auto"/>
        </w:rPr>
        <w:t>•sales of common stock by us or our stockholders in the future, as well as the overall trading volume of our common stock;</w:t>
      </w:r>
    </w:p>
    <w:p>
      <w:pPr>
        <w:spacing w:after="0" w:line="92"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•changes in the structure of healthcare payment systems or other actions that affect the effective reimbursement rates for treatment regimens containing our products or for competitive regimens;</w:t>
      </w:r>
    </w:p>
    <w:p>
      <w:pPr>
        <w:spacing w:after="0" w:line="59"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other factors described in this “Risk Factors” section.</w:t>
      </w:r>
    </w:p>
    <w:p>
      <w:pPr>
        <w:spacing w:after="0" w:line="8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5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2025 we had 21.4 million shares of common stock outstanding. In addition, as of September 30, 2025, we had 5.8 million and 0.6 million shares of common stock that are subject to outstanding options and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73"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our stock price and trading volume would likely decline.</w:t>
      </w:r>
    </w:p>
    <w:p>
      <w:pPr>
        <w:spacing w:after="0" w:line="5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The trading market for our common stock will depend in part on the research and reports that securities or industry analysts publish about us or our business. For example, when those analysts are unable to predict accurately the demand and net sales of AbbVie’s HCV regimens, our reported revenues have often been lower than the so-called “market consensus” of our projected revenues, which has at times negatively affected our stock price. When one or more of the analysts who cover us downgrades our stock or publishes inaccurate or unfavorable research about our business, our stock price has declined. If one or more of these analysts cease coverage of our company or fail to publish reports on us regularly, demand for our stock could decrease, which might cause our stock price and trading volume to decline. In addition, if too few securities or industry analysts cover our company, the trading price for our stock would likely be negatively impacted.</w:t>
      </w:r>
    </w:p>
    <w:p>
      <w:pPr>
        <w:spacing w:after="0" w:line="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5"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1" w:lineRule="exact"/>
        <w:rPr>
          <w:sz w:val="20"/>
          <w:szCs w:val="20"/>
          <w:color w:val="auto"/>
        </w:rPr>
      </w:pPr>
    </w:p>
    <w:p>
      <w:pPr>
        <w:ind w:left="480" w:right="2900"/>
        <w:spacing w:after="0" w:line="360" w:lineRule="auto"/>
        <w:rPr>
          <w:sz w:val="20"/>
          <w:szCs w:val="20"/>
          <w:color w:val="auto"/>
        </w:rPr>
      </w:pPr>
      <w:r>
        <w:rPr>
          <w:rFonts w:ascii="Times New Roman" w:cs="Times New Roman" w:eastAsia="Times New Roman" w:hAnsi="Times New Roman"/>
          <w:sz w:val="16"/>
          <w:szCs w:val="16"/>
          <w:color w:val="auto"/>
        </w:rPr>
        <w:t>•establish a classified or staggered board of directors such that not all members of the board are elected at one time; •allow the authorized number of our directors to be changed only by resolution of our board of directors; •limit the manner in which stockholders can remove directors from the board;</w:t>
      </w:r>
    </w:p>
    <w:p>
      <w:pPr>
        <w:ind w:left="480" w:right="580"/>
        <w:spacing w:after="0" w:line="360" w:lineRule="auto"/>
        <w:rPr>
          <w:sz w:val="20"/>
          <w:szCs w:val="20"/>
          <w:color w:val="auto"/>
        </w:rPr>
      </w:pPr>
      <w:r>
        <w:rPr>
          <w:rFonts w:ascii="Times New Roman" w:cs="Times New Roman" w:eastAsia="Times New Roman" w:hAnsi="Times New Roman"/>
          <w:sz w:val="16"/>
          <w:szCs w:val="16"/>
          <w:color w:val="auto"/>
        </w:rPr>
        <w:t>•establish advance notice requirements for stockholder proposals that can be acted on at stockholder meetings and nominations to our board of directors; •require that stockholder actions must be effected at a duly called stockholder meeting and prohibit actions by our stockholders by written consent; •limit who may call stockholder meetings;</w:t>
      </w:r>
    </w:p>
    <w:p>
      <w:pPr>
        <w:ind w:left="480" w:right="200"/>
        <w:spacing w:after="0" w:line="259" w:lineRule="auto"/>
        <w:rPr>
          <w:sz w:val="20"/>
          <w:szCs w:val="20"/>
          <w:color w:val="auto"/>
        </w:rPr>
      </w:pPr>
      <w:r>
        <w:rPr>
          <w:rFonts w:ascii="Times New Roman" w:cs="Times New Roman" w:eastAsia="Times New Roman" w:hAnsi="Times New Roman"/>
          <w:sz w:val="16"/>
          <w:szCs w:val="16"/>
          <w:color w:val="auto"/>
        </w:rPr>
        <w:t>•provide that the state courts or, in certain circumstances, the federal courts, in Delaware shall be the sole and exclusive forum for certain actions involving us, our directors, officers, employees and stockholders;</w:t>
      </w:r>
    </w:p>
    <w:p>
      <w:pPr>
        <w:spacing w:after="0" w:line="59" w:lineRule="exact"/>
        <w:rPr>
          <w:sz w:val="20"/>
          <w:szCs w:val="20"/>
          <w:color w:val="auto"/>
        </w:rPr>
      </w:pPr>
    </w:p>
    <w:p>
      <w:pPr>
        <w:jc w:val="both"/>
        <w:ind w:left="480" w:right="140"/>
        <w:spacing w:after="0" w:line="247" w:lineRule="auto"/>
        <w:rPr>
          <w:sz w:val="20"/>
          <w:szCs w:val="20"/>
          <w:color w:val="auto"/>
        </w:rPr>
      </w:pPr>
      <w:r>
        <w:rPr>
          <w:rFonts w:ascii="Times New Roman" w:cs="Times New Roman" w:eastAsia="Times New Roman" w:hAnsi="Times New Roman"/>
          <w:sz w:val="16"/>
          <w:szCs w:val="16"/>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•require the approval of the holders of at least 66 2/3% of the votes that all our stockholders would be entitled to cast to amend or repeal certain provisions of our charter or bylaws.</w:t>
      </w:r>
    </w:p>
    <w:p>
      <w:pPr>
        <w:spacing w:after="0" w:line="5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4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Our executive officers are parties to employment agreements that provide for aggregate cash payments of up to approximately $6.3 million for severance and other non-equity-based benefits in the event of a termination of employment in connection with a change of control of our company. The payment of these severance benefits could harm our company’s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6" w:name="page57"/>
    <w:bookmarkEnd w:id="56"/>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condition and results. In addition, these potential severance payments may discourage or prevent third parties from seeking a business combination with us.</w:t>
      </w:r>
    </w:p>
    <w:p>
      <w:pPr>
        <w:spacing w:after="0" w:line="11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do not anticipate paying cash dividends on our common stock for the foreseeable future, investors in our common stock may never receive a return on their investment.</w:t>
      </w:r>
    </w:p>
    <w:p>
      <w:pPr>
        <w:spacing w:after="0" w:line="55"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59"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use future net operating loss carryforwards, research and development tax credit carryforwards, and certain other tax attributes may be limited.</w:t>
      </w:r>
    </w:p>
    <w:p>
      <w:pPr>
        <w:spacing w:after="0" w:line="9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ability to utilize future net operating loss carryforwards (“NOLs”) generated as well as research and development tax credit carryforwards may be limited under Section 382 of the Internal Revenue Code (“IRC”) or applicable state tax law. The Section 382 limitations apply if an “ownership change” occurs. Generally, an ownership change results from transactions that increase the ownership of 5% stockholders in the stock of a corporation by more than 50% in the aggregate over a three-year period. We have evaluated whether one or more ownership changes under Section 382 have occurred since our inception and have determined that there have been such changes through September 30, 2022. Although we believe that these ownership changes have not resulted in material limitations on our ability to utilize existing NOL carryforwards and research and development tax credit carryforwards, our ability to utilize future NOLs and research and development tax credit carryforwards may be limited due to future ownership changes or for other reasons. As a result, we may not be able to take full advantage of NOL carryforwards and research and development tax credit carryforwards for U.S. federal and state income tax purposes.</w:t>
      </w:r>
    </w:p>
    <w:p>
      <w:pPr>
        <w:spacing w:after="0" w:line="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a smaller reporting company, and any decision on our part to comply only with reduced reporting and disclosure requirements applicable to such companies could make our common stock less attractive to investors.</w:t>
      </w:r>
    </w:p>
    <w:p>
      <w:pPr>
        <w:spacing w:after="0" w:line="5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As of March 31, 2024, we qualified as a “smaller reporting company,” as defined in the Exchange Act of 1934, as amended, or the Exchange Act.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and only being required to provide two years of audited financial statements in annual reports.</w:t>
      </w:r>
    </w:p>
    <w:p>
      <w:pPr>
        <w:spacing w:after="0" w:line="7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will remain a smaller reporting company so long as, as of March 31 of the preceding year, (i) the market value of our common stock held by non-affiliates, or our public float, is less than $250.0 million; or (ii) we have annual revenues less than $100.0 million and either we have no public float or our public float is less than $700.0 million.</w:t>
      </w:r>
    </w:p>
    <w:p>
      <w:pPr>
        <w:spacing w:after="0" w:line="6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If we take advantage of some or all of the reduced disclosure requirements available to smaller reporting companies, investors may find our common stock less attractive, which may result in a less active trading market for our common stock and greater stock price volatility. For so long as we are a smaller reporting company and are not classified as an “accelerated filer” or “large accelerated filer” pursuant to SEC rules, we will be exempt from the auditor attestation requirements of Section 404(b) of the Sarbanes-Oxley Act.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90"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7" w:name="page58"/>
    <w:bookmarkEnd w:id="57"/>
    <w:p>
      <w:pPr>
        <w:spacing w:after="0" w:line="7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insurance policies are expensive and only protect us from specified business risks, which will leave us exposed to significant uninsured liabilities.</w:t>
      </w:r>
    </w:p>
    <w:p>
      <w:pPr>
        <w:spacing w:after="0" w:line="9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4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70" w:lineRule="exact"/>
        <w:rPr>
          <w:sz w:val="20"/>
          <w:szCs w:val="20"/>
          <w:color w:val="auto"/>
        </w:rPr>
      </w:pPr>
    </w:p>
    <w:p>
      <w:pPr>
        <w:ind w:right="6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5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We are increasingly dependent upon information technology systems, infrastructure, and data to operate our business. We also rely on third-party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 computer hacking, malicious code (such as computer viruses or worms), fraudulent activity, employee misconduct, theft, or error, denial-of-service attacks, telecommunication, and electrical failures, natural disasters, public health epidemics, such as the COVID-19 pandemic, cyber -attacks by sophisticated nation- state and nation -state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7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71"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We may not have adequate insurance coverage for security incidents or breaches. The successful assertion of one or more large claims against us that exceeds our available insurance coverage, or results in changes to our insurance policies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8" w:name="page59"/>
    <w:bookmarkEnd w:id="58"/>
    <w:p>
      <w:pPr>
        <w:spacing w:after="0" w:line="77" w:lineRule="exact"/>
        <w:rPr>
          <w:sz w:val="20"/>
          <w:szCs w:val="20"/>
          <w:color w:val="auto"/>
        </w:rPr>
      </w:pPr>
    </w:p>
    <w:p>
      <w:pPr>
        <w:ind w:left="80" w:right="160"/>
        <w:spacing w:after="0" w:line="247" w:lineRule="auto"/>
        <w:rPr>
          <w:sz w:val="20"/>
          <w:szCs w:val="20"/>
          <w:color w:val="auto"/>
        </w:rPr>
      </w:pPr>
      <w:r>
        <w:rPr>
          <w:rFonts w:ascii="Times New Roman" w:cs="Times New Roman" w:eastAsia="Times New Roman" w:hAnsi="Times New Roman"/>
          <w:sz w:val="16"/>
          <w:szCs w:val="16"/>
          <w:color w:val="auto"/>
        </w:rPr>
        <w:t>(including premium increases or the imposition of large deductible or co -insurance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Use of social media could give rise to liability or reputational harm.</w:t>
      </w:r>
    </w:p>
    <w:p>
      <w:pPr>
        <w:spacing w:after="0" w:line="96" w:lineRule="exact"/>
        <w:rPr>
          <w:sz w:val="20"/>
          <w:szCs w:val="20"/>
          <w:color w:val="auto"/>
        </w:rPr>
      </w:pPr>
    </w:p>
    <w:p>
      <w:pPr>
        <w:ind w:left="80" w:right="80"/>
        <w:spacing w:after="0" w:line="241" w:lineRule="auto"/>
        <w:rPr>
          <w:sz w:val="20"/>
          <w:szCs w:val="20"/>
          <w:color w:val="auto"/>
        </w:rPr>
      </w:pPr>
      <w:r>
        <w:rPr>
          <w:rFonts w:ascii="Times New Roman" w:cs="Times New Roman" w:eastAsia="Times New Roman" w:hAnsi="Times New Roman"/>
          <w:sz w:val="16"/>
          <w:szCs w:val="16"/>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We maintain our cash at financial institutions, often in balances that exceed federally insured limits.</w:t>
      </w:r>
    </w:p>
    <w:p>
      <w:pPr>
        <w:spacing w:after="0" w:line="96" w:lineRule="exact"/>
        <w:rPr>
          <w:sz w:val="20"/>
          <w:szCs w:val="20"/>
          <w:color w:val="auto"/>
        </w:rPr>
      </w:pPr>
    </w:p>
    <w:p>
      <w:pPr>
        <w:ind w:left="80"/>
        <w:spacing w:after="0" w:line="239" w:lineRule="auto"/>
        <w:rPr>
          <w:sz w:val="20"/>
          <w:szCs w:val="20"/>
          <w:color w:val="auto"/>
        </w:rPr>
      </w:pPr>
      <w:r>
        <w:rPr>
          <w:rFonts w:ascii="Times New Roman" w:cs="Times New Roman" w:eastAsia="Times New Roman" w:hAnsi="Times New Roman"/>
          <w:sz w:val="16"/>
          <w:szCs w:val="16"/>
          <w:color w:val="auto"/>
        </w:rPr>
        <w:t>The majority of our cash is held in accounts at U.S. banking institutions. Cash held in depository accounts may exceed the Federal Deposit Insurance Corporation (“FDIC”) standard deposit insurance limit of $250,000. If such banking institutions were to fail, such as Silicon Valley Bank when the FDIC took control in March 2023, we could lose all or a portion of those amounts held in excess of such insured amounts. In the future, access to our cash in amounts adequate to finance our operations could be significantly impaired if the financial institutions with which we have arrangements encounter liquidity constraints or failures. Any future limitation on timely access to our funds or any material loss that we may experience in the future could have a material adverse effect on our financial condition and could materially impact our ability to pay our operating expenses or make other payments.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None.</w:t>
      </w:r>
    </w:p>
    <w:p>
      <w:pPr>
        <w:spacing w:after="0" w:line="90"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 RISK MANAGEMENT AND STRATEGY</w:t>
      </w:r>
    </w:p>
    <w:p>
      <w:pPr>
        <w:spacing w:after="0" w:line="118" w:lineRule="exact"/>
        <w:rPr>
          <w:sz w:val="20"/>
          <w:szCs w:val="20"/>
          <w:color w:val="auto"/>
        </w:rPr>
      </w:pPr>
    </w:p>
    <w:p>
      <w:pPr>
        <w:ind w:left="80" w:right="20"/>
        <w:spacing w:after="0" w:line="241" w:lineRule="auto"/>
        <w:rPr>
          <w:sz w:val="20"/>
          <w:szCs w:val="20"/>
          <w:color w:val="auto"/>
        </w:rPr>
      </w:pPr>
      <w:r>
        <w:rPr>
          <w:rFonts w:ascii="Times New Roman" w:cs="Times New Roman" w:eastAsia="Times New Roman" w:hAnsi="Times New Roman"/>
          <w:sz w:val="16"/>
          <w:szCs w:val="16"/>
          <w:color w:val="auto"/>
        </w:rPr>
        <w:t>We have continued to invest in an evolving state-of-the-art cybersecurity framework of tools, processes, training, and people designed to efficiently assess, identify, and remediate material risks that could affect business operations, financials, or public reputation. Our multi-layered approach to cybersecurity involves regular network monitoring, vulnerability scanning, advanced threat detection, and incident response capabilities against recognized cyber threats to our business and stakeholders, including ransomware, data breaches and insider threats. We regularly update our security measures, as necessary, to ensure we address all new threats and technologies, using the National Institute of Standards and Technology (“NIST”) Framework as a guide, when appropriate and relevant to our business.</w:t>
      </w:r>
    </w:p>
    <w:p>
      <w:pPr>
        <w:spacing w:after="0" w:line="73" w:lineRule="exact"/>
        <w:rPr>
          <w:sz w:val="20"/>
          <w:szCs w:val="20"/>
          <w:color w:val="auto"/>
        </w:rPr>
      </w:pPr>
    </w:p>
    <w:p>
      <w:pPr>
        <w:jc w:val="both"/>
        <w:ind w:left="80" w:right="240"/>
        <w:spacing w:after="0" w:line="247" w:lineRule="auto"/>
        <w:rPr>
          <w:sz w:val="20"/>
          <w:szCs w:val="20"/>
          <w:color w:val="auto"/>
        </w:rPr>
      </w:pPr>
      <w:r>
        <w:rPr>
          <w:rFonts w:ascii="Times New Roman" w:cs="Times New Roman" w:eastAsia="Times New Roman" w:hAnsi="Times New Roman"/>
          <w:sz w:val="16"/>
          <w:szCs w:val="16"/>
          <w:color w:val="auto"/>
        </w:rPr>
        <w:t>As further protections, we utilize encryption, access control mechanisms and secure cloud infrastructures, and we invest in extensive user training. All users regularly undergo updated cybersecurity awareness training in an ongoing effort to reduce the risk of human error contributing to any potential security incidents. All users are also subject to simulated phishing emails with real time feedback for a more continuous layer of training.</w:t>
      </w:r>
    </w:p>
    <w:p>
      <w:pPr>
        <w:spacing w:after="0" w:line="68" w:lineRule="exact"/>
        <w:rPr>
          <w:sz w:val="20"/>
          <w:szCs w:val="20"/>
          <w:color w:val="auto"/>
        </w:rPr>
      </w:pPr>
    </w:p>
    <w:p>
      <w:pPr>
        <w:ind w:left="80" w:right="80"/>
        <w:spacing w:after="0" w:line="241" w:lineRule="auto"/>
        <w:rPr>
          <w:sz w:val="20"/>
          <w:szCs w:val="20"/>
          <w:color w:val="auto"/>
        </w:rPr>
      </w:pPr>
      <w:r>
        <w:rPr>
          <w:rFonts w:ascii="Times New Roman" w:cs="Times New Roman" w:eastAsia="Times New Roman" w:hAnsi="Times New Roman"/>
          <w:sz w:val="16"/>
          <w:szCs w:val="16"/>
          <w:color w:val="auto"/>
        </w:rPr>
        <w:t>We have retained an industry expert to be our virtual Information Security Officer (“vISO”) to assist and guide our IT organization in maintaining and evolving a comprehensive and robust cyber security environment. Monthly meetings review all facets of our current status against appropriate NIST standards, review any incidents, and review the results of ongoing simulated phishing exercises to identify certain users who may need extended training. In addition, as part of our annual security review, we hire a third-party network penetration testing firm to provide simulated probing and subsequent reporting. We use the results of these annual tests to improve the strength and flexibility of our network’s security.</w:t>
      </w:r>
    </w:p>
    <w:p>
      <w:pPr>
        <w:spacing w:after="0" w:line="73" w:lineRule="exact"/>
        <w:rPr>
          <w:sz w:val="20"/>
          <w:szCs w:val="20"/>
          <w:color w:val="auto"/>
        </w:rPr>
      </w:pPr>
    </w:p>
    <w:p>
      <w:pPr>
        <w:ind w:left="80" w:right="80"/>
        <w:spacing w:after="0" w:line="239" w:lineRule="auto"/>
        <w:rPr>
          <w:sz w:val="20"/>
          <w:szCs w:val="20"/>
          <w:color w:val="auto"/>
        </w:rPr>
      </w:pPr>
      <w:r>
        <w:rPr>
          <w:rFonts w:ascii="Times New Roman" w:cs="Times New Roman" w:eastAsia="Times New Roman" w:hAnsi="Times New Roman"/>
          <w:sz w:val="16"/>
          <w:szCs w:val="16"/>
          <w:color w:val="auto"/>
        </w:rPr>
        <w:t>Our Incident Response Plan (“IRP”) has evolved with our cyber environment and consists of a set of state-of-the- art -tools capable of monitoring, reporting and alerting, as well as regular reviews. The IRP also sets forth guidelines on how to triage, assess the severity and materiality of findings, and remediate and escalate findings to upper management in a timely manner, as necessary. In addition, as part of our overall risk mitigation strategy, we also maintain cyber insurance coverage. However, such insurance may not be sufficient to cover us against all possible claims related to security breaches, cyber-attacks and other related breaches. As of the date of this report, we have not identified cybersecurity threats that we believe are reasonably likely to materially affect us. However, cybersecurity risk is dynamic, and future incidents could materially affect our operations, financial condition, or reputation.</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440" w:right="660" w:bottom="1440" w:gutter="0" w:footer="0" w:header="0"/>
        </w:sectPr>
      </w:pPr>
    </w:p>
    <w:bookmarkStart w:id="59" w:name="page60"/>
    <w:bookmarkEnd w:id="59"/>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Cybersecurity Governance and Oversight</w:t>
      </w:r>
    </w:p>
    <w:p>
      <w:pPr>
        <w:spacing w:after="0" w:line="94" w:lineRule="exact"/>
        <w:rPr>
          <w:sz w:val="20"/>
          <w:szCs w:val="20"/>
          <w:color w:val="auto"/>
        </w:rPr>
      </w:pPr>
    </w:p>
    <w:p>
      <w:pPr>
        <w:jc w:val="both"/>
        <w:ind w:left="80" w:right="100"/>
        <w:spacing w:after="0" w:line="247" w:lineRule="auto"/>
        <w:rPr>
          <w:sz w:val="20"/>
          <w:szCs w:val="20"/>
          <w:color w:val="auto"/>
        </w:rPr>
      </w:pPr>
      <w:r>
        <w:rPr>
          <w:rFonts w:ascii="Times New Roman" w:cs="Times New Roman" w:eastAsia="Times New Roman" w:hAnsi="Times New Roman"/>
          <w:sz w:val="16"/>
          <w:szCs w:val="16"/>
          <w:color w:val="auto"/>
        </w:rPr>
        <w:t>The Board of Directors has assigned the Audit Committee to be responsible for reviewing our cybersecurity risk management and strategy program and is presented, at least annually, with a review of our environment and reported incidents. Part of our IRP also calls for the elevation of any material incidents to upper management in a timely manner whenever they occur.</w:t>
      </w:r>
    </w:p>
    <w:p>
      <w:pPr>
        <w:spacing w:after="0" w:line="68" w:lineRule="exact"/>
        <w:rPr>
          <w:sz w:val="20"/>
          <w:szCs w:val="20"/>
          <w:color w:val="auto"/>
        </w:rPr>
      </w:pPr>
    </w:p>
    <w:p>
      <w:pPr>
        <w:ind w:left="80" w:right="120"/>
        <w:spacing w:after="0" w:line="243" w:lineRule="auto"/>
        <w:rPr>
          <w:sz w:val="20"/>
          <w:szCs w:val="20"/>
          <w:color w:val="auto"/>
        </w:rPr>
      </w:pPr>
      <w:r>
        <w:rPr>
          <w:rFonts w:ascii="Times New Roman" w:cs="Times New Roman" w:eastAsia="Times New Roman" w:hAnsi="Times New Roman"/>
          <w:sz w:val="16"/>
          <w:szCs w:val="16"/>
          <w:color w:val="auto"/>
        </w:rPr>
        <w:t>We have also formed a steering committee, composed of IT staff and relevant business leaders responsible for the Company’s material information, including commercially sensitive data. The goals of this steering committee include overseeing our annual material risk assessment and documenting and reporting to senior management. The steering committee also reviews changes to procedural and other controls. We have also formed a risk register subcommittee to review and formally discuss any critical risks identified during our vISO annual assessment of our cyber environment.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ind w:left="80" w:right="100"/>
        <w:spacing w:after="0" w:line="247" w:lineRule="auto"/>
        <w:rPr>
          <w:sz w:val="20"/>
          <w:szCs w:val="20"/>
          <w:color w:val="auto"/>
        </w:rPr>
      </w:pPr>
      <w:r>
        <w:rPr>
          <w:rFonts w:ascii="Times New Roman" w:cs="Times New Roman" w:eastAsia="Times New Roman" w:hAnsi="Times New Roman"/>
          <w:sz w:val="16"/>
          <w:szCs w:val="16"/>
          <w:color w:val="auto"/>
        </w:rPr>
        <w:t>Our corporate headquarters is located in Watertown, Massachusetts, where we lease approximately 73,000 square feet of office and laboratory space under the 4 Kingsbury Avenue Agreement. We also lease approximately 38,000 square feet of additional office space located at 400 Talcott Avenue in Watertown, Massachusetts. Both property leases expire in September 2034.</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ind w:left="80"/>
        <w:spacing w:after="0" w:line="259" w:lineRule="auto"/>
        <w:rPr>
          <w:sz w:val="20"/>
          <w:szCs w:val="20"/>
          <w:color w:val="auto"/>
        </w:rPr>
      </w:pPr>
      <w:r>
        <w:rPr>
          <w:rFonts w:ascii="Times New Roman" w:cs="Times New Roman" w:eastAsia="Times New Roman" w:hAnsi="Times New Roman"/>
          <w:sz w:val="16"/>
          <w:szCs w:val="16"/>
          <w:color w:val="auto"/>
        </w:rPr>
        <w:t>Information with respect to legal proceedings is included in Note 13 of the Notes to Consolidated Financial Statements contained in Part II, Item 8 of this Annual Report on Form 10-K, which is incorporated herein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1440" w:right="700" w:bottom="1440" w:gutter="0" w:footer="0" w:header="0"/>
        </w:sectPr>
      </w:pPr>
    </w:p>
    <w:bookmarkStart w:id="60" w:name="page61"/>
    <w:bookmarkEnd w:id="60"/>
    <w:p>
      <w:pPr>
        <w:ind w:left="500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8" w:lineRule="exact"/>
        <w:rPr>
          <w:sz w:val="20"/>
          <w:szCs w:val="20"/>
          <w:color w:val="auto"/>
        </w:rPr>
      </w:pPr>
    </w:p>
    <w:p>
      <w:pPr>
        <w:ind w:left="1080" w:hanging="1175"/>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THE COMPANY'S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common stock has been listed on The Nasdaq Global Select Market under the symbol “ENTA” since March 21, 2013.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Record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had 12 stockholders of record as of November 11, 2025. This number does not include stockholders for whom shares are held in “nominee” or “street” name.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never declared or paid cash dividends on our common stock, and we do not expect to declare or pay any cash dividends for the foreseeable future.</w:t>
      </w:r>
    </w:p>
    <w:p>
      <w:pPr>
        <w:spacing w:after="0" w:line="18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40"/>
          </w:cols>
          <w:pgMar w:left="660" w:top="1419" w:right="1100" w:bottom="1440" w:gutter="0" w:footer="0" w:header="0"/>
        </w:sectPr>
      </w:pPr>
    </w:p>
    <w:bookmarkStart w:id="61" w:name="page62"/>
    <w:bookmarkEnd w:id="61"/>
    <w:p>
      <w:pPr>
        <w:spacing w:after="0" w:line="2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Performance Graph</w:t>
      </w:r>
      <w:r>
        <w:rPr>
          <w:rFonts w:ascii="Times New Roman" w:cs="Times New Roman" w:eastAsia="Times New Roman" w:hAnsi="Times New Roman"/>
          <w:sz w:val="21"/>
          <w:szCs w:val="21"/>
          <w:b w:val="1"/>
          <w:bCs w:val="1"/>
          <w:color w:val="auto"/>
          <w:vertAlign w:val="superscript"/>
        </w:rPr>
        <w:t>(1)</w:t>
      </w:r>
    </w:p>
    <w:p>
      <w:pPr>
        <w:spacing w:after="0" w:line="48" w:lineRule="exact"/>
        <w:rPr>
          <w:sz w:val="20"/>
          <w:szCs w:val="20"/>
          <w:color w:val="auto"/>
        </w:rPr>
      </w:pPr>
    </w:p>
    <w:p>
      <w:pPr>
        <w:ind w:left="80" w:right="120"/>
        <w:spacing w:after="0" w:line="247" w:lineRule="auto"/>
        <w:rPr>
          <w:sz w:val="20"/>
          <w:szCs w:val="20"/>
          <w:color w:val="auto"/>
        </w:rPr>
      </w:pPr>
      <w:r>
        <w:rPr>
          <w:rFonts w:ascii="Times New Roman" w:cs="Times New Roman" w:eastAsia="Times New Roman" w:hAnsi="Times New Roman"/>
          <w:sz w:val="16"/>
          <w:szCs w:val="16"/>
          <w:color w:val="auto"/>
        </w:rPr>
        <w:t>The following graph shows a comparison from September 30, 2020 through September 30, 2025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COMPARISON OF FIVE YEARS CUMULATIVE TOTAL RETURN</w:t>
      </w:r>
    </w:p>
    <w:p>
      <w:pPr>
        <w:spacing w:after="0" w:line="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Among Enanta Pharmaceuticals, Inc., the Nasdaq Composite Index,</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108585</wp:posOffset>
            </wp:positionV>
            <wp:extent cx="5121910" cy="3475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21910" cy="347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line="210"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This performance graph shall not be deemed to be “soliciting material” or to be “filed” with the SEC for purposes of Section 18 of the Securities Exchange Act of 1934, as amended, or otherwise subject to the liabilities under that Section, and shall not be deemed incorporated by reference into any filing of Enanta Pharmaceuticals, Inc. under the Securities Act of 1933, as amended.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1440" w:right="70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92" w:lineRule="exact"/>
        <w:rPr>
          <w:sz w:val="20"/>
          <w:szCs w:val="20"/>
          <w:color w:val="auto"/>
        </w:rPr>
      </w:pPr>
    </w:p>
    <w:p>
      <w:pPr>
        <w:ind w:left="80" w:right="80"/>
        <w:spacing w:after="0" w:line="241"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 -looking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80" w:right="360"/>
        <w:spacing w:after="0" w:line="259" w:lineRule="auto"/>
        <w:rPr>
          <w:sz w:val="20"/>
          <w:szCs w:val="20"/>
          <w:color w:val="auto"/>
        </w:rPr>
      </w:pPr>
      <w:r>
        <w:rPr>
          <w:rFonts w:ascii="Times New Roman" w:cs="Times New Roman" w:eastAsia="Times New Roman" w:hAnsi="Times New Roman"/>
          <w:sz w:val="16"/>
          <w:szCs w:val="16"/>
          <w:color w:val="auto"/>
        </w:rPr>
        <w:t>We are a biotechnology company that uses our robust, chemistry-driven approach and drug discovery capabilities to discover and develop small molecule drugs for virology and immunology indications.</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Virology</w:t>
      </w:r>
    </w:p>
    <w:p>
      <w:pPr>
        <w:spacing w:after="0" w:line="94" w:lineRule="exact"/>
        <w:rPr>
          <w:sz w:val="20"/>
          <w:szCs w:val="20"/>
          <w:color w:val="auto"/>
        </w:rPr>
      </w:pPr>
    </w:p>
    <w:p>
      <w:pPr>
        <w:ind w:left="80" w:right="180"/>
        <w:spacing w:after="0" w:line="285" w:lineRule="auto"/>
        <w:rPr>
          <w:sz w:val="20"/>
          <w:szCs w:val="20"/>
          <w:color w:val="auto"/>
        </w:rPr>
      </w:pPr>
      <w:r>
        <w:rPr>
          <w:rFonts w:ascii="Times New Roman" w:cs="Times New Roman" w:eastAsia="Times New Roman" w:hAnsi="Times New Roman"/>
          <w:sz w:val="14"/>
          <w:szCs w:val="14"/>
          <w:color w:val="auto"/>
        </w:rPr>
        <w:t>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or DAA, combination treatment for</w:t>
      </w:r>
    </w:p>
    <w:p>
      <w:pPr>
        <w:spacing w:after="0" w:line="1" w:lineRule="exact"/>
        <w:rPr>
          <w:sz w:val="20"/>
          <w:szCs w:val="20"/>
          <w:color w:val="auto"/>
        </w:rPr>
      </w:pPr>
    </w:p>
    <w:p>
      <w:pPr>
        <w:ind w:left="80" w:right="100"/>
        <w:spacing w:after="0" w:line="237" w:lineRule="auto"/>
        <w:rPr>
          <w:sz w:val="20"/>
          <w:szCs w:val="20"/>
          <w:color w:val="auto"/>
        </w:rPr>
      </w:pPr>
      <w:r>
        <w:rPr>
          <w:rFonts w:ascii="Times New Roman" w:cs="Times New Roman" w:eastAsia="Times New Roman" w:hAnsi="Times New Roman"/>
          <w:sz w:val="16"/>
          <w:szCs w:val="16"/>
          <w:color w:val="auto"/>
        </w:rPr>
        <w:t>HCV, which has been marketed under the tradenames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(U.S.) and MAVIRET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(ex-U.S.) (glecaprevir/pibrentasvir) since 2017 for the treatment of chronic HCV.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was also approved as the first and only treatment for acute HCV infection in June 2025.</w:t>
      </w:r>
    </w:p>
    <w:p>
      <w:pPr>
        <w:spacing w:after="0" w:line="4" w:lineRule="exact"/>
        <w:rPr>
          <w:sz w:val="20"/>
          <w:szCs w:val="20"/>
          <w:color w:val="auto"/>
        </w:rPr>
      </w:pPr>
    </w:p>
    <w:p>
      <w:pPr>
        <w:ind w:left="80" w:right="100"/>
        <w:spacing w:after="0" w:line="243" w:lineRule="auto"/>
        <w:rPr>
          <w:sz w:val="20"/>
          <w:szCs w:val="20"/>
          <w:color w:val="auto"/>
        </w:rPr>
      </w:pPr>
      <w:r>
        <w:rPr>
          <w:rFonts w:ascii="Times New Roman" w:cs="Times New Roman" w:eastAsia="Times New Roman" w:hAnsi="Times New Roman"/>
          <w:sz w:val="16"/>
          <w:szCs w:val="16"/>
          <w:color w:val="auto"/>
        </w:rPr>
        <w:t>Our active development programs in virology are focused on respiratory syncytial virus, or RSV, the most common cause of bronchiolitis and pneumonia and a leading cause of U.S. hospitalization in young children and a significant cause of respiratory illness in older adults. Populations at high risk for severe RSV infection include infants and young children, adults older than 65 years of age, and those with comorbidities such as chronic heart or lung disease. Recent CDC estimates suggest a significant RSV burden in the U.S., with up to 6.5 million outpatient visits, 350,000 hospitalizations and 23,000 deaths annually.</w:t>
      </w:r>
    </w:p>
    <w:p>
      <w:pPr>
        <w:spacing w:after="0" w:line="71" w:lineRule="exact"/>
        <w:rPr>
          <w:sz w:val="20"/>
          <w:szCs w:val="20"/>
          <w:color w:val="auto"/>
        </w:rPr>
      </w:pPr>
    </w:p>
    <w:p>
      <w:pPr>
        <w:ind w:left="80"/>
        <w:spacing w:after="0" w:line="360" w:lineRule="auto"/>
        <w:rPr>
          <w:sz w:val="20"/>
          <w:szCs w:val="20"/>
          <w:color w:val="auto"/>
        </w:rPr>
      </w:pPr>
      <w:r>
        <w:rPr>
          <w:rFonts w:ascii="Times New Roman" w:cs="Times New Roman" w:eastAsia="Times New Roman" w:hAnsi="Times New Roman"/>
          <w:sz w:val="16"/>
          <w:szCs w:val="16"/>
          <w:color w:val="auto"/>
        </w:rPr>
        <w:t xml:space="preserve">We also have clinical stage programs in virology for SARS-CoV-2, the virus that causes COVID-19, and Hepatitis B virus, or HBV, the most prevalent chronic hepatitis. </w:t>
      </w:r>
      <w:r>
        <w:rPr>
          <w:rFonts w:ascii="Times New Roman" w:cs="Times New Roman" w:eastAsia="Times New Roman" w:hAnsi="Times New Roman"/>
          <w:sz w:val="16"/>
          <w:szCs w:val="16"/>
          <w:i w:val="1"/>
          <w:iCs w:val="1"/>
          <w:color w:val="auto"/>
        </w:rPr>
        <w:t>Immunology</w:t>
      </w:r>
    </w:p>
    <w:p>
      <w:pPr>
        <w:ind w:left="80" w:right="20"/>
        <w:spacing w:after="0" w:line="259" w:lineRule="auto"/>
        <w:rPr>
          <w:sz w:val="20"/>
          <w:szCs w:val="20"/>
          <w:color w:val="auto"/>
        </w:rPr>
      </w:pPr>
      <w:r>
        <w:rPr>
          <w:rFonts w:ascii="Times New Roman" w:cs="Times New Roman" w:eastAsia="Times New Roman" w:hAnsi="Times New Roman"/>
          <w:sz w:val="16"/>
          <w:szCs w:val="16"/>
          <w:color w:val="auto"/>
        </w:rPr>
        <w:t>In immunology, we are designing and developing highly potent and selective oral small molecule inhibitors for the treatment of type 2 inflammatory disease by targeting key mechanisms of the immune response. An overactive response is a primary driver of a number of inflammatory diseases.</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Our initial immunology targets involve the following mechanisms of immune response:</w:t>
      </w:r>
    </w:p>
    <w:p>
      <w:pPr>
        <w:spacing w:after="0" w:line="92"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6"/>
          <w:szCs w:val="16"/>
          <w:color w:val="auto"/>
        </w:rPr>
        <w:t>•The receptor tyrosine kinase, known as KIT, which is critical for regulating mast cell survival and activation, including release of potent inflammatory mediators such as histamine, which is a primary driver of inflammation in the skin and implicated in multiple allergic diseases; and</w:t>
      </w:r>
    </w:p>
    <w:p>
      <w:pPr>
        <w:spacing w:after="0" w:line="59" w:lineRule="exact"/>
        <w:rPr>
          <w:sz w:val="20"/>
          <w:szCs w:val="20"/>
          <w:color w:val="auto"/>
        </w:rPr>
      </w:pPr>
    </w:p>
    <w:p>
      <w:pPr>
        <w:ind w:left="560" w:right="620"/>
        <w:spacing w:after="0" w:line="259" w:lineRule="auto"/>
        <w:rPr>
          <w:sz w:val="20"/>
          <w:szCs w:val="20"/>
          <w:color w:val="auto"/>
        </w:rPr>
      </w:pPr>
      <w:r>
        <w:rPr>
          <w:rFonts w:ascii="Times New Roman" w:cs="Times New Roman" w:eastAsia="Times New Roman" w:hAnsi="Times New Roman"/>
          <w:sz w:val="16"/>
          <w:szCs w:val="16"/>
          <w:color w:val="auto"/>
        </w:rPr>
        <w:t>•STAT6, a transcription factor uniquely responsible for interleukin-4, or (IL-4)/interleukin-13, or (IL-13) cell signaling, which drives a type 2 dominant phenotype and downstream inflammation.</w:t>
      </w:r>
    </w:p>
    <w:p>
      <w:pPr>
        <w:spacing w:after="0" w:line="59" w:lineRule="exact"/>
        <w:rPr>
          <w:sz w:val="20"/>
          <w:szCs w:val="20"/>
          <w:color w:val="auto"/>
        </w:rPr>
      </w:pPr>
    </w:p>
    <w:p>
      <w:pPr>
        <w:jc w:val="both"/>
        <w:ind w:left="80" w:right="160"/>
        <w:spacing w:after="0" w:line="331" w:lineRule="auto"/>
        <w:rPr>
          <w:sz w:val="20"/>
          <w:szCs w:val="20"/>
          <w:color w:val="auto"/>
        </w:rPr>
      </w:pPr>
      <w:r>
        <w:rPr>
          <w:rFonts w:ascii="Times New Roman" w:cs="Times New Roman" w:eastAsia="Times New Roman" w:hAnsi="Times New Roman"/>
          <w:sz w:val="14"/>
          <w:szCs w:val="14"/>
          <w:color w:val="auto"/>
        </w:rPr>
        <w:t>These mechanisms are implicated, along with others, in several diseases, and it is not uncommon for an efficacious treatment for one disease to be tested and approved for other immunology indications. We currently plan to focus our initial immunology drug development proof-of-concept efforts on the following disease indications:</w:t>
      </w:r>
    </w:p>
    <w:p>
      <w:pPr>
        <w:spacing w:after="0" w:line="12" w:lineRule="exact"/>
        <w:rPr>
          <w:sz w:val="20"/>
          <w:szCs w:val="20"/>
          <w:color w:val="auto"/>
        </w:rPr>
      </w:pPr>
    </w:p>
    <w:p>
      <w:pPr>
        <w:ind w:left="560" w:right="220"/>
        <w:spacing w:after="0" w:line="281" w:lineRule="auto"/>
        <w:rPr>
          <w:sz w:val="20"/>
          <w:szCs w:val="20"/>
          <w:color w:val="auto"/>
        </w:rPr>
      </w:pPr>
      <w:r>
        <w:rPr>
          <w:rFonts w:ascii="Times New Roman" w:cs="Times New Roman" w:eastAsia="Times New Roman" w:hAnsi="Times New Roman"/>
          <w:sz w:val="14"/>
          <w:szCs w:val="14"/>
          <w:color w:val="auto"/>
        </w:rPr>
        <w:t>•Chronic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w:t>
      </w:r>
    </w:p>
    <w:p>
      <w:pPr>
        <w:spacing w:after="0" w:line="1" w:lineRule="exact"/>
        <w:rPr>
          <w:sz w:val="20"/>
          <w:szCs w:val="20"/>
          <w:color w:val="auto"/>
        </w:rPr>
      </w:pPr>
    </w:p>
    <w:p>
      <w:pPr>
        <w:ind w:left="560" w:right="140"/>
        <w:spacing w:after="0" w:line="238" w:lineRule="auto"/>
        <w:rPr>
          <w:sz w:val="20"/>
          <w:szCs w:val="20"/>
          <w:color w:val="auto"/>
        </w:rPr>
      </w:pPr>
      <w:r>
        <w:rPr>
          <w:rFonts w:ascii="Times New Roman" w:cs="Times New Roman" w:eastAsia="Times New Roman" w:hAnsi="Times New Roman"/>
          <w:sz w:val="16"/>
          <w:szCs w:val="16"/>
          <w:color w:val="auto"/>
        </w:rPr>
        <w:t>1.75 - 3.5 million people with this condition at any given time in the U.S. alone or chronic inducible urticaria (CIndU) of various forms with a variety of known triggers; and</w:t>
      </w:r>
    </w:p>
    <w:p>
      <w:pPr>
        <w:spacing w:after="0" w:line="73" w:lineRule="exact"/>
        <w:rPr>
          <w:sz w:val="20"/>
          <w:szCs w:val="20"/>
          <w:color w:val="auto"/>
        </w:rPr>
      </w:pPr>
    </w:p>
    <w:p>
      <w:pPr>
        <w:ind w:left="560"/>
        <w:spacing w:after="0" w:line="247" w:lineRule="auto"/>
        <w:rPr>
          <w:sz w:val="20"/>
          <w:szCs w:val="20"/>
          <w:color w:val="auto"/>
        </w:rPr>
      </w:pPr>
      <w:r>
        <w:rPr>
          <w:rFonts w:ascii="Times New Roman" w:cs="Times New Roman" w:eastAsia="Times New Roman" w:hAnsi="Times New Roman"/>
          <w:sz w:val="16"/>
          <w:szCs w:val="16"/>
          <w:color w:val="auto"/>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~40% have moderate to severe disease.</w:t>
      </w:r>
    </w:p>
    <w:p>
      <w:pPr>
        <w:spacing w:after="0" w:line="68" w:lineRule="exact"/>
        <w:rPr>
          <w:sz w:val="20"/>
          <w:szCs w:val="20"/>
          <w:color w:val="auto"/>
        </w:rPr>
      </w:pPr>
    </w:p>
    <w:p>
      <w:pPr>
        <w:ind w:left="80" w:right="460"/>
        <w:spacing w:after="0" w:line="259" w:lineRule="auto"/>
        <w:rPr>
          <w:sz w:val="20"/>
          <w:szCs w:val="20"/>
          <w:color w:val="auto"/>
        </w:rPr>
      </w:pPr>
      <w:r>
        <w:rPr>
          <w:rFonts w:ascii="Times New Roman" w:cs="Times New Roman" w:eastAsia="Times New Roman" w:hAnsi="Times New Roman"/>
          <w:sz w:val="16"/>
          <w:szCs w:val="16"/>
          <w:color w:val="auto"/>
        </w:rPr>
        <w:t>As of September 30, 2025, we had $188.9 million in cash, cash equivalents and short-term marketable securities. Based on our operating plan, we believe that our existing cash, cash equivalents and short-term marketable securities as of September</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419" w:right="660" w:bottom="1440" w:gutter="0" w:footer="0" w:header="0"/>
        </w:sectPr>
      </w:pPr>
    </w:p>
    <w:bookmarkStart w:id="63" w:name="page64"/>
    <w:bookmarkEnd w:id="63"/>
    <w:p>
      <w:pPr>
        <w:spacing w:after="0" w:line="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30, 2025, as well as the cash flows from our retained portion of future HCV royalties and the proceeds from our public offering in October 2025, will enable us to fund our operating expenses and capital expenditure requirements into fiscal 2029.</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Royalty Revenue Collaboration and Royalty Sale Agreement</w:t>
      </w:r>
    </w:p>
    <w:p>
      <w:pPr>
        <w:spacing w:after="0" w:line="96"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12"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4"/>
          <w:szCs w:val="14"/>
          <w:color w:val="auto"/>
        </w:rPr>
        <w:t>Glecaprevir is the HCV protease inhibitor we discovered that was developed by AbbVie in a fixed-dose combination with its NS5A inhibitor, pibrentasvir, for the treatment of chronic HCV. In June 2025 it was also approved by the FDA as the first and only treatment for acute HCV infection. This patented combination, currently</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6"/>
          <w:szCs w:val="16"/>
          <w:color w:val="auto"/>
        </w:rPr>
        <w:t>marketed under the brand names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(U.S.) and MAVIRET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 -product royalties on 50% of the calendar year net sales of the glecaprevir/pibrentasvir combination in MAVYRET/MAVIRET. The annual royalty tiers return to the lowest tier for sales on and after each January 1.</w:t>
      </w:r>
    </w:p>
    <w:p>
      <w:pPr>
        <w:spacing w:after="0" w:line="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For accounting purposes, we continue to record 100% of HCV royalties earned under the AbbVie agreement as royalty revenue in our consolidated statements of operations. The $ 200.0 million received in April 2023 was recognized on our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Operations Overview</w:t>
      </w:r>
    </w:p>
    <w:p>
      <w:pPr>
        <w:spacing w:after="0" w:line="9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We are currently funding all research and development for our wholly-owned programs, which are targeted toward the discovery and development of novel compounds. We completed two Phase 2b studies of zelicapavir and a Phase 2a human challenge study of EDP-323, both of which are in our virology program. We also are conducting preclinical discovery research efforts in immunology.</w:t>
      </w:r>
    </w:p>
    <w:p>
      <w:pPr>
        <w:spacing w:after="0" w:line="6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As a result of the timing of our clinical and preclinical development programs, we expect our research and development expenses will fluctuate from period to period. However, in the next 12 months, we expect our external research and development expenses generally to decrease since we have completed our Phase 2 studies of zelicapavir and EDP-323 and we are evaluating partnering opportunities for the RSV programs.</w:t>
      </w:r>
    </w:p>
    <w:p>
      <w:pPr>
        <w:spacing w:after="0" w:line="68"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6"/>
          <w:szCs w:val="16"/>
          <w:color w:val="auto"/>
        </w:rPr>
        <w:t>Through September 30, 2025, we have funded our operations primarily through royalty payments received under our collaboration agreement with AbbVie, a $200.0 million payment received in April 2023 from our royalty sale agreement, and our existing cash, cash equivalents, and short- term marketable securities. Based on our operating plan, we believe that our existing cash, cash equivalents and short-term marketable securities as of September 30, 2025, as well as the cash flows from our retained portion of future HCV royalties and the proceeds from our public offering in October 2025, will enable us to fund our operating expenses and capital expenditure requirements into fiscal 2029.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96"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Our revenue is primarily derived from our collaboration agreement with AbbVie and AbbVie’s sales of MAVYRET/MAVIRET, an 8-week treatment regimen for acute or chronic HCV. During the year ended September 30, 2023, we also generated $1.0 million of license revenue from an upfront payment related to a license agreement for one of the antibacterial compounds we are no longer developing.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4" w:name="page65"/>
    <w:bookmarkEnd w:id="64"/>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is a summary of revenue recognized for the years ended September 30, 2025, 2024, and 2023:</w:t>
      </w:r>
    </w:p>
    <w:p>
      <w:pPr>
        <w:spacing w:after="0" w:line="224"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70"/>
        </w:trPr>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Royalty revenue</w:t>
            </w:r>
          </w:p>
        </w:tc>
        <w:tc>
          <w:tcPr>
            <w:tcW w:w="840" w:type="dxa"/>
            <w:vAlign w:val="bottom"/>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65,324</w:t>
            </w:r>
          </w:p>
        </w:tc>
        <w:tc>
          <w:tcPr>
            <w:tcW w:w="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67,635</w:t>
            </w:r>
          </w:p>
        </w:tc>
        <w:tc>
          <w:tcPr>
            <w:tcW w:w="180" w:type="dxa"/>
            <w:vAlign w:val="bottom"/>
          </w:tcPr>
          <w:p>
            <w:pPr>
              <w:spacing w:after="0"/>
              <w:rPr>
                <w:sz w:val="15"/>
                <w:szCs w:val="15"/>
                <w:color w:val="auto"/>
              </w:rPr>
            </w:pPr>
          </w:p>
        </w:tc>
        <w:tc>
          <w:tcPr>
            <w:tcW w:w="3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78,204</w:t>
            </w:r>
          </w:p>
        </w:tc>
        <w:tc>
          <w:tcPr>
            <w:tcW w:w="80" w:type="dxa"/>
            <w:vAlign w:val="bottom"/>
          </w:tcPr>
          <w:p>
            <w:pPr>
              <w:spacing w:after="0"/>
              <w:rPr>
                <w:sz w:val="15"/>
                <w:szCs w:val="15"/>
                <w:color w:val="auto"/>
              </w:rPr>
            </w:pPr>
          </w:p>
        </w:tc>
      </w:tr>
      <w:tr>
        <w:trPr>
          <w:trHeight w:val="180"/>
        </w:trPr>
        <w:tc>
          <w:tcPr>
            <w:tcW w:w="49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License revenue</w:t>
            </w: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4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Pr>
          <w:p>
            <w:pPr>
              <w:jc w:val="right"/>
              <w:ind w:right="686"/>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65,324</w:t>
            </w:r>
          </w:p>
        </w:tc>
        <w:tc>
          <w:tcPr>
            <w:tcW w:w="4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67,635</w:t>
            </w:r>
          </w:p>
        </w:tc>
        <w:tc>
          <w:tcPr>
            <w:tcW w:w="180" w:type="dxa"/>
            <w:vAlign w:val="bottom"/>
          </w:tcPr>
          <w:p>
            <w:pPr>
              <w:spacing w:after="0"/>
              <w:rPr>
                <w:sz w:val="15"/>
                <w:szCs w:val="15"/>
                <w:color w:val="auto"/>
              </w:rPr>
            </w:pPr>
          </w:p>
        </w:tc>
        <w:tc>
          <w:tcPr>
            <w:tcW w:w="36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79,204</w:t>
            </w:r>
          </w:p>
        </w:tc>
        <w:tc>
          <w:tcPr>
            <w:tcW w:w="8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4"/>
          <w:szCs w:val="14"/>
          <w:color w:val="auto"/>
        </w:rPr>
        <w:t>As disclosed above regarding our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Programs</w:t>
      </w:r>
    </w:p>
    <w:p>
      <w:pPr>
        <w:spacing w:after="0" w:line="9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operating expenses are comprised of research and development expenses and general and administrative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•third-party contract costs relating to research, formulation, manufacturing, preclinical study, and clinical trial activities;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•personnel costs, including salaries, related benefits, and stock-based compensation for employees engaged in scientific research and development functions;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•allocated facility-related costs;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•laboratory consumables;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•third-party license fees.</w:t>
      </w:r>
    </w:p>
    <w:p>
      <w:pPr>
        <w:spacing w:after="0" w:line="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At any given time, we have later stage programs in clinical development as well as several active early -stage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expect our external research and development expenses generally to decrease since we have completed our Phase 2 studies of zelicapavir and EDP-323 and we are evaluating partnering opportunities for the RSV programs. To date, we have not identified any significant impact of inflation on spending in research and development, but it is uncertain whether there will be inflationary impacts in future periods.</w:t>
      </w:r>
    </w:p>
    <w:p>
      <w:pPr>
        <w:spacing w:after="0" w:line="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5" w:name="page66"/>
    <w:bookmarkEnd w:id="65"/>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9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litigation.</w:t>
      </w:r>
    </w:p>
    <w:p>
      <w:pPr>
        <w:spacing w:after="0" w:line="71"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We expect that general and administrative expenses may increase in the long term. To date we have not experienced a significant impact of inflation on general and administrative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w:t>
      </w:r>
    </w:p>
    <w:p>
      <w:pPr>
        <w:spacing w:after="0" w:line="96"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 (Expense)</w:t>
      </w:r>
    </w:p>
    <w:p>
      <w:pPr>
        <w:spacing w:after="0" w:line="96"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Income tax benefit (expense)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spacing w:after="0" w:line="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July 4, 2025, the U.S. government enacted the One Big Beautiful Bill Act ("OBBBA"), which includes several changes to U.S. federal income tax law, including the temporary and permanent extension of expiring provisions of the Tax Cuts and Jobs Act of 2017. We determined that the tax provisions of the legislation do not have a material impact on our 2025 consolidated financial statements and continue to assess the impact on future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equity,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and Pharmaceutical Drug Manufacturing Accruals</w:t>
      </w:r>
    </w:p>
    <w:p>
      <w:pPr>
        <w:spacing w:after="0" w:line="9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have entered into various contracts with third parties to perform research and development and pharmaceutical drug manufacturing. These include contracts with contract research organizations, or CROs, clinical manufacturing organizations, or CMOs, testing laboratories, research hospitals and not-for-profit organizations and other entities to support our research and development activities. We expense the cost of each contract as the work is performed. When billing terms under these contracts do not coincide with the timing of when the work is performed, we are required to make estimates of our outstanding obligations to those third parties as of period-end. Our accrual estimates are based on a number of factors, including our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Liability Related to the Sale of Future Royalties</w:t>
      </w:r>
    </w:p>
    <w:p>
      <w:pPr>
        <w:spacing w:after="0" w:line="9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accounted for the $200.0 million payment from OMERS as a liability on our consolidated balance sheets because (1) under the royalty sale agreement, OMERS will receive a portion of our royalty payments up to a capped amount of 1.42 times the original payment to us, and (2) we have significant continuing involvement in the generation of cash flows under the AbbVie Agreement. Interest expense for the liability related to the sale of future royalties will be recognized using the effective interest rate method over the term of the royalty sale agreement.</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66" w:name="page67"/>
    <w:bookmarkEnd w:id="66"/>
    <w:p>
      <w:pPr>
        <w:spacing w:after="0" w:line="77"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liability related to the sale of future royalties and the related interest expense are based on our current estimates of future royalties, which we determine by using third-party forecasts of MAVYRET/MAVIRET sales. Third-party forecasts are updated periodically based on the latest pricing, market share, and patient data. Changes in the amount or timing of estimated royalties will affect the interest rate utilized in calculating the liability related to the sale of future royalties.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9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820" w:type="dxa"/>
            <w:vAlign w:val="bottom"/>
            <w:shd w:val="clear" w:color="auto" w:fill="CFF0FC"/>
          </w:tcPr>
          <w:p>
            <w:pPr>
              <w:jc w:val="right"/>
              <w:ind w:right="6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65,324</w:t>
            </w:r>
          </w:p>
        </w:tc>
        <w:tc>
          <w:tcPr>
            <w:tcW w:w="8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67,635</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79,204</w:t>
            </w: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820" w:type="dxa"/>
            <w:vAlign w:val="bottom"/>
          </w:tcPr>
          <w:p>
            <w:pPr>
              <w:spacing w:after="0"/>
              <w:rPr>
                <w:sz w:val="15"/>
                <w:szCs w:val="15"/>
                <w:color w:val="auto"/>
              </w:rPr>
            </w:pPr>
          </w:p>
        </w:tc>
        <w:tc>
          <w:tcPr>
            <w:tcW w:w="5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w w:val="96"/>
              </w:rPr>
              <w:t>106,740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131,476</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163,524</w:t>
            </w: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43,933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57,850</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52,887</w:t>
            </w: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tcPr>
          <w:p>
            <w:pPr>
              <w:spacing w:after="0"/>
              <w:rPr>
                <w:sz w:val="15"/>
                <w:szCs w:val="15"/>
                <w:color w:val="auto"/>
              </w:rPr>
            </w:pPr>
          </w:p>
        </w:tc>
        <w:tc>
          <w:tcPr>
            <w:tcW w:w="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(7,681)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(10,940)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(5,148)</w:t>
            </w: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and investment income, net</w:t>
            </w:r>
          </w:p>
        </w:tc>
        <w:tc>
          <w:tcPr>
            <w:tcW w:w="8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9,442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14,770</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11,360</w:t>
            </w:r>
          </w:p>
        </w:tc>
        <w:tc>
          <w:tcPr>
            <w:tcW w:w="80" w:type="dxa"/>
            <w:vAlign w:val="bottom"/>
            <w:shd w:val="clear" w:color="auto" w:fill="CFF0FC"/>
          </w:tcPr>
          <w:p>
            <w:pPr>
              <w:spacing w:after="0"/>
              <w:rPr>
                <w:sz w:val="15"/>
                <w:szCs w:val="15"/>
                <w:color w:val="auto"/>
              </w:rPr>
            </w:pPr>
          </w:p>
        </w:tc>
      </w:tr>
      <w:tr>
        <w:trPr>
          <w:trHeight w:val="167"/>
        </w:trPr>
        <w:tc>
          <w:tcPr>
            <w:tcW w:w="49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Change in fair value of Series 1 nonconvertible</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benefit (expense)</w:t>
            </w:r>
          </w:p>
        </w:tc>
        <w:tc>
          <w:tcPr>
            <w:tcW w:w="8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1,660</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1,743</w:t>
            </w: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(2,821)</w:t>
            </w:r>
          </w:p>
        </w:tc>
      </w:tr>
      <w:tr>
        <w:trPr>
          <w:trHeight w:val="180"/>
        </w:trPr>
        <w:tc>
          <w:tcPr>
            <w:tcW w:w="4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ind w:right="666"/>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(81,889</w:t>
            </w:r>
            <w:r>
              <w:rPr>
                <w:rFonts w:ascii="Times New Roman" w:cs="Times New Roman" w:eastAsia="Times New Roman" w:hAnsi="Times New Roman"/>
                <w:sz w:val="18"/>
                <w:szCs w:val="18"/>
                <w:color w:val="auto"/>
                <w:vertAlign w:val="subscript"/>
              </w:rPr>
              <w:t>)</w:t>
            </w:r>
          </w:p>
        </w:tc>
        <w:tc>
          <w:tcPr>
            <w:tcW w:w="32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(116,045</w:t>
            </w:r>
            <w:r>
              <w:rPr>
                <w:rFonts w:ascii="Times New Roman" w:cs="Times New Roman" w:eastAsia="Times New Roman" w:hAnsi="Times New Roman"/>
                <w:sz w:val="18"/>
                <w:szCs w:val="18"/>
                <w:color w:val="auto"/>
                <w:vertAlign w:val="subscript"/>
              </w:rPr>
              <w:t>)</w:t>
            </w:r>
          </w:p>
        </w:tc>
        <w:tc>
          <w:tcPr>
            <w:tcW w:w="36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(133,816</w:t>
            </w:r>
            <w:r>
              <w:rPr>
                <w:rFonts w:ascii="Times New Roman" w:cs="Times New Roman" w:eastAsia="Times New Roman" w:hAnsi="Times New Roman"/>
                <w:sz w:val="18"/>
                <w:szCs w:val="18"/>
                <w:color w:val="auto"/>
                <w:vertAlign w:val="subscript"/>
              </w:rPr>
              <w:t>)</w:t>
            </w:r>
          </w:p>
        </w:tc>
      </w:tr>
      <w:tr>
        <w:trPr>
          <w:trHeight w:val="20"/>
        </w:trPr>
        <w:tc>
          <w:tcPr>
            <w:tcW w:w="4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September 30, 2025 and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9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We recognized revenue of $65.3 million and $ 67.6 million during the years ended September 30, 2025 and 2024, respectively. The decrease in revenue year-over-year was primarily due to AbbVie’s lower reported HCV sales as compared to the comparable period in 2024.</w:t>
      </w:r>
    </w:p>
    <w:p>
      <w:pPr>
        <w:spacing w:after="0" w:line="59"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4"/>
          <w:szCs w:val="14"/>
          <w:color w:val="auto"/>
        </w:rPr>
        <w:t>Our royalty revenues eligible to be earned in the future will depend on AbbVie’s HCV market share, the pricing of the MAVYRET/MAVIRET regimen, the number of patients treated and the effect of the label expansion for MAVYRET in the United States for the treatment of patients with acute HCV. In addition, at the beginning of each calendar year (the second quarter of our fiscal year), our royalty rate resets to the lowest tier for each of our royalty-bearing products licensed to AbbVie.</w:t>
      </w:r>
    </w:p>
    <w:p>
      <w:pPr>
        <w:spacing w:after="0" w:line="3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consolidated balance sheets as a liability which will be reduced by the payments made to OMERS over the term of the royalty sale agreement. We will continue to record 100% of HCV royalties earned under the AbbVie Agreement as royalty revenue in our consolidated statements of operations since the AbbVie Agreement has not been amended and is independent of our agreement with OMERS.</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7" w:name="page68"/>
    <w:bookmarkEnd w:id="67"/>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70"/>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R&amp;D programs:</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Virology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9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RSV</w:t>
            </w:r>
          </w:p>
        </w:tc>
        <w:tc>
          <w:tcPr>
            <w:tcW w:w="820" w:type="dxa"/>
            <w:vAlign w:val="bottom"/>
            <w:shd w:val="clear" w:color="auto" w:fill="CFF0FC"/>
          </w:tcPr>
          <w:p>
            <w:pPr>
              <w:jc w:val="right"/>
              <w:ind w:right="6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59,808</w:t>
            </w:r>
          </w:p>
        </w:tc>
        <w:tc>
          <w:tcPr>
            <w:tcW w:w="2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86,367</w:t>
            </w:r>
          </w:p>
        </w:tc>
        <w:tc>
          <w:tcPr>
            <w:tcW w:w="18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78,120</w:t>
            </w: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COVID-19</w:t>
            </w:r>
          </w:p>
        </w:tc>
        <w:tc>
          <w:tcPr>
            <w:tcW w:w="82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4,625</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66,082</w:t>
            </w:r>
          </w:p>
        </w:tc>
        <w:tc>
          <w:tcPr>
            <w:tcW w:w="80" w:type="dxa"/>
            <w:vAlign w:val="bottom"/>
          </w:tcPr>
          <w:p>
            <w:pPr>
              <w:spacing w:after="0"/>
              <w:rPr>
                <w:sz w:val="15"/>
                <w:szCs w:val="15"/>
                <w:color w:val="auto"/>
              </w:rPr>
            </w:pPr>
          </w:p>
        </w:tc>
      </w:tr>
      <w:tr>
        <w:trPr>
          <w:trHeight w:val="180"/>
        </w:trPr>
        <w:tc>
          <w:tcPr>
            <w:tcW w:w="49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HBV</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6,974</w:t>
            </w:r>
          </w:p>
        </w:tc>
      </w:tr>
      <w:tr>
        <w:trPr>
          <w:trHeight w:val="180"/>
        </w:trPr>
        <w:tc>
          <w:tcPr>
            <w:tcW w:w="49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i w:val="1"/>
                <w:iCs w:val="1"/>
                <w:color w:val="auto"/>
              </w:rPr>
              <w:t>Total Virology</w:t>
            </w:r>
          </w:p>
        </w:tc>
        <w:tc>
          <w:tcPr>
            <w:tcW w:w="820" w:type="dxa"/>
            <w:vAlign w:val="bottom"/>
          </w:tcPr>
          <w:p>
            <w:pPr>
              <w:jc w:val="right"/>
              <w:ind w:right="6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60,547</w:t>
            </w:r>
          </w:p>
        </w:tc>
        <w:tc>
          <w:tcPr>
            <w:tcW w:w="20" w:type="dxa"/>
            <w:vAlign w:val="bottom"/>
          </w:tcPr>
          <w:p>
            <w:pPr>
              <w:spacing w:after="0"/>
              <w:rPr>
                <w:sz w:val="15"/>
                <w:szCs w:val="15"/>
                <w:color w:val="auto"/>
              </w:rPr>
            </w:pP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91,363</w:t>
            </w:r>
          </w:p>
        </w:tc>
        <w:tc>
          <w:tcPr>
            <w:tcW w:w="180" w:type="dxa"/>
            <w:vAlign w:val="bottom"/>
          </w:tcPr>
          <w:p>
            <w:pPr>
              <w:spacing w:after="0"/>
              <w:rPr>
                <w:sz w:val="15"/>
                <w:szCs w:val="15"/>
                <w:color w:val="auto"/>
              </w:rPr>
            </w:pPr>
          </w:p>
        </w:tc>
        <w:tc>
          <w:tcPr>
            <w:tcW w:w="3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151,176</w:t>
            </w:r>
          </w:p>
        </w:tc>
      </w:tr>
      <w:tr>
        <w:trPr>
          <w:trHeight w:val="180"/>
        </w:trPr>
        <w:tc>
          <w:tcPr>
            <w:tcW w:w="49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Immunology</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KIT</w:t>
            </w:r>
          </w:p>
        </w:tc>
        <w:tc>
          <w:tcPr>
            <w:tcW w:w="82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18,052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19,822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STAT6</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16,614</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4,691</w:t>
            </w: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i w:val="1"/>
                <w:iCs w:val="1"/>
                <w:color w:val="auto"/>
              </w:rPr>
              <w:t>Total Immunology</w:t>
            </w:r>
          </w:p>
        </w:tc>
        <w:tc>
          <w:tcPr>
            <w:tcW w:w="820" w:type="dxa"/>
            <w:vAlign w:val="bottom"/>
          </w:tcPr>
          <w:p>
            <w:pPr>
              <w:jc w:val="right"/>
              <w:ind w:right="6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34,666</w:t>
            </w:r>
          </w:p>
        </w:tc>
        <w:tc>
          <w:tcPr>
            <w:tcW w:w="20" w:type="dxa"/>
            <w:vAlign w:val="bottom"/>
          </w:tcPr>
          <w:p>
            <w:pPr>
              <w:spacing w:after="0"/>
              <w:rPr>
                <w:sz w:val="15"/>
                <w:szCs w:val="15"/>
                <w:color w:val="auto"/>
              </w:rPr>
            </w:pP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24,513</w:t>
            </w:r>
          </w:p>
        </w:tc>
        <w:tc>
          <w:tcPr>
            <w:tcW w:w="180" w:type="dxa"/>
            <w:vAlign w:val="bottom"/>
          </w:tcPr>
          <w:p>
            <w:pPr>
              <w:spacing w:after="0"/>
              <w:rPr>
                <w:sz w:val="15"/>
                <w:szCs w:val="15"/>
                <w:color w:val="auto"/>
              </w:rPr>
            </w:pPr>
          </w:p>
        </w:tc>
        <w:tc>
          <w:tcPr>
            <w:tcW w:w="3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Other Programs</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Early discovery</w:t>
            </w:r>
          </w:p>
        </w:tc>
        <w:tc>
          <w:tcPr>
            <w:tcW w:w="82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11,328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14,995</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8,253</w:t>
            </w:r>
          </w:p>
        </w:tc>
      </w:tr>
      <w:tr>
        <w:trPr>
          <w:trHeight w:val="180"/>
        </w:trPr>
        <w:tc>
          <w:tcPr>
            <w:tcW w:w="49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programs for out-licensing</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605</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4,095</w:t>
            </w:r>
          </w:p>
        </w:tc>
      </w:tr>
      <w:tr>
        <w:trPr>
          <w:trHeight w:val="180"/>
        </w:trPr>
        <w:tc>
          <w:tcPr>
            <w:tcW w:w="498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i w:val="1"/>
                <w:iCs w:val="1"/>
                <w:color w:val="auto"/>
              </w:rPr>
              <w:t>Total Other Programs</w:t>
            </w:r>
          </w:p>
        </w:tc>
        <w:tc>
          <w:tcPr>
            <w:tcW w:w="820" w:type="dxa"/>
            <w:vAlign w:val="bottom"/>
          </w:tcPr>
          <w:p>
            <w:pPr>
              <w:jc w:val="right"/>
              <w:ind w:right="66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11,527</w:t>
            </w:r>
          </w:p>
        </w:tc>
        <w:tc>
          <w:tcPr>
            <w:tcW w:w="20" w:type="dxa"/>
            <w:vAlign w:val="bottom"/>
          </w:tcPr>
          <w:p>
            <w:pPr>
              <w:spacing w:after="0"/>
              <w:rPr>
                <w:sz w:val="15"/>
                <w:szCs w:val="15"/>
                <w:color w:val="auto"/>
              </w:rPr>
            </w:pPr>
          </w:p>
        </w:tc>
        <w:tc>
          <w:tcPr>
            <w:tcW w:w="3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15,600</w:t>
            </w:r>
          </w:p>
        </w:tc>
        <w:tc>
          <w:tcPr>
            <w:tcW w:w="180" w:type="dxa"/>
            <w:vAlign w:val="bottom"/>
          </w:tcPr>
          <w:p>
            <w:pPr>
              <w:spacing w:after="0"/>
              <w:rPr>
                <w:sz w:val="15"/>
                <w:szCs w:val="15"/>
                <w:color w:val="auto"/>
              </w:rPr>
            </w:pPr>
          </w:p>
        </w:tc>
        <w:tc>
          <w:tcPr>
            <w:tcW w:w="3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12,348</w:t>
            </w:r>
          </w:p>
        </w:tc>
        <w:tc>
          <w:tcPr>
            <w:tcW w:w="80" w:type="dxa"/>
            <w:vAlign w:val="bottom"/>
          </w:tcPr>
          <w:p>
            <w:pPr>
              <w:spacing w:after="0"/>
              <w:rPr>
                <w:sz w:val="15"/>
                <w:szCs w:val="15"/>
                <w:color w:val="auto"/>
              </w:rPr>
            </w:pPr>
          </w:p>
        </w:tc>
      </w:tr>
      <w:tr>
        <w:trPr>
          <w:trHeight w:val="180"/>
        </w:trPr>
        <w:tc>
          <w:tcPr>
            <w:tcW w:w="49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98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Total research and development expenses</w:t>
            </w:r>
          </w:p>
        </w:tc>
        <w:tc>
          <w:tcPr>
            <w:tcW w:w="820" w:type="dxa"/>
            <w:vAlign w:val="bottom"/>
          </w:tcPr>
          <w:p>
            <w:pPr>
              <w:jc w:val="right"/>
              <w:ind w:right="66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w w:val="96"/>
              </w:rPr>
              <w:t>106,740</w:t>
            </w:r>
          </w:p>
        </w:tc>
        <w:tc>
          <w:tcPr>
            <w:tcW w:w="3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131,476</w:t>
            </w:r>
          </w:p>
        </w:tc>
        <w:tc>
          <w:tcPr>
            <w:tcW w:w="36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163,524</w:t>
            </w:r>
          </w:p>
        </w:tc>
      </w:tr>
      <w:tr>
        <w:trPr>
          <w:trHeight w:val="20"/>
        </w:trPr>
        <w:tc>
          <w:tcPr>
            <w:tcW w:w="4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for the year ended September 30, 2025 decreased by $24.7 million compared to the same period in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Virology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costs in our virology program decreased by $30.8 million primarily due to the timing of clinical trials in our RSV programs.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Immunology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costs in our immunology programs increased by $10.2 million as we advance this new therapeutic area of focus for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Programs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program costs decreased by $4.1 million due to the completion of the discovery-stage activities related to our STAT6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92" w:lineRule="exact"/>
        <w:rPr>
          <w:sz w:val="20"/>
          <w:szCs w:val="20"/>
          <w:color w:val="auto"/>
        </w:rPr>
      </w:pPr>
    </w:p>
    <w:p>
      <w:pPr>
        <w:jc w:val="both"/>
        <w:ind w:right="480"/>
        <w:spacing w:after="0" w:line="259" w:lineRule="auto"/>
        <w:rPr>
          <w:sz w:val="20"/>
          <w:szCs w:val="20"/>
          <w:color w:val="auto"/>
        </w:rPr>
      </w:pPr>
      <w:r>
        <w:rPr>
          <w:rFonts w:ascii="Times New Roman" w:cs="Times New Roman" w:eastAsia="Times New Roman" w:hAnsi="Times New Roman"/>
          <w:sz w:val="16"/>
          <w:szCs w:val="16"/>
          <w:color w:val="auto"/>
        </w:rPr>
        <w:t>General and administrative expenses decreased by $13.9 million for the year ended September 30, 2025, compared to the same period in 2024, primarily due to a decrease in legal expenses related to our patent infringement suit against Pfizer and a decrease in stock-based compensation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components of other income (expense) were as follows: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90" w:lineRule="exact"/>
        <w:rPr>
          <w:sz w:val="20"/>
          <w:szCs w:val="20"/>
          <w:color w:val="auto"/>
        </w:rPr>
      </w:pPr>
    </w:p>
    <w:p>
      <w:pPr>
        <w:jc w:val="both"/>
        <w:ind w:right="460"/>
        <w:spacing w:after="0" w:line="259" w:lineRule="auto"/>
        <w:rPr>
          <w:sz w:val="20"/>
          <w:szCs w:val="20"/>
          <w:color w:val="auto"/>
        </w:rPr>
      </w:pPr>
      <w:r>
        <w:rPr>
          <w:rFonts w:ascii="Times New Roman" w:cs="Times New Roman" w:eastAsia="Times New Roman" w:hAnsi="Times New Roman"/>
          <w:sz w:val="16"/>
          <w:szCs w:val="16"/>
          <w:color w:val="auto"/>
        </w:rPr>
        <w:t>Interest expense decreased by $ 3.3 million for the year ended September 30, 2025, as compared to the same period in 2024, due to the paydown of our obligation associated with our royalty sale agreement entered into during April 2023 with an affiliate of OMERS.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investment income, net</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Interest and investment income, net, decreased by $5.3 million for the year ended September 30, 2025, as compared to the same period in 2024. The decrease was due to lower cash and investment balances year over year.</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8" w:name="page69"/>
    <w:bookmarkEnd w:id="6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 (expense)</w:t>
      </w:r>
    </w:p>
    <w:p>
      <w:pPr>
        <w:spacing w:after="0" w:line="9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During each of the years ended September 30, 2025 and 2024, we recorded an income tax benefit of $1.7 million, representing interest recorded on our $33.8 million federal tax refund, which we received in April 2025.</w:t>
      </w:r>
    </w:p>
    <w:p>
      <w:pPr>
        <w:spacing w:after="0" w:line="59"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On July 4, 2025, the U.S. government enacted the One Big Beautiful Bill Act ("OBBBA"), which includes several changes to U.S. federal income tax law, including the temporary and permanent extension of expiring provisions of the Tax Cuts and Jobs Act of 2017. We determined that the tax provisions of the legislation do not have a material impact on our 2025 consolidated financial statements and continue to assess the impact on future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September 30, 2024 and 2023</w:t>
      </w:r>
    </w:p>
    <w:p>
      <w:pPr>
        <w:spacing w:after="0" w:line="96"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6"/>
          <w:szCs w:val="16"/>
          <w:color w:val="auto"/>
        </w:rPr>
        <w:t>For a discussion of our results of operations for the year ended September 30, 2024, as compared to the year ended September 30, 2023, see Item 7. Management’s Discussion and Analysis of Financial Condition and Results of Operations—Results of Operations—Comparison of the Years Ended September 30, 2024 and 2023 included in our Annual Report on Form 10-K for the fiscal year ended September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94"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16"/>
          <w:szCs w:val="16"/>
          <w:color w:val="auto"/>
        </w:rPr>
        <w:t>We fund our operations with cash flows from our retained portion of our royalty revenue and our existing financial resources. At September 30, 2025, our principal sources of liquidity were cash and cash equivalents and short-term marketable securities of $188.9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cash flows:</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provided by (used in):</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Operating activities</w:t>
            </w:r>
          </w:p>
        </w:tc>
        <w:tc>
          <w:tcPr>
            <w:tcW w:w="820" w:type="dxa"/>
            <w:vAlign w:val="bottom"/>
          </w:tcPr>
          <w:p>
            <w:pPr>
              <w:jc w:val="right"/>
              <w:ind w:right="6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8"/>
              </w:rPr>
              <w:t>(19,272)</w:t>
            </w:r>
          </w:p>
        </w:tc>
        <w:tc>
          <w:tcPr>
            <w:tcW w:w="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(78,764)</w:t>
            </w:r>
          </w:p>
        </w:tc>
        <w:tc>
          <w:tcPr>
            <w:tcW w:w="3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(103,154)</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Investing activities</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40,347</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58,235</w:t>
            </w:r>
          </w:p>
        </w:tc>
        <w:tc>
          <w:tcPr>
            <w:tcW w:w="22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(53,578)</w:t>
            </w:r>
          </w:p>
        </w:tc>
        <w:tc>
          <w:tcPr>
            <w:tcW w:w="0" w:type="dxa"/>
            <w:vAlign w:val="bottom"/>
          </w:tcPr>
          <w:p>
            <w:pPr>
              <w:spacing w:after="0"/>
              <w:rPr>
                <w:sz w:val="1"/>
                <w:szCs w:val="1"/>
                <w:color w:val="auto"/>
              </w:rPr>
            </w:pPr>
          </w:p>
        </w:tc>
      </w:tr>
      <w:tr>
        <w:trPr>
          <w:trHeight w:val="180"/>
        </w:trPr>
        <w:tc>
          <w:tcPr>
            <w:tcW w:w="49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Financing activities</w:t>
            </w:r>
          </w:p>
        </w:tc>
        <w:tc>
          <w:tcPr>
            <w:tcW w:w="820" w:type="dxa"/>
            <w:vAlign w:val="bottom"/>
          </w:tcPr>
          <w:p>
            <w:pPr>
              <w:spacing w:after="0"/>
              <w:rPr>
                <w:sz w:val="15"/>
                <w:szCs w:val="15"/>
                <w:color w:val="auto"/>
              </w:rPr>
            </w:pPr>
          </w:p>
        </w:tc>
        <w:tc>
          <w:tcPr>
            <w:tcW w:w="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8"/>
              </w:rPr>
              <w:t>(26,618)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(27,626)</w:t>
            </w:r>
          </w:p>
        </w:tc>
        <w:tc>
          <w:tcPr>
            <w:tcW w:w="32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198,126</w:t>
            </w:r>
          </w:p>
        </w:tc>
        <w:tc>
          <w:tcPr>
            <w:tcW w:w="0" w:type="dxa"/>
            <w:vAlign w:val="bottom"/>
          </w:tcPr>
          <w:p>
            <w:pPr>
              <w:spacing w:after="0"/>
              <w:rPr>
                <w:sz w:val="1"/>
                <w:szCs w:val="1"/>
                <w:color w:val="auto"/>
              </w:rPr>
            </w:pPr>
          </w:p>
        </w:tc>
      </w:tr>
      <w:tr>
        <w:trPr>
          <w:trHeight w:val="167"/>
        </w:trPr>
        <w:tc>
          <w:tcPr>
            <w:tcW w:w="498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Net (decrease) increase in cash, cash equivalents and</w:t>
            </w:r>
          </w:p>
        </w:tc>
        <w:tc>
          <w:tcPr>
            <w:tcW w:w="820" w:type="dxa"/>
            <w:vAlign w:val="bottom"/>
            <w:vMerge w:val="restart"/>
            <w:shd w:val="clear" w:color="auto" w:fill="CFF0FC"/>
          </w:tcPr>
          <w:p>
            <w:pPr>
              <w:jc w:val="right"/>
              <w:ind w:right="66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vMerge w:val="restart"/>
            <w:shd w:val="clear" w:color="auto" w:fill="CFF0FC"/>
          </w:tcPr>
          <w:p>
            <w:pPr>
              <w:jc w:val="right"/>
              <w:ind w:right="20"/>
              <w:spacing w:after="0" w:line="304" w:lineRule="exact"/>
              <w:rPr>
                <w:sz w:val="20"/>
                <w:szCs w:val="20"/>
                <w:color w:val="auto"/>
              </w:rPr>
            </w:pPr>
            <w:r>
              <w:rPr>
                <w:rFonts w:ascii="Times New Roman" w:cs="Times New Roman" w:eastAsia="Times New Roman" w:hAnsi="Times New Roman"/>
                <w:sz w:val="16"/>
                <w:szCs w:val="16"/>
                <w:color w:val="auto"/>
              </w:rPr>
              <w:t>(5,543</w:t>
            </w:r>
            <w:r>
              <w:rPr>
                <w:rFonts w:ascii="Times New Roman" w:cs="Times New Roman" w:eastAsia="Times New Roman" w:hAnsi="Times New Roman"/>
                <w:sz w:val="31"/>
                <w:szCs w:val="31"/>
                <w:color w:val="auto"/>
                <w:vertAlign w:val="subscript"/>
              </w:rPr>
              <w:t>)</w:t>
            </w:r>
          </w:p>
        </w:tc>
        <w:tc>
          <w:tcPr>
            <w:tcW w:w="3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CFF0FC"/>
            </w:tcBorders>
            <w:gridSpan w:val="2"/>
            <w:vMerge w:val="restart"/>
            <w:shd w:val="clear" w:color="auto" w:fill="CFF0FC"/>
          </w:tcPr>
          <w:p>
            <w:pPr>
              <w:jc w:val="right"/>
              <w:ind w:right="180"/>
              <w:spacing w:after="0" w:line="304" w:lineRule="exact"/>
              <w:rPr>
                <w:sz w:val="20"/>
                <w:szCs w:val="20"/>
                <w:color w:val="auto"/>
              </w:rPr>
            </w:pPr>
            <w:r>
              <w:rPr>
                <w:rFonts w:ascii="Times New Roman" w:cs="Times New Roman" w:eastAsia="Times New Roman" w:hAnsi="Times New Roman"/>
                <w:sz w:val="16"/>
                <w:szCs w:val="16"/>
                <w:color w:val="auto"/>
              </w:rPr>
              <w:t>(48,155</w:t>
            </w:r>
            <w:r>
              <w:rPr>
                <w:rFonts w:ascii="Times New Roman" w:cs="Times New Roman" w:eastAsia="Times New Roman" w:hAnsi="Times New Roman"/>
                <w:sz w:val="31"/>
                <w:szCs w:val="31"/>
                <w:color w:val="auto"/>
                <w:vertAlign w:val="subscript"/>
              </w:rPr>
              <w:t>)</w:t>
            </w:r>
          </w:p>
        </w:tc>
        <w:tc>
          <w:tcPr>
            <w:tcW w:w="320" w:type="dxa"/>
            <w:vAlign w:val="bottom"/>
            <w:vMerge w:val="restart"/>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41,394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80" w:type="dxa"/>
            <w:vAlign w:val="bottom"/>
            <w:shd w:val="clear" w:color="auto" w:fill="CFF0FC"/>
          </w:tcPr>
          <w:p>
            <w:pPr>
              <w:ind w:left="200"/>
              <w:spacing w:after="0" w:line="137" w:lineRule="exact"/>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vMerge w:val="continue"/>
            <w:shd w:val="clear" w:color="auto" w:fill="CFF0FC"/>
          </w:tcPr>
          <w:p>
            <w:pPr>
              <w:spacing w:after="0"/>
              <w:rPr>
                <w:sz w:val="15"/>
                <w:szCs w:val="15"/>
                <w:color w:val="auto"/>
              </w:rPr>
            </w:pPr>
          </w:p>
        </w:tc>
        <w:tc>
          <w:tcPr>
            <w:tcW w:w="580" w:type="dxa"/>
            <w:vAlign w:val="bottom"/>
            <w:gridSpan w:val="2"/>
            <w:vMerge w:val="continue"/>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1380" w:type="dxa"/>
            <w:vAlign w:val="bottom"/>
            <w:tcBorders>
              <w:right w:val="single" w:sz="8" w:color="CFF0FC"/>
            </w:tcBorders>
            <w:gridSpan w:val="2"/>
            <w:vMerge w:val="continue"/>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operating activities</w:t>
      </w:r>
    </w:p>
    <w:p>
      <w:pPr>
        <w:spacing w:after="0" w:line="9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Cash used in operating activities was $19.3 million for the year ended September 30, 2025 as compared to cash used in operating activities of $ 78.8 million for the same period in 2024. The decrease in cash used in operating activities of $59.5 million was primarily driven by lower operating expenses and receipt of a $33.8 million income tax refund in April 2025, partially offset by lower cash receipts associated with our AbbVie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(used in) investing activities</w:t>
      </w:r>
    </w:p>
    <w:p>
      <w:pPr>
        <w:spacing w:after="0" w:line="9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Cash provided by investing activities was $40.3 million for the year ended September 30, 2025 as compared to cash provided by investing activities of $58.2 million for the same period in 2024. Our cash provided by investing activities decreased $17.9 million, driven by timing of purchases, sales and maturities of marketable securities in 2025 compared to 2024. This decrease was partially offset by a reduction in capital expenditures in fiscal 2025 as we completed the buildout of our new office and laboratory space at 4 Kingsbury Avenue in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provided by financing activities</w:t>
      </w:r>
    </w:p>
    <w:p>
      <w:pPr>
        <w:spacing w:after="0" w:line="9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Cash used in financing activities was $26.6 million for the year ended September 30, 2025 as compared to cash used in financing activities of $ 27.6 million for the same period in 2024. Our cash used in financing activities decreased $1.0 million, driven primarily by lower payments on our royalty sale agreement with OMERS.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Year Ended September 30, 2024</w:t>
      </w:r>
    </w:p>
    <w:p>
      <w:pPr>
        <w:spacing w:after="0" w:line="96" w:lineRule="exact"/>
        <w:rPr>
          <w:sz w:val="20"/>
          <w:szCs w:val="20"/>
          <w:color w:val="auto"/>
        </w:rPr>
      </w:pPr>
    </w:p>
    <w:p>
      <w:pPr>
        <w:ind w:right="340"/>
        <w:spacing w:after="0" w:line="331" w:lineRule="auto"/>
        <w:rPr>
          <w:sz w:val="20"/>
          <w:szCs w:val="20"/>
          <w:color w:val="auto"/>
        </w:rPr>
      </w:pPr>
      <w:r>
        <w:rPr>
          <w:rFonts w:ascii="Times New Roman" w:cs="Times New Roman" w:eastAsia="Times New Roman" w:hAnsi="Times New Roman"/>
          <w:sz w:val="14"/>
          <w:szCs w:val="14"/>
          <w:color w:val="auto"/>
        </w:rPr>
        <w:t>For a discussion of our cash flows for the year ended September 30, 2024, see Item 7. Management’s Discussion and Analysis of Financial Condition and Results of Operations—Liquidity and Capital Resources—Cash Flows included in our Annual Report on Form 10-K for the fiscal year ended September 30, 2024.</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9" w:name="page70"/>
    <w:bookmarkEnd w:id="69"/>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Funding Requirements</w:t>
      </w:r>
    </w:p>
    <w:p>
      <w:pPr>
        <w:spacing w:after="0" w:line="9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As of September 30, 2025, we had $188.9 million in cash, cash equivalents and short-term marketable securities. Based on our operating plan, we believe that our existing cash, cash equivalents and short-term marketable securities as of September 30, 2025, as well as the cash flows from our retained portion of future HCV royalties and the proceeds from our public offering in October 2025, will enable us to fund our operating expenses and capital expenditure requirements into fiscal 2029. However, our projection of the period of time through which our financial resources will be adequate to support our operations is a forward-looking statement that involves risks and uncertainties, and actual results could vary materially.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future capital requirements are difficult to forecast and will depend on many factors, including:</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number and characteristics of our research and development programs;</w:t>
      </w:r>
    </w:p>
    <w:p>
      <w:pPr>
        <w:spacing w:after="0" w:line="92" w:lineRule="exact"/>
        <w:rPr>
          <w:sz w:val="20"/>
          <w:szCs w:val="20"/>
          <w:color w:val="auto"/>
        </w:rPr>
      </w:pPr>
    </w:p>
    <w:p>
      <w:pPr>
        <w:ind w:left="480" w:right="660"/>
        <w:spacing w:after="0" w:line="360" w:lineRule="auto"/>
        <w:rPr>
          <w:sz w:val="20"/>
          <w:szCs w:val="20"/>
          <w:color w:val="auto"/>
        </w:rPr>
      </w:pPr>
      <w:r>
        <w:rPr>
          <w:rFonts w:ascii="Times New Roman" w:cs="Times New Roman" w:eastAsia="Times New Roman" w:hAnsi="Times New Roman"/>
          <w:sz w:val="16"/>
          <w:szCs w:val="16"/>
          <w:color w:val="auto"/>
        </w:rPr>
        <w:t>•the scope, progress, results and costs of researching and developing our product candidates on our own, including conducting advanced clinical trials; •our ability to establish new collaborations, licensing or other arrangements, if any, and the financial terms of such arrangements;</w:t>
      </w:r>
    </w:p>
    <w:p>
      <w:pPr>
        <w:ind w:left="480" w:right="1300"/>
        <w:spacing w:after="0" w:line="360" w:lineRule="auto"/>
        <w:rPr>
          <w:sz w:val="20"/>
          <w:szCs w:val="20"/>
          <w:color w:val="auto"/>
        </w:rPr>
      </w:pPr>
      <w:r>
        <w:rPr>
          <w:rFonts w:ascii="Times New Roman" w:cs="Times New Roman" w:eastAsia="Times New Roman" w:hAnsi="Times New Roman"/>
          <w:sz w:val="16"/>
          <w:szCs w:val="16"/>
          <w:color w:val="auto"/>
        </w:rPr>
        <w:t>•the amount of our retained portion of royalties generated from MAVYRET/MAVIRET sales under our existing collaboration with AbbVie; •delays and additional expenses in our clinical trials;</w:t>
      </w:r>
    </w:p>
    <w:p>
      <w:pPr>
        <w:ind w:left="480" w:right="1340"/>
        <w:spacing w:after="0" w:line="360" w:lineRule="auto"/>
        <w:rPr>
          <w:sz w:val="20"/>
          <w:szCs w:val="20"/>
          <w:color w:val="auto"/>
        </w:rPr>
      </w:pPr>
      <w:r>
        <w:rPr>
          <w:rFonts w:ascii="Times New Roman" w:cs="Times New Roman" w:eastAsia="Times New Roman" w:hAnsi="Times New Roman"/>
          <w:sz w:val="16"/>
          <w:szCs w:val="16"/>
          <w:color w:val="auto"/>
        </w:rPr>
        <w:t>•the cost of manufacturing our product candidates for clinical development and any products we successfully commercialize independently; •opportunities to in-license or otherwise acquire new technologies and therapeutic candidates;</w:t>
      </w:r>
    </w:p>
    <w:p>
      <w:pPr>
        <w:ind w:left="480" w:right="580"/>
        <w:spacing w:after="0" w:line="259" w:lineRule="auto"/>
        <w:rPr>
          <w:sz w:val="20"/>
          <w:szCs w:val="20"/>
          <w:color w:val="auto"/>
        </w:rPr>
      </w:pPr>
      <w:r>
        <w:rPr>
          <w:rFonts w:ascii="Times New Roman" w:cs="Times New Roman" w:eastAsia="Times New Roman" w:hAnsi="Times New Roman"/>
          <w:sz w:val="16"/>
          <w:szCs w:val="16"/>
          <w:color w:val="auto"/>
        </w:rPr>
        <w:t>•costs associated with prosecuting our patent infringement litigation regarding use of a coronavirus 3CL protease inhibitor in Paxlovid, Pfizer's antiviral treatment for COVID-19;</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timing of, and the costs involved in, obtaining regulatory approvals for any product candidates we develop independently;</w:t>
      </w:r>
    </w:p>
    <w:p>
      <w:pPr>
        <w:spacing w:after="0" w:line="92" w:lineRule="exact"/>
        <w:rPr>
          <w:sz w:val="20"/>
          <w:szCs w:val="20"/>
          <w:color w:val="auto"/>
        </w:rPr>
      </w:pPr>
    </w:p>
    <w:p>
      <w:pPr>
        <w:ind w:left="480" w:right="140"/>
        <w:spacing w:after="0" w:line="259" w:lineRule="auto"/>
        <w:rPr>
          <w:sz w:val="20"/>
          <w:szCs w:val="20"/>
          <w:color w:val="auto"/>
        </w:rPr>
      </w:pPr>
      <w:r>
        <w:rPr>
          <w:rFonts w:ascii="Times New Roman" w:cs="Times New Roman" w:eastAsia="Times New Roman" w:hAnsi="Times New Roman"/>
          <w:sz w:val="16"/>
          <w:szCs w:val="16"/>
          <w:color w:val="auto"/>
        </w:rPr>
        <w:t>•the cost of commercialization activities, if any, of any product candidates we develop independently that are approved for sale, including marketing, sales and distribution costs;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timing and amount of any sales of our product candidates, if any, or royalties thereon;</w:t>
      </w:r>
    </w:p>
    <w:p>
      <w:pPr>
        <w:spacing w:after="0" w:line="92" w:lineRule="exact"/>
        <w:rPr>
          <w:sz w:val="20"/>
          <w:szCs w:val="20"/>
          <w:color w:val="auto"/>
        </w:rPr>
      </w:pPr>
    </w:p>
    <w:p>
      <w:pPr>
        <w:ind w:left="480" w:right="180"/>
        <w:spacing w:after="0" w:line="259" w:lineRule="auto"/>
        <w:rPr>
          <w:sz w:val="20"/>
          <w:szCs w:val="20"/>
          <w:color w:val="auto"/>
        </w:rPr>
      </w:pPr>
      <w:r>
        <w:rPr>
          <w:rFonts w:ascii="Times New Roman" w:cs="Times New Roman" w:eastAsia="Times New Roman" w:hAnsi="Times New Roman"/>
          <w:sz w:val="16"/>
          <w:szCs w:val="16"/>
          <w:color w:val="auto"/>
        </w:rPr>
        <w:t>•the costs involved in preparing, filing, prosecuting, maintaining, defending and enforcing patents, including any litigation costs and the outcomes of any such litigation;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•potential fluctuations in foreign currency exchange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94"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Facility Leases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of this report, we lease space in Watertown, Massachusetts, under two separate lease agreements with one landlord.</w:t>
      </w:r>
    </w:p>
    <w:p>
      <w:pPr>
        <w:spacing w:after="0" w:line="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0" w:name="page71"/>
    <w:bookmarkEnd w:id="70"/>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tenant improvement allowance provided by the landlord, over the 10-year term of the lease. The 4 Kingsbury Avenue lease ends September 30, 2034.</w:t>
      </w:r>
    </w:p>
    <w:p>
      <w:pPr>
        <w:spacing w:after="0" w:line="92" w:lineRule="exact"/>
        <w:rPr>
          <w:sz w:val="20"/>
          <w:szCs w:val="20"/>
          <w:color w:val="auto"/>
        </w:rPr>
      </w:pPr>
    </w:p>
    <w:p>
      <w:pPr>
        <w:ind w:left="80" w:right="40"/>
        <w:spacing w:after="0" w:line="243" w:lineRule="auto"/>
        <w:rPr>
          <w:sz w:val="20"/>
          <w:szCs w:val="20"/>
          <w:color w:val="auto"/>
        </w:rPr>
      </w:pPr>
      <w:r>
        <w:rPr>
          <w:rFonts w:ascii="Times New Roman" w:cs="Times New Roman" w:eastAsia="Times New Roman" w:hAnsi="Times New Roman"/>
          <w:sz w:val="16"/>
          <w:szCs w:val="16"/>
          <w:color w:val="auto"/>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$ 9.0 million. The rent commencement date for our 4 Kingsbury Avenue lease was September 12, 2024, and we moved into the space in November 2024 at which time our lease at 500 Arsenal Street expired.</w:t>
      </w:r>
    </w:p>
    <w:p>
      <w:pPr>
        <w:spacing w:after="0" w:line="71" w:lineRule="exact"/>
        <w:rPr>
          <w:sz w:val="20"/>
          <w:szCs w:val="20"/>
          <w:color w:val="auto"/>
        </w:rPr>
      </w:pPr>
    </w:p>
    <w:p>
      <w:pPr>
        <w:ind w:left="80" w:right="60"/>
        <w:spacing w:after="0" w:line="243" w:lineRule="auto"/>
        <w:rPr>
          <w:sz w:val="20"/>
          <w:szCs w:val="20"/>
          <w:color w:val="auto"/>
        </w:rPr>
      </w:pPr>
      <w:r>
        <w:rPr>
          <w:rFonts w:ascii="Times New Roman" w:cs="Times New Roman" w:eastAsia="Times New Roman" w:hAnsi="Times New Roman"/>
          <w:sz w:val="16"/>
          <w:szCs w:val="16"/>
          <w:color w:val="auto"/>
        </w:rPr>
        <w:t>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w:t>
      </w:r>
    </w:p>
    <w:p>
      <w:pPr>
        <w:spacing w:after="0" w:line="71" w:lineRule="exact"/>
        <w:rPr>
          <w:sz w:val="20"/>
          <w:szCs w:val="20"/>
          <w:color w:val="auto"/>
        </w:rPr>
      </w:pPr>
    </w:p>
    <w:p>
      <w:pPr>
        <w:ind w:left="80" w:right="140"/>
        <w:spacing w:after="0" w:line="259" w:lineRule="auto"/>
        <w:rPr>
          <w:sz w:val="20"/>
          <w:szCs w:val="20"/>
          <w:color w:val="auto"/>
        </w:rPr>
      </w:pPr>
      <w:r>
        <w:rPr>
          <w:rFonts w:ascii="Times New Roman" w:cs="Times New Roman" w:eastAsia="Times New Roman" w:hAnsi="Times New Roman"/>
          <w:sz w:val="16"/>
          <w:szCs w:val="16"/>
          <w:color w:val="auto"/>
        </w:rPr>
        <w:t>Total estimated minimum lease payments for the next 5 years and thereafter under our existing facility and leased equipment agreements are $8.5 million in 2026, $8.7 million in 2027, $9.0 million in 2028, $9.3 million in 2029, $9.5 million in 2030, and $41.1 million thereafter.</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Preferred Stock</w:t>
      </w:r>
    </w:p>
    <w:p>
      <w:pPr>
        <w:spacing w:after="0" w:line="94" w:lineRule="exact"/>
        <w:rPr>
          <w:sz w:val="20"/>
          <w:szCs w:val="20"/>
          <w:color w:val="auto"/>
        </w:rPr>
      </w:pPr>
    </w:p>
    <w:p>
      <w:pPr>
        <w:ind w:left="80" w:right="20"/>
        <w:spacing w:after="0" w:line="241" w:lineRule="auto"/>
        <w:rPr>
          <w:sz w:val="20"/>
          <w:szCs w:val="20"/>
          <w:color w:val="auto"/>
        </w:rPr>
      </w:pPr>
      <w:r>
        <w:rPr>
          <w:rFonts w:ascii="Times New Roman" w:cs="Times New Roman" w:eastAsia="Times New Roman" w:hAnsi="Times New Roman"/>
          <w:sz w:val="16"/>
          <w:szCs w:val="16"/>
          <w:color w:val="auto"/>
        </w:rPr>
        <w:t>As of September 30, 2025, we had 1.9 million outstanding shares of Series 1 nonconvertible preferred stock, all of which we classified as a long-term liability on our consolidated balance sheet and recorded at fair value of $ 1.3 million. The fair value of the preferred stock was measured based on significant inputs not observable in the market, which represented a Level 3 measurement within the fair value hierarchy. The fair value of these instruments represents less than 10% of liabilities as of September 30, 2025. The Series 1 nonconvertible preferred stock issued would require the payment of $2.0 million in the event of a qualifying merger or sale of the company.</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OMERS Agreement</w:t>
      </w:r>
    </w:p>
    <w:p>
      <w:pPr>
        <w:spacing w:after="0" w:line="94" w:lineRule="exact"/>
        <w:rPr>
          <w:sz w:val="20"/>
          <w:szCs w:val="20"/>
          <w:color w:val="auto"/>
        </w:rPr>
      </w:pPr>
    </w:p>
    <w:p>
      <w:pPr>
        <w:ind w:left="80" w:right="180"/>
        <w:spacing w:after="0" w:line="247" w:lineRule="auto"/>
        <w:rPr>
          <w:sz w:val="20"/>
          <w:szCs w:val="20"/>
          <w:color w:val="auto"/>
        </w:rPr>
      </w:pPr>
      <w:r>
        <w:rPr>
          <w:rFonts w:ascii="Times New Roman" w:cs="Times New Roman" w:eastAsia="Times New Roman" w:hAnsi="Times New Roman"/>
          <w:sz w:val="16"/>
          <w:szCs w:val="16"/>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left="80"/>
        <w:spacing w:after="0" w:line="259" w:lineRule="auto"/>
        <w:rPr>
          <w:sz w:val="20"/>
          <w:szCs w:val="20"/>
          <w:color w:val="auto"/>
        </w:rPr>
      </w:pPr>
      <w:r>
        <w:rPr>
          <w:rFonts w:ascii="Times New Roman" w:cs="Times New Roman" w:eastAsia="Times New Roman" w:hAnsi="Times New Roman"/>
          <w:sz w:val="16"/>
          <w:szCs w:val="16"/>
          <w:color w:val="auto"/>
        </w:rPr>
        <w:t>The $200.0 million received in April 2023 was recognized on our consolidated balance sheets as a liability which will be reduced by the payments made to OMERS over the term of the Agreement.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left="80" w:right="40"/>
        <w:spacing w:after="0" w:line="299" w:lineRule="auto"/>
        <w:rPr>
          <w:sz w:val="20"/>
          <w:szCs w:val="20"/>
          <w:color w:val="auto"/>
        </w:rPr>
      </w:pPr>
      <w:r>
        <w:rPr>
          <w:rFonts w:ascii="Times New Roman" w:cs="Times New Roman" w:eastAsia="Times New Roman" w:hAnsi="Times New Roman"/>
          <w:sz w:val="14"/>
          <w:szCs w:val="14"/>
          <w:color w:val="auto"/>
        </w:rPr>
        <w:t>We had cash, cash equivalents and short-term marketable securities of $188.9 million and $248.2 million at September 30, 2025 and 2024, respectively, which consisted of cash, money market funds, and treasury notes. Interest income is sensitive to changes in the general level of interest rates; however, due to the nature of these investments, a change in market interest rates of 1% would not be expected to have a material impact on our financial condition or results of operations for either period.</w:t>
      </w:r>
    </w:p>
    <w:p>
      <w:pPr>
        <w:spacing w:after="0" w:line="1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96" w:lineRule="exact"/>
        <w:rPr>
          <w:sz w:val="20"/>
          <w:szCs w:val="20"/>
          <w:color w:val="auto"/>
        </w:rPr>
      </w:pPr>
    </w:p>
    <w:p>
      <w:pPr>
        <w:ind w:left="80" w:right="40"/>
        <w:spacing w:after="0" w:line="241" w:lineRule="auto"/>
        <w:rPr>
          <w:sz w:val="20"/>
          <w:szCs w:val="20"/>
          <w:color w:val="auto"/>
        </w:rPr>
      </w:pPr>
      <w:r>
        <w:rPr>
          <w:rFonts w:ascii="Times New Roman" w:cs="Times New Roman" w:eastAsia="Times New Roman" w:hAnsi="Times New Roman"/>
          <w:sz w:val="16"/>
          <w:szCs w:val="16"/>
          <w:color w:val="auto"/>
        </w:rPr>
        <w:t>As we continue to progress our wholly-owned programs into clinical development, we will conduct clinical trials and clinical manufacturing outside of the U.S. and thus will face exposure to movements in foreign currency exchange rates, primarily the British Pound and Euro, against the U.S. Dollar, arising from our accounts payable and accrued expenses. During fiscal 2025 and 2024,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94" w:lineRule="exact"/>
        <w:rPr>
          <w:sz w:val="20"/>
          <w:szCs w:val="20"/>
          <w:color w:val="auto"/>
        </w:rPr>
      </w:pPr>
    </w:p>
    <w:p>
      <w:pPr>
        <w:ind w:left="80" w:right="220"/>
        <w:spacing w:after="0" w:line="259" w:lineRule="auto"/>
        <w:rPr>
          <w:sz w:val="20"/>
          <w:szCs w:val="20"/>
          <w:color w:val="auto"/>
        </w:rPr>
      </w:pPr>
      <w:r>
        <w:rPr>
          <w:rFonts w:ascii="Times New Roman" w:cs="Times New Roman" w:eastAsia="Times New Roman" w:hAnsi="Times New Roman"/>
          <w:sz w:val="16"/>
          <w:szCs w:val="16"/>
          <w:color w:val="auto"/>
        </w:rPr>
        <w:t>Our consolidated financial statements, together with the report of our independent registered public accounting firm, appear on pages F-1 through F-26 of this Annual Report on Form 10-K.</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1440" w:right="660" w:bottom="1440" w:gutter="0" w:footer="0" w:header="0"/>
        </w:sectPr>
      </w:pPr>
    </w:p>
    <w:bookmarkStart w:id="71" w:name="page72"/>
    <w:bookmarkEnd w:id="71"/>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Disclosure Controls and Procedures and Internal Control over Financial Reporting</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94" w:lineRule="exact"/>
        <w:rPr>
          <w:sz w:val="20"/>
          <w:szCs w:val="20"/>
          <w:color w:val="auto"/>
        </w:rPr>
      </w:pPr>
    </w:p>
    <w:p>
      <w:pPr>
        <w:ind w:left="80"/>
        <w:spacing w:after="0" w:line="239" w:lineRule="auto"/>
        <w:rPr>
          <w:sz w:val="20"/>
          <w:szCs w:val="20"/>
          <w:color w:val="auto"/>
        </w:rPr>
      </w:pPr>
      <w:r>
        <w:rPr>
          <w:rFonts w:ascii="Times New Roman" w:cs="Times New Roman" w:eastAsia="Times New Roman" w:hAnsi="Times New Roman"/>
          <w:sz w:val="16"/>
          <w:szCs w:val="16"/>
          <w:color w:val="auto"/>
        </w:rPr>
        <w:t>We maintain disclosure controls and procedures that are designed to ensure that information required to be disclosed in the Company’s reports under the Securities Exchange Act of 1934, as amended, or the Exchange Act, is recorded, processed, summarized and reported within the time periods specified in the SEC’s rules and forms, and that such information is accumulated and communicated to management, including our Chief Executive Officer (Principal Executive Officer, or "PEO") and Vice President, Finance (Principal Financial Officer or "PFO"),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Company's are designed to do, and management necessarily was required to apply its judgment in evaluating the risk related to controls and procedures.</w:t>
      </w:r>
    </w:p>
    <w:p>
      <w:pPr>
        <w:spacing w:after="0" w:line="74" w:lineRule="exact"/>
        <w:rPr>
          <w:sz w:val="20"/>
          <w:szCs w:val="20"/>
          <w:color w:val="auto"/>
        </w:rPr>
      </w:pPr>
    </w:p>
    <w:p>
      <w:pPr>
        <w:ind w:left="80" w:right="100"/>
        <w:spacing w:after="0" w:line="243" w:lineRule="auto"/>
        <w:rPr>
          <w:sz w:val="20"/>
          <w:szCs w:val="20"/>
          <w:color w:val="auto"/>
        </w:rPr>
      </w:pPr>
      <w:r>
        <w:rPr>
          <w:rFonts w:ascii="Times New Roman" w:cs="Times New Roman" w:eastAsia="Times New Roman" w:hAnsi="Times New Roman"/>
          <w:sz w:val="16"/>
          <w:szCs w:val="16"/>
          <w:color w:val="auto"/>
        </w:rPr>
        <w:t>In connection with the preparation of this Form 10-K, as of September 30, 2025, an evaluation was performed under the supervision and with the participation of our management, including the PEO and PFO, of the effectiveness of the design and operation of our disclosure controls and procedures (as defined in Rules 13a-15(e) and 15d-15(e) under the Exchange Act). Based on that evaluation, our PEO and PFO concluded that our disclosure controls and procedures were effective at a reasonable assurance level as of September 30, 2025. These conclusions were communicated to the Audit Committee.</w:t>
      </w:r>
    </w:p>
    <w:p>
      <w:pPr>
        <w:spacing w:after="0" w:line="1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Management’s Report on Internal Control over Financial Reporting</w:t>
      </w:r>
    </w:p>
    <w:p>
      <w:pPr>
        <w:spacing w:after="0" w:line="94" w:lineRule="exact"/>
        <w:rPr>
          <w:sz w:val="20"/>
          <w:szCs w:val="20"/>
          <w:color w:val="auto"/>
        </w:rPr>
      </w:pPr>
    </w:p>
    <w:p>
      <w:pPr>
        <w:ind w:left="80"/>
        <w:spacing w:after="0" w:line="24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 13a-15(f) and Rule 15d-15(f)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1" w:lineRule="exact"/>
        <w:rPr>
          <w:sz w:val="20"/>
          <w:szCs w:val="20"/>
          <w:color w:val="auto"/>
        </w:rPr>
      </w:pPr>
    </w:p>
    <w:p>
      <w:pPr>
        <w:jc w:val="both"/>
        <w:ind w:left="80" w:right="120"/>
        <w:spacing w:after="0" w:line="247" w:lineRule="auto"/>
        <w:rPr>
          <w:sz w:val="20"/>
          <w:szCs w:val="20"/>
          <w:color w:val="auto"/>
        </w:rPr>
      </w:pPr>
      <w:r>
        <w:rPr>
          <w:rFonts w:ascii="Times New Roman" w:cs="Times New Roman" w:eastAsia="Times New Roman" w:hAnsi="Times New Roman"/>
          <w:sz w:val="16"/>
          <w:szCs w:val="16"/>
          <w:color w:val="auto"/>
        </w:rPr>
        <w:t xml:space="preserve">Our management has assessed the effectiveness of our internal control over financial reporting as of September 30, 2025. In making this assessment, management used the criteria set forth by the Committee of Sponsoring Organizations of the Treadway Commission (COSO) in its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Based on this assessment, our management has concluded that as of September 30, 2025, our internal control over financial reporting is effective.</w:t>
      </w:r>
    </w:p>
    <w:p>
      <w:pPr>
        <w:spacing w:after="0" w:line="1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94" w:lineRule="exact"/>
        <w:rPr>
          <w:sz w:val="20"/>
          <w:szCs w:val="20"/>
          <w:color w:val="auto"/>
        </w:rPr>
      </w:pPr>
    </w:p>
    <w:p>
      <w:pPr>
        <w:ind w:left="80" w:right="220"/>
        <w:spacing w:after="0" w:line="259"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78" w:lineRule="exact"/>
        <w:rPr>
          <w:sz w:val="20"/>
          <w:szCs w:val="20"/>
          <w:color w:val="auto"/>
        </w:rPr>
      </w:pPr>
    </w:p>
    <w:p>
      <w:pPr>
        <w:ind w:left="80" w:right="80"/>
        <w:spacing w:after="0" w:line="259" w:lineRule="auto"/>
        <w:rPr>
          <w:sz w:val="20"/>
          <w:szCs w:val="20"/>
          <w:color w:val="auto"/>
        </w:rPr>
      </w:pPr>
      <w:r>
        <w:rPr>
          <w:rFonts w:ascii="Times New Roman" w:cs="Times New Roman" w:eastAsia="Times New Roman" w:hAnsi="Times New Roman"/>
          <w:sz w:val="16"/>
          <w:szCs w:val="16"/>
          <w:color w:val="auto"/>
        </w:rPr>
        <w:t>During the fourth quarter ended September 30, 2025, none of our directors or officers (as defined in Rule 16a-1(f) of the Securities Exchange Act of 1934, as amended) adopted, modified, or terminated a Rule 10b5-1 trading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40" w:right="680"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94" w:lineRule="exact"/>
        <w:rPr>
          <w:sz w:val="20"/>
          <w:szCs w:val="20"/>
          <w:color w:val="auto"/>
        </w:rPr>
      </w:pPr>
    </w:p>
    <w:p>
      <w:pPr>
        <w:ind w:left="80"/>
        <w:spacing w:after="0" w:line="259" w:lineRule="auto"/>
        <w:rPr>
          <w:sz w:val="20"/>
          <w:szCs w:val="20"/>
          <w:color w:val="auto"/>
        </w:rPr>
      </w:pPr>
      <w:r>
        <w:rPr>
          <w:rFonts w:ascii="Times New Roman" w:cs="Times New Roman" w:eastAsia="Times New Roman" w:hAnsi="Times New Roman"/>
          <w:sz w:val="16"/>
          <w:szCs w:val="16"/>
          <w:color w:val="auto"/>
        </w:rPr>
        <w:t>Portions of the response to this item are incorporated herein by reference to the discussion responsive thereto in the Company’s Definitive Proxy Statement relating to the 2026 Annual Meeting of Stockholders, also referred to as the 2026 Proxy Statement, which will be filed within 120 days after September 30, 2025.</w:t>
      </w:r>
    </w:p>
    <w:p>
      <w:pPr>
        <w:spacing w:after="0" w:line="59" w:lineRule="exact"/>
        <w:rPr>
          <w:sz w:val="20"/>
          <w:szCs w:val="20"/>
          <w:color w:val="auto"/>
        </w:rPr>
      </w:pPr>
    </w:p>
    <w:p>
      <w:pPr>
        <w:jc w:val="both"/>
        <w:ind w:left="80" w:right="140"/>
        <w:spacing w:after="0" w:line="243" w:lineRule="auto"/>
        <w:rPr>
          <w:sz w:val="20"/>
          <w:szCs w:val="20"/>
          <w:color w:val="auto"/>
        </w:rPr>
      </w:pPr>
      <w:r>
        <w:rPr>
          <w:rFonts w:ascii="Times New Roman" w:cs="Times New Roman" w:eastAsia="Times New Roman" w:hAnsi="Times New Roman"/>
          <w:sz w:val="16"/>
          <w:szCs w:val="16"/>
          <w:color w:val="auto"/>
        </w:rPr>
        <w:t>We have adopted a Code of Business Conduct and Ethics (the code of ethics) that applies to all of our employees, officers and directors.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 on our website or on a Form 8-K.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4" w:lineRule="exact"/>
        <w:rPr>
          <w:sz w:val="20"/>
          <w:szCs w:val="20"/>
          <w:color w:val="auto"/>
        </w:rPr>
      </w:pPr>
    </w:p>
    <w:p>
      <w:pPr>
        <w:ind w:left="80" w:right="280"/>
        <w:spacing w:after="0" w:line="259" w:lineRule="auto"/>
        <w:rPr>
          <w:sz w:val="20"/>
          <w:szCs w:val="20"/>
          <w:color w:val="auto"/>
        </w:rPr>
      </w:pPr>
      <w:r>
        <w:rPr>
          <w:rFonts w:ascii="Times New Roman" w:cs="Times New Roman" w:eastAsia="Times New Roman" w:hAnsi="Times New Roman"/>
          <w:sz w:val="16"/>
          <w:szCs w:val="16"/>
          <w:color w:val="auto"/>
        </w:rPr>
        <w:t>The response to this item is incorporated herein by reference from the discussion responsive thereto in the 2026 Proxy Statement, which will be filed within 120 days after September 30,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94" w:lineRule="exact"/>
        <w:rPr>
          <w:sz w:val="20"/>
          <w:szCs w:val="20"/>
          <w:color w:val="auto"/>
        </w:rPr>
      </w:pPr>
    </w:p>
    <w:p>
      <w:pPr>
        <w:ind w:left="80" w:right="160"/>
        <w:spacing w:after="0" w:line="259" w:lineRule="auto"/>
        <w:rPr>
          <w:sz w:val="20"/>
          <w:szCs w:val="20"/>
          <w:color w:val="auto"/>
        </w:rPr>
      </w:pPr>
      <w:r>
        <w:rPr>
          <w:rFonts w:ascii="Times New Roman" w:cs="Times New Roman" w:eastAsia="Times New Roman" w:hAnsi="Times New Roman"/>
          <w:sz w:val="16"/>
          <w:szCs w:val="16"/>
          <w:color w:val="auto"/>
        </w:rPr>
        <w:t>The response to this item is incorporated herein by reference in part from the discussion responsive thereto in the 2026 Proxy Statement, which will be filed within 120 days after September 30, 2025.</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The following table provides information about the securities authorized for issuance under the Company’s equity compensation plans as of September 30, 2025:</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 except per share information)</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56"/>
        </w:trPr>
        <w:tc>
          <w:tcPr>
            <w:tcW w:w="4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293"/>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020" w:type="dxa"/>
            <w:vAlign w:val="bottom"/>
          </w:tcPr>
          <w:p>
            <w:pPr>
              <w:spacing w:after="0"/>
              <w:rPr>
                <w:sz w:val="13"/>
                <w:szCs w:val="13"/>
                <w:color w:val="auto"/>
              </w:rPr>
            </w:pPr>
          </w:p>
        </w:tc>
      </w:tr>
      <w:tr>
        <w:trPr>
          <w:trHeight w:val="156"/>
        </w:trPr>
        <w:tc>
          <w:tcPr>
            <w:tcW w:w="40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13"/>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020" w:type="dxa"/>
            <w:vAlign w:val="bottom"/>
          </w:tcPr>
          <w:p>
            <w:pPr>
              <w:jc w:val="center"/>
              <w:ind w:right="152"/>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56"/>
        </w:trPr>
        <w:tc>
          <w:tcPr>
            <w:tcW w:w="4000" w:type="dxa"/>
            <w:vAlign w:val="bottom"/>
          </w:tcPr>
          <w:p>
            <w:pPr>
              <w:spacing w:after="0"/>
              <w:rPr>
                <w:sz w:val="13"/>
                <w:szCs w:val="13"/>
                <w:color w:val="auto"/>
              </w:rPr>
            </w:pPr>
          </w:p>
        </w:tc>
        <w:tc>
          <w:tcPr>
            <w:tcW w:w="18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Number of securities</w:t>
            </w:r>
          </w:p>
        </w:tc>
        <w:tc>
          <w:tcPr>
            <w:tcW w:w="200" w:type="dxa"/>
            <w:vAlign w:val="bottom"/>
          </w:tcPr>
          <w:p>
            <w:pPr>
              <w:spacing w:after="0"/>
              <w:rPr>
                <w:sz w:val="13"/>
                <w:szCs w:val="13"/>
                <w:color w:val="auto"/>
              </w:rPr>
            </w:pPr>
          </w:p>
        </w:tc>
        <w:tc>
          <w:tcPr>
            <w:tcW w:w="1460" w:type="dxa"/>
            <w:vAlign w:val="bottom"/>
          </w:tcPr>
          <w:p>
            <w:pPr>
              <w:jc w:val="center"/>
              <w:ind w:right="293"/>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2020" w:type="dxa"/>
            <w:vAlign w:val="bottom"/>
          </w:tcPr>
          <w:p>
            <w:pPr>
              <w:jc w:val="center"/>
              <w:ind w:right="152"/>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56"/>
        </w:trPr>
        <w:tc>
          <w:tcPr>
            <w:tcW w:w="4000" w:type="dxa"/>
            <w:vAlign w:val="bottom"/>
          </w:tcPr>
          <w:p>
            <w:pPr>
              <w:spacing w:after="0"/>
              <w:rPr>
                <w:sz w:val="13"/>
                <w:szCs w:val="13"/>
                <w:color w:val="auto"/>
              </w:rPr>
            </w:pPr>
          </w:p>
        </w:tc>
        <w:tc>
          <w:tcPr>
            <w:tcW w:w="1820" w:type="dxa"/>
            <w:vAlign w:val="bottom"/>
          </w:tcPr>
          <w:p>
            <w:pPr>
              <w:jc w:val="center"/>
              <w:ind w:right="172"/>
              <w:spacing w:after="0"/>
              <w:rPr>
                <w:sz w:val="20"/>
                <w:szCs w:val="20"/>
                <w:color w:val="auto"/>
              </w:rPr>
            </w:pPr>
            <w:r>
              <w:rPr>
                <w:rFonts w:ascii="Times New Roman" w:cs="Times New Roman" w:eastAsia="Times New Roman" w:hAnsi="Times New Roman"/>
                <w:sz w:val="13"/>
                <w:szCs w:val="13"/>
                <w:b w:val="1"/>
                <w:bCs w:val="1"/>
                <w:color w:val="auto"/>
              </w:rPr>
              <w:t>to be issued</w:t>
            </w:r>
          </w:p>
        </w:tc>
        <w:tc>
          <w:tcPr>
            <w:tcW w:w="200" w:type="dxa"/>
            <w:vAlign w:val="bottom"/>
          </w:tcPr>
          <w:p>
            <w:pPr>
              <w:spacing w:after="0"/>
              <w:rPr>
                <w:sz w:val="13"/>
                <w:szCs w:val="13"/>
                <w:color w:val="auto"/>
              </w:rPr>
            </w:pPr>
          </w:p>
        </w:tc>
        <w:tc>
          <w:tcPr>
            <w:tcW w:w="1460" w:type="dxa"/>
            <w:vAlign w:val="bottom"/>
          </w:tcPr>
          <w:p>
            <w:pPr>
              <w:jc w:val="center"/>
              <w:ind w:right="293"/>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56"/>
        </w:trPr>
        <w:tc>
          <w:tcPr>
            <w:tcW w:w="4000" w:type="dxa"/>
            <w:vAlign w:val="bottom"/>
          </w:tcPr>
          <w:p>
            <w:pPr>
              <w:spacing w:after="0"/>
              <w:rPr>
                <w:sz w:val="13"/>
                <w:szCs w:val="13"/>
                <w:color w:val="auto"/>
              </w:rPr>
            </w:pPr>
          </w:p>
        </w:tc>
        <w:tc>
          <w:tcPr>
            <w:tcW w:w="1820" w:type="dxa"/>
            <w:vAlign w:val="bottom"/>
          </w:tcPr>
          <w:p>
            <w:pPr>
              <w:jc w:val="center"/>
              <w:ind w:right="172"/>
              <w:spacing w:after="0"/>
              <w:rPr>
                <w:sz w:val="20"/>
                <w:szCs w:val="20"/>
                <w:color w:val="auto"/>
              </w:rPr>
            </w:pPr>
            <w:r>
              <w:rPr>
                <w:rFonts w:ascii="Times New Roman" w:cs="Times New Roman" w:eastAsia="Times New Roman" w:hAnsi="Times New Roman"/>
                <w:sz w:val="13"/>
                <w:szCs w:val="13"/>
                <w:b w:val="1"/>
                <w:bCs w:val="1"/>
                <w:color w:val="auto"/>
              </w:rPr>
              <w:t>upon exercise of</w:t>
            </w:r>
          </w:p>
        </w:tc>
        <w:tc>
          <w:tcPr>
            <w:tcW w:w="200" w:type="dxa"/>
            <w:vAlign w:val="bottom"/>
          </w:tcPr>
          <w:p>
            <w:pPr>
              <w:spacing w:after="0"/>
              <w:rPr>
                <w:sz w:val="13"/>
                <w:szCs w:val="13"/>
                <w:color w:val="auto"/>
              </w:rPr>
            </w:pPr>
          </w:p>
        </w:tc>
        <w:tc>
          <w:tcPr>
            <w:tcW w:w="14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0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56"/>
        </w:trPr>
        <w:tc>
          <w:tcPr>
            <w:tcW w:w="4000" w:type="dxa"/>
            <w:vAlign w:val="bottom"/>
          </w:tcPr>
          <w:p>
            <w:pPr>
              <w:spacing w:after="0"/>
              <w:rPr>
                <w:sz w:val="13"/>
                <w:szCs w:val="13"/>
                <w:color w:val="auto"/>
              </w:rPr>
            </w:pPr>
          </w:p>
        </w:tc>
        <w:tc>
          <w:tcPr>
            <w:tcW w:w="1820" w:type="dxa"/>
            <w:vAlign w:val="bottom"/>
          </w:tcPr>
          <w:p>
            <w:pPr>
              <w:jc w:val="center"/>
              <w:ind w:right="172"/>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200" w:type="dxa"/>
            <w:vAlign w:val="bottom"/>
          </w:tcPr>
          <w:p>
            <w:pPr>
              <w:spacing w:after="0"/>
              <w:rPr>
                <w:sz w:val="13"/>
                <w:szCs w:val="13"/>
                <w:color w:val="auto"/>
              </w:rPr>
            </w:pPr>
          </w:p>
        </w:tc>
        <w:tc>
          <w:tcPr>
            <w:tcW w:w="1460" w:type="dxa"/>
            <w:vAlign w:val="bottom"/>
          </w:tcPr>
          <w:p>
            <w:pPr>
              <w:jc w:val="center"/>
              <w:ind w:right="313"/>
              <w:spacing w:after="0"/>
              <w:rPr>
                <w:sz w:val="20"/>
                <w:szCs w:val="20"/>
                <w:color w:val="auto"/>
              </w:rPr>
            </w:pPr>
            <w:r>
              <w:rPr>
                <w:rFonts w:ascii="Times New Roman" w:cs="Times New Roman" w:eastAsia="Times New Roman" w:hAnsi="Times New Roman"/>
                <w:sz w:val="13"/>
                <w:szCs w:val="13"/>
                <w:b w:val="1"/>
                <w:bCs w:val="1"/>
                <w:color w:val="auto"/>
              </w:rPr>
              <w:t>warrants and</w:t>
            </w:r>
          </w:p>
        </w:tc>
        <w:tc>
          <w:tcPr>
            <w:tcW w:w="2020" w:type="dxa"/>
            <w:vAlign w:val="bottom"/>
          </w:tcPr>
          <w:p>
            <w:pPr>
              <w:jc w:val="center"/>
              <w:ind w:right="152"/>
              <w:spacing w:after="0"/>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67"/>
        </w:trPr>
        <w:tc>
          <w:tcPr>
            <w:tcW w:w="4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82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warrants and rights</w:t>
            </w:r>
          </w:p>
        </w:tc>
        <w:tc>
          <w:tcPr>
            <w:tcW w:w="200" w:type="dxa"/>
            <w:vAlign w:val="bottom"/>
          </w:tcPr>
          <w:p>
            <w:pPr>
              <w:spacing w:after="0"/>
              <w:rPr>
                <w:sz w:val="14"/>
                <w:szCs w:val="14"/>
                <w:color w:val="auto"/>
              </w:rPr>
            </w:pPr>
          </w:p>
        </w:tc>
        <w:tc>
          <w:tcPr>
            <w:tcW w:w="1460" w:type="dxa"/>
            <w:vAlign w:val="bottom"/>
          </w:tcPr>
          <w:p>
            <w:pPr>
              <w:jc w:val="center"/>
              <w:ind w:right="273"/>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202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34"/>
        </w:trPr>
        <w:tc>
          <w:tcPr>
            <w:tcW w:w="4000" w:type="dxa"/>
            <w:vAlign w:val="bottom"/>
          </w:tcPr>
          <w:p>
            <w:pPr>
              <w:spacing w:after="0"/>
              <w:rPr>
                <w:sz w:val="11"/>
                <w:szCs w:val="11"/>
                <w:color w:val="auto"/>
              </w:rPr>
            </w:pPr>
          </w:p>
        </w:tc>
        <w:tc>
          <w:tcPr>
            <w:tcW w:w="182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(a)</w:t>
            </w:r>
          </w:p>
        </w:tc>
        <w:tc>
          <w:tcPr>
            <w:tcW w:w="200" w:type="dxa"/>
            <w:vAlign w:val="bottom"/>
          </w:tcPr>
          <w:p>
            <w:pPr>
              <w:spacing w:after="0"/>
              <w:rPr>
                <w:sz w:val="11"/>
                <w:szCs w:val="11"/>
                <w:color w:val="auto"/>
              </w:rPr>
            </w:pPr>
          </w:p>
        </w:tc>
        <w:tc>
          <w:tcPr>
            <w:tcW w:w="146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w w:val="88"/>
              </w:rPr>
              <w:t>(b)</w:t>
            </w:r>
          </w:p>
        </w:tc>
        <w:tc>
          <w:tcPr>
            <w:tcW w:w="2020" w:type="dxa"/>
            <w:vAlign w:val="bottom"/>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w w:val="97"/>
              </w:rPr>
              <w:t>(c)</w:t>
            </w: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Equity compensation plans approved by security holders </w:t>
            </w:r>
            <w:r>
              <w:rPr>
                <w:rFonts w:ascii="Times New Roman" w:cs="Times New Roman" w:eastAsia="Times New Roman" w:hAnsi="Times New Roman"/>
                <w:sz w:val="20"/>
                <w:szCs w:val="20"/>
                <w:color w:val="auto"/>
                <w:vertAlign w:val="superscript"/>
              </w:rPr>
              <w:t>(1)</w:t>
            </w:r>
          </w:p>
        </w:tc>
        <w:tc>
          <w:tcPr>
            <w:tcW w:w="1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5"/>
                <w:szCs w:val="15"/>
                <w:color w:val="auto"/>
              </w:rPr>
              <w:t xml:space="preserve">6,353 </w:t>
            </w:r>
            <w:r>
              <w:rPr>
                <w:rFonts w:ascii="Times New Roman" w:cs="Times New Roman" w:eastAsia="Times New Roman" w:hAnsi="Times New Roman"/>
                <w:sz w:val="20"/>
                <w:szCs w:val="20"/>
                <w:color w:val="auto"/>
                <w:vertAlign w:val="superscript"/>
              </w:rPr>
              <w:t>(2)</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93"/>
              <w:spacing w:after="0" w:line="180" w:lineRule="exact"/>
              <w:rPr>
                <w:sz w:val="20"/>
                <w:szCs w:val="20"/>
                <w:color w:val="auto"/>
              </w:rPr>
            </w:pPr>
            <w:r>
              <w:rPr>
                <w:rFonts w:ascii="Times New Roman" w:cs="Times New Roman" w:eastAsia="Times New Roman" w:hAnsi="Times New Roman"/>
                <w:sz w:val="16"/>
                <w:szCs w:val="16"/>
                <w:color w:val="auto"/>
              </w:rPr>
              <w:t>34.73</w:t>
            </w: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 xml:space="preserve">2,171 </w:t>
            </w:r>
            <w:r>
              <w:rPr>
                <w:rFonts w:ascii="Times New Roman" w:cs="Times New Roman" w:eastAsia="Times New Roman" w:hAnsi="Times New Roman"/>
                <w:sz w:val="8"/>
                <w:szCs w:val="8"/>
                <w:color w:val="auto"/>
              </w:rPr>
              <w:t>(3)</w:t>
            </w: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20" w:type="dxa"/>
            <w:vAlign w:val="bottom"/>
          </w:tcPr>
          <w:p>
            <w:pPr>
              <w:jc w:val="right"/>
              <w:ind w:right="19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460" w:type="dxa"/>
            <w:vAlign w:val="bottom"/>
          </w:tcPr>
          <w:p>
            <w:pPr>
              <w:jc w:val="right"/>
              <w:ind w:right="9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20" w:type="dxa"/>
            <w:vAlign w:val="bottom"/>
          </w:tcPr>
          <w:p>
            <w:pPr>
              <w:jc w:val="right"/>
              <w:ind w:right="15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0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Totals</w:t>
            </w:r>
          </w:p>
        </w:tc>
        <w:tc>
          <w:tcPr>
            <w:tcW w:w="1820" w:type="dxa"/>
            <w:vAlign w:val="bottom"/>
            <w:shd w:val="clear" w:color="auto" w:fill="CFF0FC"/>
          </w:tcPr>
          <w:p>
            <w:pPr>
              <w:jc w:val="right"/>
              <w:ind w:right="192"/>
              <w:spacing w:after="0" w:line="180" w:lineRule="exact"/>
              <w:rPr>
                <w:sz w:val="20"/>
                <w:szCs w:val="20"/>
                <w:color w:val="auto"/>
              </w:rPr>
            </w:pPr>
            <w:r>
              <w:rPr>
                <w:rFonts w:ascii="Times New Roman" w:cs="Times New Roman" w:eastAsia="Times New Roman" w:hAnsi="Times New Roman"/>
                <w:sz w:val="16"/>
                <w:szCs w:val="16"/>
                <w:color w:val="auto"/>
              </w:rPr>
              <w:t>6,353</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020" w:type="dxa"/>
            <w:vAlign w:val="bottom"/>
            <w:shd w:val="clear" w:color="auto" w:fill="CFF0FC"/>
          </w:tcPr>
          <w:p>
            <w:pPr>
              <w:jc w:val="right"/>
              <w:ind w:right="152"/>
              <w:spacing w:after="0" w:line="180" w:lineRule="exact"/>
              <w:rPr>
                <w:sz w:val="20"/>
                <w:szCs w:val="20"/>
                <w:color w:val="auto"/>
              </w:rPr>
            </w:pPr>
            <w:r>
              <w:rPr>
                <w:rFonts w:ascii="Times New Roman" w:cs="Times New Roman" w:eastAsia="Times New Roman" w:hAnsi="Times New Roman"/>
                <w:sz w:val="16"/>
                <w:szCs w:val="16"/>
                <w:color w:val="auto"/>
              </w:rPr>
              <w:t>2,171</w:t>
            </w:r>
          </w:p>
        </w:tc>
      </w:tr>
    </w:tbl>
    <w:p>
      <w:pPr>
        <w:spacing w:after="0" w:line="119" w:lineRule="exact"/>
        <w:rPr>
          <w:sz w:val="20"/>
          <w:szCs w:val="20"/>
          <w:color w:val="auto"/>
        </w:rPr>
      </w:pPr>
    </w:p>
    <w:p>
      <w:pPr>
        <w:ind w:left="80" w:right="40"/>
        <w:spacing w:after="0" w:line="199"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Consists of the Company’s 2019 Equity Incentive Plan, the Company's 2024 Inducement Stock Plan, the Company’s 2012 Equity Incentive Plan, as amended, and the Company’s Employee Stock Purchase Plan.</w:t>
      </w:r>
    </w:p>
    <w:p>
      <w:pPr>
        <w:spacing w:after="0" w:line="2" w:lineRule="exact"/>
        <w:rPr>
          <w:sz w:val="20"/>
          <w:szCs w:val="20"/>
          <w:color w:val="auto"/>
        </w:rPr>
      </w:pPr>
    </w:p>
    <w:p>
      <w:pPr>
        <w:ind w:left="80" w:right="480"/>
        <w:spacing w:after="0" w:line="191"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6"/>
          <w:szCs w:val="16"/>
          <w:color w:val="auto"/>
        </w:rPr>
        <w:t>Consists of shares of the Company’s common stock issuable upon exercise of outstanding options issued under the Company’s 2019 Equity Incentive Plan, the Company's 2024 Inducement Stock Plan and the Company’s Amended and Restated 2012 Equity Incentive Plan.</w:t>
      </w:r>
    </w:p>
    <w:p>
      <w:pPr>
        <w:spacing w:after="0" w:line="2" w:lineRule="exact"/>
        <w:rPr>
          <w:sz w:val="20"/>
          <w:szCs w:val="20"/>
          <w:color w:val="auto"/>
        </w:rPr>
      </w:pPr>
    </w:p>
    <w:p>
      <w:pPr>
        <w:ind w:left="80" w:right="160"/>
        <w:spacing w:after="0" w:line="194"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6"/>
          <w:szCs w:val="16"/>
          <w:color w:val="auto"/>
        </w:rPr>
        <w:t>Consists of shares of the Company’s common stock reserved for future issuance under the Company’s 2019 Equity Incentive Plan, the Company's 2024 Inducement Stock Plan and the Company’s Employee Stock Purchase Plan.</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419" w:right="640" w:bottom="1440" w:gutter="0" w:footer="0" w:header="0"/>
        </w:sectPr>
      </w:pPr>
    </w:p>
    <w:bookmarkStart w:id="73" w:name="page74"/>
    <w:bookmarkEnd w:id="73"/>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94" w:lineRule="exact"/>
        <w:rPr>
          <w:sz w:val="20"/>
          <w:szCs w:val="20"/>
          <w:color w:val="auto"/>
        </w:rPr>
      </w:pPr>
    </w:p>
    <w:p>
      <w:pPr>
        <w:ind w:left="80"/>
        <w:spacing w:after="0" w:line="259" w:lineRule="auto"/>
        <w:rPr>
          <w:sz w:val="20"/>
          <w:szCs w:val="20"/>
          <w:color w:val="auto"/>
        </w:rPr>
      </w:pPr>
      <w:r>
        <w:rPr>
          <w:rFonts w:ascii="Times New Roman" w:cs="Times New Roman" w:eastAsia="Times New Roman" w:hAnsi="Times New Roman"/>
          <w:sz w:val="16"/>
          <w:szCs w:val="16"/>
          <w:color w:val="auto"/>
        </w:rPr>
        <w:t>The response to this item is incorporated herein by reference from the discussion responsive thereto in the 2026 Proxy Statement, which will be filed within 120 days after September 30,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94" w:lineRule="exact"/>
        <w:rPr>
          <w:sz w:val="20"/>
          <w:szCs w:val="20"/>
          <w:color w:val="auto"/>
        </w:rPr>
      </w:pPr>
    </w:p>
    <w:p>
      <w:pPr>
        <w:ind w:left="80"/>
        <w:spacing w:after="0" w:line="259" w:lineRule="auto"/>
        <w:rPr>
          <w:sz w:val="20"/>
          <w:szCs w:val="20"/>
          <w:color w:val="auto"/>
        </w:rPr>
      </w:pPr>
      <w:r>
        <w:rPr>
          <w:rFonts w:ascii="Times New Roman" w:cs="Times New Roman" w:eastAsia="Times New Roman" w:hAnsi="Times New Roman"/>
          <w:sz w:val="16"/>
          <w:szCs w:val="16"/>
          <w:color w:val="auto"/>
        </w:rPr>
        <w:t>The response to this item is incorporated herein by reference from the discussion responsive thereto in the 2026 Proxy Statement, which will be filed within 120 days after September 30, 2025.</w:t>
      </w:r>
    </w:p>
    <w:p>
      <w:pPr>
        <w:spacing w:after="0" w:line="1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580" w:top="1440" w:right="920" w:bottom="1440" w:gutter="0" w:footer="0" w:header="0"/>
        </w:sectPr>
      </w:pPr>
    </w:p>
    <w:bookmarkStart w:id="74" w:name="page75"/>
    <w:bookmarkEnd w:id="74"/>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(a) 1. FINANCIAL STATEMENTS</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The financial statements are included under Part II, Item 8 of this Report.</w:t>
      </w: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2. FINANCIAL STATEMENTS SCHEDULE</w:t>
      </w:r>
    </w:p>
    <w:p>
      <w:pPr>
        <w:spacing w:after="0" w:line="94" w:lineRule="exact"/>
        <w:rPr>
          <w:sz w:val="20"/>
          <w:szCs w:val="20"/>
          <w:color w:val="auto"/>
        </w:rPr>
      </w:pPr>
    </w:p>
    <w:p>
      <w:pPr>
        <w:ind w:left="80" w:right="360"/>
        <w:spacing w:after="0" w:line="259" w:lineRule="auto"/>
        <w:rPr>
          <w:sz w:val="20"/>
          <w:szCs w:val="20"/>
          <w:color w:val="auto"/>
        </w:rPr>
      </w:pPr>
      <w:r>
        <w:rPr>
          <w:rFonts w:ascii="Times New Roman" w:cs="Times New Roman" w:eastAsia="Times New Roman" w:hAnsi="Times New Roman"/>
          <w:sz w:val="16"/>
          <w:szCs w:val="16"/>
          <w:color w:val="auto"/>
        </w:rPr>
        <w:t>Schedules are omitted because they are not applicable, or are not required, or because the information is included in the consolidated financial statements and notes thereto.</w:t>
      </w: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3. EXHIBITS –</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The exhibits are listed below under Part IV, Item 15(b) of this Report.</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(b) EXHIBITS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000" w:type="dxa"/>
            <w:vAlign w:val="bottom"/>
            <w:tcBorders>
              <w:bottom w:val="single" w:sz="8" w:color="auto"/>
            </w:tcBorders>
          </w:tcPr>
          <w:p>
            <w:pPr>
              <w:spacing w:after="0"/>
              <w:rPr>
                <w:sz w:val="14"/>
                <w:szCs w:val="14"/>
                <w:color w:val="auto"/>
              </w:rPr>
            </w:pPr>
          </w:p>
        </w:tc>
        <w:tc>
          <w:tcPr>
            <w:tcW w:w="820" w:type="dxa"/>
            <w:vAlign w:val="bottom"/>
            <w:vMerge w:val="restart"/>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0" w:type="dxa"/>
            <w:vAlign w:val="bottom"/>
          </w:tcPr>
          <w:p>
            <w:pPr>
              <w:spacing w:after="0"/>
              <w:rPr>
                <w:sz w:val="1"/>
                <w:szCs w:val="1"/>
                <w:color w:val="auto"/>
              </w:rPr>
            </w:pPr>
          </w:p>
        </w:tc>
      </w:tr>
      <w:tr>
        <w:trPr>
          <w:trHeight w:val="134"/>
        </w:trPr>
        <w:tc>
          <w:tcPr>
            <w:tcW w:w="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40" w:type="dxa"/>
            <w:vAlign w:val="bottom"/>
            <w:gridSpan w:val="16"/>
          </w:tcPr>
          <w:p>
            <w:pPr>
              <w:ind w:left="10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82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0" w:type="dxa"/>
            <w:vAlign w:val="bottom"/>
          </w:tcPr>
          <w:p>
            <w:pPr>
              <w:spacing w:after="0"/>
              <w:rPr>
                <w:sz w:val="1"/>
                <w:szCs w:val="1"/>
                <w:color w:val="auto"/>
              </w:rPr>
            </w:pPr>
          </w:p>
        </w:tc>
      </w:tr>
      <w:tr>
        <w:trPr>
          <w:trHeight w:val="272"/>
        </w:trPr>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w:t>
            </w:r>
          </w:p>
        </w:tc>
        <w:tc>
          <w:tcPr>
            <w:tcW w:w="4320" w:type="dxa"/>
            <w:vAlign w:val="bottom"/>
            <w:tcBorders>
              <w:bottom w:val="single" w:sz="8" w:color="0000EE"/>
            </w:tcBorders>
            <w:gridSpan w:val="10"/>
          </w:tcPr>
          <w:p>
            <w:pPr>
              <w:spacing w:after="0"/>
              <w:rPr>
                <w:rFonts w:ascii="Times New Roman" w:cs="Times New Roman" w:eastAsia="Times New Roman" w:hAnsi="Times New Roman"/>
                <w:sz w:val="16"/>
                <w:szCs w:val="16"/>
                <w:color w:val="auto"/>
                <w:w w:val="97"/>
              </w:rPr>
            </w:pPr>
            <w:hyperlink r:id="rId91">
              <w:r>
                <w:rPr>
                  <w:rFonts w:ascii="Times New Roman" w:cs="Times New Roman" w:eastAsia="Times New Roman" w:hAnsi="Times New Roman"/>
                  <w:sz w:val="16"/>
                  <w:szCs w:val="16"/>
                  <w:color w:val="auto"/>
                  <w:w w:val="97"/>
                </w:rPr>
                <w:t>Restated Certificate of Incorporation of Enanta Pharmaceuticals, Inc.</w:t>
              </w:r>
            </w:hyperlink>
          </w:p>
        </w:tc>
        <w:tc>
          <w:tcPr>
            <w:tcW w:w="760" w:type="dxa"/>
            <w:vAlign w:val="bottom"/>
            <w:gridSpan w:val="10"/>
          </w:tcPr>
          <w:p>
            <w:pPr>
              <w:spacing w:after="0"/>
              <w:rPr>
                <w:sz w:val="23"/>
                <w:szCs w:val="23"/>
                <w:color w:val="auto"/>
              </w:rPr>
            </w:pPr>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82"/>
              </w:rPr>
              <w:t>8- 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03/28/2013</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001-35839</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3.2</w:t>
            </w:r>
          </w:p>
        </w:tc>
        <w:tc>
          <w:tcPr>
            <w:tcW w:w="5080" w:type="dxa"/>
            <w:vAlign w:val="bottom"/>
            <w:gridSpan w:val="20"/>
          </w:tcPr>
          <w:p>
            <w:pPr>
              <w:spacing w:after="0"/>
              <w:rPr>
                <w:rFonts w:ascii="Times New Roman" w:cs="Times New Roman" w:eastAsia="Times New Roman" w:hAnsi="Times New Roman"/>
                <w:sz w:val="16"/>
                <w:szCs w:val="16"/>
                <w:color w:val="auto"/>
              </w:rPr>
            </w:pPr>
            <w:hyperlink r:id="rId92">
              <w:r>
                <w:rPr>
                  <w:rFonts w:ascii="Times New Roman" w:cs="Times New Roman" w:eastAsia="Times New Roman" w:hAnsi="Times New Roman"/>
                  <w:sz w:val="16"/>
                  <w:szCs w:val="16"/>
                  <w:color w:val="auto"/>
                </w:rPr>
                <w:t>Amended and Restated Bylaws of Enanta Pharmaceuticals, Inc. (as amended</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82"/>
              </w:rPr>
              <w:t>8- 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08/18/2015</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001-35839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8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auto"/>
              </w:rPr>
            </w:pPr>
            <w:hyperlink r:id="rId92">
              <w:r>
                <w:rPr>
                  <w:rFonts w:ascii="Times New Roman" w:cs="Times New Roman" w:eastAsia="Times New Roman" w:hAnsi="Times New Roman"/>
                  <w:sz w:val="16"/>
                  <w:szCs w:val="16"/>
                  <w:color w:val="auto"/>
                </w:rPr>
                <w:t>and restated in August 2015).</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w:t>
            </w:r>
          </w:p>
        </w:tc>
        <w:tc>
          <w:tcPr>
            <w:tcW w:w="3600" w:type="dxa"/>
            <w:vAlign w:val="bottom"/>
            <w:tcBorders>
              <w:bottom w:val="single" w:sz="8" w:color="0000EE"/>
            </w:tcBorders>
            <w:gridSpan w:val="7"/>
          </w:tcPr>
          <w:p>
            <w:pPr>
              <w:spacing w:after="0"/>
              <w:rPr>
                <w:rFonts w:ascii="Times New Roman" w:cs="Times New Roman" w:eastAsia="Times New Roman" w:hAnsi="Times New Roman"/>
                <w:sz w:val="16"/>
                <w:szCs w:val="16"/>
                <w:color w:val="auto"/>
                <w:w w:val="97"/>
              </w:rPr>
            </w:pPr>
            <w:hyperlink r:id="rId93">
              <w:r>
                <w:rPr>
                  <w:rFonts w:ascii="Times New Roman" w:cs="Times New Roman" w:eastAsia="Times New Roman" w:hAnsi="Times New Roman"/>
                  <w:sz w:val="16"/>
                  <w:szCs w:val="16"/>
                  <w:color w:val="auto"/>
                  <w:w w:val="97"/>
                </w:rPr>
                <w:t>Specimen certificate evidencing shares of common stock.</w:t>
              </w:r>
            </w:hyperlink>
          </w:p>
        </w:tc>
        <w:tc>
          <w:tcPr>
            <w:tcW w:w="1480" w:type="dxa"/>
            <w:vAlign w:val="bottom"/>
            <w:gridSpan w:val="13"/>
          </w:tcPr>
          <w:p>
            <w:pPr>
              <w:spacing w:after="0"/>
              <w:rPr>
                <w:sz w:val="24"/>
                <w:szCs w:val="24"/>
                <w:color w:val="auto"/>
              </w:rPr>
            </w:pPr>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4"/>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02/05/2013</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333-184779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w:t>
            </w:r>
          </w:p>
        </w:tc>
        <w:tc>
          <w:tcPr>
            <w:tcW w:w="5080" w:type="dxa"/>
            <w:vAlign w:val="bottom"/>
            <w:gridSpan w:val="20"/>
          </w:tcPr>
          <w:p>
            <w:pPr>
              <w:spacing w:after="0"/>
              <w:rPr>
                <w:rFonts w:ascii="Times New Roman" w:cs="Times New Roman" w:eastAsia="Times New Roman" w:hAnsi="Times New Roman"/>
                <w:sz w:val="16"/>
                <w:szCs w:val="16"/>
                <w:color w:val="auto"/>
              </w:rPr>
            </w:pPr>
            <w:hyperlink r:id="rId94">
              <w:r>
                <w:rPr>
                  <w:rFonts w:ascii="Times New Roman" w:cs="Times New Roman" w:eastAsia="Times New Roman" w:hAnsi="Times New Roman"/>
                  <w:sz w:val="16"/>
                  <w:szCs w:val="16"/>
                  <w:color w:val="auto"/>
                </w:rPr>
                <w:t>Specimen certificate evidencing shares of Series 1 Non-Convertible Preferred</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86"/>
              </w:rPr>
              <w:t>10 -K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12/11/2017</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001-35839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rPr>
            </w:pPr>
            <w:hyperlink r:id="rId94">
              <w:r>
                <w:rPr>
                  <w:rFonts w:ascii="Times New Roman" w:cs="Times New Roman" w:eastAsia="Times New Roman" w:hAnsi="Times New Roman"/>
                  <w:sz w:val="16"/>
                  <w:szCs w:val="16"/>
                  <w:color w:val="auto"/>
                </w:rPr>
                <w:t>Stock</w:t>
              </w:r>
            </w:hyperlink>
          </w:p>
        </w:tc>
        <w:tc>
          <w:tcPr>
            <w:tcW w:w="4500" w:type="dxa"/>
            <w:vAlign w:val="bottom"/>
            <w:tcBorders>
              <w:top w:val="single" w:sz="8" w:color="0000EE"/>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4.3</w:t>
            </w:r>
          </w:p>
        </w:tc>
        <w:tc>
          <w:tcPr>
            <w:tcW w:w="5080" w:type="dxa"/>
            <w:vAlign w:val="bottom"/>
            <w:gridSpan w:val="20"/>
          </w:tcPr>
          <w:p>
            <w:pPr>
              <w:spacing w:after="0"/>
              <w:rPr>
                <w:rFonts w:ascii="Times New Roman" w:cs="Times New Roman" w:eastAsia="Times New Roman" w:hAnsi="Times New Roman"/>
                <w:sz w:val="16"/>
                <w:szCs w:val="16"/>
                <w:color w:val="auto"/>
              </w:rPr>
            </w:pPr>
            <w:hyperlink r:id="rId95">
              <w:r>
                <w:rPr>
                  <w:rFonts w:ascii="Times New Roman" w:cs="Times New Roman" w:eastAsia="Times New Roman" w:hAnsi="Times New Roman"/>
                  <w:sz w:val="16"/>
                  <w:szCs w:val="16"/>
                  <w:color w:val="auto"/>
                </w:rPr>
                <w:t>Description of securities registered pursuant to Section 12 of the Securities</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86"/>
              </w:rPr>
              <w:t>10 -K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11/27/2019</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001-35839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42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auto"/>
                <w:w w:val="97"/>
              </w:rPr>
            </w:pPr>
            <w:hyperlink r:id="rId95">
              <w:r>
                <w:rPr>
                  <w:rFonts w:ascii="Times New Roman" w:cs="Times New Roman" w:eastAsia="Times New Roman" w:hAnsi="Times New Roman"/>
                  <w:sz w:val="16"/>
                  <w:szCs w:val="16"/>
                  <w:color w:val="auto"/>
                  <w:w w:val="97"/>
                </w:rPr>
                <w:t>Exchange Act of 1934</w:t>
              </w:r>
            </w:hyperlink>
          </w:p>
        </w:tc>
        <w:tc>
          <w:tcPr>
            <w:tcW w:w="3300" w:type="dxa"/>
            <w:vAlign w:val="bottom"/>
            <w:tcBorders>
              <w:top w:val="single" w:sz="8" w:color="0000EE"/>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w:t>
            </w:r>
          </w:p>
        </w:tc>
        <w:tc>
          <w:tcPr>
            <w:tcW w:w="5080" w:type="dxa"/>
            <w:vAlign w:val="bottom"/>
            <w:gridSpan w:val="20"/>
          </w:tcPr>
          <w:p>
            <w:pPr>
              <w:spacing w:after="0"/>
              <w:rPr>
                <w:rFonts w:ascii="Times New Roman" w:cs="Times New Roman" w:eastAsia="Times New Roman" w:hAnsi="Times New Roman"/>
                <w:sz w:val="16"/>
                <w:szCs w:val="16"/>
                <w:color w:val="auto"/>
              </w:rPr>
            </w:pPr>
            <w:hyperlink r:id="rId96">
              <w:r>
                <w:rPr>
                  <w:rFonts w:ascii="Times New Roman" w:cs="Times New Roman" w:eastAsia="Times New Roman" w:hAnsi="Times New Roman"/>
                  <w:sz w:val="16"/>
                  <w:szCs w:val="16"/>
                  <w:color w:val="auto"/>
                </w:rPr>
                <w:t>Form of Indemnification Agreement for directors and officers.</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4"/>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02/05/2013</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333-184779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w:t>
            </w:r>
          </w:p>
        </w:tc>
        <w:tc>
          <w:tcPr>
            <w:tcW w:w="5080" w:type="dxa"/>
            <w:vAlign w:val="bottom"/>
            <w:gridSpan w:val="20"/>
          </w:tcPr>
          <w:p>
            <w:pPr>
              <w:spacing w:after="0"/>
              <w:rPr>
                <w:rFonts w:ascii="Times New Roman" w:cs="Times New Roman" w:eastAsia="Times New Roman" w:hAnsi="Times New Roman"/>
                <w:sz w:val="16"/>
                <w:szCs w:val="16"/>
                <w:color w:val="auto"/>
              </w:rPr>
            </w:pPr>
            <w:hyperlink r:id="rId97">
              <w:r>
                <w:rPr>
                  <w:rFonts w:ascii="Times New Roman" w:cs="Times New Roman" w:eastAsia="Times New Roman" w:hAnsi="Times New Roman"/>
                  <w:sz w:val="16"/>
                  <w:szCs w:val="16"/>
                  <w:color w:val="auto"/>
                </w:rPr>
                <w:t>Amended and Restated Employment Agreement between the Company and</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4"/>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03/05/2013</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333-184779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7"/>
              </w:rPr>
            </w:pPr>
            <w:hyperlink r:id="rId97">
              <w:r>
                <w:rPr>
                  <w:rFonts w:ascii="Times New Roman" w:cs="Times New Roman" w:eastAsia="Times New Roman" w:hAnsi="Times New Roman"/>
                  <w:sz w:val="16"/>
                  <w:szCs w:val="16"/>
                  <w:color w:val="auto"/>
                  <w:w w:val="97"/>
                </w:rPr>
                <w:t>Jay R. Luly, Ph.D., dated as of March 4, 2013.</w:t>
              </w:r>
            </w:hyperlink>
          </w:p>
        </w:tc>
        <w:tc>
          <w:tcPr>
            <w:tcW w:w="1840" w:type="dxa"/>
            <w:vAlign w:val="bottom"/>
            <w:tcBorders>
              <w:top w:val="single" w:sz="8" w:color="0000EE"/>
            </w:tcBorders>
            <w:gridSpan w:val="11"/>
          </w:tcPr>
          <w:p>
            <w:pPr>
              <w:spacing w:after="0"/>
              <w:rPr>
                <w:sz w:val="13"/>
                <w:szCs w:val="13"/>
                <w:color w:val="auto"/>
              </w:rPr>
            </w:pPr>
          </w:p>
        </w:tc>
        <w:tc>
          <w:tcPr>
            <w:tcW w:w="2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10.3#</w:t>
            </w:r>
          </w:p>
        </w:tc>
        <w:tc>
          <w:tcPr>
            <w:tcW w:w="5080" w:type="dxa"/>
            <w:vAlign w:val="bottom"/>
            <w:gridSpan w:val="20"/>
          </w:tcPr>
          <w:p>
            <w:pPr>
              <w:spacing w:after="0"/>
              <w:rPr>
                <w:rFonts w:ascii="Times New Roman" w:cs="Times New Roman" w:eastAsia="Times New Roman" w:hAnsi="Times New Roman"/>
                <w:sz w:val="16"/>
                <w:szCs w:val="16"/>
                <w:color w:val="auto"/>
              </w:rPr>
            </w:pPr>
            <w:hyperlink r:id="rId98">
              <w:r>
                <w:rPr>
                  <w:rFonts w:ascii="Times New Roman" w:cs="Times New Roman" w:eastAsia="Times New Roman" w:hAnsi="Times New Roman"/>
                  <w:sz w:val="16"/>
                  <w:szCs w:val="16"/>
                  <w:color w:val="auto"/>
                </w:rPr>
                <w:t>Form of Amended and Restated Employment Agreement for Executive</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4"/>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03/05/2013</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333-184779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6"/>
                <w:szCs w:val="16"/>
                <w:color w:val="auto"/>
                <w:w w:val="97"/>
              </w:rPr>
            </w:pPr>
            <w:hyperlink r:id="rId98">
              <w:r>
                <w:rPr>
                  <w:rFonts w:ascii="Times New Roman" w:cs="Times New Roman" w:eastAsia="Times New Roman" w:hAnsi="Times New Roman"/>
                  <w:sz w:val="16"/>
                  <w:szCs w:val="16"/>
                  <w:color w:val="auto"/>
                  <w:w w:val="97"/>
                </w:rPr>
                <w:t>Officers other than t</w:t>
              </w:r>
              <w:r>
                <w:rPr>
                  <w:rFonts w:ascii="Times New Roman" w:cs="Times New Roman" w:eastAsia="Times New Roman" w:hAnsi="Times New Roman"/>
                  <w:sz w:val="19"/>
                  <w:szCs w:val="19"/>
                  <w:color w:val="auto"/>
                  <w:w w:val="97"/>
                </w:rPr>
                <w:t>he</w:t>
              </w:r>
              <w:r>
                <w:rPr>
                  <w:rFonts w:ascii="Times New Roman" w:cs="Times New Roman" w:eastAsia="Times New Roman" w:hAnsi="Times New Roman"/>
                  <w:sz w:val="16"/>
                  <w:szCs w:val="16"/>
                  <w:color w:val="auto"/>
                  <w:w w:val="97"/>
                </w:rPr>
                <w:t xml:space="preserve"> Chief Executive Officer.</w:t>
              </w:r>
            </w:hyperlink>
          </w:p>
        </w:tc>
        <w:tc>
          <w:tcPr>
            <w:tcW w:w="146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10.4†</w:t>
            </w:r>
          </w:p>
        </w:tc>
        <w:tc>
          <w:tcPr>
            <w:tcW w:w="5080" w:type="dxa"/>
            <w:vAlign w:val="bottom"/>
            <w:gridSpan w:val="20"/>
          </w:tcPr>
          <w:p>
            <w:pPr>
              <w:spacing w:after="0"/>
              <w:rPr>
                <w:rFonts w:ascii="Times New Roman" w:cs="Times New Roman" w:eastAsia="Times New Roman" w:hAnsi="Times New Roman"/>
                <w:sz w:val="16"/>
                <w:szCs w:val="16"/>
                <w:color w:val="auto"/>
                <w:w w:val="99"/>
              </w:rPr>
            </w:pPr>
            <w:hyperlink r:id="rId99">
              <w:r>
                <w:rPr>
                  <w:rFonts w:ascii="Times New Roman" w:cs="Times New Roman" w:eastAsia="Times New Roman" w:hAnsi="Times New Roman"/>
                  <w:sz w:val="16"/>
                  <w:szCs w:val="16"/>
                  <w:color w:val="auto"/>
                  <w:w w:val="99"/>
                </w:rPr>
                <w:t>Collaborative Development and License Agreement between the Company and</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82"/>
              </w:rPr>
              <w:t>8- 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02/05/2021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001-35839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44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auto"/>
                <w:w w:val="97"/>
              </w:rPr>
            </w:pPr>
            <w:hyperlink r:id="rId99">
              <w:r>
                <w:rPr>
                  <w:rFonts w:ascii="Times New Roman" w:cs="Times New Roman" w:eastAsia="Times New Roman" w:hAnsi="Times New Roman"/>
                  <w:sz w:val="16"/>
                  <w:szCs w:val="16"/>
                  <w:color w:val="auto"/>
                  <w:w w:val="97"/>
                </w:rPr>
                <w:t>Abbott Laboratories, dated November 27, 2006; as amended by a First</w:t>
              </w:r>
            </w:hyperlink>
          </w:p>
        </w:tc>
        <w:tc>
          <w:tcPr>
            <w:tcW w:w="540" w:type="dxa"/>
            <w:vAlign w:val="bottom"/>
            <w:tcBorders>
              <w:top w:val="single" w:sz="8" w:color="0000EE"/>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5080" w:type="dxa"/>
            <w:vAlign w:val="bottom"/>
            <w:gridSpan w:val="20"/>
          </w:tcPr>
          <w:p>
            <w:pPr>
              <w:spacing w:after="0" w:line="160" w:lineRule="exact"/>
              <w:rPr>
                <w:rFonts w:ascii="Times New Roman" w:cs="Times New Roman" w:eastAsia="Times New Roman" w:hAnsi="Times New Roman"/>
                <w:sz w:val="16"/>
                <w:szCs w:val="16"/>
                <w:color w:val="auto"/>
              </w:rPr>
            </w:pPr>
            <w:hyperlink r:id="rId99">
              <w:r>
                <w:rPr>
                  <w:rFonts w:ascii="Times New Roman" w:cs="Times New Roman" w:eastAsia="Times New Roman" w:hAnsi="Times New Roman"/>
                  <w:sz w:val="16"/>
                  <w:szCs w:val="16"/>
                  <w:color w:val="auto"/>
                </w:rPr>
                <w:t>Amendment to Collaborative Development and License Agreement dated</w:t>
              </w:r>
            </w:hyperlink>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64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auto"/>
                <w:w w:val="96"/>
              </w:rPr>
            </w:pPr>
            <w:hyperlink r:id="rId99">
              <w:r>
                <w:rPr>
                  <w:rFonts w:ascii="Times New Roman" w:cs="Times New Roman" w:eastAsia="Times New Roman" w:hAnsi="Times New Roman"/>
                  <w:sz w:val="16"/>
                  <w:szCs w:val="16"/>
                  <w:color w:val="auto"/>
                  <w:w w:val="96"/>
                </w:rPr>
                <w:t>January 27, 2009 and a Second Amendment to Collaborative Development</w:t>
              </w:r>
            </w:hyperlink>
          </w:p>
        </w:tc>
        <w:tc>
          <w:tcPr>
            <w:tcW w:w="20" w:type="dxa"/>
            <w:vAlign w:val="bottom"/>
          </w:tcPr>
          <w:p>
            <w:pPr>
              <w:spacing w:after="0"/>
              <w:rPr>
                <w:sz w:val="13"/>
                <w:szCs w:val="13"/>
                <w:color w:val="auto"/>
              </w:rPr>
            </w:pPr>
          </w:p>
        </w:tc>
        <w:tc>
          <w:tcPr>
            <w:tcW w:w="420" w:type="dxa"/>
            <w:vAlign w:val="bottom"/>
            <w:gridSpan w:val="6"/>
          </w:tcPr>
          <w:p>
            <w:pPr>
              <w:ind w:left="60"/>
              <w:spacing w:after="0" w:line="160" w:lineRule="exact"/>
              <w:rPr>
                <w:rFonts w:ascii="Times New Roman" w:cs="Times New Roman" w:eastAsia="Times New Roman" w:hAnsi="Times New Roman"/>
                <w:sz w:val="16"/>
                <w:szCs w:val="16"/>
                <w:color w:val="auto"/>
              </w:rPr>
            </w:pPr>
            <w:hyperlink r:id="rId99">
              <w:r>
                <w:rPr>
                  <w:rFonts w:ascii="Times New Roman" w:cs="Times New Roman" w:eastAsia="Times New Roman" w:hAnsi="Times New Roman"/>
                  <w:sz w:val="16"/>
                  <w:szCs w:val="16"/>
                  <w:color w:val="auto"/>
                </w:rPr>
                <w:t>and</w:t>
              </w:r>
            </w:hyperlink>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98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auto"/>
              </w:rPr>
            </w:pPr>
            <w:hyperlink r:id="rId99">
              <w:r>
                <w:rPr>
                  <w:rFonts w:ascii="Times New Roman" w:cs="Times New Roman" w:eastAsia="Times New Roman" w:hAnsi="Times New Roman"/>
                  <w:sz w:val="16"/>
                  <w:szCs w:val="16"/>
                  <w:color w:val="auto"/>
                </w:rPr>
                <w:t>License Agreement dated December 9, 2009 (assigned to AbbVie Inc. as of</w:t>
              </w:r>
            </w:hyperlink>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7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auto"/>
              </w:rPr>
            </w:pPr>
            <w:hyperlink r:id="rId99">
              <w:r>
                <w:rPr>
                  <w:rFonts w:ascii="Times New Roman" w:cs="Times New Roman" w:eastAsia="Times New Roman" w:hAnsi="Times New Roman"/>
                  <w:sz w:val="16"/>
                  <w:szCs w:val="16"/>
                  <w:color w:val="auto"/>
                </w:rPr>
                <w:t>January 1, 2013).</w:t>
              </w:r>
            </w:hyperlink>
          </w:p>
        </w:tc>
        <w:tc>
          <w:tcPr>
            <w:tcW w:w="32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10.5†</w:t>
            </w:r>
          </w:p>
        </w:tc>
        <w:tc>
          <w:tcPr>
            <w:tcW w:w="5080" w:type="dxa"/>
            <w:vAlign w:val="bottom"/>
            <w:gridSpan w:val="20"/>
          </w:tcPr>
          <w:p>
            <w:pPr>
              <w:spacing w:after="0"/>
              <w:rPr>
                <w:rFonts w:ascii="Times New Roman" w:cs="Times New Roman" w:eastAsia="Times New Roman" w:hAnsi="Times New Roman"/>
                <w:sz w:val="16"/>
                <w:szCs w:val="16"/>
                <w:color w:val="auto"/>
              </w:rPr>
            </w:pPr>
            <w:hyperlink r:id="rId100">
              <w:r>
                <w:rPr>
                  <w:rFonts w:ascii="Times New Roman" w:cs="Times New Roman" w:eastAsia="Times New Roman" w:hAnsi="Times New Roman"/>
                  <w:sz w:val="16"/>
                  <w:szCs w:val="16"/>
                  <w:color w:val="auto"/>
                </w:rPr>
                <w:t>Third Amendment to Collaborative Development and License Agreement</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82"/>
              </w:rPr>
              <w:t>8- 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02/05/2021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001-35839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374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auto"/>
                <w:w w:val="97"/>
              </w:rPr>
            </w:pPr>
            <w:hyperlink r:id="rId100">
              <w:r>
                <w:rPr>
                  <w:rFonts w:ascii="Times New Roman" w:cs="Times New Roman" w:eastAsia="Times New Roman" w:hAnsi="Times New Roman"/>
                  <w:sz w:val="16"/>
                  <w:szCs w:val="16"/>
                  <w:color w:val="auto"/>
                  <w:w w:val="97"/>
                </w:rPr>
                <w:t>between the Company and AbbVie dated October 20, 2014.</w:t>
              </w:r>
            </w:hyperlink>
          </w:p>
        </w:tc>
        <w:tc>
          <w:tcPr>
            <w:tcW w:w="920" w:type="dxa"/>
            <w:vAlign w:val="bottom"/>
            <w:tcBorders>
              <w:top w:val="single" w:sz="8" w:color="0000EE"/>
            </w:tcBorders>
            <w:gridSpan w:val="6"/>
          </w:tcPr>
          <w:p>
            <w:pPr>
              <w:spacing w:after="0"/>
              <w:rPr>
                <w:sz w:val="13"/>
                <w:szCs w:val="13"/>
                <w:color w:val="auto"/>
              </w:rPr>
            </w:pPr>
          </w:p>
        </w:tc>
        <w:tc>
          <w:tcPr>
            <w:tcW w:w="42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10.6</w:t>
            </w:r>
          </w:p>
        </w:tc>
        <w:tc>
          <w:tcPr>
            <w:tcW w:w="5080" w:type="dxa"/>
            <w:vAlign w:val="bottom"/>
            <w:gridSpan w:val="20"/>
          </w:tcPr>
          <w:p>
            <w:pPr>
              <w:spacing w:after="0"/>
              <w:rPr>
                <w:rFonts w:ascii="Times New Roman" w:cs="Times New Roman" w:eastAsia="Times New Roman" w:hAnsi="Times New Roman"/>
                <w:sz w:val="16"/>
                <w:szCs w:val="16"/>
                <w:color w:val="auto"/>
              </w:rPr>
            </w:pPr>
            <w:hyperlink r:id="rId101">
              <w:r>
                <w:rPr>
                  <w:rFonts w:ascii="Times New Roman" w:cs="Times New Roman" w:eastAsia="Times New Roman" w:hAnsi="Times New Roman"/>
                  <w:sz w:val="16"/>
                  <w:szCs w:val="16"/>
                  <w:color w:val="auto"/>
                </w:rPr>
                <w:t>Fourth Amendment to Collaborative Development and License Agreement</w:t>
              </w:r>
            </w:hyperlink>
          </w:p>
        </w:tc>
        <w:tc>
          <w:tcPr>
            <w:tcW w:w="7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86"/>
              </w:rPr>
              <w:t>10 -Q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05/08/2015</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001-35839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72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auto"/>
              </w:rPr>
            </w:pPr>
            <w:hyperlink r:id="rId101">
              <w:r>
                <w:rPr>
                  <w:rFonts w:ascii="Times New Roman" w:cs="Times New Roman" w:eastAsia="Times New Roman" w:hAnsi="Times New Roman"/>
                  <w:sz w:val="16"/>
                  <w:szCs w:val="16"/>
                  <w:color w:val="auto"/>
                </w:rPr>
                <w:t>between the Company and AbbVie dated as of March 3, 2015.</w:t>
              </w:r>
            </w:hyperlink>
          </w:p>
        </w:tc>
        <w:tc>
          <w:tcPr>
            <w:tcW w:w="36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6"/>
        </w:trPr>
        <w:tc>
          <w:tcPr>
            <w:tcW w:w="960" w:type="dxa"/>
            <w:vAlign w:val="bottom"/>
          </w:tcPr>
          <w:p>
            <w:pPr>
              <w:spacing w:after="0"/>
              <w:rPr>
                <w:sz w:val="24"/>
                <w:szCs w:val="24"/>
                <w:color w:val="auto"/>
              </w:rPr>
            </w:pPr>
          </w:p>
        </w:tc>
        <w:tc>
          <w:tcPr>
            <w:tcW w:w="3900" w:type="dxa"/>
            <w:vAlign w:val="bottom"/>
            <w:tcBorders>
              <w:top w:val="single" w:sz="8" w:color="0000EE"/>
            </w:tcBorders>
            <w:gridSpan w:val="9"/>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9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960" w:type="dxa"/>
            <w:vAlign w:val="bottom"/>
            <w:tcBorders>
              <w:bottom w:val="single" w:sz="8" w:color="0000EE"/>
            </w:tcBorders>
            <w:gridSpan w:val="28"/>
          </w:tcPr>
          <w:p>
            <w:pPr>
              <w:spacing w:after="0"/>
              <w:rPr>
                <w:rFonts w:ascii="Times New Roman" w:cs="Times New Roman" w:eastAsia="Times New Roman" w:hAnsi="Times New Roman"/>
                <w:sz w:val="16"/>
                <w:szCs w:val="16"/>
                <w:color w:val="auto"/>
                <w:w w:val="98"/>
              </w:rPr>
            </w:pPr>
            <w:hyperlink r:id="rId103">
              <w:r>
                <w:rPr>
                  <w:rFonts w:ascii="Times New Roman" w:cs="Times New Roman" w:eastAsia="Times New Roman" w:hAnsi="Times New Roman"/>
                  <w:sz w:val="16"/>
                  <w:szCs w:val="16"/>
                  <w:color w:val="auto"/>
                  <w:w w:val="98"/>
                </w:rPr>
                <w:t>Royalty Purchase Agreement between Enanta Pharmaceuticals, Inc. and OCM</w:t>
              </w:r>
            </w:hyperlink>
          </w:p>
        </w:tc>
      </w:tr>
      <w:tr>
        <w:trPr>
          <w:trHeight w:val="160"/>
        </w:trPr>
        <w:tc>
          <w:tcPr>
            <w:tcW w:w="880" w:type="dxa"/>
            <w:vAlign w:val="bottom"/>
          </w:tcPr>
          <w:p>
            <w:pPr>
              <w:spacing w:after="0"/>
              <w:rPr>
                <w:sz w:val="13"/>
                <w:szCs w:val="13"/>
                <w:color w:val="auto"/>
              </w:rPr>
            </w:pPr>
          </w:p>
        </w:tc>
        <w:tc>
          <w:tcPr>
            <w:tcW w:w="3340" w:type="dxa"/>
            <w:vAlign w:val="bottom"/>
            <w:tcBorders>
              <w:bottom w:val="single" w:sz="8" w:color="0000EE"/>
            </w:tcBorders>
            <w:gridSpan w:val="13"/>
          </w:tcPr>
          <w:p>
            <w:pPr>
              <w:spacing w:after="0" w:line="160" w:lineRule="exact"/>
              <w:rPr>
                <w:rFonts w:ascii="Times New Roman" w:cs="Times New Roman" w:eastAsia="Times New Roman" w:hAnsi="Times New Roman"/>
                <w:sz w:val="16"/>
                <w:szCs w:val="16"/>
                <w:color w:val="auto"/>
                <w:w w:val="97"/>
              </w:rPr>
            </w:pPr>
            <w:hyperlink r:id="rId103">
              <w:r>
                <w:rPr>
                  <w:rFonts w:ascii="Times New Roman" w:cs="Times New Roman" w:eastAsia="Times New Roman" w:hAnsi="Times New Roman"/>
                  <w:sz w:val="16"/>
                  <w:szCs w:val="16"/>
                  <w:color w:val="auto"/>
                  <w:w w:val="97"/>
                </w:rPr>
                <w:t>Life Sciences Portfolio LP dated as of April 25, 2023</w:t>
              </w:r>
            </w:hyperlink>
          </w:p>
        </w:tc>
        <w:tc>
          <w:tcPr>
            <w:tcW w:w="1620" w:type="dxa"/>
            <w:vAlign w:val="bottom"/>
            <w:gridSpan w:val="15"/>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04">
              <w:r>
                <w:rPr>
                  <w:rFonts w:ascii="Times New Roman" w:cs="Times New Roman" w:eastAsia="Times New Roman" w:hAnsi="Times New Roman"/>
                  <w:sz w:val="16"/>
                  <w:szCs w:val="16"/>
                  <w:color w:val="auto"/>
                </w:rPr>
                <w:t>Lease Agreement between Company and Athena Arsenal, LLC, dated as of</w:t>
              </w:r>
            </w:hyperlink>
          </w:p>
        </w:tc>
      </w:tr>
      <w:tr>
        <w:trPr>
          <w:trHeight w:val="160"/>
        </w:trPr>
        <w:tc>
          <w:tcPr>
            <w:tcW w:w="880" w:type="dxa"/>
            <w:vAlign w:val="bottom"/>
          </w:tcPr>
          <w:p>
            <w:pPr>
              <w:spacing w:after="0"/>
              <w:rPr>
                <w:sz w:val="13"/>
                <w:szCs w:val="13"/>
                <w:color w:val="auto"/>
              </w:rPr>
            </w:pPr>
          </w:p>
        </w:tc>
        <w:tc>
          <w:tcPr>
            <w:tcW w:w="130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6"/>
              </w:rPr>
            </w:pPr>
            <w:hyperlink r:id="rId104">
              <w:r>
                <w:rPr>
                  <w:rFonts w:ascii="Times New Roman" w:cs="Times New Roman" w:eastAsia="Times New Roman" w:hAnsi="Times New Roman"/>
                  <w:sz w:val="16"/>
                  <w:szCs w:val="16"/>
                  <w:color w:val="auto"/>
                  <w:w w:val="96"/>
                </w:rPr>
                <w:t>September 24, 2018.</w:t>
              </w:r>
            </w:hyperlink>
          </w:p>
        </w:tc>
        <w:tc>
          <w:tcPr>
            <w:tcW w:w="346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05">
              <w:r>
                <w:rPr>
                  <w:rFonts w:ascii="Times New Roman" w:cs="Times New Roman" w:eastAsia="Times New Roman" w:hAnsi="Times New Roman"/>
                  <w:sz w:val="16"/>
                  <w:szCs w:val="16"/>
                  <w:color w:val="auto"/>
                </w:rPr>
                <w:t>First Amendment to Lease Agreement made as of May 12, 2022 by and</w:t>
              </w:r>
            </w:hyperlink>
          </w:p>
        </w:tc>
      </w:tr>
      <w:tr>
        <w:trPr>
          <w:trHeight w:val="160"/>
        </w:trPr>
        <w:tc>
          <w:tcPr>
            <w:tcW w:w="880" w:type="dxa"/>
            <w:vAlign w:val="bottom"/>
          </w:tcPr>
          <w:p>
            <w:pPr>
              <w:spacing w:after="0"/>
              <w:rPr>
                <w:sz w:val="13"/>
                <w:szCs w:val="13"/>
                <w:color w:val="auto"/>
              </w:rPr>
            </w:pPr>
          </w:p>
        </w:tc>
        <w:tc>
          <w:tcPr>
            <w:tcW w:w="45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auto"/>
              </w:rPr>
            </w:pPr>
            <w:hyperlink r:id="rId105">
              <w:r>
                <w:rPr>
                  <w:rFonts w:ascii="Times New Roman" w:cs="Times New Roman" w:eastAsia="Times New Roman" w:hAnsi="Times New Roman"/>
                  <w:sz w:val="16"/>
                  <w:szCs w:val="16"/>
                  <w:color w:val="auto"/>
                </w:rPr>
                <w:t>between ARE-MA Region No. 75, LLC and the Company.</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960" w:type="dxa"/>
            <w:vAlign w:val="bottom"/>
            <w:tcBorders>
              <w:bottom w:val="single" w:sz="8" w:color="0000EE"/>
            </w:tcBorders>
            <w:gridSpan w:val="28"/>
          </w:tcPr>
          <w:p>
            <w:pPr>
              <w:spacing w:after="0"/>
              <w:rPr>
                <w:rFonts w:ascii="Times New Roman" w:cs="Times New Roman" w:eastAsia="Times New Roman" w:hAnsi="Times New Roman"/>
                <w:sz w:val="16"/>
                <w:szCs w:val="16"/>
                <w:color w:val="auto"/>
                <w:w w:val="98"/>
              </w:rPr>
            </w:pPr>
            <w:hyperlink r:id="rId106">
              <w:r>
                <w:rPr>
                  <w:rFonts w:ascii="Times New Roman" w:cs="Times New Roman" w:eastAsia="Times New Roman" w:hAnsi="Times New Roman"/>
                  <w:sz w:val="16"/>
                  <w:szCs w:val="16"/>
                  <w:color w:val="auto"/>
                  <w:w w:val="98"/>
                </w:rPr>
                <w:t>Lease Agreement made as of May 12, 2022 by and between ARE-MA Region</w:t>
              </w:r>
            </w:hyperlink>
          </w:p>
        </w:tc>
      </w:tr>
      <w:tr>
        <w:trPr>
          <w:trHeight w:val="160"/>
        </w:trPr>
        <w:tc>
          <w:tcPr>
            <w:tcW w:w="880" w:type="dxa"/>
            <w:vAlign w:val="bottom"/>
          </w:tcPr>
          <w:p>
            <w:pPr>
              <w:spacing w:after="0"/>
              <w:rPr>
                <w:sz w:val="13"/>
                <w:szCs w:val="13"/>
                <w:color w:val="auto"/>
              </w:rPr>
            </w:pPr>
          </w:p>
        </w:tc>
        <w:tc>
          <w:tcPr>
            <w:tcW w:w="4960" w:type="dxa"/>
            <w:vAlign w:val="bottom"/>
            <w:gridSpan w:val="28"/>
          </w:tcPr>
          <w:p>
            <w:pPr>
              <w:spacing w:after="0" w:line="160" w:lineRule="exact"/>
              <w:rPr>
                <w:rFonts w:ascii="Times New Roman" w:cs="Times New Roman" w:eastAsia="Times New Roman" w:hAnsi="Times New Roman"/>
                <w:sz w:val="16"/>
                <w:szCs w:val="16"/>
                <w:color w:val="auto"/>
              </w:rPr>
            </w:pPr>
            <w:hyperlink r:id="rId106">
              <w:r>
                <w:rPr>
                  <w:rFonts w:ascii="Times New Roman" w:cs="Times New Roman" w:eastAsia="Times New Roman" w:hAnsi="Times New Roman"/>
                  <w:sz w:val="16"/>
                  <w:szCs w:val="16"/>
                  <w:color w:val="auto"/>
                </w:rPr>
                <w:t>No. 75, LLC and the Company.</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960" w:type="dxa"/>
            <w:vAlign w:val="bottom"/>
            <w:gridSpan w:val="28"/>
          </w:tcPr>
          <w:p>
            <w:pPr>
              <w:spacing w:after="0"/>
              <w:rPr>
                <w:rFonts w:ascii="Times New Roman" w:cs="Times New Roman" w:eastAsia="Times New Roman" w:hAnsi="Times New Roman"/>
                <w:sz w:val="16"/>
                <w:szCs w:val="16"/>
                <w:color w:val="auto"/>
                <w:w w:val="98"/>
              </w:rPr>
            </w:pPr>
            <w:hyperlink r:id="rId107">
              <w:r>
                <w:rPr>
                  <w:rFonts w:ascii="Times New Roman" w:cs="Times New Roman" w:eastAsia="Times New Roman" w:hAnsi="Times New Roman"/>
                  <w:sz w:val="16"/>
                  <w:szCs w:val="16"/>
                  <w:color w:val="auto"/>
                  <w:w w:val="98"/>
                </w:rPr>
                <w:t>2012 Equity Incentive Plan (As adjusted to reflect the application of the 1-for-</w:t>
              </w:r>
            </w:hyperlink>
          </w:p>
        </w:tc>
      </w:tr>
      <w:tr>
        <w:trPr>
          <w:trHeight w:val="160"/>
        </w:trPr>
        <w:tc>
          <w:tcPr>
            <w:tcW w:w="880" w:type="dxa"/>
            <w:vAlign w:val="bottom"/>
          </w:tcPr>
          <w:p>
            <w:pPr>
              <w:spacing w:after="0"/>
              <w:rPr>
                <w:sz w:val="13"/>
                <w:szCs w:val="13"/>
                <w:color w:val="auto"/>
              </w:rPr>
            </w:pPr>
          </w:p>
        </w:tc>
        <w:tc>
          <w:tcPr>
            <w:tcW w:w="4920" w:type="dxa"/>
            <w:vAlign w:val="bottom"/>
            <w:tcBorders>
              <w:top w:val="single" w:sz="8" w:color="0000EE"/>
              <w:bottom w:val="single" w:sz="8" w:color="0000EE"/>
            </w:tcBorders>
            <w:gridSpan w:val="26"/>
          </w:tcPr>
          <w:p>
            <w:pPr>
              <w:spacing w:after="0" w:line="160" w:lineRule="exact"/>
              <w:rPr>
                <w:rFonts w:ascii="Times New Roman" w:cs="Times New Roman" w:eastAsia="Times New Roman" w:hAnsi="Times New Roman"/>
                <w:sz w:val="16"/>
                <w:szCs w:val="16"/>
                <w:color w:val="auto"/>
                <w:w w:val="97"/>
              </w:rPr>
            </w:pPr>
            <w:hyperlink r:id="rId107">
              <w:r>
                <w:rPr>
                  <w:rFonts w:ascii="Times New Roman" w:cs="Times New Roman" w:eastAsia="Times New Roman" w:hAnsi="Times New Roman"/>
                  <w:sz w:val="16"/>
                  <w:szCs w:val="16"/>
                  <w:color w:val="auto"/>
                  <w:w w:val="97"/>
                </w:rPr>
                <w:t>4.31 reverse stock split of the Company’s common stock effected on March 1,</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42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auto"/>
                <w:w w:val="96"/>
              </w:rPr>
            </w:pPr>
            <w:hyperlink r:id="rId107">
              <w:r>
                <w:rPr>
                  <w:rFonts w:ascii="Times New Roman" w:cs="Times New Roman" w:eastAsia="Times New Roman" w:hAnsi="Times New Roman"/>
                  <w:sz w:val="16"/>
                  <w:szCs w:val="16"/>
                  <w:color w:val="auto"/>
                  <w:w w:val="96"/>
                </w:rPr>
                <w:t>2013).</w:t>
              </w:r>
            </w:hyperlink>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940" w:type="dxa"/>
            <w:vAlign w:val="bottom"/>
            <w:tcBorders>
              <w:bottom w:val="single" w:sz="8" w:color="0000EE"/>
            </w:tcBorders>
            <w:gridSpan w:val="27"/>
          </w:tcPr>
          <w:p>
            <w:pPr>
              <w:spacing w:after="0"/>
              <w:rPr>
                <w:rFonts w:ascii="Times New Roman" w:cs="Times New Roman" w:eastAsia="Times New Roman" w:hAnsi="Times New Roman"/>
                <w:sz w:val="16"/>
                <w:szCs w:val="16"/>
                <w:color w:val="auto"/>
                <w:w w:val="97"/>
              </w:rPr>
            </w:pPr>
            <w:hyperlink r:id="rId108">
              <w:r>
                <w:rPr>
                  <w:rFonts w:ascii="Times New Roman" w:cs="Times New Roman" w:eastAsia="Times New Roman" w:hAnsi="Times New Roman"/>
                  <w:sz w:val="16"/>
                  <w:szCs w:val="16"/>
                  <w:color w:val="auto"/>
                  <w:w w:val="97"/>
                </w:rPr>
                <w:t>Form of Incentive Stock Option Agreement under 2012 Equity Incentive Plan.</w:t>
              </w:r>
            </w:hyperlink>
          </w:p>
        </w:tc>
        <w:tc>
          <w:tcPr>
            <w:tcW w:w="20" w:type="dxa"/>
            <w:vAlign w:val="bottom"/>
          </w:tcPr>
          <w:p>
            <w:pPr>
              <w:spacing w:after="0"/>
              <w:rPr>
                <w:sz w:val="24"/>
                <w:szCs w:val="24"/>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960" w:type="dxa"/>
            <w:vAlign w:val="bottom"/>
            <w:gridSpan w:val="28"/>
          </w:tcPr>
          <w:p>
            <w:pPr>
              <w:spacing w:after="0"/>
              <w:rPr>
                <w:rFonts w:ascii="Times New Roman" w:cs="Times New Roman" w:eastAsia="Times New Roman" w:hAnsi="Times New Roman"/>
                <w:sz w:val="16"/>
                <w:szCs w:val="16"/>
                <w:color w:val="auto"/>
                <w:w w:val="99"/>
              </w:rPr>
            </w:pPr>
            <w:hyperlink r:id="rId109">
              <w:r>
                <w:rPr>
                  <w:rFonts w:ascii="Times New Roman" w:cs="Times New Roman" w:eastAsia="Times New Roman" w:hAnsi="Times New Roman"/>
                  <w:sz w:val="16"/>
                  <w:szCs w:val="16"/>
                  <w:color w:val="auto"/>
                  <w:w w:val="99"/>
                </w:rPr>
                <w:t>Form of Non-Statutory Stock Option Agreement under 2012 Equity Incentive</w:t>
              </w:r>
            </w:hyperlink>
          </w:p>
        </w:tc>
      </w:tr>
      <w:tr>
        <w:trPr>
          <w:trHeight w:val="160"/>
        </w:trPr>
        <w:tc>
          <w:tcPr>
            <w:tcW w:w="880" w:type="dxa"/>
            <w:vAlign w:val="bottom"/>
          </w:tcPr>
          <w:p>
            <w:pPr>
              <w:spacing w:after="0"/>
              <w:rPr>
                <w:sz w:val="13"/>
                <w:szCs w:val="13"/>
                <w:color w:val="auto"/>
              </w:rPr>
            </w:pPr>
          </w:p>
        </w:tc>
        <w:tc>
          <w:tcPr>
            <w:tcW w:w="3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8"/>
              </w:rPr>
            </w:pPr>
            <w:hyperlink r:id="rId109">
              <w:r>
                <w:rPr>
                  <w:rFonts w:ascii="Times New Roman" w:cs="Times New Roman" w:eastAsia="Times New Roman" w:hAnsi="Times New Roman"/>
                  <w:sz w:val="16"/>
                  <w:szCs w:val="16"/>
                  <w:color w:val="auto"/>
                  <w:w w:val="98"/>
                </w:rPr>
                <w:t>Plan.</w:t>
              </w:r>
            </w:hyperlink>
          </w:p>
        </w:tc>
        <w:tc>
          <w:tcPr>
            <w:tcW w:w="4600" w:type="dxa"/>
            <w:vAlign w:val="bottom"/>
            <w:tcBorders>
              <w:top w:val="single" w:sz="8" w:color="0000EE"/>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10">
              <w:r>
                <w:rPr>
                  <w:rFonts w:ascii="Times New Roman" w:cs="Times New Roman" w:eastAsia="Times New Roman" w:hAnsi="Times New Roman"/>
                  <w:sz w:val="16"/>
                  <w:szCs w:val="16"/>
                  <w:color w:val="auto"/>
                </w:rPr>
                <w:t>Form of Non-Statutory Stock Option Certificate for directors under 2012</w:t>
              </w:r>
            </w:hyperlink>
          </w:p>
        </w:tc>
      </w:tr>
      <w:tr>
        <w:trPr>
          <w:trHeight w:val="160"/>
        </w:trPr>
        <w:tc>
          <w:tcPr>
            <w:tcW w:w="880" w:type="dxa"/>
            <w:vAlign w:val="bottom"/>
          </w:tcPr>
          <w:p>
            <w:pPr>
              <w:spacing w:after="0"/>
              <w:rPr>
                <w:sz w:val="13"/>
                <w:szCs w:val="13"/>
                <w:color w:val="auto"/>
              </w:rPr>
            </w:pPr>
          </w:p>
        </w:tc>
        <w:tc>
          <w:tcPr>
            <w:tcW w:w="140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auto"/>
                <w:w w:val="96"/>
              </w:rPr>
            </w:pPr>
            <w:hyperlink r:id="rId110">
              <w:r>
                <w:rPr>
                  <w:rFonts w:ascii="Times New Roman" w:cs="Times New Roman" w:eastAsia="Times New Roman" w:hAnsi="Times New Roman"/>
                  <w:sz w:val="16"/>
                  <w:szCs w:val="16"/>
                  <w:color w:val="auto"/>
                  <w:w w:val="96"/>
                </w:rPr>
                <w:t>Equity Incentive Plan.</w:t>
              </w:r>
            </w:hyperlink>
          </w:p>
        </w:tc>
        <w:tc>
          <w:tcPr>
            <w:tcW w:w="3200" w:type="dxa"/>
            <w:vAlign w:val="bottom"/>
            <w:tcBorders>
              <w:top w:val="single" w:sz="8" w:color="0000EE"/>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960" w:type="dxa"/>
            <w:vAlign w:val="bottom"/>
            <w:tcBorders>
              <w:bottom w:val="single" w:sz="8" w:color="0000EE"/>
            </w:tcBorders>
            <w:gridSpan w:val="28"/>
          </w:tcPr>
          <w:p>
            <w:pPr>
              <w:spacing w:after="0"/>
              <w:rPr>
                <w:rFonts w:ascii="Times New Roman" w:cs="Times New Roman" w:eastAsia="Times New Roman" w:hAnsi="Times New Roman"/>
                <w:sz w:val="16"/>
                <w:szCs w:val="16"/>
                <w:color w:val="auto"/>
                <w:w w:val="97"/>
              </w:rPr>
            </w:pPr>
            <w:hyperlink r:id="rId111">
              <w:r>
                <w:rPr>
                  <w:rFonts w:ascii="Times New Roman" w:cs="Times New Roman" w:eastAsia="Times New Roman" w:hAnsi="Times New Roman"/>
                  <w:sz w:val="16"/>
                  <w:szCs w:val="16"/>
                  <w:color w:val="auto"/>
                  <w:w w:val="97"/>
                </w:rPr>
                <w:t>Form of Performance Share Unit Certificate under 2012 Equity Incentive Plan.</w:t>
              </w:r>
            </w:hyperlink>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960" w:type="dxa"/>
            <w:vAlign w:val="bottom"/>
            <w:tcBorders>
              <w:bottom w:val="single" w:sz="8" w:color="0000EE"/>
            </w:tcBorders>
            <w:gridSpan w:val="28"/>
          </w:tcPr>
          <w:p>
            <w:pPr>
              <w:spacing w:after="0"/>
              <w:rPr>
                <w:rFonts w:ascii="Times New Roman" w:cs="Times New Roman" w:eastAsia="Times New Roman" w:hAnsi="Times New Roman"/>
                <w:sz w:val="16"/>
                <w:szCs w:val="16"/>
                <w:color w:val="auto"/>
                <w:w w:val="98"/>
              </w:rPr>
            </w:pPr>
            <w:hyperlink r:id="rId112">
              <w:r>
                <w:rPr>
                  <w:rFonts w:ascii="Times New Roman" w:cs="Times New Roman" w:eastAsia="Times New Roman" w:hAnsi="Times New Roman"/>
                  <w:sz w:val="16"/>
                  <w:szCs w:val="16"/>
                  <w:color w:val="auto"/>
                  <w:w w:val="98"/>
                </w:rPr>
                <w:t>Form of Relative Total Stockholder Return Unit Certificate under 2012 Equity</w:t>
              </w:r>
            </w:hyperlink>
          </w:p>
        </w:tc>
      </w:tr>
      <w:tr>
        <w:trPr>
          <w:trHeight w:val="160"/>
        </w:trPr>
        <w:tc>
          <w:tcPr>
            <w:tcW w:w="880" w:type="dxa"/>
            <w:vAlign w:val="bottom"/>
          </w:tcPr>
          <w:p>
            <w:pPr>
              <w:spacing w:after="0"/>
              <w:rPr>
                <w:sz w:val="13"/>
                <w:szCs w:val="13"/>
                <w:color w:val="auto"/>
              </w:rPr>
            </w:pPr>
          </w:p>
        </w:tc>
        <w:tc>
          <w:tcPr>
            <w:tcW w:w="4960" w:type="dxa"/>
            <w:vAlign w:val="bottom"/>
            <w:gridSpan w:val="28"/>
          </w:tcPr>
          <w:p>
            <w:pPr>
              <w:spacing w:after="0" w:line="160" w:lineRule="exact"/>
              <w:rPr>
                <w:rFonts w:ascii="Times New Roman" w:cs="Times New Roman" w:eastAsia="Times New Roman" w:hAnsi="Times New Roman"/>
                <w:sz w:val="16"/>
                <w:szCs w:val="16"/>
                <w:color w:val="auto"/>
              </w:rPr>
            </w:pPr>
            <w:hyperlink r:id="rId112">
              <w:r>
                <w:rPr>
                  <w:rFonts w:ascii="Times New Roman" w:cs="Times New Roman" w:eastAsia="Times New Roman" w:hAnsi="Times New Roman"/>
                  <w:sz w:val="16"/>
                  <w:szCs w:val="16"/>
                  <w:color w:val="auto"/>
                </w:rPr>
                <w:t>Incentive Plan.</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13">
              <w:r>
                <w:rPr>
                  <w:rFonts w:ascii="Times New Roman" w:cs="Times New Roman" w:eastAsia="Times New Roman" w:hAnsi="Times New Roman"/>
                  <w:sz w:val="16"/>
                  <w:szCs w:val="16"/>
                  <w:color w:val="auto"/>
                </w:rPr>
                <w:t>Employee Stock Purchase Plan.</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14">
              <w:r>
                <w:rPr>
                  <w:rFonts w:ascii="Times New Roman" w:cs="Times New Roman" w:eastAsia="Times New Roman" w:hAnsi="Times New Roman"/>
                  <w:sz w:val="16"/>
                  <w:szCs w:val="16"/>
                  <w:color w:val="auto"/>
                </w:rPr>
                <w:t>2019 Equity Incentive Plan (As amended March 2025)</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15">
              <w:r>
                <w:rPr>
                  <w:rFonts w:ascii="Times New Roman" w:cs="Times New Roman" w:eastAsia="Times New Roman" w:hAnsi="Times New Roman"/>
                  <w:sz w:val="16"/>
                  <w:szCs w:val="16"/>
                  <w:color w:val="auto"/>
                </w:rPr>
                <w:t>Form of Notice of Grant of Non-Statutory Stock Option under 2019 Equity</w:t>
              </w:r>
            </w:hyperlink>
          </w:p>
        </w:tc>
      </w:tr>
      <w:tr>
        <w:trPr>
          <w:trHeight w:val="160"/>
        </w:trPr>
        <w:tc>
          <w:tcPr>
            <w:tcW w:w="880" w:type="dxa"/>
            <w:vAlign w:val="bottom"/>
          </w:tcPr>
          <w:p>
            <w:pPr>
              <w:spacing w:after="0"/>
              <w:rPr>
                <w:sz w:val="13"/>
                <w:szCs w:val="13"/>
                <w:color w:val="auto"/>
              </w:rPr>
            </w:pPr>
          </w:p>
        </w:tc>
        <w:tc>
          <w:tcPr>
            <w:tcW w:w="47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auto"/>
              </w:rPr>
            </w:pPr>
            <w:hyperlink r:id="rId115">
              <w:r>
                <w:rPr>
                  <w:rFonts w:ascii="Times New Roman" w:cs="Times New Roman" w:eastAsia="Times New Roman" w:hAnsi="Times New Roman"/>
                  <w:sz w:val="16"/>
                  <w:szCs w:val="16"/>
                  <w:color w:val="auto"/>
                </w:rPr>
                <w:t>Incentive Plan.</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16">
              <w:r>
                <w:rPr>
                  <w:rFonts w:ascii="Times New Roman" w:cs="Times New Roman" w:eastAsia="Times New Roman" w:hAnsi="Times New Roman"/>
                  <w:sz w:val="16"/>
                  <w:szCs w:val="16"/>
                  <w:color w:val="auto"/>
                </w:rPr>
                <w:t>Form of Notice of Grant of Non-Statutory Stock Option for Directors under</w:t>
              </w:r>
            </w:hyperlink>
          </w:p>
        </w:tc>
      </w:tr>
      <w:tr>
        <w:trPr>
          <w:trHeight w:val="160"/>
        </w:trPr>
        <w:tc>
          <w:tcPr>
            <w:tcW w:w="880" w:type="dxa"/>
            <w:vAlign w:val="bottom"/>
          </w:tcPr>
          <w:p>
            <w:pPr>
              <w:spacing w:after="0"/>
              <w:rPr>
                <w:sz w:val="13"/>
                <w:szCs w:val="13"/>
                <w:color w:val="auto"/>
              </w:rPr>
            </w:pPr>
          </w:p>
        </w:tc>
        <w:tc>
          <w:tcPr>
            <w:tcW w:w="478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auto"/>
              </w:rPr>
            </w:pPr>
            <w:hyperlink r:id="rId116">
              <w:r>
                <w:rPr>
                  <w:rFonts w:ascii="Times New Roman" w:cs="Times New Roman" w:eastAsia="Times New Roman" w:hAnsi="Times New Roman"/>
                  <w:sz w:val="16"/>
                  <w:szCs w:val="16"/>
                  <w:color w:val="auto"/>
                </w:rPr>
                <w:t>2019 Equity Incentive Plan.</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960" w:type="dxa"/>
            <w:vAlign w:val="bottom"/>
            <w:tcBorders>
              <w:bottom w:val="single" w:sz="8" w:color="0000EE"/>
            </w:tcBorders>
            <w:gridSpan w:val="28"/>
          </w:tcPr>
          <w:p>
            <w:pPr>
              <w:spacing w:after="0"/>
              <w:rPr>
                <w:rFonts w:ascii="Times New Roman" w:cs="Times New Roman" w:eastAsia="Times New Roman" w:hAnsi="Times New Roman"/>
                <w:sz w:val="16"/>
                <w:szCs w:val="16"/>
                <w:color w:val="auto"/>
                <w:w w:val="98"/>
              </w:rPr>
            </w:pPr>
            <w:hyperlink r:id="rId117">
              <w:r>
                <w:rPr>
                  <w:rFonts w:ascii="Times New Roman" w:cs="Times New Roman" w:eastAsia="Times New Roman" w:hAnsi="Times New Roman"/>
                  <w:sz w:val="16"/>
                  <w:szCs w:val="16"/>
                  <w:color w:val="auto"/>
                  <w:w w:val="98"/>
                </w:rPr>
                <w:t>Form of Relative Total Stockholder Return Unit Certificate under 2019 Equity</w:t>
              </w:r>
            </w:hyperlink>
          </w:p>
        </w:tc>
      </w:tr>
      <w:tr>
        <w:trPr>
          <w:trHeight w:val="160"/>
        </w:trPr>
        <w:tc>
          <w:tcPr>
            <w:tcW w:w="880" w:type="dxa"/>
            <w:vAlign w:val="bottom"/>
          </w:tcPr>
          <w:p>
            <w:pPr>
              <w:spacing w:after="0"/>
              <w:rPr>
                <w:sz w:val="13"/>
                <w:szCs w:val="13"/>
                <w:color w:val="auto"/>
              </w:rPr>
            </w:pPr>
          </w:p>
        </w:tc>
        <w:tc>
          <w:tcPr>
            <w:tcW w:w="4960" w:type="dxa"/>
            <w:vAlign w:val="bottom"/>
            <w:gridSpan w:val="28"/>
          </w:tcPr>
          <w:p>
            <w:pPr>
              <w:spacing w:after="0" w:line="160" w:lineRule="exact"/>
              <w:rPr>
                <w:rFonts w:ascii="Times New Roman" w:cs="Times New Roman" w:eastAsia="Times New Roman" w:hAnsi="Times New Roman"/>
                <w:sz w:val="16"/>
                <w:szCs w:val="16"/>
                <w:color w:val="auto"/>
              </w:rPr>
            </w:pPr>
            <w:hyperlink r:id="rId117">
              <w:r>
                <w:rPr>
                  <w:rFonts w:ascii="Times New Roman" w:cs="Times New Roman" w:eastAsia="Times New Roman" w:hAnsi="Times New Roman"/>
                  <w:sz w:val="16"/>
                  <w:szCs w:val="16"/>
                  <w:color w:val="auto"/>
                </w:rPr>
                <w:t>Incentive Plan.</w:t>
              </w:r>
            </w:hyperlink>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960" w:type="dxa"/>
            <w:vAlign w:val="bottom"/>
            <w:tcBorders>
              <w:bottom w:val="single" w:sz="8" w:color="0000EE"/>
            </w:tcBorders>
            <w:gridSpan w:val="28"/>
          </w:tcPr>
          <w:p>
            <w:pPr>
              <w:spacing w:after="0"/>
              <w:rPr>
                <w:rFonts w:ascii="Times New Roman" w:cs="Times New Roman" w:eastAsia="Times New Roman" w:hAnsi="Times New Roman"/>
                <w:sz w:val="16"/>
                <w:szCs w:val="16"/>
                <w:color w:val="auto"/>
                <w:w w:val="97"/>
              </w:rPr>
            </w:pPr>
            <w:hyperlink r:id="rId118">
              <w:r>
                <w:rPr>
                  <w:rFonts w:ascii="Times New Roman" w:cs="Times New Roman" w:eastAsia="Times New Roman" w:hAnsi="Times New Roman"/>
                  <w:sz w:val="16"/>
                  <w:szCs w:val="16"/>
                  <w:color w:val="auto"/>
                  <w:w w:val="97"/>
                </w:rPr>
                <w:t>Form of Performance Share Unit Certificate under 2019 Equity Incentive Plan.</w:t>
              </w:r>
            </w:hyperlink>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19">
              <w:r>
                <w:rPr>
                  <w:rFonts w:ascii="Times New Roman" w:cs="Times New Roman" w:eastAsia="Times New Roman" w:hAnsi="Times New Roman"/>
                  <w:sz w:val="16"/>
                  <w:szCs w:val="16"/>
                  <w:color w:val="auto"/>
                </w:rPr>
                <w:t>Form of Notice of Restricted Stock Unit Award under 2019 Equity Incentive</w:t>
              </w:r>
            </w:hyperlink>
          </w:p>
        </w:tc>
      </w:tr>
      <w:tr>
        <w:trPr>
          <w:trHeight w:val="160"/>
        </w:trPr>
        <w:tc>
          <w:tcPr>
            <w:tcW w:w="880" w:type="dxa"/>
            <w:vAlign w:val="bottom"/>
          </w:tcPr>
          <w:p>
            <w:pPr>
              <w:spacing w:after="0"/>
              <w:rPr>
                <w:sz w:val="13"/>
                <w:szCs w:val="13"/>
                <w:color w:val="auto"/>
              </w:rPr>
            </w:pPr>
          </w:p>
        </w:tc>
        <w:tc>
          <w:tcPr>
            <w:tcW w:w="3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8"/>
              </w:rPr>
            </w:pPr>
            <w:hyperlink r:id="rId119">
              <w:r>
                <w:rPr>
                  <w:rFonts w:ascii="Times New Roman" w:cs="Times New Roman" w:eastAsia="Times New Roman" w:hAnsi="Times New Roman"/>
                  <w:sz w:val="16"/>
                  <w:szCs w:val="16"/>
                  <w:color w:val="auto"/>
                  <w:w w:val="98"/>
                </w:rPr>
                <w:t>Plan.</w:t>
              </w:r>
            </w:hyperlink>
          </w:p>
        </w:tc>
        <w:tc>
          <w:tcPr>
            <w:tcW w:w="4500" w:type="dxa"/>
            <w:vAlign w:val="bottom"/>
            <w:tcBorders>
              <w:top w:val="single" w:sz="8" w:color="0000EE"/>
            </w:tcBorders>
            <w:gridSpan w:val="2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4960" w:type="dxa"/>
            <w:vAlign w:val="bottom"/>
            <w:gridSpan w:val="28"/>
          </w:tcPr>
          <w:p>
            <w:pPr>
              <w:spacing w:after="0"/>
              <w:rPr>
                <w:rFonts w:ascii="Times New Roman" w:cs="Times New Roman" w:eastAsia="Times New Roman" w:hAnsi="Times New Roman"/>
                <w:sz w:val="16"/>
                <w:szCs w:val="16"/>
                <w:color w:val="auto"/>
                <w:w w:val="99"/>
              </w:rPr>
            </w:pPr>
            <w:hyperlink r:id="rId120">
              <w:r>
                <w:rPr>
                  <w:rFonts w:ascii="Times New Roman" w:cs="Times New Roman" w:eastAsia="Times New Roman" w:hAnsi="Times New Roman"/>
                  <w:sz w:val="16"/>
                  <w:szCs w:val="16"/>
                  <w:color w:val="auto"/>
                  <w:w w:val="99"/>
                </w:rPr>
                <w:t>Amended and Restated Employment Agreement dated as of February 8, 2024</w:t>
              </w:r>
            </w:hyperlink>
          </w:p>
        </w:tc>
      </w:tr>
      <w:tr>
        <w:trPr>
          <w:trHeight w:val="160"/>
        </w:trPr>
        <w:tc>
          <w:tcPr>
            <w:tcW w:w="880" w:type="dxa"/>
            <w:vAlign w:val="bottom"/>
          </w:tcPr>
          <w:p>
            <w:pPr>
              <w:spacing w:after="0"/>
              <w:rPr>
                <w:sz w:val="13"/>
                <w:szCs w:val="13"/>
                <w:color w:val="auto"/>
              </w:rPr>
            </w:pPr>
          </w:p>
        </w:tc>
        <w:tc>
          <w:tcPr>
            <w:tcW w:w="490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auto"/>
              </w:rPr>
            </w:pPr>
            <w:hyperlink r:id="rId120">
              <w:r>
                <w:rPr>
                  <w:rFonts w:ascii="Times New Roman" w:cs="Times New Roman" w:eastAsia="Times New Roman" w:hAnsi="Times New Roman"/>
                  <w:sz w:val="16"/>
                  <w:szCs w:val="16"/>
                  <w:color w:val="auto"/>
                </w:rPr>
                <w:t>by and between the Company and Nathaniel S. Gardiner, effective April 1,</w:t>
              </w:r>
            </w:hyperlink>
          </w:p>
        </w:tc>
        <w:tc>
          <w:tcPr>
            <w:tcW w:w="60" w:type="dxa"/>
            <w:vAlign w:val="bottom"/>
            <w:gridSpan w:val="3"/>
          </w:tcPr>
          <w:p>
            <w:pPr>
              <w:spacing w:after="0"/>
              <w:rPr>
                <w:sz w:val="13"/>
                <w:szCs w:val="13"/>
                <w:color w:val="auto"/>
              </w:rPr>
            </w:pPr>
          </w:p>
        </w:tc>
      </w:tr>
      <w:tr>
        <w:trPr>
          <w:trHeight w:val="160"/>
        </w:trPr>
        <w:tc>
          <w:tcPr>
            <w:tcW w:w="880" w:type="dxa"/>
            <w:vAlign w:val="bottom"/>
          </w:tcPr>
          <w:p>
            <w:pPr>
              <w:spacing w:after="0"/>
              <w:rPr>
                <w:sz w:val="13"/>
                <w:szCs w:val="13"/>
                <w:color w:val="auto"/>
              </w:rPr>
            </w:pPr>
          </w:p>
        </w:tc>
        <w:tc>
          <w:tcPr>
            <w:tcW w:w="3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3"/>
              </w:rPr>
            </w:pPr>
            <w:hyperlink r:id="rId120">
              <w:r>
                <w:rPr>
                  <w:rFonts w:ascii="Times New Roman" w:cs="Times New Roman" w:eastAsia="Times New Roman" w:hAnsi="Times New Roman"/>
                  <w:sz w:val="16"/>
                  <w:szCs w:val="16"/>
                  <w:color w:val="auto"/>
                  <w:w w:val="93"/>
                </w:rPr>
                <w:t>2024</w:t>
              </w:r>
            </w:hyperlink>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2"/>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21">
              <w:r>
                <w:rPr>
                  <w:rFonts w:ascii="Times New Roman" w:cs="Times New Roman" w:eastAsia="Times New Roman" w:hAnsi="Times New Roman"/>
                  <w:sz w:val="16"/>
                  <w:szCs w:val="16"/>
                  <w:color w:val="auto"/>
                </w:rPr>
                <w:t>2024 Inducement Stock Incentive Plan</w:t>
              </w:r>
            </w:hyperlink>
          </w:p>
        </w:tc>
      </w:tr>
      <w:tr>
        <w:trPr>
          <w:trHeight w:val="20"/>
        </w:trPr>
        <w:tc>
          <w:tcPr>
            <w:tcW w:w="880" w:type="dxa"/>
            <w:vAlign w:val="bottom"/>
          </w:tcPr>
          <w:p>
            <w:pPr>
              <w:spacing w:after="0" w:line="20" w:lineRule="exact"/>
              <w:rPr>
                <w:sz w:val="1"/>
                <w:szCs w:val="1"/>
                <w:color w:val="auto"/>
              </w:rPr>
            </w:pPr>
          </w:p>
        </w:tc>
        <w:tc>
          <w:tcPr>
            <w:tcW w:w="940" w:type="dxa"/>
            <w:vAlign w:val="bottom"/>
            <w:tcBorders>
              <w:right w:val="single" w:sz="8" w:color="0000EE"/>
            </w:tcBorders>
            <w:gridSpan w:val="4"/>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22">
              <w:r>
                <w:rPr>
                  <w:rFonts w:ascii="Times New Roman" w:cs="Times New Roman" w:eastAsia="Times New Roman" w:hAnsi="Times New Roman"/>
                  <w:sz w:val="16"/>
                  <w:szCs w:val="16"/>
                  <w:color w:val="auto"/>
                </w:rPr>
                <w:t>Form of Notice of Grant of Non-Statutory Stock Option under 2024</w:t>
              </w:r>
            </w:hyperlink>
          </w:p>
        </w:tc>
      </w:tr>
      <w:tr>
        <w:trPr>
          <w:trHeight w:val="160"/>
        </w:trPr>
        <w:tc>
          <w:tcPr>
            <w:tcW w:w="880" w:type="dxa"/>
            <w:vAlign w:val="bottom"/>
          </w:tcPr>
          <w:p>
            <w:pPr>
              <w:spacing w:after="0"/>
              <w:rPr>
                <w:sz w:val="13"/>
                <w:szCs w:val="13"/>
                <w:color w:val="auto"/>
              </w:rPr>
            </w:pPr>
          </w:p>
        </w:tc>
        <w:tc>
          <w:tcPr>
            <w:tcW w:w="210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auto"/>
                <w:w w:val="98"/>
              </w:rPr>
            </w:pPr>
            <w:hyperlink r:id="rId122">
              <w:r>
                <w:rPr>
                  <w:rFonts w:ascii="Times New Roman" w:cs="Times New Roman" w:eastAsia="Times New Roman" w:hAnsi="Times New Roman"/>
                  <w:sz w:val="16"/>
                  <w:szCs w:val="16"/>
                  <w:color w:val="auto"/>
                  <w:w w:val="98"/>
                </w:rPr>
                <w:t>Inducement Stock Incentive Plan</w:t>
              </w:r>
            </w:hyperlink>
          </w:p>
        </w:tc>
        <w:tc>
          <w:tcPr>
            <w:tcW w:w="2180" w:type="dxa"/>
            <w:vAlign w:val="bottom"/>
            <w:tcBorders>
              <w:top w:val="single" w:sz="8" w:color="0000EE"/>
            </w:tcBorders>
            <w:gridSpan w:val="5"/>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11"/>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23">
              <w:r>
                <w:rPr>
                  <w:rFonts w:ascii="Times New Roman" w:cs="Times New Roman" w:eastAsia="Times New Roman" w:hAnsi="Times New Roman"/>
                  <w:sz w:val="16"/>
                  <w:szCs w:val="16"/>
                  <w:color w:val="auto"/>
                </w:rPr>
                <w:t>Form of Notice of Grant of Restricted Stock Unit Award under 2024</w:t>
              </w:r>
            </w:hyperlink>
          </w:p>
        </w:tc>
      </w:tr>
      <w:tr>
        <w:trPr>
          <w:trHeight w:val="160"/>
        </w:trPr>
        <w:tc>
          <w:tcPr>
            <w:tcW w:w="88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auto"/>
                <w:w w:val="97"/>
              </w:rPr>
            </w:pPr>
            <w:hyperlink r:id="rId123">
              <w:r>
                <w:rPr>
                  <w:rFonts w:ascii="Times New Roman" w:cs="Times New Roman" w:eastAsia="Times New Roman" w:hAnsi="Times New Roman"/>
                  <w:sz w:val="16"/>
                  <w:szCs w:val="16"/>
                  <w:color w:val="auto"/>
                  <w:w w:val="97"/>
                </w:rPr>
                <w:t>Inducement Stock Incentive Plan</w:t>
              </w:r>
            </w:hyperlink>
          </w:p>
        </w:tc>
        <w:tc>
          <w:tcPr>
            <w:tcW w:w="2240" w:type="dxa"/>
            <w:vAlign w:val="bottom"/>
            <w:tcBorders>
              <w:top w:val="single" w:sz="8" w:color="0000EE"/>
            </w:tcBorders>
            <w:gridSpan w:val="7"/>
          </w:tcPr>
          <w:p>
            <w:pPr>
              <w:spacing w:after="0"/>
              <w:rPr>
                <w:sz w:val="13"/>
                <w:szCs w:val="13"/>
                <w:color w:val="auto"/>
              </w:rPr>
            </w:pPr>
          </w:p>
        </w:tc>
        <w:tc>
          <w:tcPr>
            <w:tcW w:w="640" w:type="dxa"/>
            <w:vAlign w:val="bottom"/>
            <w:gridSpan w:val="11"/>
          </w:tcPr>
          <w:p>
            <w:pPr>
              <w:spacing w:after="0"/>
              <w:rPr>
                <w:sz w:val="13"/>
                <w:szCs w:val="13"/>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4960" w:type="dxa"/>
            <w:vAlign w:val="bottom"/>
            <w:gridSpan w:val="28"/>
          </w:tcPr>
          <w:p>
            <w:pPr>
              <w:spacing w:after="0"/>
              <w:rPr>
                <w:rFonts w:ascii="Times New Roman" w:cs="Times New Roman" w:eastAsia="Times New Roman" w:hAnsi="Times New Roman"/>
                <w:sz w:val="16"/>
                <w:szCs w:val="16"/>
                <w:color w:val="auto"/>
              </w:rPr>
            </w:pPr>
            <w:hyperlink r:id="rId124">
              <w:r>
                <w:rPr>
                  <w:rFonts w:ascii="Times New Roman" w:cs="Times New Roman" w:eastAsia="Times New Roman" w:hAnsi="Times New Roman"/>
                  <w:sz w:val="16"/>
                  <w:szCs w:val="16"/>
                  <w:color w:val="auto"/>
                </w:rPr>
                <w:t>Form of Performance Share Unit Certificate under 2024 Inducement Stock</w:t>
              </w:r>
            </w:hyperlink>
          </w:p>
        </w:tc>
      </w:tr>
      <w:tr>
        <w:trPr>
          <w:trHeight w:val="160"/>
        </w:trPr>
        <w:tc>
          <w:tcPr>
            <w:tcW w:w="880" w:type="dxa"/>
            <w:vAlign w:val="bottom"/>
          </w:tcPr>
          <w:p>
            <w:pPr>
              <w:spacing w:after="0"/>
              <w:rPr>
                <w:sz w:val="13"/>
                <w:szCs w:val="13"/>
                <w:color w:val="auto"/>
              </w:rPr>
            </w:pPr>
          </w:p>
        </w:tc>
        <w:tc>
          <w:tcPr>
            <w:tcW w:w="47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auto"/>
              </w:rPr>
            </w:pPr>
            <w:hyperlink r:id="rId124">
              <w:r>
                <w:rPr>
                  <w:rFonts w:ascii="Times New Roman" w:cs="Times New Roman" w:eastAsia="Times New Roman" w:hAnsi="Times New Roman"/>
                  <w:sz w:val="16"/>
                  <w:szCs w:val="16"/>
                  <w:color w:val="auto"/>
                </w:rPr>
                <w:t>Incentive Plan</w:t>
              </w:r>
            </w:hyperlink>
          </w:p>
        </w:tc>
        <w:tc>
          <w:tcPr>
            <w:tcW w:w="240" w:type="dxa"/>
            <w:vAlign w:val="bottom"/>
            <w:gridSpan w:val="8"/>
          </w:tcPr>
          <w:p>
            <w:pPr>
              <w:spacing w:after="0"/>
              <w:rPr>
                <w:sz w:val="13"/>
                <w:szCs w:val="13"/>
                <w:color w:val="auto"/>
              </w:rPr>
            </w:pPr>
          </w:p>
        </w:tc>
      </w:tr>
      <w:tr>
        <w:trPr>
          <w:trHeight w:val="506"/>
        </w:trPr>
        <w:tc>
          <w:tcPr>
            <w:tcW w:w="880" w:type="dxa"/>
            <w:vAlign w:val="bottom"/>
          </w:tcPr>
          <w:p>
            <w:pPr>
              <w:spacing w:after="0"/>
              <w:rPr>
                <w:sz w:val="24"/>
                <w:szCs w:val="24"/>
                <w:color w:val="auto"/>
              </w:rPr>
            </w:pPr>
          </w:p>
        </w:tc>
        <w:tc>
          <w:tcPr>
            <w:tcW w:w="940" w:type="dxa"/>
            <w:vAlign w:val="bottom"/>
            <w:tcBorders>
              <w:top w:val="single" w:sz="8" w:color="0000EE"/>
            </w:tcBorders>
            <w:gridSpan w:val="4"/>
          </w:tcPr>
          <w:p>
            <w:pPr>
              <w:spacing w:after="0"/>
              <w:rPr>
                <w:sz w:val="24"/>
                <w:szCs w:val="24"/>
                <w:color w:val="auto"/>
              </w:rPr>
            </w:pPr>
          </w:p>
        </w:tc>
        <w:tc>
          <w:tcPr>
            <w:tcW w:w="3580" w:type="dxa"/>
            <w:vAlign w:val="bottom"/>
            <w:gridSpan w:val="14"/>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476250</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04/27/2023</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11/29/2018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05/17/2022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54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05/17/2022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54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8"/>
              </w:rPr>
              <w:t>10-K/A</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01/06/2017</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66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4"/>
              </w:rPr>
              <w:t>S-1/A</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03/05/2013</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5"/>
              </w:rPr>
              <w:t>333-184779</w:t>
            </w:r>
          </w:p>
        </w:tc>
      </w:tr>
      <w:tr>
        <w:trPr>
          <w:trHeight w:val="30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4"/>
              </w:rPr>
              <w:t>S-1/A</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03/05/2013</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5"/>
              </w:rPr>
              <w:t>333-184779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4"/>
              </w:rPr>
              <w:t>S-1/A</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03/05/2013</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5"/>
              </w:rPr>
              <w:t>333-184779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12/11/2017</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30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12/11/2017</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4"/>
              </w:rPr>
              <w:t>S-1/A</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02/05/2013</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5"/>
              </w:rPr>
              <w:t>333-184779</w:t>
            </w:r>
          </w:p>
        </w:tc>
      </w:tr>
      <w:tr>
        <w:trPr>
          <w:trHeight w:val="30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8-K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03/17/2025</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30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10-Q</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05/10/2019</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10-Q</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05/10/2019</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10-Q</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05/10/2019</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10-Q</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05/10/2019</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30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11/25/2020</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10-Q</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05/08/2024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672"/>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89"/>
              </w:rPr>
              <w:t>S-8</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05/08/2024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94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5"/>
              </w:rPr>
              <w:t>333-279217</w:t>
            </w:r>
          </w:p>
        </w:tc>
      </w:tr>
      <w:tr>
        <w:trPr>
          <w:trHeight w:val="30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r>
        <w:trPr>
          <w:trHeight w:val="480"/>
        </w:trPr>
        <w:tc>
          <w:tcPr>
            <w:tcW w:w="66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7"/>
              </w:rPr>
              <w:t>10-K</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9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8"/>
              </w:rPr>
              <w:t>001-35839</w:t>
            </w:r>
          </w:p>
        </w:tc>
      </w:tr>
    </w:tbl>
    <w:p>
      <w:pPr>
        <w:sectPr>
          <w:pgSz w:w="11900" w:h="16840" w:orient="portrait"/>
          <w:cols w:equalWidth="0" w:num="2">
            <w:col w:w="5840" w:space="200"/>
            <w:col w:w="3680"/>
          </w:cols>
          <w:pgMar w:left="740" w:top="1430" w:right="1440" w:bottom="1440" w:gutter="0" w:footer="0" w:header="0"/>
        </w:sectPr>
      </w:pPr>
    </w:p>
    <w:bookmarkStart w:id="76" w:name="page77"/>
    <w:bookmarkEnd w:id="7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10.29#</w:t>
            </w:r>
          </w:p>
        </w:tc>
        <w:tc>
          <w:tcPr>
            <w:tcW w:w="4940" w:type="dxa"/>
            <w:vAlign w:val="bottom"/>
            <w:gridSpan w:val="17"/>
          </w:tcPr>
          <w:p>
            <w:pPr>
              <w:spacing w:after="0"/>
              <w:rPr>
                <w:rFonts w:ascii="Times New Roman" w:cs="Times New Roman" w:eastAsia="Times New Roman" w:hAnsi="Times New Roman"/>
                <w:sz w:val="16"/>
                <w:szCs w:val="16"/>
                <w:color w:val="auto"/>
              </w:rPr>
            </w:pPr>
            <w:hyperlink r:id="rId126">
              <w:r>
                <w:rPr>
                  <w:rFonts w:ascii="Times New Roman" w:cs="Times New Roman" w:eastAsia="Times New Roman" w:hAnsi="Times New Roman"/>
                  <w:sz w:val="16"/>
                  <w:szCs w:val="16"/>
                  <w:color w:val="auto"/>
                </w:rPr>
                <w:t>Form of Relative Total Stockholder Return Unit Certificate under 2024</w:t>
              </w:r>
            </w:hyperlink>
          </w:p>
        </w:tc>
        <w:tc>
          <w:tcPr>
            <w:tcW w:w="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10-K</w:t>
            </w: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10.29</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001-35839</w:t>
            </w:r>
          </w:p>
        </w:tc>
      </w:tr>
      <w:tr>
        <w:trPr>
          <w:trHeight w:val="160"/>
        </w:trPr>
        <w:tc>
          <w:tcPr>
            <w:tcW w:w="96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auto"/>
                <w:w w:val="97"/>
              </w:rPr>
            </w:pPr>
            <w:hyperlink r:id="rId126">
              <w:r>
                <w:rPr>
                  <w:rFonts w:ascii="Times New Roman" w:cs="Times New Roman" w:eastAsia="Times New Roman" w:hAnsi="Times New Roman"/>
                  <w:sz w:val="16"/>
                  <w:szCs w:val="16"/>
                  <w:color w:val="auto"/>
                  <w:w w:val="97"/>
                </w:rPr>
                <w:t>Inducement Stock Incentive Plan</w:t>
              </w:r>
            </w:hyperlink>
          </w:p>
        </w:tc>
        <w:tc>
          <w:tcPr>
            <w:tcW w:w="2420" w:type="dxa"/>
            <w:vAlign w:val="bottom"/>
            <w:tcBorders>
              <w:top w:val="single" w:sz="8" w:color="0000EE"/>
            </w:tcBorders>
            <w:gridSpan w:val="6"/>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10.30</w:t>
            </w:r>
          </w:p>
        </w:tc>
        <w:tc>
          <w:tcPr>
            <w:tcW w:w="4940" w:type="dxa"/>
            <w:vAlign w:val="bottom"/>
            <w:gridSpan w:val="17"/>
          </w:tcPr>
          <w:p>
            <w:pPr>
              <w:spacing w:after="0"/>
              <w:rPr>
                <w:rFonts w:ascii="Times New Roman" w:cs="Times New Roman" w:eastAsia="Times New Roman" w:hAnsi="Times New Roman"/>
                <w:sz w:val="16"/>
                <w:szCs w:val="16"/>
                <w:color w:val="auto"/>
                <w:w w:val="99"/>
              </w:rPr>
            </w:pPr>
            <w:hyperlink r:id="rId127">
              <w:r>
                <w:rPr>
                  <w:rFonts w:ascii="Times New Roman" w:cs="Times New Roman" w:eastAsia="Times New Roman" w:hAnsi="Times New Roman"/>
                  <w:sz w:val="16"/>
                  <w:szCs w:val="16"/>
                  <w:color w:val="auto"/>
                  <w:w w:val="99"/>
                </w:rPr>
                <w:t>Second Amendment to Lease Agreement, dated as of July 26, 2024, between</w:t>
              </w:r>
            </w:hyperlink>
          </w:p>
        </w:tc>
        <w:tc>
          <w:tcPr>
            <w:tcW w:w="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10 -K</w:t>
            </w: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10.30</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001-35839</w:t>
            </w:r>
          </w:p>
        </w:tc>
      </w:tr>
      <w:tr>
        <w:trPr>
          <w:trHeight w:val="160"/>
        </w:trPr>
        <w:tc>
          <w:tcPr>
            <w:tcW w:w="960" w:type="dxa"/>
            <w:vAlign w:val="bottom"/>
          </w:tcPr>
          <w:p>
            <w:pPr>
              <w:spacing w:after="0"/>
              <w:rPr>
                <w:sz w:val="13"/>
                <w:szCs w:val="13"/>
                <w:color w:val="auto"/>
              </w:rPr>
            </w:pPr>
          </w:p>
        </w:tc>
        <w:tc>
          <w:tcPr>
            <w:tcW w:w="32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auto"/>
                <w:w w:val="97"/>
              </w:rPr>
            </w:pPr>
            <w:hyperlink r:id="rId127">
              <w:r>
                <w:rPr>
                  <w:rFonts w:ascii="Times New Roman" w:cs="Times New Roman" w:eastAsia="Times New Roman" w:hAnsi="Times New Roman"/>
                  <w:sz w:val="16"/>
                  <w:szCs w:val="16"/>
                  <w:color w:val="auto"/>
                  <w:w w:val="97"/>
                </w:rPr>
                <w:t>ARE-MA REGION NO. 75, LLC and the Company</w:t>
              </w:r>
            </w:hyperlink>
          </w:p>
        </w:tc>
        <w:tc>
          <w:tcPr>
            <w:tcW w:w="1580" w:type="dxa"/>
            <w:vAlign w:val="bottom"/>
            <w:tcBorders>
              <w:top w:val="single" w:sz="8" w:color="0000EE"/>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10.31</w:t>
            </w:r>
          </w:p>
        </w:tc>
        <w:tc>
          <w:tcPr>
            <w:tcW w:w="4940" w:type="dxa"/>
            <w:vAlign w:val="bottom"/>
            <w:gridSpan w:val="17"/>
          </w:tcPr>
          <w:p>
            <w:pPr>
              <w:spacing w:after="0"/>
              <w:rPr>
                <w:rFonts w:ascii="Times New Roman" w:cs="Times New Roman" w:eastAsia="Times New Roman" w:hAnsi="Times New Roman"/>
                <w:sz w:val="16"/>
                <w:szCs w:val="16"/>
                <w:color w:val="auto"/>
              </w:rPr>
            </w:pPr>
            <w:hyperlink r:id="rId128">
              <w:r>
                <w:rPr>
                  <w:rFonts w:ascii="Times New Roman" w:cs="Times New Roman" w:eastAsia="Times New Roman" w:hAnsi="Times New Roman"/>
                  <w:sz w:val="16"/>
                  <w:szCs w:val="16"/>
                  <w:color w:val="auto"/>
                </w:rPr>
                <w:t>Third Amendment to Lease Agreement, dated as of September 13, 2024,</w:t>
              </w:r>
            </w:hyperlink>
          </w:p>
        </w:tc>
        <w:tc>
          <w:tcPr>
            <w:tcW w:w="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10 -K</w:t>
            </w: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10.31</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001-35839</w:t>
            </w:r>
          </w:p>
        </w:tc>
      </w:tr>
      <w:tr>
        <w:trPr>
          <w:trHeight w:val="160"/>
        </w:trPr>
        <w:tc>
          <w:tcPr>
            <w:tcW w:w="960" w:type="dxa"/>
            <w:vAlign w:val="bottom"/>
          </w:tcPr>
          <w:p>
            <w:pPr>
              <w:spacing w:after="0"/>
              <w:rPr>
                <w:sz w:val="13"/>
                <w:szCs w:val="13"/>
                <w:color w:val="auto"/>
              </w:rPr>
            </w:pPr>
          </w:p>
        </w:tc>
        <w:tc>
          <w:tcPr>
            <w:tcW w:w="38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auto"/>
                <w:w w:val="97"/>
              </w:rPr>
            </w:pPr>
            <w:hyperlink r:id="rId128">
              <w:r>
                <w:rPr>
                  <w:rFonts w:ascii="Times New Roman" w:cs="Times New Roman" w:eastAsia="Times New Roman" w:hAnsi="Times New Roman"/>
                  <w:sz w:val="16"/>
                  <w:szCs w:val="16"/>
                  <w:color w:val="auto"/>
                  <w:w w:val="97"/>
                </w:rPr>
                <w:t>between ARE-MA REGION NO. 75, LLC and the Company</w:t>
              </w:r>
            </w:hyperlink>
          </w:p>
        </w:tc>
        <w:tc>
          <w:tcPr>
            <w:tcW w:w="760" w:type="dxa"/>
            <w:vAlign w:val="bottom"/>
            <w:tcBorders>
              <w:top w:val="single" w:sz="8" w:color="0000EE"/>
            </w:tcBorders>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19.1</w:t>
            </w:r>
          </w:p>
        </w:tc>
        <w:tc>
          <w:tcPr>
            <w:tcW w:w="3080" w:type="dxa"/>
            <w:vAlign w:val="bottom"/>
            <w:tcBorders>
              <w:bottom w:val="single" w:sz="8" w:color="0000EE"/>
            </w:tcBorders>
            <w:gridSpan w:val="6"/>
          </w:tcPr>
          <w:p>
            <w:pPr>
              <w:spacing w:after="0"/>
              <w:rPr>
                <w:rFonts w:ascii="Times New Roman" w:cs="Times New Roman" w:eastAsia="Times New Roman" w:hAnsi="Times New Roman"/>
                <w:sz w:val="16"/>
                <w:szCs w:val="16"/>
                <w:color w:val="auto"/>
                <w:w w:val="97"/>
              </w:rPr>
            </w:pPr>
            <w:hyperlink r:id="rId129">
              <w:r>
                <w:rPr>
                  <w:rFonts w:ascii="Times New Roman" w:cs="Times New Roman" w:eastAsia="Times New Roman" w:hAnsi="Times New Roman"/>
                  <w:sz w:val="16"/>
                  <w:szCs w:val="16"/>
                  <w:color w:val="auto"/>
                  <w:w w:val="97"/>
                </w:rPr>
                <w:t>Amended and Restated Securities Trading Policy</w:t>
              </w:r>
            </w:hyperlink>
          </w:p>
        </w:tc>
        <w:tc>
          <w:tcPr>
            <w:tcW w:w="1860" w:type="dxa"/>
            <w:vAlign w:val="bottom"/>
            <w:gridSpan w:val="11"/>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10 -K</w:t>
            </w: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001-35839</w:t>
            </w: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21.1</w:t>
            </w:r>
          </w:p>
        </w:tc>
        <w:tc>
          <w:tcPr>
            <w:tcW w:w="1860" w:type="dxa"/>
            <w:vAlign w:val="bottom"/>
            <w:tcBorders>
              <w:bottom w:val="single" w:sz="8" w:color="0000EE"/>
            </w:tcBorders>
            <w:gridSpan w:val="3"/>
          </w:tcPr>
          <w:p>
            <w:pPr>
              <w:spacing w:after="0"/>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Subsidiaries of the Company.</w:t>
              </w:r>
            </w:hyperlink>
          </w:p>
        </w:tc>
        <w:tc>
          <w:tcPr>
            <w:tcW w:w="3080" w:type="dxa"/>
            <w:vAlign w:val="bottom"/>
            <w:gridSpan w:val="14"/>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86"/>
              </w:rPr>
              <w:t>X</w:t>
            </w: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23.1</w:t>
            </w:r>
          </w:p>
        </w:tc>
        <w:tc>
          <w:tcPr>
            <w:tcW w:w="4940" w:type="dxa"/>
            <w:vAlign w:val="bottom"/>
            <w:gridSpan w:val="17"/>
          </w:tcPr>
          <w:p>
            <w:pPr>
              <w:spacing w:after="0"/>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Consent of PricewaterhouseCoopers LLP, Independent Registered Public</w:t>
              </w:r>
            </w:hyperlink>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86"/>
              </w:rPr>
              <w:t>X</w:t>
            </w:r>
          </w:p>
        </w:tc>
      </w:tr>
      <w:tr>
        <w:trPr>
          <w:trHeight w:val="160"/>
        </w:trPr>
        <w:tc>
          <w:tcPr>
            <w:tcW w:w="960" w:type="dxa"/>
            <w:vAlign w:val="bottom"/>
          </w:tcPr>
          <w:p>
            <w:pPr>
              <w:spacing w:after="0"/>
              <w:rPr>
                <w:sz w:val="13"/>
                <w:szCs w:val="13"/>
                <w:color w:val="auto"/>
              </w:rPr>
            </w:pPr>
          </w:p>
        </w:tc>
        <w:tc>
          <w:tcPr>
            <w:tcW w:w="11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auto"/>
                <w:w w:val="96"/>
              </w:rPr>
            </w:pPr>
            <w:hyperlink w:anchor="page1">
              <w:r>
                <w:rPr>
                  <w:rFonts w:ascii="Times New Roman" w:cs="Times New Roman" w:eastAsia="Times New Roman" w:hAnsi="Times New Roman"/>
                  <w:sz w:val="16"/>
                  <w:szCs w:val="16"/>
                  <w:color w:val="auto"/>
                  <w:w w:val="96"/>
                </w:rPr>
                <w:t>Accounting Firm.</w:t>
              </w:r>
            </w:hyperlink>
          </w:p>
        </w:tc>
        <w:tc>
          <w:tcPr>
            <w:tcW w:w="3500" w:type="dxa"/>
            <w:vAlign w:val="bottom"/>
            <w:tcBorders>
              <w:top w:val="single" w:sz="8" w:color="0000EE"/>
            </w:tcBorders>
            <w:gridSpan w:val="11"/>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4940" w:type="dxa"/>
            <w:vAlign w:val="bottom"/>
            <w:tcBorders>
              <w:bottom w:val="single" w:sz="8" w:color="0000EE"/>
            </w:tcBorders>
            <w:gridSpan w:val="17"/>
          </w:tcPr>
          <w:p>
            <w:pPr>
              <w:spacing w:after="0"/>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Certification of the Chief Executive Officer pursuant to Rule 13a-14(a) or 15d</w:t>
              </w:r>
            </w:hyperlink>
            <w:r>
              <w:rPr>
                <w:rFonts w:ascii="Times New Roman" w:cs="Times New Roman" w:eastAsia="Times New Roman" w:hAnsi="Times New Roman"/>
                <w:sz w:val="16"/>
                <w:szCs w:val="16"/>
                <w:color w:val="auto"/>
                <w:w w:val="97"/>
              </w:rPr>
              <w: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86"/>
              </w:rPr>
              <w:t>X</w:t>
            </w:r>
          </w:p>
        </w:tc>
      </w:tr>
      <w:tr>
        <w:trPr>
          <w:trHeight w:val="160"/>
        </w:trPr>
        <w:tc>
          <w:tcPr>
            <w:tcW w:w="960" w:type="dxa"/>
            <w:vAlign w:val="bottom"/>
          </w:tcPr>
          <w:p>
            <w:pPr>
              <w:spacing w:after="0"/>
              <w:rPr>
                <w:sz w:val="13"/>
                <w:szCs w:val="13"/>
                <w:color w:val="auto"/>
              </w:rPr>
            </w:pPr>
          </w:p>
        </w:tc>
        <w:tc>
          <w:tcPr>
            <w:tcW w:w="4940" w:type="dxa"/>
            <w:vAlign w:val="bottom"/>
            <w:gridSpan w:val="17"/>
          </w:tcPr>
          <w:p>
            <w:pPr>
              <w:spacing w:after="0" w:line="160" w:lineRule="exact"/>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14(a) of the Securities Exchange Act of 1934.</w:t>
              </w:r>
            </w:hyperlink>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4940" w:type="dxa"/>
            <w:vAlign w:val="bottom"/>
            <w:gridSpan w:val="17"/>
          </w:tcPr>
          <w:p>
            <w:pPr>
              <w:spacing w:after="0"/>
              <w:rPr>
                <w:rFonts w:ascii="Times New Roman" w:cs="Times New Roman" w:eastAsia="Times New Roman" w:hAnsi="Times New Roman"/>
                <w:sz w:val="16"/>
                <w:szCs w:val="16"/>
                <w:color w:val="auto"/>
                <w:w w:val="98"/>
              </w:rPr>
            </w:pPr>
            <w:hyperlink w:anchor="page1">
              <w:r>
                <w:rPr>
                  <w:rFonts w:ascii="Times New Roman" w:cs="Times New Roman" w:eastAsia="Times New Roman" w:hAnsi="Times New Roman"/>
                  <w:sz w:val="16"/>
                  <w:szCs w:val="16"/>
                  <w:color w:val="auto"/>
                  <w:w w:val="98"/>
                </w:rPr>
                <w:t>Certification of Principal Financial Officer pursuant to Rule 13a-14(a) or 15d</w:t>
              </w:r>
            </w:hyperlink>
            <w:r>
              <w:rPr>
                <w:rFonts w:ascii="Times New Roman" w:cs="Times New Roman" w:eastAsia="Times New Roman" w:hAnsi="Times New Roman"/>
                <w:sz w:val="16"/>
                <w:szCs w:val="16"/>
                <w:color w:val="auto"/>
                <w:w w:val="98"/>
              </w:rPr>
              <w: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86"/>
              </w:rPr>
              <w:t>X</w:t>
            </w:r>
          </w:p>
        </w:tc>
      </w:tr>
      <w:tr>
        <w:trPr>
          <w:trHeight w:val="160"/>
        </w:trPr>
        <w:tc>
          <w:tcPr>
            <w:tcW w:w="960" w:type="dxa"/>
            <w:vAlign w:val="bottom"/>
          </w:tcPr>
          <w:p>
            <w:pPr>
              <w:spacing w:after="0"/>
              <w:rPr>
                <w:sz w:val="13"/>
                <w:szCs w:val="13"/>
                <w:color w:val="auto"/>
              </w:rPr>
            </w:pPr>
          </w:p>
        </w:tc>
        <w:tc>
          <w:tcPr>
            <w:tcW w:w="488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auto"/>
              </w:rPr>
            </w:pPr>
            <w:hyperlink w:anchor="page1">
              <w:r>
                <w:rPr>
                  <w:rFonts w:ascii="Times New Roman" w:cs="Times New Roman" w:eastAsia="Times New Roman" w:hAnsi="Times New Roman"/>
                  <w:sz w:val="16"/>
                  <w:szCs w:val="16"/>
                  <w:color w:val="auto"/>
                </w:rPr>
                <w:t>14(a) of the Securities Exchange Act of 1934.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4740" w:type="dxa"/>
            <w:vAlign w:val="bottom"/>
            <w:tcBorders>
              <w:bottom w:val="single" w:sz="8" w:color="0000EE"/>
            </w:tcBorders>
            <w:gridSpan w:val="13"/>
          </w:tcPr>
          <w:p>
            <w:pPr>
              <w:spacing w:after="0"/>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Certification of the Chief Executive Officer and Principal Financial Officer</w:t>
              </w:r>
            </w:hyperlink>
          </w:p>
        </w:tc>
        <w:tc>
          <w:tcPr>
            <w:tcW w:w="2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86"/>
              </w:rPr>
              <w:t>X</w:t>
            </w:r>
          </w:p>
        </w:tc>
      </w:tr>
      <w:tr>
        <w:trPr>
          <w:trHeight w:val="160"/>
        </w:trPr>
        <w:tc>
          <w:tcPr>
            <w:tcW w:w="960" w:type="dxa"/>
            <w:vAlign w:val="bottom"/>
          </w:tcPr>
          <w:p>
            <w:pPr>
              <w:spacing w:after="0"/>
              <w:rPr>
                <w:sz w:val="13"/>
                <w:szCs w:val="13"/>
                <w:color w:val="auto"/>
              </w:rPr>
            </w:pPr>
          </w:p>
        </w:tc>
        <w:tc>
          <w:tcPr>
            <w:tcW w:w="4940" w:type="dxa"/>
            <w:vAlign w:val="bottom"/>
            <w:gridSpan w:val="17"/>
          </w:tcPr>
          <w:p>
            <w:pPr>
              <w:spacing w:after="0" w:line="160" w:lineRule="exact"/>
              <w:rPr>
                <w:rFonts w:ascii="Times New Roman" w:cs="Times New Roman" w:eastAsia="Times New Roman" w:hAnsi="Times New Roman"/>
                <w:sz w:val="16"/>
                <w:szCs w:val="16"/>
                <w:color w:val="auto"/>
                <w:w w:val="98"/>
              </w:rPr>
            </w:pPr>
            <w:hyperlink w:anchor="page1">
              <w:r>
                <w:rPr>
                  <w:rFonts w:ascii="Times New Roman" w:cs="Times New Roman" w:eastAsia="Times New Roman" w:hAnsi="Times New Roman"/>
                  <w:sz w:val="16"/>
                  <w:szCs w:val="16"/>
                  <w:color w:val="auto"/>
                  <w:w w:val="98"/>
                </w:rPr>
                <w:t>pursuant to 18 U.S.C. Section 1350, as adopted pursuant to Section 906 of the</w:t>
              </w:r>
            </w:hyperlink>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18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Sarbanes-Oxley Act of 2002.</w:t>
              </w:r>
            </w:hyperlink>
          </w:p>
        </w:tc>
        <w:tc>
          <w:tcPr>
            <w:tcW w:w="3060" w:type="dxa"/>
            <w:vAlign w:val="bottom"/>
            <w:tcBorders>
              <w:top w:val="single" w:sz="8" w:color="0000EE"/>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80"/>
        </w:trPr>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97.1</w:t>
            </w:r>
          </w:p>
        </w:tc>
        <w:tc>
          <w:tcPr>
            <w:tcW w:w="3500" w:type="dxa"/>
            <w:vAlign w:val="bottom"/>
            <w:tcBorders>
              <w:bottom w:val="single" w:sz="8" w:color="0000EE"/>
            </w:tcBorders>
            <w:gridSpan w:val="8"/>
          </w:tcPr>
          <w:p>
            <w:pPr>
              <w:spacing w:after="0"/>
              <w:rPr>
                <w:rFonts w:ascii="Times New Roman" w:cs="Times New Roman" w:eastAsia="Times New Roman" w:hAnsi="Times New Roman"/>
                <w:sz w:val="16"/>
                <w:szCs w:val="16"/>
                <w:color w:val="auto"/>
                <w:w w:val="97"/>
              </w:rPr>
            </w:pPr>
            <w:hyperlink r:id="rId130">
              <w:r>
                <w:rPr>
                  <w:rFonts w:ascii="Times New Roman" w:cs="Times New Roman" w:eastAsia="Times New Roman" w:hAnsi="Times New Roman"/>
                  <w:sz w:val="16"/>
                  <w:szCs w:val="16"/>
                  <w:color w:val="auto"/>
                  <w:w w:val="97"/>
                </w:rPr>
                <w:t>Amended and Restated Compensation Clawback Policy</w:t>
              </w:r>
            </w:hyperlink>
          </w:p>
        </w:tc>
        <w:tc>
          <w:tcPr>
            <w:tcW w:w="1440" w:type="dxa"/>
            <w:vAlign w:val="bottom"/>
            <w:gridSpan w:val="9"/>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10-K</w:t>
            </w: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11/27/2024</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001-35839</w:t>
            </w:r>
          </w:p>
        </w:tc>
      </w:tr>
      <w:tr>
        <w:trPr>
          <w:trHeight w:val="2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9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86"/>
              </w:rPr>
              <w:t>X</w:t>
            </w:r>
          </w:p>
        </w:tc>
      </w:tr>
      <w:tr>
        <w:trPr>
          <w:trHeight w:val="180"/>
        </w:trPr>
        <w:tc>
          <w:tcPr>
            <w:tcW w:w="960" w:type="dxa"/>
            <w:vAlign w:val="bottom"/>
          </w:tcPr>
          <w:p>
            <w:pPr>
              <w:spacing w:after="0"/>
              <w:rPr>
                <w:sz w:val="15"/>
                <w:szCs w:val="15"/>
                <w:color w:val="auto"/>
              </w:rPr>
            </w:pPr>
          </w:p>
        </w:tc>
        <w:tc>
          <w:tcPr>
            <w:tcW w:w="4940" w:type="dxa"/>
            <w:vAlign w:val="bottom"/>
            <w:gridSpan w:val="17"/>
          </w:tcPr>
          <w:p>
            <w:pPr>
              <w:spacing w:after="0" w:line="180"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960" w:type="dxa"/>
            <w:vAlign w:val="bottom"/>
          </w:tcPr>
          <w:p>
            <w:pPr>
              <w:spacing w:after="0"/>
              <w:rPr>
                <w:sz w:val="17"/>
                <w:szCs w:val="17"/>
                <w:color w:val="auto"/>
              </w:rPr>
            </w:pPr>
          </w:p>
        </w:tc>
        <w:tc>
          <w:tcPr>
            <w:tcW w:w="49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9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Linkbases</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49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document</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97" w:lineRule="exact"/>
        <w:rPr>
          <w:sz w:val="20"/>
          <w:szCs w:val="20"/>
          <w:color w:val="auto"/>
        </w:rPr>
      </w:pPr>
    </w:p>
    <w:p>
      <w:pPr>
        <w:ind w:left="1040" w:right="4540" w:hanging="954"/>
        <w:spacing w:after="0" w:line="259" w:lineRule="auto"/>
        <w:tabs>
          <w:tab w:leader="none" w:pos="10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 101)</w:t>
      </w:r>
    </w:p>
    <w:p>
      <w:pPr>
        <w:spacing w:after="0" w:line="131" w:lineRule="exact"/>
        <w:rPr>
          <w:rFonts w:ascii="Times New Roman" w:cs="Times New Roman" w:eastAsia="Times New Roman" w:hAnsi="Times New Roman"/>
          <w:sz w:val="16"/>
          <w:szCs w:val="16"/>
          <w:color w:val="auto"/>
        </w:rPr>
      </w:pPr>
    </w:p>
    <w:p>
      <w:pPr>
        <w:ind w:left="180" w:hanging="118"/>
        <w:spacing w:after="0"/>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-130810</wp:posOffset>
            </wp:positionV>
            <wp:extent cx="161607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1616075" cy="762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6"/>
          <w:szCs w:val="16"/>
          <w:color w:val="auto"/>
        </w:rPr>
        <w:t>† Confidential treatment granted as to portions of this Exhibit. The confidential portions of this Exhibit have been omitted and are marked by asterisks.</w:t>
      </w:r>
    </w:p>
    <w:p>
      <w:pPr>
        <w:ind w:left="560" w:right="20" w:hanging="498"/>
        <w:spacing w:after="0" w:line="238" w:lineRule="auto"/>
        <w:tabs>
          <w:tab w:leader="none" w:pos="2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has been filed separately with the commission pursuant to an application for confidentiality treatment. The confidential portions of this Exhibit have been omitted and are marked by asterisks.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None.</w:t>
      </w:r>
    </w:p>
    <w:p>
      <w:pPr>
        <w:spacing w:after="0" w:line="1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488315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580" w:top="1430" w:right="98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Company has duly caused this report to be signed on its behalf by the undersigned, thereunto duly authorized, this 19th day of November, 2025.</w:t>
      </w:r>
    </w:p>
    <w:p>
      <w:pPr>
        <w:spacing w:after="0" w:line="1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190" w:lineRule="exact"/>
        <w:rPr>
          <w:sz w:val="20"/>
          <w:szCs w:val="20"/>
          <w:color w:val="auto"/>
        </w:rPr>
      </w:pPr>
    </w:p>
    <w:tbl>
      <w:tblPr>
        <w:tblLayout w:type="fixed"/>
        <w:tblInd w:w="5340" w:type="dxa"/>
        <w:tblCellMar>
          <w:top w:w="0" w:type="dxa"/>
          <w:left w:w="0" w:type="dxa"/>
          <w:bottom w:w="0" w:type="dxa"/>
          <w:right w:w="0" w:type="dxa"/>
        </w:tblCellMar>
      </w:tblPr>
      <w:tr>
        <w:trPr>
          <w:trHeight w:val="193"/>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Jay R. Luly, Ph.D.</w:t>
            </w:r>
          </w:p>
        </w:tc>
      </w:tr>
      <w:tr>
        <w:trPr>
          <w:trHeight w:val="157"/>
        </w:trPr>
        <w:tc>
          <w:tcPr>
            <w:tcW w:w="280" w:type="dxa"/>
            <w:vAlign w:val="bottom"/>
          </w:tcPr>
          <w:p>
            <w:pPr>
              <w:spacing w:after="0"/>
              <w:rPr>
                <w:sz w:val="13"/>
                <w:szCs w:val="13"/>
                <w:color w:val="auto"/>
              </w:rPr>
            </w:pPr>
          </w:p>
        </w:tc>
        <w:tc>
          <w:tcPr>
            <w:tcW w:w="49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Jay R. Luly, Ph.D.</w:t>
            </w:r>
          </w:p>
        </w:tc>
      </w:tr>
      <w:tr>
        <w:trPr>
          <w:trHeight w:val="205"/>
        </w:trPr>
        <w:tc>
          <w:tcPr>
            <w:tcW w:w="280" w:type="dxa"/>
            <w:vAlign w:val="bottom"/>
          </w:tcPr>
          <w:p>
            <w:pPr>
              <w:spacing w:after="0"/>
              <w:rPr>
                <w:sz w:val="17"/>
                <w:szCs w:val="17"/>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Chief Executive Officer</w:t>
            </w:r>
          </w:p>
        </w:tc>
      </w:tr>
    </w:tbl>
    <w:p>
      <w:pPr>
        <w:spacing w:after="0" w:line="169" w:lineRule="exact"/>
        <w:rPr>
          <w:sz w:val="20"/>
          <w:szCs w:val="20"/>
          <w:color w:val="auto"/>
        </w:rPr>
      </w:pPr>
    </w:p>
    <w:p>
      <w:pPr>
        <w:ind w:right="480"/>
        <w:spacing w:after="0" w:line="25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Company in the capacities and on the dates indicated.</w:t>
      </w:r>
    </w:p>
    <w:p>
      <w:pPr>
        <w:spacing w:after="0" w:line="1" w:lineRule="exact"/>
        <w:rPr>
          <w:sz w:val="20"/>
          <w:szCs w:val="20"/>
          <w:color w:val="auto"/>
        </w:rPr>
      </w:pPr>
    </w:p>
    <w:p>
      <w:pPr>
        <w:ind w:left="2120"/>
        <w:spacing w:after="0"/>
        <w:tabs>
          <w:tab w:leader="none" w:pos="6540" w:val="left"/>
          <w:tab w:leader="none" w:pos="9400" w:val="left"/>
        </w:tabs>
        <w:rPr>
          <w:sz w:val="20"/>
          <w:szCs w:val="20"/>
          <w:color w:val="auto"/>
        </w:rPr>
      </w:pPr>
      <w:r>
        <w:rPr>
          <w:rFonts w:ascii="Times New Roman" w:cs="Times New Roman" w:eastAsia="Times New Roman" w:hAnsi="Times New Roman"/>
          <w:sz w:val="13"/>
          <w:szCs w:val="13"/>
          <w:color w:val="auto"/>
        </w:rPr>
        <w:t>Signature</w:t>
      </w:r>
      <w:r>
        <w:rPr>
          <w:sz w:val="20"/>
          <w:szCs w:val="20"/>
          <w:color w:val="auto"/>
        </w:rPr>
        <w:tab/>
      </w: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Date</w:t>
      </w:r>
    </w:p>
    <w:p>
      <w:pPr>
        <w:sectPr>
          <w:pgSz w:w="11900" w:h="16840" w:orient="portrait"/>
          <w:cols w:equalWidth="0" w:num="1">
            <w:col w:w="10560"/>
          </w:cols>
          <w:pgMar w:left="660" w:top="1419" w:right="680" w:bottom="1440" w:gutter="0" w:footer="0" w:header="0"/>
        </w:sectPr>
      </w:pPr>
    </w:p>
    <w:p>
      <w:pPr>
        <w:spacing w:after="0" w:line="125"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00291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3002915" cy="7620"/>
                    </a:xfrm>
                    <a:prstGeom prst="rect">
                      <a:avLst/>
                    </a:prstGeom>
                    <a:noFill/>
                  </pic:spPr>
                </pic:pic>
              </a:graphicData>
            </a:graphic>
          </wp:anchor>
        </w:drawing>
      </w:r>
    </w:p>
    <w:p>
      <w:pPr>
        <w:spacing w:after="0" w:line="24"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6"/>
          <w:szCs w:val="16"/>
          <w:color w:val="auto"/>
        </w:rPr>
        <w:t>Jay R. Luly, Ph.D.</w:t>
      </w:r>
    </w:p>
    <w:p>
      <w:pPr>
        <w:spacing w:after="0" w:line="200" w:lineRule="exact"/>
        <w:rPr>
          <w:sz w:val="20"/>
          <w:szCs w:val="20"/>
          <w:color w:val="auto"/>
        </w:rPr>
      </w:pPr>
    </w:p>
    <w:p>
      <w:pPr>
        <w:spacing w:after="0" w:line="24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6"/>
          <w:szCs w:val="16"/>
          <w:color w:val="auto"/>
        </w:rPr>
        <w:t>/s/ Harry R. Trout,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0029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3002915" cy="7620"/>
                    </a:xfrm>
                    <a:prstGeom prst="rect">
                      <a:avLst/>
                    </a:prstGeom>
                    <a:noFill/>
                  </pic:spPr>
                </pic:pic>
              </a:graphicData>
            </a:graphic>
          </wp:anchor>
        </w:drawing>
      </w:r>
    </w:p>
    <w:p>
      <w:pPr>
        <w:spacing w:after="0" w:line="24"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6"/>
          <w:szCs w:val="16"/>
          <w:color w:val="auto"/>
        </w:rPr>
        <w:t>Harry R. Trout, III</w:t>
      </w:r>
    </w:p>
    <w:p>
      <w:pPr>
        <w:spacing w:after="0" w:line="200" w:lineRule="exact"/>
        <w:rPr>
          <w:sz w:val="20"/>
          <w:szCs w:val="20"/>
          <w:color w:val="auto"/>
        </w:rPr>
      </w:pPr>
    </w:p>
    <w:p>
      <w:pPr>
        <w:spacing w:after="0" w:line="28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6"/>
          <w:szCs w:val="16"/>
          <w:color w:val="auto"/>
        </w:rPr>
        <w:t>/s/ Kathleen S. Capps</w:t>
      </w:r>
    </w:p>
    <w:p>
      <w:pPr>
        <w:spacing w:after="0" w:line="14"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color w:val="auto"/>
        </w:rPr>
        <w:t>Kathleen S. Capps, CPA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President and Chief Executive</w:t>
            </w:r>
          </w:p>
        </w:tc>
        <w:tc>
          <w:tcPr>
            <w:tcW w:w="18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180"/>
        </w:trPr>
        <w:tc>
          <w:tcPr>
            <w:tcW w:w="3460" w:type="dxa"/>
            <w:vAlign w:val="bottom"/>
          </w:tcPr>
          <w:p>
            <w:pPr>
              <w:jc w:val="center"/>
              <w:ind w:right="562"/>
              <w:spacing w:after="0" w:line="180" w:lineRule="exact"/>
              <w:rPr>
                <w:sz w:val="20"/>
                <w:szCs w:val="20"/>
                <w:color w:val="auto"/>
              </w:rPr>
            </w:pPr>
            <w:r>
              <w:rPr>
                <w:rFonts w:ascii="Times New Roman" w:cs="Times New Roman" w:eastAsia="Times New Roman" w:hAnsi="Times New Roman"/>
                <w:sz w:val="16"/>
                <w:szCs w:val="16"/>
                <w:color w:val="auto"/>
                <w:w w:val="96"/>
              </w:rPr>
              <w:t>Officer and Director</w:t>
            </w:r>
          </w:p>
        </w:tc>
        <w:tc>
          <w:tcPr>
            <w:tcW w:w="1860" w:type="dxa"/>
            <w:vAlign w:val="bottom"/>
          </w:tcPr>
          <w:p>
            <w:pPr>
              <w:spacing w:after="0"/>
              <w:rPr>
                <w:sz w:val="15"/>
                <w:szCs w:val="15"/>
                <w:color w:val="auto"/>
              </w:rPr>
            </w:pPr>
          </w:p>
        </w:tc>
      </w:tr>
      <w:tr>
        <w:trPr>
          <w:trHeight w:val="203"/>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(Principal Executive Officer)</w:t>
            </w:r>
          </w:p>
        </w:tc>
        <w:tc>
          <w:tcPr>
            <w:tcW w:w="1860" w:type="dxa"/>
            <w:vAlign w:val="bottom"/>
          </w:tcPr>
          <w:p>
            <w:pPr>
              <w:spacing w:after="0"/>
              <w:rPr>
                <w:sz w:val="17"/>
                <w:szCs w:val="17"/>
                <w:color w:val="auto"/>
              </w:rPr>
            </w:pPr>
          </w:p>
        </w:tc>
      </w:tr>
      <w:tr>
        <w:trPr>
          <w:trHeight w:val="289"/>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8"/>
              </w:rPr>
              <w:t>Vice President, Finance</w:t>
            </w:r>
          </w:p>
        </w:tc>
        <w:tc>
          <w:tcPr>
            <w:tcW w:w="18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03"/>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(Principal Financial Officer)</w:t>
            </w:r>
          </w:p>
        </w:tc>
        <w:tc>
          <w:tcPr>
            <w:tcW w:w="1860" w:type="dxa"/>
            <w:vAlign w:val="bottom"/>
          </w:tcPr>
          <w:p>
            <w:pPr>
              <w:spacing w:after="0"/>
              <w:rPr>
                <w:sz w:val="17"/>
                <w:szCs w:val="17"/>
                <w:color w:val="auto"/>
              </w:rPr>
            </w:pPr>
          </w:p>
        </w:tc>
      </w:tr>
      <w:tr>
        <w:trPr>
          <w:trHeight w:val="517"/>
        </w:trPr>
        <w:tc>
          <w:tcPr>
            <w:tcW w:w="3460" w:type="dxa"/>
            <w:vAlign w:val="bottom"/>
          </w:tcPr>
          <w:p>
            <w:pPr>
              <w:jc w:val="center"/>
              <w:ind w:right="542"/>
              <w:spacing w:after="0"/>
              <w:rPr>
                <w:sz w:val="20"/>
                <w:szCs w:val="20"/>
                <w:color w:val="auto"/>
              </w:rPr>
            </w:pPr>
            <w:r>
              <w:rPr>
                <w:rFonts w:ascii="Times New Roman" w:cs="Times New Roman" w:eastAsia="Times New Roman" w:hAnsi="Times New Roman"/>
                <w:sz w:val="16"/>
                <w:szCs w:val="16"/>
                <w:color w:val="auto"/>
                <w:w w:val="97"/>
              </w:rPr>
              <w:t>Executive Director of Accounting, Controller</w:t>
            </w:r>
          </w:p>
        </w:tc>
        <w:tc>
          <w:tcPr>
            <w:tcW w:w="18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03"/>
        </w:trPr>
        <w:tc>
          <w:tcPr>
            <w:tcW w:w="3460" w:type="dxa"/>
            <w:vAlign w:val="bottom"/>
          </w:tcPr>
          <w:p>
            <w:pPr>
              <w:jc w:val="center"/>
              <w:ind w:right="542"/>
              <w:spacing w:after="0"/>
              <w:rPr>
                <w:sz w:val="20"/>
                <w:szCs w:val="20"/>
                <w:color w:val="auto"/>
              </w:rPr>
            </w:pPr>
            <w:r>
              <w:rPr>
                <w:rFonts w:ascii="Times New Roman" w:cs="Times New Roman" w:eastAsia="Times New Roman" w:hAnsi="Times New Roman"/>
                <w:sz w:val="16"/>
                <w:szCs w:val="16"/>
                <w:color w:val="auto"/>
                <w:w w:val="97"/>
              </w:rPr>
              <w:t>(Principal Accounting Officer)</w:t>
            </w:r>
          </w:p>
        </w:tc>
        <w:tc>
          <w:tcPr>
            <w:tcW w:w="1860" w:type="dxa"/>
            <w:vAlign w:val="bottom"/>
          </w:tcPr>
          <w:p>
            <w:pPr>
              <w:spacing w:after="0"/>
              <w:rPr>
                <w:sz w:val="17"/>
                <w:szCs w:val="17"/>
                <w:color w:val="auto"/>
              </w:rPr>
            </w:pPr>
          </w:p>
        </w:tc>
      </w:tr>
    </w:tbl>
    <w:p>
      <w:pPr>
        <w:spacing w:after="0" w:line="481" w:lineRule="exact"/>
        <w:rPr>
          <w:sz w:val="20"/>
          <w:szCs w:val="20"/>
          <w:color w:val="auto"/>
        </w:rPr>
      </w:pPr>
    </w:p>
    <w:p>
      <w:pPr>
        <w:sectPr>
          <w:pgSz w:w="11900" w:h="16840" w:orient="portrait"/>
          <w:cols w:equalWidth="0" w:num="2">
            <w:col w:w="4500" w:space="720"/>
            <w:col w:w="5340"/>
          </w:cols>
          <w:pgMar w:left="660" w:top="1419" w:right="680"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Bruce L.A. Carter, Ph.D.</w:t>
            </w:r>
          </w:p>
        </w:tc>
        <w:tc>
          <w:tcPr>
            <w:tcW w:w="3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Director</w:t>
            </w:r>
          </w:p>
        </w:tc>
        <w:tc>
          <w:tcPr>
            <w:tcW w:w="2440" w:type="dxa"/>
            <w:vAlign w:val="bottom"/>
          </w:tcPr>
          <w:p>
            <w:pPr>
              <w:ind w:left="120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42"/>
        </w:trPr>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Bruce L.A. Carter, Ph.D.</w:t>
            </w:r>
          </w:p>
        </w:tc>
        <w:tc>
          <w:tcPr>
            <w:tcW w:w="33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02"/>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Mark G. Foletta</w:t>
            </w:r>
          </w:p>
        </w:tc>
        <w:tc>
          <w:tcPr>
            <w:tcW w:w="3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Director</w:t>
            </w:r>
          </w:p>
        </w:tc>
        <w:tc>
          <w:tcPr>
            <w:tcW w:w="2440" w:type="dxa"/>
            <w:vAlign w:val="bottom"/>
          </w:tcPr>
          <w:p>
            <w:pPr>
              <w:ind w:left="120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42"/>
        </w:trPr>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Mark G. Foletta</w:t>
            </w:r>
          </w:p>
        </w:tc>
        <w:tc>
          <w:tcPr>
            <w:tcW w:w="33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90"/>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Yujiro S. Hata</w:t>
            </w:r>
          </w:p>
        </w:tc>
        <w:tc>
          <w:tcPr>
            <w:tcW w:w="3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Director</w:t>
            </w:r>
          </w:p>
        </w:tc>
        <w:tc>
          <w:tcPr>
            <w:tcW w:w="2440" w:type="dxa"/>
            <w:vAlign w:val="bottom"/>
          </w:tcPr>
          <w:p>
            <w:pPr>
              <w:ind w:left="120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42"/>
        </w:trPr>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Yujiro S. Hata</w:t>
            </w:r>
          </w:p>
        </w:tc>
        <w:tc>
          <w:tcPr>
            <w:tcW w:w="33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90"/>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Kristine Peterson</w:t>
            </w:r>
          </w:p>
        </w:tc>
        <w:tc>
          <w:tcPr>
            <w:tcW w:w="3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Director</w:t>
            </w:r>
          </w:p>
        </w:tc>
        <w:tc>
          <w:tcPr>
            <w:tcW w:w="2440" w:type="dxa"/>
            <w:vAlign w:val="bottom"/>
          </w:tcPr>
          <w:p>
            <w:pPr>
              <w:ind w:left="120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42"/>
        </w:trPr>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Kristine Peterson</w:t>
            </w:r>
          </w:p>
        </w:tc>
        <w:tc>
          <w:tcPr>
            <w:tcW w:w="33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90"/>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Lesley Russell, MB. Ch.B., MRCP</w:t>
            </w:r>
          </w:p>
        </w:tc>
        <w:tc>
          <w:tcPr>
            <w:tcW w:w="3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Director</w:t>
            </w:r>
          </w:p>
        </w:tc>
        <w:tc>
          <w:tcPr>
            <w:tcW w:w="2440" w:type="dxa"/>
            <w:vAlign w:val="bottom"/>
          </w:tcPr>
          <w:p>
            <w:pPr>
              <w:ind w:left="120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42"/>
        </w:trPr>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Lesley Russell, MB. Ch.B., MRCP</w:t>
            </w:r>
          </w:p>
        </w:tc>
        <w:tc>
          <w:tcPr>
            <w:tcW w:w="33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90"/>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Terry Vance</w:t>
            </w:r>
          </w:p>
        </w:tc>
        <w:tc>
          <w:tcPr>
            <w:tcW w:w="3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Director</w:t>
            </w:r>
          </w:p>
        </w:tc>
        <w:tc>
          <w:tcPr>
            <w:tcW w:w="2440" w:type="dxa"/>
            <w:vAlign w:val="bottom"/>
          </w:tcPr>
          <w:p>
            <w:pPr>
              <w:ind w:left="1200"/>
              <w:spacing w:after="0"/>
              <w:rPr>
                <w:sz w:val="20"/>
                <w:szCs w:val="20"/>
                <w:color w:val="auto"/>
              </w:rPr>
            </w:pPr>
            <w:r>
              <w:rPr>
                <w:rFonts w:ascii="Times New Roman" w:cs="Times New Roman" w:eastAsia="Times New Roman" w:hAnsi="Times New Roman"/>
                <w:sz w:val="16"/>
                <w:szCs w:val="16"/>
                <w:color w:val="auto"/>
                <w:w w:val="95"/>
              </w:rPr>
              <w:t>November 19, 2025</w:t>
            </w:r>
          </w:p>
        </w:tc>
      </w:tr>
      <w:tr>
        <w:trPr>
          <w:trHeight w:val="242"/>
        </w:trPr>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Terry Vance</w:t>
            </w:r>
          </w:p>
        </w:tc>
        <w:tc>
          <w:tcPr>
            <w:tcW w:w="3360" w:type="dxa"/>
            <w:vAlign w:val="bottom"/>
          </w:tcPr>
          <w:p>
            <w:pPr>
              <w:spacing w:after="0"/>
              <w:rPr>
                <w:sz w:val="21"/>
                <w:szCs w:val="21"/>
                <w:color w:val="auto"/>
              </w:rPr>
            </w:pPr>
          </w:p>
        </w:tc>
        <w:tc>
          <w:tcPr>
            <w:tcW w:w="24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60" w:type="dxa"/>
            <w:vAlign w:val="bottom"/>
          </w:tcPr>
          <w:p>
            <w:pPr>
              <w:ind w:left="51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9"/>
        </w:trPr>
        <w:tc>
          <w:tcPr>
            <w:tcW w:w="5000" w:type="dxa"/>
            <w:vAlign w:val="bottom"/>
            <w:gridSpan w:val="8"/>
          </w:tcPr>
          <w:p>
            <w:pPr>
              <w:spacing w:after="0" w:line="169" w:lineRule="exact"/>
              <w:rPr>
                <w:rFonts w:ascii="Times New Roman" w:cs="Times New Roman" w:eastAsia="Times New Roman" w:hAnsi="Times New Roman"/>
                <w:sz w:val="16"/>
                <w:szCs w:val="16"/>
                <w:color w:val="auto"/>
              </w:rPr>
            </w:pPr>
            <w:hyperlink w:anchor="page80">
              <w:r>
                <w:rPr>
                  <w:rFonts w:ascii="Times New Roman" w:cs="Times New Roman" w:eastAsia="Times New Roman" w:hAnsi="Times New Roman"/>
                  <w:sz w:val="16"/>
                  <w:szCs w:val="16"/>
                  <w:color w:val="auto"/>
                </w:rPr>
                <w:t>Report of Independent Registered Public Accounting Firm (PCAOB ID 238)</w:t>
              </w:r>
            </w:hyperlink>
          </w:p>
        </w:tc>
        <w:tc>
          <w:tcPr>
            <w:tcW w:w="5560" w:type="dxa"/>
            <w:vAlign w:val="bottom"/>
          </w:tcPr>
          <w:p>
            <w:pPr>
              <w:ind w:left="5340"/>
              <w:spacing w:after="0" w:line="169" w:lineRule="exact"/>
              <w:rPr>
                <w:sz w:val="20"/>
                <w:szCs w:val="20"/>
                <w:color w:val="auto"/>
              </w:rPr>
            </w:pPr>
            <w:r>
              <w:rPr>
                <w:rFonts w:ascii="Times New Roman" w:cs="Times New Roman" w:eastAsia="Times New Roman" w:hAnsi="Times New Roman"/>
                <w:sz w:val="16"/>
                <w:szCs w:val="16"/>
                <w:color w:val="auto"/>
                <w:w w:val="89"/>
              </w:rPr>
              <w:t>F-2</w:t>
            </w:r>
          </w:p>
        </w:tc>
        <w:tc>
          <w:tcPr>
            <w:tcW w:w="0" w:type="dxa"/>
            <w:vAlign w:val="bottom"/>
          </w:tcPr>
          <w:p>
            <w:pPr>
              <w:spacing w:after="0"/>
              <w:rPr>
                <w:sz w:val="1"/>
                <w:szCs w:val="1"/>
                <w:color w:val="auto"/>
              </w:rPr>
            </w:pPr>
          </w:p>
        </w:tc>
      </w:tr>
      <w:tr>
        <w:trPr>
          <w:trHeight w:val="160"/>
        </w:trPr>
        <w:tc>
          <w:tcPr>
            <w:tcW w:w="480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auto"/>
              </w:rPr>
            </w:pPr>
            <w:hyperlink w:anchor="page82">
              <w:r>
                <w:rPr>
                  <w:rFonts w:ascii="Times New Roman" w:cs="Times New Roman" w:eastAsia="Times New Roman" w:hAnsi="Times New Roman"/>
                  <w:sz w:val="16"/>
                  <w:szCs w:val="16"/>
                  <w:color w:val="auto"/>
                </w:rPr>
                <w:t>Consolidated Balance Sheets</w:t>
              </w:r>
            </w:hyperlink>
          </w:p>
        </w:tc>
        <w:tc>
          <w:tcPr>
            <w:tcW w:w="200" w:type="dxa"/>
            <w:vAlign w:val="bottom"/>
          </w:tcPr>
          <w:p>
            <w:pPr>
              <w:spacing w:after="0"/>
              <w:rPr>
                <w:sz w:val="13"/>
                <w:szCs w:val="13"/>
                <w:color w:val="auto"/>
              </w:rPr>
            </w:pPr>
          </w:p>
        </w:tc>
        <w:tc>
          <w:tcPr>
            <w:tcW w:w="5560" w:type="dxa"/>
            <w:vAlign w:val="bottom"/>
          </w:tcPr>
          <w:p>
            <w:pPr>
              <w:ind w:left="5340"/>
              <w:spacing w:after="0" w:line="160" w:lineRule="exact"/>
              <w:rPr>
                <w:sz w:val="20"/>
                <w:szCs w:val="20"/>
                <w:color w:val="auto"/>
              </w:rPr>
            </w:pPr>
            <w:r>
              <w:rPr>
                <w:rFonts w:ascii="Times New Roman" w:cs="Times New Roman" w:eastAsia="Times New Roman" w:hAnsi="Times New Roman"/>
                <w:sz w:val="16"/>
                <w:szCs w:val="16"/>
                <w:color w:val="auto"/>
                <w:w w:val="89"/>
              </w:rPr>
              <w:t>F-4</w:t>
            </w:r>
          </w:p>
        </w:tc>
        <w:tc>
          <w:tcPr>
            <w:tcW w:w="0" w:type="dxa"/>
            <w:vAlign w:val="bottom"/>
          </w:tcPr>
          <w:p>
            <w:pPr>
              <w:spacing w:after="0"/>
              <w:rPr>
                <w:sz w:val="1"/>
                <w:szCs w:val="1"/>
                <w:color w:val="auto"/>
              </w:rPr>
            </w:pPr>
          </w:p>
        </w:tc>
      </w:tr>
      <w:tr>
        <w:trPr>
          <w:trHeight w:val="160"/>
        </w:trPr>
        <w:tc>
          <w:tcPr>
            <w:tcW w:w="1820" w:type="dxa"/>
            <w:vAlign w:val="bottom"/>
            <w:tcBorders>
              <w:top w:val="single" w:sz="8" w:color="0000EE"/>
            </w:tcBorders>
          </w:tcPr>
          <w:p>
            <w:pPr>
              <w:spacing w:after="0" w:line="160" w:lineRule="exact"/>
              <w:rPr>
                <w:rFonts w:ascii="Times New Roman" w:cs="Times New Roman" w:eastAsia="Times New Roman" w:hAnsi="Times New Roman"/>
                <w:sz w:val="16"/>
                <w:szCs w:val="16"/>
                <w:color w:val="auto"/>
              </w:rPr>
            </w:pPr>
            <w:hyperlink w:anchor="page83">
              <w:r>
                <w:rPr>
                  <w:rFonts w:ascii="Times New Roman" w:cs="Times New Roman" w:eastAsia="Times New Roman" w:hAnsi="Times New Roman"/>
                  <w:sz w:val="16"/>
                  <w:szCs w:val="16"/>
                  <w:color w:val="auto"/>
                </w:rPr>
                <w:t>Consolidated Statements of</w:t>
              </w:r>
            </w:hyperlink>
          </w:p>
        </w:tc>
        <w:tc>
          <w:tcPr>
            <w:tcW w:w="3180" w:type="dxa"/>
            <w:vAlign w:val="bottom"/>
            <w:gridSpan w:val="7"/>
          </w:tcPr>
          <w:p>
            <w:pPr>
              <w:spacing w:after="0" w:line="160" w:lineRule="exact"/>
              <w:rPr>
                <w:rFonts w:ascii="Times New Roman" w:cs="Times New Roman" w:eastAsia="Times New Roman" w:hAnsi="Times New Roman"/>
                <w:sz w:val="16"/>
                <w:szCs w:val="16"/>
                <w:color w:val="auto"/>
              </w:rPr>
            </w:pPr>
            <w:hyperlink w:anchor="page83">
              <w:r>
                <w:rPr>
                  <w:rFonts w:ascii="Times New Roman" w:cs="Times New Roman" w:eastAsia="Times New Roman" w:hAnsi="Times New Roman"/>
                  <w:sz w:val="16"/>
                  <w:szCs w:val="16"/>
                  <w:color w:val="auto"/>
                </w:rPr>
                <w:t>Operations</w:t>
              </w:r>
            </w:hyperlink>
          </w:p>
        </w:tc>
        <w:tc>
          <w:tcPr>
            <w:tcW w:w="5560" w:type="dxa"/>
            <w:vAlign w:val="bottom"/>
          </w:tcPr>
          <w:p>
            <w:pPr>
              <w:ind w:left="5340"/>
              <w:spacing w:after="0" w:line="160" w:lineRule="exact"/>
              <w:rPr>
                <w:sz w:val="20"/>
                <w:szCs w:val="20"/>
                <w:color w:val="auto"/>
              </w:rPr>
            </w:pPr>
            <w:r>
              <w:rPr>
                <w:rFonts w:ascii="Times New Roman" w:cs="Times New Roman" w:eastAsia="Times New Roman" w:hAnsi="Times New Roman"/>
                <w:sz w:val="16"/>
                <w:szCs w:val="16"/>
                <w:color w:val="auto"/>
                <w:w w:val="89"/>
              </w:rPr>
              <w:t>F-5</w:t>
            </w:r>
          </w:p>
        </w:tc>
        <w:tc>
          <w:tcPr>
            <w:tcW w:w="0" w:type="dxa"/>
            <w:vAlign w:val="bottom"/>
          </w:tcPr>
          <w:p>
            <w:pPr>
              <w:spacing w:after="0"/>
              <w:rPr>
                <w:sz w:val="1"/>
                <w:szCs w:val="1"/>
                <w:color w:val="auto"/>
              </w:rPr>
            </w:pPr>
          </w:p>
        </w:tc>
      </w:tr>
      <w:tr>
        <w:trPr>
          <w:trHeight w:val="20"/>
        </w:trPr>
        <w:tc>
          <w:tcPr>
            <w:tcW w:w="2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560" w:type="dxa"/>
            <w:vAlign w:val="bottom"/>
            <w:vMerge w:val="restart"/>
          </w:tcPr>
          <w:p>
            <w:pPr>
              <w:ind w:left="5340"/>
              <w:spacing w:after="0" w:line="180" w:lineRule="exact"/>
              <w:rPr>
                <w:sz w:val="20"/>
                <w:szCs w:val="20"/>
                <w:color w:val="auto"/>
              </w:rPr>
            </w:pPr>
            <w:r>
              <w:rPr>
                <w:rFonts w:ascii="Times New Roman" w:cs="Times New Roman" w:eastAsia="Times New Roman" w:hAnsi="Times New Roman"/>
                <w:sz w:val="16"/>
                <w:szCs w:val="16"/>
                <w:color w:val="auto"/>
                <w:w w:val="89"/>
              </w:rPr>
              <w:t>F-6</w:t>
            </w:r>
          </w:p>
        </w:tc>
        <w:tc>
          <w:tcPr>
            <w:tcW w:w="0" w:type="dxa"/>
            <w:vAlign w:val="bottom"/>
          </w:tcPr>
          <w:p>
            <w:pPr>
              <w:spacing w:after="0" w:line="20" w:lineRule="exact"/>
              <w:rPr>
                <w:sz w:val="1"/>
                <w:szCs w:val="1"/>
                <w:color w:val="auto"/>
              </w:rPr>
            </w:pPr>
          </w:p>
        </w:tc>
      </w:tr>
      <w:tr>
        <w:trPr>
          <w:trHeight w:val="160"/>
        </w:trPr>
        <w:tc>
          <w:tcPr>
            <w:tcW w:w="5000" w:type="dxa"/>
            <w:vAlign w:val="bottom"/>
            <w:gridSpan w:val="8"/>
          </w:tcPr>
          <w:p>
            <w:pPr>
              <w:spacing w:after="0" w:line="160" w:lineRule="exact"/>
              <w:rPr>
                <w:rFonts w:ascii="Times New Roman" w:cs="Times New Roman" w:eastAsia="Times New Roman" w:hAnsi="Times New Roman"/>
                <w:sz w:val="16"/>
                <w:szCs w:val="16"/>
                <w:color w:val="auto"/>
              </w:rPr>
            </w:pPr>
            <w:hyperlink w:anchor="page84">
              <w:r>
                <w:rPr>
                  <w:rFonts w:ascii="Times New Roman" w:cs="Times New Roman" w:eastAsia="Times New Roman" w:hAnsi="Times New Roman"/>
                  <w:sz w:val="16"/>
                  <w:szCs w:val="16"/>
                  <w:color w:val="auto"/>
                </w:rPr>
                <w:t>Consolidated Statements of Comprehensive Loss</w:t>
              </w:r>
            </w:hyperlink>
          </w:p>
        </w:tc>
        <w:tc>
          <w:tcPr>
            <w:tcW w:w="5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auto"/>
                <w:w w:val="96"/>
              </w:rPr>
            </w:pPr>
            <w:hyperlink w:anchor="page85">
              <w:r>
                <w:rPr>
                  <w:rFonts w:ascii="Times New Roman" w:cs="Times New Roman" w:eastAsia="Times New Roman" w:hAnsi="Times New Roman"/>
                  <w:sz w:val="16"/>
                  <w:szCs w:val="16"/>
                  <w:color w:val="auto"/>
                  <w:w w:val="96"/>
                </w:rPr>
                <w:t>Consolidated Statements of Stockholders’ Equity</w:t>
              </w:r>
            </w:hyperlink>
          </w:p>
        </w:tc>
        <w:tc>
          <w:tcPr>
            <w:tcW w:w="40" w:type="dxa"/>
            <w:vAlign w:val="bottom"/>
            <w:tcBorders>
              <w:bottom w:val="single" w:sz="8" w:color="0000EE"/>
            </w:tcBorders>
          </w:tcPr>
          <w:p>
            <w:pPr>
              <w:spacing w:after="0"/>
              <w:rPr>
                <w:sz w:val="13"/>
                <w:szCs w:val="13"/>
                <w:color w:val="auto"/>
              </w:rPr>
            </w:pPr>
          </w:p>
        </w:tc>
        <w:tc>
          <w:tcPr>
            <w:tcW w:w="1880" w:type="dxa"/>
            <w:vAlign w:val="bottom"/>
            <w:gridSpan w:val="2"/>
          </w:tcPr>
          <w:p>
            <w:pPr>
              <w:spacing w:after="0"/>
              <w:rPr>
                <w:sz w:val="13"/>
                <w:szCs w:val="13"/>
                <w:color w:val="auto"/>
              </w:rPr>
            </w:pPr>
          </w:p>
        </w:tc>
        <w:tc>
          <w:tcPr>
            <w:tcW w:w="5560" w:type="dxa"/>
            <w:vAlign w:val="bottom"/>
          </w:tcPr>
          <w:p>
            <w:pPr>
              <w:ind w:left="5340"/>
              <w:spacing w:after="0" w:line="160" w:lineRule="exact"/>
              <w:rPr>
                <w:sz w:val="20"/>
                <w:szCs w:val="20"/>
                <w:color w:val="auto"/>
              </w:rPr>
            </w:pPr>
            <w:r>
              <w:rPr>
                <w:rFonts w:ascii="Times New Roman" w:cs="Times New Roman" w:eastAsia="Times New Roman" w:hAnsi="Times New Roman"/>
                <w:sz w:val="16"/>
                <w:szCs w:val="16"/>
                <w:color w:val="auto"/>
                <w:w w:val="89"/>
              </w:rPr>
              <w:t>F-7</w:t>
            </w:r>
          </w:p>
        </w:tc>
        <w:tc>
          <w:tcPr>
            <w:tcW w:w="0" w:type="dxa"/>
            <w:vAlign w:val="bottom"/>
          </w:tcPr>
          <w:p>
            <w:pPr>
              <w:spacing w:after="0"/>
              <w:rPr>
                <w:sz w:val="1"/>
                <w:szCs w:val="1"/>
                <w:color w:val="auto"/>
              </w:rPr>
            </w:pPr>
          </w:p>
        </w:tc>
      </w:tr>
      <w:tr>
        <w:trPr>
          <w:trHeight w:val="160"/>
        </w:trPr>
        <w:tc>
          <w:tcPr>
            <w:tcW w:w="250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auto"/>
                <w:w w:val="97"/>
              </w:rPr>
            </w:pPr>
            <w:hyperlink w:anchor="page86">
              <w:r>
                <w:rPr>
                  <w:rFonts w:ascii="Times New Roman" w:cs="Times New Roman" w:eastAsia="Times New Roman" w:hAnsi="Times New Roman"/>
                  <w:sz w:val="16"/>
                  <w:szCs w:val="16"/>
                  <w:color w:val="auto"/>
                  <w:w w:val="97"/>
                </w:rPr>
                <w:t>Consolidated Statements of Cash Flows</w:t>
              </w:r>
            </w:hyperlink>
          </w:p>
        </w:tc>
        <w:tc>
          <w:tcPr>
            <w:tcW w:w="620" w:type="dxa"/>
            <w:vAlign w:val="bottom"/>
            <w:gridSpan w:val="3"/>
          </w:tcPr>
          <w:p>
            <w:pPr>
              <w:spacing w:after="0"/>
              <w:rPr>
                <w:sz w:val="13"/>
                <w:szCs w:val="13"/>
                <w:color w:val="auto"/>
              </w:rPr>
            </w:pPr>
          </w:p>
        </w:tc>
        <w:tc>
          <w:tcPr>
            <w:tcW w:w="1880" w:type="dxa"/>
            <w:vAlign w:val="bottom"/>
            <w:gridSpan w:val="2"/>
          </w:tcPr>
          <w:p>
            <w:pPr>
              <w:spacing w:after="0"/>
              <w:rPr>
                <w:sz w:val="13"/>
                <w:szCs w:val="13"/>
                <w:color w:val="auto"/>
              </w:rPr>
            </w:pPr>
          </w:p>
        </w:tc>
        <w:tc>
          <w:tcPr>
            <w:tcW w:w="5560" w:type="dxa"/>
            <w:vAlign w:val="bottom"/>
          </w:tcPr>
          <w:p>
            <w:pPr>
              <w:ind w:left="5340"/>
              <w:spacing w:after="0" w:line="160" w:lineRule="exact"/>
              <w:rPr>
                <w:sz w:val="20"/>
                <w:szCs w:val="20"/>
                <w:color w:val="auto"/>
              </w:rPr>
            </w:pPr>
            <w:r>
              <w:rPr>
                <w:rFonts w:ascii="Times New Roman" w:cs="Times New Roman" w:eastAsia="Times New Roman" w:hAnsi="Times New Roman"/>
                <w:sz w:val="16"/>
                <w:szCs w:val="16"/>
                <w:color w:val="auto"/>
                <w:w w:val="89"/>
              </w:rPr>
              <w:t>F-8</w:t>
            </w:r>
          </w:p>
        </w:tc>
        <w:tc>
          <w:tcPr>
            <w:tcW w:w="0" w:type="dxa"/>
            <w:vAlign w:val="bottom"/>
          </w:tcPr>
          <w:p>
            <w:pPr>
              <w:spacing w:after="0"/>
              <w:rPr>
                <w:sz w:val="1"/>
                <w:szCs w:val="1"/>
                <w:color w:val="auto"/>
              </w:rPr>
            </w:pPr>
          </w:p>
        </w:tc>
      </w:tr>
      <w:tr>
        <w:trPr>
          <w:trHeight w:val="160"/>
        </w:trPr>
        <w:tc>
          <w:tcPr>
            <w:tcW w:w="5000" w:type="dxa"/>
            <w:vAlign w:val="bottom"/>
            <w:gridSpan w:val="8"/>
          </w:tcPr>
          <w:p>
            <w:pPr>
              <w:spacing w:after="0" w:line="160" w:lineRule="exact"/>
              <w:rPr>
                <w:rFonts w:ascii="Times New Roman" w:cs="Times New Roman" w:eastAsia="Times New Roman" w:hAnsi="Times New Roman"/>
                <w:sz w:val="16"/>
                <w:szCs w:val="16"/>
                <w:color w:val="auto"/>
              </w:rPr>
            </w:pPr>
            <w:hyperlink w:anchor="page87">
              <w:r>
                <w:rPr>
                  <w:rFonts w:ascii="Times New Roman" w:cs="Times New Roman" w:eastAsia="Times New Roman" w:hAnsi="Times New Roman"/>
                  <w:sz w:val="16"/>
                  <w:szCs w:val="16"/>
                  <w:color w:val="auto"/>
                </w:rPr>
                <w:t>Notes to Consolidated Financial Statements</w:t>
              </w:r>
            </w:hyperlink>
          </w:p>
        </w:tc>
        <w:tc>
          <w:tcPr>
            <w:tcW w:w="5560" w:type="dxa"/>
            <w:vAlign w:val="bottom"/>
          </w:tcPr>
          <w:p>
            <w:pPr>
              <w:ind w:left="5340"/>
              <w:spacing w:after="0" w:line="160" w:lineRule="exact"/>
              <w:rPr>
                <w:sz w:val="20"/>
                <w:szCs w:val="20"/>
                <w:color w:val="auto"/>
              </w:rPr>
            </w:pPr>
            <w:r>
              <w:rPr>
                <w:rFonts w:ascii="Times New Roman" w:cs="Times New Roman" w:eastAsia="Times New Roman" w:hAnsi="Times New Roman"/>
                <w:sz w:val="16"/>
                <w:szCs w:val="16"/>
                <w:color w:val="auto"/>
                <w:w w:val="89"/>
              </w:rPr>
              <w:t>F-9</w:t>
            </w:r>
          </w:p>
        </w:tc>
        <w:tc>
          <w:tcPr>
            <w:tcW w:w="0" w:type="dxa"/>
            <w:vAlign w:val="bottom"/>
          </w:tcPr>
          <w:p>
            <w:pPr>
              <w:spacing w:after="0"/>
              <w:rPr>
                <w:sz w:val="1"/>
                <w:szCs w:val="1"/>
                <w:color w:val="auto"/>
              </w:rPr>
            </w:pPr>
          </w:p>
        </w:tc>
      </w:tr>
      <w:tr>
        <w:trPr>
          <w:trHeight w:val="578"/>
        </w:trPr>
        <w:tc>
          <w:tcPr>
            <w:tcW w:w="18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674"/>
        </w:trPr>
        <w:tc>
          <w:tcPr>
            <w:tcW w:w="18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5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359" w:right="680" w:bottom="1440" w:gutter="0" w:footer="0" w:header="0"/>
        </w:sectPr>
      </w:pPr>
    </w:p>
    <w:bookmarkStart w:id="79" w:name="page80"/>
    <w:bookmarkEnd w:id="79"/>
    <w:p>
      <w:pPr>
        <w:spacing w:after="0" w:line="11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Enanta Pharmaceuticals,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12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Enanta Pharmaceuticals, Inc. and its subsidiary (the "Company") as of September 30, 2025 and 2024, and the related consolidated statements of operations, of comprehensive loss, of stockholders’ equity and of cash flows for each of the three years in the period ended September 30, 2025,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7"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5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and Pharmaceutical Drug Manufacturing Accruals</w:t>
      </w:r>
    </w:p>
    <w:p>
      <w:pPr>
        <w:spacing w:after="0" w:line="11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As described in Notes 2 and 6 to the consolidated financial statements, the Company has entered into various contracts with third parties to perform research and development and pharmaceutical drug manufacturing. When billing terms under these contracts do not coincide with the timing of when the work is performed, management is required to make estimates of outstanding obligations to those third parties as of period end. Within accrued expenses and other current liabilities, total accrued research and development expenses and accrued pharmaceutical drug manufacturing amounted to $1.8 million and $2.7 million as of September 30, 2025, respectively. The accrual estimates are based on a number of factors, including management’s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p>
      <w:pPr>
        <w:spacing w:after="0" w:line="7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research and development and pharmaceutical drug manufacturing accruals is a critical audit matter are the significant judgment by management in developing the accrual estimates, as the estimates are based on a number of factors, including management’s knowledge of the research and development programs and pharmaceutical drug manufacturing activities and associated timelines, invoicing to date, and the provisions in the contracts, which in turn led to a high degree of auditor judgment, subjectivity and effort in performing procedures and evaluating management’s significant assumptions related to progress towards completion of the research and development programs and pharmaceutical drug manufacturing activities.</w:t>
      </w:r>
    </w:p>
    <w:p>
      <w:pPr>
        <w:spacing w:after="0" w:line="6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among others (i) testing management’s process for developing estimates based upon the progress of the research and development programs and pharmaceutical drug manufacturing activities; (ii) evaluating the appropriateness of the method used by management to develop the estimates; (iii) reading research and development and pharmaceutical drug manufacturing contracts on a test basis; (iv) evaluating the completeness and accuracy of data used by management; and (v) evaluating the reasonableness of significant assumptions related to the progress towards completion. Evaluating management’s assumptions related to progress towards completion of the research and development programs and pharmaceutical drug manufacturing activities included evaluating whether the assumptions were reasonable considering the associated timelines, invoicing to date and the provisions in the contracts.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rPr>
          <w:sz w:val="20"/>
          <w:szCs w:val="20"/>
          <w:color w:val="auto"/>
        </w:rPr>
      </w:pPr>
      <w:r>
        <w:rPr>
          <w:rFonts w:ascii="Times New Roman" w:cs="Times New Roman" w:eastAsia="Times New Roman" w:hAnsi="Times New Roman"/>
          <w:sz w:val="16"/>
          <w:szCs w:val="16"/>
          <w:color w:val="auto"/>
        </w:rPr>
        <w:t>November 19,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1999.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0"/>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80"/>
        </w:trPr>
        <w:tc>
          <w:tcPr>
            <w:tcW w:w="6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4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32,298</w:t>
            </w: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37,233</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Short-term marketable securities</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156,566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210,953</w:t>
            </w:r>
          </w:p>
        </w:tc>
      </w:tr>
      <w:tr>
        <w:trPr>
          <w:trHeight w:val="180"/>
        </w:trPr>
        <w:tc>
          <w:tcPr>
            <w:tcW w:w="64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6,882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6,646</w:t>
            </w:r>
          </w:p>
        </w:tc>
      </w:tr>
      <w:tr>
        <w:trPr>
          <w:trHeight w:val="180"/>
        </w:trPr>
        <w:tc>
          <w:tcPr>
            <w:tcW w:w="6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8,590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12,413</w:t>
            </w:r>
          </w:p>
        </w:tc>
        <w:tc>
          <w:tcPr>
            <w:tcW w:w="80" w:type="dxa"/>
            <w:vAlign w:val="bottom"/>
          </w:tcPr>
          <w:p>
            <w:pPr>
              <w:spacing w:after="0"/>
              <w:rPr>
                <w:sz w:val="15"/>
                <w:szCs w:val="15"/>
                <w:color w:val="auto"/>
              </w:rPr>
            </w:pPr>
          </w:p>
        </w:tc>
      </w:tr>
      <w:tr>
        <w:trPr>
          <w:trHeight w:val="180"/>
        </w:trPr>
        <w:tc>
          <w:tcPr>
            <w:tcW w:w="64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tax receivable</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31,999</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Short-term restricted cash</w:t>
            </w:r>
          </w:p>
        </w:tc>
        <w:tc>
          <w:tcPr>
            <w:tcW w:w="180" w:type="dxa"/>
            <w:vAlign w:val="bottom"/>
          </w:tcPr>
          <w:p>
            <w:pPr>
              <w:spacing w:after="0"/>
              <w:rPr>
                <w:sz w:val="15"/>
                <w:szCs w:val="15"/>
                <w:color w:val="auto"/>
              </w:rPr>
            </w:pP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5"/>
                <w:szCs w:val="15"/>
                <w:color w:val="auto"/>
              </w:rPr>
            </w:pPr>
          </w:p>
        </w:tc>
      </w:tr>
      <w:tr>
        <w:trPr>
          <w:trHeight w:val="180"/>
        </w:trPr>
        <w:tc>
          <w:tcPr>
            <w:tcW w:w="640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204,336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299,852</w:t>
            </w: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32,688</w:t>
            </w:r>
          </w:p>
        </w:tc>
        <w:tc>
          <w:tcPr>
            <w:tcW w:w="80" w:type="dxa"/>
            <w:vAlign w:val="bottom"/>
          </w:tcPr>
          <w:p>
            <w:pPr>
              <w:spacing w:after="0"/>
              <w:rPr>
                <w:sz w:val="15"/>
                <w:szCs w:val="15"/>
                <w:color w:val="auto"/>
              </w:rPr>
            </w:pPr>
          </w:p>
        </w:tc>
      </w:tr>
      <w:tr>
        <w:trPr>
          <w:trHeight w:val="180"/>
        </w:trPr>
        <w:tc>
          <w:tcPr>
            <w:tcW w:w="6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37,549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40,658</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Long-term restricted cash</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3,360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3,360</w:t>
            </w:r>
          </w:p>
        </w:tc>
      </w:tr>
      <w:tr>
        <w:trPr>
          <w:trHeight w:val="180"/>
        </w:trPr>
        <w:tc>
          <w:tcPr>
            <w:tcW w:w="6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ind w:left="220"/>
              <w:spacing w:after="0" w:line="160" w:lineRule="exact"/>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280,732</w:t>
            </w:r>
          </w:p>
        </w:tc>
        <w:tc>
          <w:tcPr>
            <w:tcW w:w="140" w:type="dxa"/>
            <w:vAlign w:val="bottom"/>
          </w:tcPr>
          <w:p>
            <w:pPr>
              <w:spacing w:after="0"/>
              <w:rPr>
                <w:sz w:val="15"/>
                <w:szCs w:val="15"/>
                <w:color w:val="auto"/>
              </w:rPr>
            </w:pPr>
          </w:p>
        </w:tc>
        <w:tc>
          <w:tcPr>
            <w:tcW w:w="2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376,652</w:t>
            </w:r>
          </w:p>
        </w:tc>
      </w:tr>
      <w:tr>
        <w:trPr>
          <w:trHeight w:val="20"/>
        </w:trPr>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4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4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1,948</w:t>
            </w: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8,002</w:t>
            </w:r>
          </w:p>
        </w:tc>
      </w:tr>
      <w:tr>
        <w:trPr>
          <w:trHeight w:val="180"/>
        </w:trPr>
        <w:tc>
          <w:tcPr>
            <w:tcW w:w="6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13,547</w:t>
            </w:r>
          </w:p>
        </w:tc>
        <w:tc>
          <w:tcPr>
            <w:tcW w:w="80" w:type="dxa"/>
            <w:vAlign w:val="bottom"/>
          </w:tcPr>
          <w:p>
            <w:pPr>
              <w:spacing w:after="0"/>
              <w:rPr>
                <w:sz w:val="15"/>
                <w:szCs w:val="15"/>
                <w:color w:val="auto"/>
              </w:rPr>
            </w:pPr>
          </w:p>
        </w:tc>
      </w:tr>
      <w:tr>
        <w:trPr>
          <w:trHeight w:val="180"/>
        </w:trPr>
        <w:tc>
          <w:tcPr>
            <w:tcW w:w="64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Liability related to the sale of future royalties</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30,710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34,462</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3,146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1,524</w:t>
            </w:r>
          </w:p>
        </w:tc>
      </w:tr>
      <w:tr>
        <w:trPr>
          <w:trHeight w:val="180"/>
        </w:trPr>
        <w:tc>
          <w:tcPr>
            <w:tcW w:w="640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48,555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57,535</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Liability related to the sale of future royalties, net of current portion</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111,132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134,779</w:t>
            </w:r>
          </w:p>
        </w:tc>
      </w:tr>
      <w:tr>
        <w:trPr>
          <w:trHeight w:val="180"/>
        </w:trPr>
        <w:tc>
          <w:tcPr>
            <w:tcW w:w="6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54,757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53,943</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Series 1 nonconvertible preferred stock</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1,350</w:t>
            </w:r>
          </w:p>
        </w:tc>
      </w:tr>
      <w:tr>
        <w:trPr>
          <w:trHeight w:val="180"/>
        </w:trPr>
        <w:tc>
          <w:tcPr>
            <w:tcW w:w="6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216,015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247,838</w:t>
            </w:r>
          </w:p>
        </w:tc>
      </w:tr>
      <w:tr>
        <w:trPr>
          <w:trHeight w:val="180"/>
        </w:trPr>
        <w:tc>
          <w:tcPr>
            <w:tcW w:w="6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6400" w:type="dxa"/>
            <w:vAlign w:val="bottom"/>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Common stock; $0.01 par value per share, 100,000 shares authorized;</w:t>
            </w: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0"/>
        </w:trPr>
        <w:tc>
          <w:tcPr>
            <w:tcW w:w="640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21,387 and 21,194 shares issued and outstanding at September 30, 2025</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3"/>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and September 30, 2024, respectively</w:t>
            </w: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FF0FC"/>
          </w:tcPr>
          <w:p>
            <w:pPr>
              <w:spacing w:after="0"/>
              <w:rPr>
                <w:sz w:val="16"/>
                <w:szCs w:val="16"/>
                <w:color w:val="auto"/>
              </w:rPr>
            </w:pPr>
          </w:p>
        </w:tc>
      </w:tr>
      <w:tr>
        <w:trPr>
          <w:trHeight w:val="180"/>
        </w:trPr>
        <w:tc>
          <w:tcPr>
            <w:tcW w:w="6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469,771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451,340</w:t>
            </w:r>
          </w:p>
        </w:tc>
      </w:tr>
      <w:tr>
        <w:trPr>
          <w:trHeight w:val="180"/>
        </w:trPr>
        <w:tc>
          <w:tcPr>
            <w:tcW w:w="64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gain</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FF0FC"/>
          </w:tcPr>
          <w:p>
            <w:pPr>
              <w:spacing w:after="0"/>
              <w:rPr>
                <w:sz w:val="15"/>
                <w:szCs w:val="15"/>
                <w:color w:val="auto"/>
              </w:rPr>
            </w:pPr>
          </w:p>
        </w:tc>
      </w:tr>
      <w:tr>
        <w:trPr>
          <w:trHeight w:val="180"/>
        </w:trPr>
        <w:tc>
          <w:tcPr>
            <w:tcW w:w="64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5"/>
                <w:szCs w:val="15"/>
                <w:color w:val="auto"/>
              </w:rPr>
            </w:pPr>
          </w:p>
        </w:tc>
        <w:tc>
          <w:tcPr>
            <w:tcW w:w="13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(404,929)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(323,040)</w:t>
            </w:r>
          </w:p>
        </w:tc>
      </w:tr>
      <w:tr>
        <w:trPr>
          <w:trHeight w:val="180"/>
        </w:trPr>
        <w:tc>
          <w:tcPr>
            <w:tcW w:w="640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64,717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128,814</w:t>
            </w:r>
          </w:p>
        </w:tc>
      </w:tr>
      <w:tr>
        <w:trPr>
          <w:trHeight w:val="180"/>
        </w:trPr>
        <w:tc>
          <w:tcPr>
            <w:tcW w:w="6400" w:type="dxa"/>
            <w:vAlign w:val="bottom"/>
          </w:tcPr>
          <w:p>
            <w:pPr>
              <w:ind w:left="220"/>
              <w:spacing w:after="0" w:line="160"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280,732</w:t>
            </w:r>
          </w:p>
        </w:tc>
        <w:tc>
          <w:tcPr>
            <w:tcW w:w="140" w:type="dxa"/>
            <w:vAlign w:val="bottom"/>
          </w:tcPr>
          <w:p>
            <w:pPr>
              <w:spacing w:after="0"/>
              <w:rPr>
                <w:sz w:val="15"/>
                <w:szCs w:val="15"/>
                <w:color w:val="auto"/>
              </w:rPr>
            </w:pPr>
          </w:p>
        </w:tc>
        <w:tc>
          <w:tcPr>
            <w:tcW w:w="2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376,652</w:t>
            </w:r>
          </w:p>
        </w:tc>
      </w:tr>
      <w:tr>
        <w:trPr>
          <w:trHeight w:val="20"/>
        </w:trPr>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408305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500"/>
          </w:cols>
          <w:pgMar w:left="1200" w:top="1359" w:right="1200" w:bottom="1440" w:gutter="0" w:footer="0" w:header="0"/>
        </w:sectPr>
      </w:pPr>
    </w:p>
    <w:bookmarkStart w:id="82" w:name="page83"/>
    <w:bookmarkEnd w:id="82"/>
    <w:p>
      <w:pPr>
        <w:ind w:left="3940"/>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9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spacing w:after="0"/>
              <w:rPr>
                <w:sz w:val="15"/>
                <w:szCs w:val="15"/>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Royalty revenue</w:t>
            </w: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65,324</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67,635</w:t>
            </w:r>
          </w:p>
        </w:tc>
        <w:tc>
          <w:tcPr>
            <w:tcW w:w="2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78,204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License revenue</w:t>
            </w:r>
          </w:p>
        </w:tc>
        <w:tc>
          <w:tcPr>
            <w:tcW w:w="280" w:type="dxa"/>
            <w:vAlign w:val="bottom"/>
          </w:tcPr>
          <w:p>
            <w:pPr>
              <w:spacing w:after="0"/>
              <w:rPr>
                <w:sz w:val="15"/>
                <w:szCs w:val="15"/>
                <w:color w:val="auto"/>
              </w:rPr>
            </w:pPr>
          </w:p>
        </w:tc>
        <w:tc>
          <w:tcPr>
            <w:tcW w:w="10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65,324</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67,635</w:t>
            </w: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79,204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106,740</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131,476</w:t>
            </w: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163,524</w:t>
            </w:r>
          </w:p>
        </w:tc>
        <w:tc>
          <w:tcPr>
            <w:tcW w:w="0" w:type="dxa"/>
            <w:vAlign w:val="bottom"/>
          </w:tcPr>
          <w:p>
            <w:pPr>
              <w:spacing w:after="0"/>
              <w:rPr>
                <w:sz w:val="1"/>
                <w:szCs w:val="1"/>
                <w:color w:val="auto"/>
              </w:rPr>
            </w:pP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43,933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57,850</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52,887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150,673</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189,326</w:t>
            </w: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216,411</w:t>
            </w:r>
          </w:p>
        </w:tc>
        <w:tc>
          <w:tcPr>
            <w:tcW w:w="0" w:type="dxa"/>
            <w:vAlign w:val="bottom"/>
          </w:tcPr>
          <w:p>
            <w:pPr>
              <w:spacing w:after="0"/>
              <w:rPr>
                <w:sz w:val="1"/>
                <w:szCs w:val="1"/>
                <w:color w:val="auto"/>
              </w:rPr>
            </w:pP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(85,349)</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(121,691)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(137,207)</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(7,681)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(10,940)</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(5,148)</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 and investment income, net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9,442</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14,770</w:t>
            </w: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11,360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Change in fair value of Series 1 nonconvertible preferred stock</w:t>
            </w: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1,800</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3,903</w:t>
            </w: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1"/>
              <w:spacing w:after="0" w:line="180" w:lineRule="exact"/>
              <w:rPr>
                <w:sz w:val="20"/>
                <w:szCs w:val="20"/>
                <w:color w:val="auto"/>
              </w:rPr>
            </w:pPr>
            <w:r>
              <w:rPr>
                <w:rFonts w:ascii="Times New Roman" w:cs="Times New Roman" w:eastAsia="Times New Roman" w:hAnsi="Times New Roman"/>
                <w:sz w:val="16"/>
                <w:szCs w:val="16"/>
                <w:color w:val="auto"/>
              </w:rPr>
              <w:t>6,212</w:t>
            </w:r>
          </w:p>
        </w:tc>
        <w:tc>
          <w:tcPr>
            <w:tcW w:w="0" w:type="dxa"/>
            <w:vAlign w:val="bottom"/>
          </w:tcPr>
          <w:p>
            <w:pPr>
              <w:spacing w:after="0"/>
              <w:rPr>
                <w:sz w:val="1"/>
                <w:szCs w:val="1"/>
                <w:color w:val="auto"/>
              </w:rPr>
            </w:pP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Loss before income taxes</w:t>
            </w:r>
          </w:p>
        </w:tc>
        <w:tc>
          <w:tcPr>
            <w:tcW w:w="28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(83,549)</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(117,788)</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(130,995)</w:t>
            </w:r>
          </w:p>
        </w:tc>
        <w:tc>
          <w:tcPr>
            <w:tcW w:w="0" w:type="dxa"/>
            <w:vAlign w:val="bottom"/>
          </w:tcPr>
          <w:p>
            <w:pPr>
              <w:spacing w:after="0"/>
              <w:rPr>
                <w:sz w:val="1"/>
                <w:szCs w:val="1"/>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1,660</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1"/>
              <w:spacing w:after="0" w:line="180" w:lineRule="exact"/>
              <w:rPr>
                <w:sz w:val="20"/>
                <w:szCs w:val="20"/>
                <w:color w:val="auto"/>
              </w:rPr>
            </w:pPr>
            <w:r>
              <w:rPr>
                <w:rFonts w:ascii="Times New Roman" w:cs="Times New Roman" w:eastAsia="Times New Roman" w:hAnsi="Times New Roman"/>
                <w:sz w:val="16"/>
                <w:szCs w:val="16"/>
                <w:color w:val="auto"/>
              </w:rPr>
              <w:t>1,743</w:t>
            </w: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(2,821)</w:t>
            </w:r>
          </w:p>
        </w:tc>
        <w:tc>
          <w:tcPr>
            <w:tcW w:w="0" w:type="dxa"/>
            <w:vAlign w:val="bottom"/>
          </w:tcPr>
          <w:p>
            <w:pPr>
              <w:spacing w:after="0"/>
              <w:rPr>
                <w:sz w:val="1"/>
                <w:szCs w:val="1"/>
                <w:color w:val="auto"/>
              </w:rPr>
            </w:pPr>
          </w:p>
        </w:tc>
      </w:tr>
      <w:tr>
        <w:trPr>
          <w:trHeight w:val="180"/>
        </w:trPr>
        <w:tc>
          <w:tcPr>
            <w:tcW w:w="62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(81,889</w:t>
            </w:r>
            <w:r>
              <w:rPr>
                <w:rFonts w:ascii="Times New Roman" w:cs="Times New Roman" w:eastAsia="Times New Roman" w:hAnsi="Times New Roman"/>
                <w:sz w:val="18"/>
                <w:szCs w:val="18"/>
                <w:color w:val="auto"/>
                <w:vertAlign w:val="subscript"/>
              </w:rPr>
              <w:t>)</w:t>
            </w:r>
          </w:p>
        </w:tc>
        <w:tc>
          <w:tcPr>
            <w:tcW w:w="480" w:type="dxa"/>
            <w:vAlign w:val="bottom"/>
            <w:gridSpan w:val="2"/>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1"/>
              <w:spacing w:after="0" w:line="160" w:lineRule="exact"/>
              <w:rPr>
                <w:sz w:val="20"/>
                <w:szCs w:val="20"/>
                <w:color w:val="auto"/>
              </w:rPr>
            </w:pPr>
            <w:r>
              <w:rPr>
                <w:rFonts w:ascii="Times New Roman" w:cs="Times New Roman" w:eastAsia="Times New Roman" w:hAnsi="Times New Roman"/>
                <w:sz w:val="11"/>
                <w:szCs w:val="11"/>
                <w:color w:val="auto"/>
              </w:rPr>
              <w:t>(116,045</w:t>
            </w:r>
            <w:r>
              <w:rPr>
                <w:rFonts w:ascii="Times New Roman" w:cs="Times New Roman" w:eastAsia="Times New Roman" w:hAnsi="Times New Roman"/>
                <w:sz w:val="18"/>
                <w:szCs w:val="18"/>
                <w:color w:val="auto"/>
                <w:vertAlign w:val="subscript"/>
              </w:rPr>
              <w:t>)</w:t>
            </w:r>
          </w:p>
        </w:tc>
        <w:tc>
          <w:tcPr>
            <w:tcW w:w="32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
              <w:spacing w:after="0" w:line="160" w:lineRule="exact"/>
              <w:rPr>
                <w:sz w:val="20"/>
                <w:szCs w:val="20"/>
                <w:color w:val="auto"/>
              </w:rPr>
            </w:pPr>
            <w:r>
              <w:rPr>
                <w:rFonts w:ascii="Times New Roman" w:cs="Times New Roman" w:eastAsia="Times New Roman" w:hAnsi="Times New Roman"/>
                <w:sz w:val="11"/>
                <w:szCs w:val="11"/>
                <w:color w:val="auto"/>
              </w:rPr>
              <w:t>(133,816</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loss per share, basic and diluted</w:t>
            </w:r>
          </w:p>
        </w:tc>
        <w:tc>
          <w:tcPr>
            <w:tcW w:w="280" w:type="dxa"/>
            <w:vAlign w:val="bottom"/>
            <w:tcBorders>
              <w:bottom w:val="single" w:sz="8" w:color="auto"/>
            </w:tcBorders>
            <w:shd w:val="clear" w:color="auto" w:fill="CFF0FC"/>
          </w:tcPr>
          <w:p>
            <w:pPr>
              <w:jc w:val="right"/>
              <w:ind w:right="12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(3.84</w:t>
            </w:r>
          </w:p>
        </w:tc>
        <w:tc>
          <w:tcPr>
            <w:tcW w:w="8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(5.48</w:t>
            </w:r>
          </w:p>
        </w:tc>
        <w:tc>
          <w:tcPr>
            <w:tcW w:w="20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(6.38</w:t>
            </w:r>
          </w:p>
        </w:tc>
        <w:tc>
          <w:tcPr>
            <w:tcW w:w="8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6"/>
        </w:trPr>
        <w:tc>
          <w:tcPr>
            <w:tcW w:w="624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21,336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21,157</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20,969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83" w:name="page84"/>
    <w:bookmarkEnd w:id="83"/>
    <w:p>
      <w:pPr>
        <w:ind w:left="3400"/>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9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6"/>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80"/>
        </w:trPr>
        <w:tc>
          <w:tcPr>
            <w:tcW w:w="4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1560" w:type="dxa"/>
            <w:vAlign w:val="bottom"/>
            <w:gridSpan w:val="2"/>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(81,889)</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(116,045)</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(133,816)</w:t>
            </w:r>
          </w:p>
        </w:tc>
      </w:tr>
      <w:tr>
        <w:trPr>
          <w:trHeight w:val="180"/>
        </w:trPr>
        <w:tc>
          <w:tcPr>
            <w:tcW w:w="4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(loss) income:</w:t>
            </w: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54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Net unrealized (loss) gain on marketable securities</w:t>
            </w: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2,550</w:t>
            </w:r>
          </w:p>
        </w:tc>
      </w:tr>
      <w:tr>
        <w:trPr>
          <w:trHeight w:val="180"/>
        </w:trPr>
        <w:tc>
          <w:tcPr>
            <w:tcW w:w="454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Total other comprehensive (loss) income</w:t>
            </w: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(641)</w:t>
            </w:r>
          </w:p>
        </w:tc>
        <w:tc>
          <w:tcPr>
            <w:tcW w:w="220" w:type="dxa"/>
            <w:vAlign w:val="bottom"/>
          </w:tcPr>
          <w:p>
            <w:pPr>
              <w:spacing w:after="0"/>
              <w:rPr>
                <w:sz w:val="15"/>
                <w:szCs w:val="15"/>
                <w:color w:val="auto"/>
              </w:rPr>
            </w:pPr>
          </w:p>
        </w:tc>
        <w:tc>
          <w:tcPr>
            <w:tcW w:w="10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24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2,550</w:t>
            </w:r>
          </w:p>
        </w:tc>
      </w:tr>
      <w:tr>
        <w:trPr>
          <w:trHeight w:val="200"/>
        </w:trPr>
        <w:tc>
          <w:tcPr>
            <w:tcW w:w="45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Comprehensive loss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(82,530</w:t>
            </w:r>
            <w:r>
              <w:rPr>
                <w:rFonts w:ascii="Times New Roman" w:cs="Times New Roman" w:eastAsia="Times New Roman" w:hAnsi="Times New Roman"/>
                <w:sz w:val="18"/>
                <w:szCs w:val="18"/>
                <w:color w:val="auto"/>
                <w:vertAlign w:val="subscript"/>
              </w:rPr>
              <w:t>)</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(114,569</w:t>
            </w:r>
            <w:r>
              <w:rPr>
                <w:rFonts w:ascii="Times New Roman" w:cs="Times New Roman" w:eastAsia="Times New Roman" w:hAnsi="Times New Roman"/>
                <w:sz w:val="18"/>
                <w:szCs w:val="18"/>
                <w:color w:val="auto"/>
                <w:vertAlign w:val="subscript"/>
              </w:rPr>
              <w:t>)</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(131,266</w:t>
            </w:r>
            <w:r>
              <w:rPr>
                <w:rFonts w:ascii="Times New Roman" w:cs="Times New Roman" w:eastAsia="Times New Roman" w:hAnsi="Times New Roman"/>
                <w:sz w:val="18"/>
                <w:szCs w:val="18"/>
                <w:color w:val="auto"/>
                <w:vertAlign w:val="subscript"/>
              </w:rPr>
              <w:t>)</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408305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500"/>
          </w:cols>
          <w:pgMar w:left="1200" w:top="1359" w:right="1200" w:bottom="1440" w:gutter="0" w:footer="0" w:header="0"/>
        </w:sectPr>
      </w:pPr>
    </w:p>
    <w:bookmarkStart w:id="84" w:name="page85"/>
    <w:bookmarkEnd w:id="84"/>
    <w:p>
      <w:pPr>
        <w:spacing w:after="0" w:line="26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9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6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940" w:type="dxa"/>
            <w:vAlign w:val="bottom"/>
            <w:gridSpan w:val="4"/>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74"/>
              </w:rPr>
              <w:t>e</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(Accumulated</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0"/>
        </w:trPr>
        <w:tc>
          <w:tcPr>
            <w:tcW w:w="336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Balances at September 30, 2022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398,029</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(3,724)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(73,179)</w:t>
            </w: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321,334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Vesting of restricted stock units, net of withholding</w:t>
            </w: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(3,759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(3,757)</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(133,816)</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(133,816)</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Balances at September 30, 2023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21,059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424,693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(1,174)</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(206,995)</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216,735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units, net of withholding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(116,045)</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(116,045)</w:t>
            </w:r>
          </w:p>
        </w:tc>
        <w:tc>
          <w:tcPr>
            <w:tcW w:w="0" w:type="dxa"/>
            <w:vAlign w:val="bottom"/>
          </w:tcPr>
          <w:p>
            <w:pPr>
              <w:spacing w:after="0"/>
              <w:rPr>
                <w:sz w:val="1"/>
                <w:szCs w:val="1"/>
                <w:color w:val="auto"/>
              </w:rPr>
            </w:pPr>
          </w:p>
        </w:tc>
      </w:tr>
      <w:tr>
        <w:trPr>
          <w:trHeight w:val="132"/>
        </w:trPr>
        <w:tc>
          <w:tcPr>
            <w:tcW w:w="33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4"/>
                <w:szCs w:val="14"/>
                <w:color w:val="auto"/>
              </w:rPr>
              <w:t>451,340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4"/>
                <w:szCs w:val="14"/>
                <w:color w:val="auto"/>
              </w:rPr>
              <w:t>(323,040</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128,814</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units, net of withholding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(81,889)</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(81,889)</w:t>
            </w:r>
          </w:p>
        </w:tc>
        <w:tc>
          <w:tcPr>
            <w:tcW w:w="0" w:type="dxa"/>
            <w:vAlign w:val="bottom"/>
          </w:tcPr>
          <w:p>
            <w:pPr>
              <w:spacing w:after="0"/>
              <w:rPr>
                <w:sz w:val="1"/>
                <w:szCs w:val="1"/>
                <w:color w:val="auto"/>
              </w:rPr>
            </w:pPr>
          </w:p>
        </w:tc>
      </w:tr>
      <w:tr>
        <w:trPr>
          <w:trHeight w:val="188"/>
        </w:trPr>
        <w:tc>
          <w:tcPr>
            <w:tcW w:w="336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Balances at September 30, 2025</w:t>
            </w:r>
          </w:p>
        </w:tc>
        <w:tc>
          <w:tcPr>
            <w:tcW w:w="8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21,387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214</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469,771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2"/>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CFF0FC"/>
            </w:tcBorders>
            <w:gridSpan w:val="2"/>
            <w:shd w:val="clear" w:color="auto" w:fill="CFF0FC"/>
          </w:tcPr>
          <w:p>
            <w:pPr>
              <w:jc w:val="right"/>
              <w:ind w:right="140"/>
              <w:spacing w:after="0" w:line="148" w:lineRule="exact"/>
              <w:rPr>
                <w:sz w:val="20"/>
                <w:szCs w:val="20"/>
                <w:color w:val="auto"/>
              </w:rPr>
            </w:pPr>
            <w:r>
              <w:rPr>
                <w:rFonts w:ascii="Times New Roman" w:cs="Times New Roman" w:eastAsia="Times New Roman" w:hAnsi="Times New Roman"/>
                <w:sz w:val="11"/>
                <w:szCs w:val="11"/>
                <w:color w:val="auto"/>
              </w:rPr>
              <w:t>(339</w:t>
            </w:r>
            <w:r>
              <w:rPr>
                <w:rFonts w:ascii="Times New Roman" w:cs="Times New Roman" w:eastAsia="Times New Roman" w:hAnsi="Times New Roman"/>
                <w:sz w:val="17"/>
                <w:szCs w:val="17"/>
                <w:color w:val="auto"/>
                <w:vertAlign w:val="subscript"/>
              </w:rPr>
              <w:t>)</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(404,929</w:t>
            </w:r>
            <w:r>
              <w:rPr>
                <w:rFonts w:ascii="Times New Roman" w:cs="Times New Roman" w:eastAsia="Times New Roman" w:hAnsi="Times New Roman"/>
                <w:sz w:val="17"/>
                <w:szCs w:val="17"/>
                <w:color w:val="auto"/>
                <w:vertAlign w:val="subscript"/>
              </w:rPr>
              <w:t>)</w:t>
            </w:r>
          </w:p>
        </w:tc>
        <w:tc>
          <w:tcPr>
            <w:tcW w:w="160" w:type="dxa"/>
            <w:vAlign w:val="bottom"/>
            <w:shd w:val="clear" w:color="auto" w:fill="CFF0FC"/>
          </w:tcPr>
          <w:p>
            <w:pPr>
              <w:jc w:val="right"/>
              <w:ind w:right="1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64,717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659765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500"/>
          </w:cols>
          <w:pgMar w:left="1200" w:top="1440" w:right="1200" w:bottom="1440" w:gutter="0" w:footer="0" w:header="0"/>
        </w:sectPr>
      </w:pPr>
    </w:p>
    <w:bookmarkStart w:id="85" w:name="page86"/>
    <w:bookmarkEnd w:id="85"/>
    <w:p>
      <w:pPr>
        <w:ind w:left="3400"/>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9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7"/>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(81,889)</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(116,045)</w:t>
            </w:r>
          </w:p>
        </w:tc>
        <w:tc>
          <w:tcPr>
            <w:tcW w:w="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(133,816)</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6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18,565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28,216</w:t>
            </w:r>
          </w:p>
        </w:tc>
        <w:tc>
          <w:tcPr>
            <w:tcW w:w="100" w:type="dxa"/>
            <w:vAlign w:val="bottom"/>
          </w:tcPr>
          <w:p>
            <w:pPr>
              <w:spacing w:after="0"/>
              <w:rPr>
                <w:sz w:val="15"/>
                <w:szCs w:val="15"/>
                <w:color w:val="auto"/>
              </w:rPr>
            </w:pPr>
          </w:p>
        </w:tc>
      </w:tr>
      <w:tr>
        <w:trPr>
          <w:trHeight w:val="180"/>
        </w:trPr>
        <w:tc>
          <w:tcPr>
            <w:tcW w:w="562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4,586</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2,336</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2,371</w:t>
            </w:r>
          </w:p>
        </w:tc>
      </w:tr>
      <w:tr>
        <w:trPr>
          <w:trHeight w:val="180"/>
        </w:trPr>
        <w:tc>
          <w:tcPr>
            <w:tcW w:w="56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Non-cash interest associated with the sale of future royalties</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(630)</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5,148</w:t>
            </w:r>
          </w:p>
        </w:tc>
      </w:tr>
      <w:tr>
        <w:trPr>
          <w:trHeight w:val="180"/>
        </w:trPr>
        <w:tc>
          <w:tcPr>
            <w:tcW w:w="562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Non-cash royalty revenue</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(283)</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2,350</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(10,318)</w:t>
            </w:r>
          </w:p>
        </w:tc>
      </w:tr>
      <w:tr>
        <w:trPr>
          <w:trHeight w:val="180"/>
        </w:trPr>
        <w:tc>
          <w:tcPr>
            <w:tcW w:w="56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Premium paid on marketable securities</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(73)</w:t>
            </w:r>
          </w:p>
        </w:tc>
      </w:tr>
      <w:tr>
        <w:trPr>
          <w:trHeight w:val="180"/>
        </w:trPr>
        <w:tc>
          <w:tcPr>
            <w:tcW w:w="562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Amortization (accretion) of premiums (discounts) on marketable securities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(1,138)</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(2,856)</w:t>
            </w:r>
          </w:p>
        </w:tc>
      </w:tr>
      <w:tr>
        <w:trPr>
          <w:trHeight w:val="180"/>
        </w:trPr>
        <w:tc>
          <w:tcPr>
            <w:tcW w:w="56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5"/>
                <w:szCs w:val="15"/>
                <w:color w:val="auto"/>
              </w:rPr>
            </w:pPr>
          </w:p>
        </w:tc>
      </w:tr>
      <w:tr>
        <w:trPr>
          <w:trHeight w:val="180"/>
        </w:trPr>
        <w:tc>
          <w:tcPr>
            <w:tcW w:w="562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Change in fair value of Series 1 nonconvertible preferred stock</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6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(236)</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1,968</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11,704</w:t>
            </w:r>
          </w:p>
        </w:tc>
        <w:tc>
          <w:tcPr>
            <w:tcW w:w="100" w:type="dxa"/>
            <w:vAlign w:val="bottom"/>
            <w:shd w:val="clear" w:color="auto" w:fill="CFF0FC"/>
          </w:tcPr>
          <w:p>
            <w:pPr>
              <w:spacing w:after="0"/>
              <w:rPr>
                <w:sz w:val="15"/>
                <w:szCs w:val="15"/>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3,823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r>
      <w:tr>
        <w:trPr>
          <w:trHeight w:val="180"/>
        </w:trPr>
        <w:tc>
          <w:tcPr>
            <w:tcW w:w="5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Income tax receivable</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31,999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(995)</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(2,286)</w:t>
            </w:r>
          </w:p>
        </w:tc>
      </w:tr>
      <w:tr>
        <w:trPr>
          <w:trHeight w:val="180"/>
        </w:trPr>
        <w:tc>
          <w:tcPr>
            <w:tcW w:w="5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4,308</w:t>
            </w:r>
          </w:p>
        </w:tc>
        <w:tc>
          <w:tcPr>
            <w:tcW w:w="24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6,096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4,598</w:t>
            </w:r>
          </w:p>
        </w:tc>
      </w:tr>
      <w:tr>
        <w:trPr>
          <w:trHeight w:val="180"/>
        </w:trPr>
        <w:tc>
          <w:tcPr>
            <w:tcW w:w="5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(107)</w:t>
            </w:r>
          </w:p>
        </w:tc>
      </w:tr>
      <w:tr>
        <w:trPr>
          <w:trHeight w:val="180"/>
        </w:trPr>
        <w:tc>
          <w:tcPr>
            <w:tcW w:w="5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(1,311)</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(1,151)</w:t>
            </w:r>
          </w:p>
        </w:tc>
      </w:tr>
      <w:tr>
        <w:trPr>
          <w:trHeight w:val="180"/>
        </w:trPr>
        <w:tc>
          <w:tcPr>
            <w:tcW w:w="5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(5,646)</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(2,558)</w:t>
            </w:r>
          </w:p>
        </w:tc>
      </w:tr>
      <w:tr>
        <w:trPr>
          <w:trHeight w:val="180"/>
        </w:trPr>
        <w:tc>
          <w:tcPr>
            <w:tcW w:w="5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1,237</w:t>
            </w:r>
          </w:p>
        </w:tc>
        <w:tc>
          <w:tcPr>
            <w:tcW w:w="24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4,994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(2,567)</w:t>
            </w:r>
          </w:p>
        </w:tc>
      </w:tr>
      <w:tr>
        <w:trPr>
          <w:trHeight w:val="180"/>
        </w:trPr>
        <w:tc>
          <w:tcPr>
            <w:tcW w:w="5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(432)</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FF0FC"/>
          </w:tcPr>
          <w:p>
            <w:pPr>
              <w:spacing w:after="0"/>
              <w:rPr>
                <w:sz w:val="15"/>
                <w:szCs w:val="15"/>
                <w:color w:val="auto"/>
              </w:rPr>
            </w:pPr>
          </w:p>
        </w:tc>
      </w:tr>
      <w:tr>
        <w:trPr>
          <w:trHeight w:val="180"/>
        </w:trPr>
        <w:tc>
          <w:tcPr>
            <w:tcW w:w="56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(19,272)</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(78,764)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(103,154)</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 of marketable securities</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(209,629)</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(307,282)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(373,391)</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Proceeds from maturities and sale of marketable securities</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262,872</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383,465</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328,871</w:t>
            </w: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 of property and equipment</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(12,896)</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(17,948)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(9,058)</w:t>
            </w:r>
          </w:p>
        </w:tc>
      </w:tr>
      <w:tr>
        <w:trPr>
          <w:trHeight w:val="180"/>
        </w:trPr>
        <w:tc>
          <w:tcPr>
            <w:tcW w:w="562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40,347</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58,235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(53,578)</w:t>
            </w: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Payments on royalty sale liability, net of imputed interest</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(26,486)</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(27,479)</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2,208</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Proceeds from the sale of future royalties</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200,000</w:t>
            </w: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Payments for debt issuance costs</w:t>
            </w:r>
          </w:p>
        </w:tc>
        <w:tc>
          <w:tcPr>
            <w:tcW w:w="26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(325)</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Payments for settlement of share-based awards</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(3,757)</w:t>
            </w:r>
          </w:p>
        </w:tc>
      </w:tr>
      <w:tr>
        <w:trPr>
          <w:trHeight w:val="180"/>
        </w:trPr>
        <w:tc>
          <w:tcPr>
            <w:tcW w:w="562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(26,618)</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(27,626)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198,126</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(5,543)</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(48,155)</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41,394</w:t>
            </w:r>
          </w:p>
        </w:tc>
        <w:tc>
          <w:tcPr>
            <w:tcW w:w="100" w:type="dxa"/>
            <w:vAlign w:val="bottom"/>
            <w:shd w:val="clear" w:color="auto" w:fill="CFF0FC"/>
          </w:tcPr>
          <w:p>
            <w:pPr>
              <w:spacing w:after="0"/>
              <w:rPr>
                <w:sz w:val="15"/>
                <w:szCs w:val="15"/>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41,201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89,356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47,962</w:t>
            </w:r>
          </w:p>
        </w:tc>
        <w:tc>
          <w:tcPr>
            <w:tcW w:w="100" w:type="dxa"/>
            <w:vAlign w:val="bottom"/>
          </w:tcPr>
          <w:p>
            <w:pPr>
              <w:spacing w:after="0"/>
              <w:rPr>
                <w:sz w:val="15"/>
                <w:szCs w:val="15"/>
                <w:color w:val="auto"/>
              </w:rPr>
            </w:pPr>
          </w:p>
        </w:tc>
      </w:tr>
      <w:tr>
        <w:trPr>
          <w:trHeight w:val="220"/>
        </w:trPr>
        <w:tc>
          <w:tcPr>
            <w:tcW w:w="56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35,658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41,201</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89,356</w:t>
            </w:r>
          </w:p>
        </w:tc>
        <w:tc>
          <w:tcPr>
            <w:tcW w:w="100" w:type="dxa"/>
            <w:vAlign w:val="bottom"/>
            <w:shd w:val="clear" w:color="auto" w:fill="CFF0FC"/>
          </w:tcPr>
          <w:p>
            <w:pPr>
              <w:spacing w:after="0"/>
              <w:rPr>
                <w:sz w:val="19"/>
                <w:szCs w:val="19"/>
                <w:color w:val="auto"/>
              </w:rPr>
            </w:pPr>
          </w:p>
        </w:tc>
      </w:tr>
      <w:tr>
        <w:trPr>
          <w:trHeight w:val="156"/>
        </w:trPr>
        <w:tc>
          <w:tcPr>
            <w:tcW w:w="56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0"/>
        </w:trPr>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paid for taxes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4,899</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8,794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11,710</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1,987</w:t>
            </w:r>
          </w:p>
        </w:tc>
      </w:tr>
      <w:tr>
        <w:trPr>
          <w:trHeight w:val="216"/>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received from tenant improvement allowances</w:t>
            </w: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5,881</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9,358</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1,994</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received from income tax refund</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7"/>
        </w:trPr>
        <w:tc>
          <w:tcPr>
            <w:tcW w:w="562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Purchases of fixed assets included in accounts payable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5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5,597</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6"/>
                <w:szCs w:val="16"/>
                <w:color w:val="auto"/>
              </w:rPr>
            </w:pPr>
          </w:p>
        </w:tc>
      </w:tr>
      <w:tr>
        <w:trPr>
          <w:trHeight w:val="180"/>
        </w:trPr>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1,199</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23,960</w:t>
            </w:r>
          </w:p>
        </w:tc>
        <w:tc>
          <w:tcPr>
            <w:tcW w:w="1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3,817</w:t>
            </w: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419735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500"/>
          </w:cols>
          <w:pgMar w:left="1200" w:top="1359" w:right="1200" w:bottom="1440" w:gutter="0" w:footer="0" w:header="0"/>
        </w:sectPr>
      </w:pPr>
    </w:p>
    <w:bookmarkStart w:id="86" w:name="page87"/>
    <w:bookmarkEnd w:id="86"/>
    <w:p>
      <w:pPr>
        <w:ind w:left="3940"/>
        <w:spacing w:after="0"/>
        <w:rPr>
          <w:sz w:val="20"/>
          <w:szCs w:val="20"/>
          <w:color w:val="auto"/>
        </w:rPr>
      </w:pPr>
      <w:r>
        <w:rPr>
          <w:rFonts w:ascii="Times New Roman" w:cs="Times New Roman" w:eastAsia="Times New Roman" w:hAnsi="Times New Roman"/>
          <w:sz w:val="16"/>
          <w:szCs w:val="16"/>
          <w:b w:val="1"/>
          <w:bCs w:val="1"/>
          <w:color w:val="auto"/>
        </w:rPr>
        <w:t>ENANTA PHARMACEUTICALS, INC.</w:t>
      </w:r>
    </w:p>
    <w:p>
      <w:pPr>
        <w:spacing w:after="0" w:line="9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Nature of the Business</w:t>
      </w:r>
    </w:p>
    <w:p>
      <w:pPr>
        <w:spacing w:after="0" w:line="9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4"/>
          <w:szCs w:val="14"/>
          <w:color w:val="auto"/>
        </w:rPr>
        <w:t>Enanta Pharmaceuticals, Inc. (collectively with its subsidiary, the “Company”), incorporated in Delaware in 1995, is a biotechnology company that uses its robust, chemistry-driven approach and drug discovery capabilities to discover and develop small molecule drugs with an emphasis on virology and immunology. The Company discovered glecaprevir, the second of two antiviral protease inhibitors discovered and developed through its collaboration with AbbVie for the treatment of chronic infection with hepatitis C virus, or HCV. Glecaprevir is co-formulated as part of AbbVie’s leading brand of direct-acting antiviral, or DAA, combination treatment for</w:t>
      </w:r>
    </w:p>
    <w:p>
      <w:pPr>
        <w:spacing w:after="0" w:line="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6"/>
          <w:szCs w:val="16"/>
          <w:color w:val="auto"/>
        </w:rPr>
        <w:t>HCV, which has been marketed under the tradenames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(U.S.) and MAVIRET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(ex-U.S.) (glecaprevir/pibrentasvir) since 2017 for the treatment of chronic HCV. MAVYRET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was also approved as the first and only treatment for acute HCV infection in June 2025.</w:t>
      </w:r>
    </w:p>
    <w:p>
      <w:pPr>
        <w:spacing w:after="0" w:line="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167" w:lineRule="exact"/>
        <w:rPr>
          <w:sz w:val="20"/>
          <w:szCs w:val="20"/>
          <w:color w:val="auto"/>
        </w:rPr>
      </w:pPr>
    </w:p>
    <w:p>
      <w:pPr>
        <w:ind w:right="7520" w:firstLine="6"/>
        <w:spacing w:after="0" w:line="361" w:lineRule="auto"/>
        <w:tabs>
          <w:tab w:leader="none" w:pos="15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spacing w:after="0" w:line="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 . Any reference in these notes to applicable guidance is meant to refer to the authoritative GAAP as found in the Accounting Standards Codification and Accounting Standards Update (“ASU”) of the Financial Accounting Standards Board (“FASB”).</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Equivalents and Marketable Securities</w:t>
      </w:r>
    </w:p>
    <w:p>
      <w:pPr>
        <w:spacing w:after="0" w:line="94"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The Company considers all short- 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7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Company classifies all of its marketable securities as available -for-sale. The Company continually evaluates the credit ratings of its investment portfolio and underlying securities. The Company invests in accordance with its investment policy and invests at the date of purchase in securities with a rating of A3/A- or higher according to Moody’s or S&amp;P or A- by Fitch. The Company reports available-for- 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within the consolidated statements of operations. When the fair value is below the amortized cost of a marketable security, an estimate of expected credit losses is made. The credit-related impairment amount is recognized in the consolidated statements of operations. Credit losses are recognized through the use of an allowance for credit losses account in the consolidated balance sheet and subsequent improvements in expected credit losses are recognized as a reversal of an amount in the allowance account. If the Company has the intent to sell the security or it is more likely than not that the Company will be required to sell the security prior to recovery of its amortized cost basis, then the allowance for the credit loss is written-off and the excess of the amortized cost basis of the asset over its fair value is recorded in the consolidated statements of operations. There were no credit losses recorded during the years ended September 30, 2025, 2024, and 2023.</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59" w:right="640" w:bottom="1440" w:gutter="0" w:footer="0" w:header="0"/>
        </w:sectPr>
      </w:pPr>
    </w:p>
    <w:bookmarkStart w:id="87" w:name="page88"/>
    <w:bookmarkEnd w:id="87"/>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9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As of September 30, 2025 and 2024, the Company had outstanding letters of credit collateralized by a money market account totaling $3,360 and $3,968 respectively, to the benefit of the landlord of the Company’s building leases. A total of $3,360 is classified as long-term restricted cash as of September 30, 2025. As of September 30, 2024, $608 was classified as short-term restricted cash and $3,360 was classified as long-term restricted cash based on the lease term end date of the Company's facility lease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 and of Significant Customers and Suppliers</w:t>
      </w:r>
    </w:p>
    <w:p>
      <w:pPr>
        <w:spacing w:after="0" w:line="9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cash equivalents, short-term and long- term marketable securities and accounts receivable. The Company has all cash and investment balances at one accredited financial institution, including cash in amounts that exceed federally insured limits. The Company does not believe it is subject to unusual credit risk beyond the normal credit risk associated with commercial banking relationships.</w:t>
      </w:r>
    </w:p>
    <w:p>
      <w:pPr>
        <w:spacing w:after="0" w:line="71"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The Company has historically generated the majority of its revenue from its collaborative research and license agreements. As of September 30, 2025 and 2024, accounts receivable consisted of amounts due from the Company’s principal collaborator (see Note 7).</w:t>
      </w:r>
    </w:p>
    <w:p>
      <w:pPr>
        <w:spacing w:after="0" w:line="5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Company is completely dependent on third-party manufacturers for product supply for preclinical and clinical research activities. The Company relies and expects to continue to rely exclusively on several manufacturers to supply the Company with its drug supply requirements related to these activities. These research programs would be adversely affected by a significant interruption in the supply from these third-party manufacturers.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9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that are used to measure fair value, of which the first two levels are considered observable and the last is considered unobservable: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•Level 1—Quoted prices in active markets for identical assets or liabilities.</w:t>
      </w:r>
    </w:p>
    <w:p>
      <w:pPr>
        <w:spacing w:after="0" w:line="92"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6"/>
          <w:szCs w:val="16"/>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59" w:lineRule="exact"/>
        <w:rPr>
          <w:sz w:val="20"/>
          <w:szCs w:val="20"/>
          <w:color w:val="auto"/>
        </w:rPr>
      </w:pPr>
    </w:p>
    <w:p>
      <w:pPr>
        <w:ind w:left="480" w:right="200"/>
        <w:spacing w:after="0" w:line="259" w:lineRule="auto"/>
        <w:rPr>
          <w:sz w:val="20"/>
          <w:szCs w:val="20"/>
          <w:color w:val="auto"/>
        </w:rPr>
      </w:pPr>
      <w:r>
        <w:rPr>
          <w:rFonts w:ascii="Times New Roman" w:cs="Times New Roman" w:eastAsia="Times New Roman" w:hAnsi="Times New Roman"/>
          <w:sz w:val="16"/>
          <w:szCs w:val="16"/>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Company’s instruments that are carried at fair value are cash equivalents, short-term marketable securities and the Series 1 nonconvertible preferred stock. The carrying values of accounts receivable, prepaid expenses and other current assets, accounts payable, and accrued expenses and other current liabilities approximate their fair value due to the short-term nature of these assets and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Depreciation expense is recognized using the straight-line method over the following estimated useful lives:</w:t>
      </w:r>
    </w:p>
    <w:p>
      <w:pPr>
        <w:spacing w:after="0" w:line="163"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Laboratory and office equipment</w:t>
            </w:r>
          </w:p>
        </w:tc>
        <w:tc>
          <w:tcPr>
            <w:tcW w:w="3740" w:type="dxa"/>
            <w:vAlign w:val="bottom"/>
          </w:tcPr>
          <w:p>
            <w:pPr>
              <w:jc w:val="center"/>
              <w:ind w:left="802"/>
              <w:spacing w:after="0"/>
              <w:rPr>
                <w:sz w:val="20"/>
                <w:szCs w:val="20"/>
                <w:color w:val="auto"/>
              </w:rPr>
            </w:pPr>
            <w:r>
              <w:rPr>
                <w:rFonts w:ascii="Times New Roman" w:cs="Times New Roman" w:eastAsia="Times New Roman" w:hAnsi="Times New Roman"/>
                <w:sz w:val="16"/>
                <w:szCs w:val="16"/>
                <w:color w:val="auto"/>
              </w:rPr>
              <w:t>5 years</w:t>
            </w: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3740" w:type="dxa"/>
            <w:vAlign w:val="bottom"/>
          </w:tcPr>
          <w:p>
            <w:pPr>
              <w:jc w:val="center"/>
              <w:ind w:left="802"/>
              <w:spacing w:after="0" w:line="180" w:lineRule="exact"/>
              <w:rPr>
                <w:sz w:val="20"/>
                <w:szCs w:val="20"/>
                <w:color w:val="auto"/>
              </w:rPr>
            </w:pPr>
            <w:r>
              <w:rPr>
                <w:rFonts w:ascii="Times New Roman" w:cs="Times New Roman" w:eastAsia="Times New Roman" w:hAnsi="Times New Roman"/>
                <w:sz w:val="16"/>
                <w:szCs w:val="16"/>
                <w:color w:val="auto"/>
                <w:w w:val="97"/>
              </w:rPr>
              <w:t>Shorter of life of lease or estimated useful life</w:t>
            </w: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Purchased software</w:t>
            </w:r>
          </w:p>
        </w:tc>
        <w:tc>
          <w:tcPr>
            <w:tcW w:w="3740" w:type="dxa"/>
            <w:vAlign w:val="bottom"/>
          </w:tcPr>
          <w:p>
            <w:pPr>
              <w:jc w:val="center"/>
              <w:ind w:left="802"/>
              <w:spacing w:after="0" w:line="180" w:lineRule="exact"/>
              <w:rPr>
                <w:sz w:val="20"/>
                <w:szCs w:val="20"/>
                <w:color w:val="auto"/>
              </w:rPr>
            </w:pPr>
            <w:r>
              <w:rPr>
                <w:rFonts w:ascii="Times New Roman" w:cs="Times New Roman" w:eastAsia="Times New Roman" w:hAnsi="Times New Roman"/>
                <w:sz w:val="16"/>
                <w:szCs w:val="16"/>
                <w:color w:val="auto"/>
              </w:rPr>
              <w:t>3 years</w:t>
            </w: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Computer equipment</w:t>
            </w:r>
          </w:p>
        </w:tc>
        <w:tc>
          <w:tcPr>
            <w:tcW w:w="3740" w:type="dxa"/>
            <w:vAlign w:val="bottom"/>
          </w:tcPr>
          <w:p>
            <w:pPr>
              <w:jc w:val="center"/>
              <w:ind w:left="802"/>
              <w:spacing w:after="0" w:line="180" w:lineRule="exact"/>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Furniture</w:t>
            </w:r>
          </w:p>
        </w:tc>
        <w:tc>
          <w:tcPr>
            <w:tcW w:w="3740" w:type="dxa"/>
            <w:vAlign w:val="bottom"/>
          </w:tcPr>
          <w:p>
            <w:pPr>
              <w:jc w:val="center"/>
              <w:ind w:left="802"/>
              <w:spacing w:after="0"/>
              <w:rPr>
                <w:sz w:val="20"/>
                <w:szCs w:val="20"/>
                <w:color w:val="auto"/>
              </w:rPr>
            </w:pPr>
            <w:r>
              <w:rPr>
                <w:rFonts w:ascii="Times New Roman" w:cs="Times New Roman" w:eastAsia="Times New Roman" w:hAnsi="Times New Roman"/>
                <w:sz w:val="16"/>
                <w:szCs w:val="16"/>
                <w:color w:val="auto"/>
              </w:rPr>
              <w:t>7 years</w:t>
            </w:r>
          </w:p>
        </w:tc>
      </w:tr>
    </w:tbl>
    <w:p>
      <w:pPr>
        <w:spacing w:after="0" w:line="15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of assets disposed are removed from the accounts and any resulting gain or loss is included in other income (expense) in the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94"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6"/>
          <w:szCs w:val="16"/>
          <w:color w:val="auto"/>
        </w:rPr>
        <w:t>The Company accounts for a contract as a lease when it has the right to control the asset for a period of time while obtaining substantially all of the asset’s economic benefits. The Company determines if an arrangement is a lease or contains an embedded lease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8" w:name="page89"/>
    <w:bookmarkEnd w:id="88"/>
    <w:p>
      <w:pPr>
        <w:spacing w:after="0" w:line="284" w:lineRule="auto"/>
        <w:rPr>
          <w:sz w:val="20"/>
          <w:szCs w:val="20"/>
          <w:color w:val="auto"/>
        </w:rPr>
      </w:pPr>
      <w:r>
        <w:rPr>
          <w:rFonts w:ascii="Times New Roman" w:cs="Times New Roman" w:eastAsia="Times New Roman" w:hAnsi="Times New Roman"/>
          <w:sz w:val="14"/>
          <w:szCs w:val="14"/>
          <w:color w:val="auto"/>
        </w:rPr>
        <w:t>at inception. For arrangements that meet the definition of a lease, the Company determines the initial classification and measurement of its right-of-use asset and lease liability at the lease commencement date and thereafter if modified. The lease term includes any renewal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Company’s policy is to not record leases with an original term of 12 months or less on its consolidated balance sheets and recognizes those lease payments in the consolidated statements of operations on a straight-line basis over the lease term.</w:t>
      </w:r>
    </w:p>
    <w:p>
      <w:pPr>
        <w:spacing w:after="0" w:line="4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addition to rent, the leases may require the Company to pay additional costs, such as utilities, maintenance and other operating costs, which are generally referred to as non-lease components. The Company has elected to not separate lease and non-lease components. Only the fixed costs for lease components and their associated non-lease components are accounted for as a single lease component and recognized as part of a right-of-use asset and lease liability. Rent expense for operating leases is recognized on a straight-line basis over the reasonably assured lease term based on the total lease payments and is included in operating expense in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94"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6"/>
          <w:szCs w:val="16"/>
          <w:color w:val="auto"/>
        </w:rPr>
        <w:t>The Company reviews long-lived assets, primarily property and equipment and right-of-use assets,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 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Liability Related to the Sale of Future Royalties</w:t>
      </w:r>
    </w:p>
    <w:p>
      <w:pPr>
        <w:spacing w:after="0" w:line="19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In April 2023, the Company entered into a royalty sale agreement with an affiliate of OMERS, pursuant to which the Company was paid a $200,000 cash purchase price in exchange for 54.5% of the Company’s future quarterly royalty payments on net sales of MAVYRET/MAVIRET. The Company recognized the $200,000 received from OMERS as a liability on its consolidated balance sheets because the $200,000 will be paid back to OMERS up to a 1.42 capped amount and the Company has significant continuing involvement under the AbbVie Agreement. Interest expense for the liability related to the sale of future royalties is recognized using the effective interest rate method over the term of the royalty sale agreement.</w:t>
      </w:r>
    </w:p>
    <w:p>
      <w:pPr>
        <w:spacing w:after="0" w:line="16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liability related to the sale of future royalties and related interest expense are based on current estimates of future royalties, which the Company determines by using third-party forecasts of MAVYRET/MAVIRET sales.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recognizing the related non-cash interest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9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w:t>
      </w:r>
    </w:p>
    <w:p>
      <w:pPr>
        <w:spacing w:after="0" w:line="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Company recognizes revenue to depict the transfer of promised goods or services to customers in an amount that reflects the consideration to which the Company expects to be entitled in exchange for those goods or services. The Company receives sales-based royalties for which the license is deemed to be the predominant item to which the royalties relate and thus the Company recognizes sales-based royalties as the underlying sales are earned.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94"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6"/>
          <w:szCs w:val="16"/>
          <w:color w:val="auto"/>
        </w:rPr>
        <w:t>Included in research and development costs are wages, stock-based compensation and benefits of employees performing research and development, third-party license fees and other operational costs related to the Company’s research and development activities, including facility-related expenses and external costs of outside contractors engaged to conduct both preclinical and clinical studies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61" w:right="660" w:bottom="1440" w:gutter="0" w:footer="0" w:header="0"/>
        </w:sectPr>
      </w:pPr>
    </w:p>
    <w:bookmarkStart w:id="89" w:name="page90"/>
    <w:bookmarkEnd w:id="89"/>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manufacture quantities of product for preclinical and clinical studies. The Company expenses the cost of each contract as the work is performed.</w:t>
      </w:r>
    </w:p>
    <w:p>
      <w:pPr>
        <w:spacing w:after="0" w:line="92"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and Pharmaceutical Drug Manufacturing Accruals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has entered into various contracts with third parties to perform research and development and pharmaceutical drug manufacturing. This includes contracts with contract research organizations (“CROs”), clinical manufacturing organizations (“CMOs”), testing laboratories, research hospitals and not for profit organizations and other entities to support our research and development activities. When billing terms under these contracts do not coincide with the timing of when the work is performed, the Company is required to make estimates of outstanding obligations to those third parties as of period end. The accrual estimates are based on a number of factors, including the Company’s knowledge of the research and development programs and pharmaceutical drug manufacturing activities and associated timelines, invoicing to date, and the provisions in the contract. Significant judgments and estimates are made in determining the accrued balances at the end of any reporting period. Actual results could differ from our estimates.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Patent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patent-related costs incurred in connection with filing and prosecuting patent applications are recorded as general and administrative expenses as incurred.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4"/>
          <w:szCs w:val="14"/>
          <w:color w:val="auto"/>
        </w:rPr>
        <w:t>The Company measures all stock options and other stock- based awards granted to employees at fair value on the date of grant. The Company uses the Black -Scholes option-pricing model in the valuation of its stock options. The fair value of restricted stock units with service-based and performance-based vesting is based on the fair value of the stock on the date of grant. The Company uses the Monte-Carlo model to calculate the fair value on the date of grant of market-based awards. The fair value of service-based awards is recognized as stock-based compensation expense over the requisite service period, which is generally the vesting period of the respective award. For awards with graded vesting, the straight-line method of expense recognition is applied to all awards with service-only based conditions. The Company uses the graded-vesting method to record the expense of awards with both service-based and performance-based vesting conditions, commencing once achievement of the performance condition becomes probable. The Company classifies stock-based compensation expense in the consolidated statements of operations in the same manner in which the award recipient’s payroll costs are classified. The Company accounts for stock-based compensation expense related to forfeitures as the forfeitures occur.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income tax expense.</w:t>
      </w:r>
    </w:p>
    <w:p>
      <w:pPr>
        <w:spacing w:after="0" w:line="7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The realization of deferred tax assets is dependent upon the Company’s ability to generate future taxable income during the periods in which those temporary differences become deductible. Potential for recovery of deferred tax assets is evaluated by estimating the future taxable profits expected and considering prudent and feasible tax planning strategies.</w:t>
      </w:r>
    </w:p>
    <w:p>
      <w:pPr>
        <w:spacing w:after="0" w:line="7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Uncertain tax positions represent tax positions for which reserves have been established. The Company accounts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0" w:name="page91"/>
    <w:bookmarkEnd w:id="90"/>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common shares outstanding for the period, including potential dilutive common shares assuming the dilutive effect of outstanding stock options and unvested restricted stock units. For periods in which the Company reported a net loss, diluted net loss per common share is the same as basic net loss per common share, since dilutive common shares are not assumed to have been issued if their effect is anti-dilutive.</w:t>
      </w:r>
    </w:p>
    <w:p>
      <w:pPr>
        <w:spacing w:after="0" w:line="7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Company reported net losses for each of the years ended September 30, 2025, 2024, and 2023.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152"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60" w:type="dxa"/>
            <w:vAlign w:val="bottom"/>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80" w:type="dxa"/>
            <w:vAlign w:val="bottom"/>
          </w:tcPr>
          <w:p>
            <w:pPr>
              <w:spacing w:after="0"/>
              <w:rPr>
                <w:sz w:val="15"/>
                <w:szCs w:val="15"/>
                <w:color w:val="auto"/>
              </w:rPr>
            </w:pPr>
          </w:p>
        </w:tc>
      </w:tr>
      <w:tr>
        <w:trPr>
          <w:trHeight w:val="216"/>
        </w:trPr>
        <w:tc>
          <w:tcPr>
            <w:tcW w:w="5740" w:type="dxa"/>
            <w:vAlign w:val="bottom"/>
          </w:tcPr>
          <w:p>
            <w:pPr>
              <w:ind w:left="53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8"/>
                <w:szCs w:val="18"/>
                <w:color w:val="auto"/>
              </w:rPr>
            </w:pPr>
          </w:p>
        </w:tc>
        <w:tc>
          <w:tcPr>
            <w:tcW w:w="1960" w:type="dxa"/>
            <w:vAlign w:val="bottom"/>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8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2"/>
        </w:trPr>
        <w:tc>
          <w:tcPr>
            <w:tcW w:w="5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80" w:type="dxa"/>
            <w:vAlign w:val="bottom"/>
          </w:tcPr>
          <w:p>
            <w:pPr>
              <w:spacing w:after="0"/>
              <w:rPr>
                <w:sz w:val="18"/>
                <w:szCs w:val="18"/>
                <w:color w:val="auto"/>
              </w:rPr>
            </w:pPr>
          </w:p>
        </w:tc>
      </w:tr>
      <w:tr>
        <w:trPr>
          <w:trHeight w:val="180"/>
        </w:trPr>
        <w:tc>
          <w:tcPr>
            <w:tcW w:w="5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Options to purchase common stock</w:t>
            </w: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5,759</w:t>
            </w:r>
          </w:p>
        </w:tc>
        <w:tc>
          <w:tcPr>
            <w:tcW w:w="1960" w:type="dxa"/>
            <w:vAlign w:val="bottom"/>
            <w:shd w:val="clear" w:color="auto" w:fill="CFF0FC"/>
          </w:tcPr>
          <w:p>
            <w:pPr>
              <w:jc w:val="right"/>
              <w:ind w:right="347"/>
              <w:spacing w:after="0" w:line="180" w:lineRule="exact"/>
              <w:rPr>
                <w:sz w:val="20"/>
                <w:szCs w:val="20"/>
                <w:color w:val="auto"/>
              </w:rPr>
            </w:pPr>
            <w:r>
              <w:rPr>
                <w:rFonts w:ascii="Times New Roman" w:cs="Times New Roman" w:eastAsia="Times New Roman" w:hAnsi="Times New Roman"/>
                <w:sz w:val="16"/>
                <w:szCs w:val="16"/>
                <w:color w:val="auto"/>
              </w:rPr>
              <w:t>5,184</w:t>
            </w:r>
          </w:p>
        </w:tc>
        <w:tc>
          <w:tcPr>
            <w:tcW w:w="128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4,365</w:t>
            </w:r>
          </w:p>
        </w:tc>
      </w:tr>
      <w:tr>
        <w:trPr>
          <w:trHeight w:val="180"/>
        </w:trPr>
        <w:tc>
          <w:tcPr>
            <w:tcW w:w="5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Unvested rTSRUs</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960" w:type="dxa"/>
            <w:vAlign w:val="bottom"/>
          </w:tcPr>
          <w:p>
            <w:pPr>
              <w:jc w:val="right"/>
              <w:ind w:right="347"/>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28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81</w:t>
            </w:r>
          </w:p>
        </w:tc>
      </w:tr>
      <w:tr>
        <w:trPr>
          <w:trHeight w:val="180"/>
        </w:trPr>
        <w:tc>
          <w:tcPr>
            <w:tcW w:w="57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Unvested PSUs</w:t>
            </w: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w:t>
            </w:r>
          </w:p>
        </w:tc>
        <w:tc>
          <w:tcPr>
            <w:tcW w:w="1960" w:type="dxa"/>
            <w:vAlign w:val="bottom"/>
            <w:shd w:val="clear" w:color="auto" w:fill="CFF0FC"/>
          </w:tcPr>
          <w:p>
            <w:pPr>
              <w:jc w:val="right"/>
              <w:ind w:right="347"/>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28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81</w:t>
            </w: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96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428</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Data</w:t>
      </w:r>
    </w:p>
    <w:p>
      <w:pPr>
        <w:spacing w:after="0" w:line="9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Company manages its operations as a single segment for the purposes of assessing performance and making operating decisions. The Company is a biotechnology company focused on discovering and developing small molecule drugs, with an emphasis on treatments for viral infections. Revenue is generated exclusively from transactions occurring with partners located in the United States, and all assets are held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p>
      <w:pPr>
        <w:spacing w:after="0" w:line="94" w:lineRule="exact"/>
        <w:rPr>
          <w:sz w:val="20"/>
          <w:szCs w:val="20"/>
          <w:color w:val="auto"/>
        </w:rPr>
      </w:pPr>
    </w:p>
    <w:p>
      <w:pPr>
        <w:jc w:val="both"/>
        <w:ind w:right="140"/>
        <w:spacing w:after="0" w:line="331" w:lineRule="auto"/>
        <w:rPr>
          <w:sz w:val="20"/>
          <w:szCs w:val="20"/>
          <w:color w:val="auto"/>
        </w:rPr>
      </w:pPr>
      <w:r>
        <w:rPr>
          <w:rFonts w:ascii="Times New Roman" w:cs="Times New Roman" w:eastAsia="Times New Roman" w:hAnsi="Times New Roman"/>
          <w:sz w:val="14"/>
          <w:szCs w:val="14"/>
          <w:color w:val="auto"/>
        </w:rPr>
        <w:t>Comprehensive income (loss) includes net income (loss) as well as other changes in stockholders’ equity that result from transactions and economic events other than those with stockholders. The Company’s only element of other comprehensive income (loss) is unrealized gains and losses on available-for-sale marketable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9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 xml:space="preserve">In August 2014, the FASB issued ASU 2014-15, </w:t>
      </w:r>
      <w:r>
        <w:rPr>
          <w:rFonts w:ascii="Times New Roman" w:cs="Times New Roman" w:eastAsia="Times New Roman" w:hAnsi="Times New Roman"/>
          <w:sz w:val="16"/>
          <w:szCs w:val="16"/>
          <w:i w:val="1"/>
          <w:iCs w:val="1"/>
          <w:color w:val="auto"/>
        </w:rPr>
        <w:t>Presentation of Financial Statements - Going Concern (Subtopic 205-40)</w:t>
      </w:r>
      <w:r>
        <w:rPr>
          <w:rFonts w:ascii="Times New Roman" w:cs="Times New Roman" w:eastAsia="Times New Roman" w:hAnsi="Times New Roman"/>
          <w:sz w:val="16"/>
          <w:szCs w:val="16"/>
          <w:color w:val="auto"/>
        </w:rPr>
        <w:t xml:space="preserve"> (“ASU 2014-15”). The Company adopted this standard as of September 30, 2017. The standard requires the Company to assess its ability 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its current cash, cash equivalents and short-term marketable securities on hand at September 30, 2025 will enable us to fund our operating expenses and capital expenditure requirements for at least the next twelve months beyond the date of issuance of these consolidated financial statements. The amount of capital available will depend on the Company’s management of its existing cash, cash equivalents and short-term marketable securities, as well as the cash flows from our retained portion of future HCV royalties. If the Company should require financing beyond these resources to fund its research and development efforts, it may not be able to obtain financing on acceptable terms, or at all.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92"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w:t>
      </w:r>
      <w:r>
        <w:rPr>
          <w:rFonts w:ascii="Times New Roman" w:cs="Times New Roman" w:eastAsia="Times New Roman" w:hAnsi="Times New Roman"/>
          <w:sz w:val="14"/>
          <w:szCs w:val="14"/>
          <w:color w:val="auto"/>
        </w:rPr>
        <w:t xml:space="preserve">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w:t>
      </w:r>
    </w:p>
    <w:p>
      <w:pPr>
        <w:spacing w:after="0" w:line="1"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16"/>
          <w:szCs w:val="16"/>
          <w:color w:val="auto"/>
        </w:rPr>
        <w:t>This amendment is effective for the Company in the fiscal year beginning October 1, 2024, and interim periods within the fiscal year beginning October 1, 2025, on a retrospective basis with early adoption permitted. The Company adopted ASU 2023-07 during the year ended September 30, 2025. See Note 16, Segment Information, for further information and disclosures.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92"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w:t>
      </w:r>
      <w:r>
        <w:rPr>
          <w:rFonts w:ascii="Times New Roman" w:cs="Times New Roman" w:eastAsia="Times New Roman" w:hAnsi="Times New Roman"/>
          <w:sz w:val="16"/>
          <w:szCs w:val="16"/>
          <w:color w:val="auto"/>
        </w:rPr>
        <w:t xml:space="preserve"> ("ASU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1" w:name="page92"/>
    <w:bookmarkEnd w:id="91"/>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adoption permitted. The Company is currently evaluating the potential impact that ASU 2023-09 may have on its financial statement disclosures.</w:t>
      </w:r>
    </w:p>
    <w:p>
      <w:pPr>
        <w:spacing w:after="0" w:line="9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 xml:space="preserve">In November 2024, the FASB issued ASU 2024- 03, </w:t>
      </w:r>
      <w:r>
        <w:rPr>
          <w:rFonts w:ascii="Times New Roman" w:cs="Times New Roman" w:eastAsia="Times New Roman" w:hAnsi="Times New Roman"/>
          <w:sz w:val="14"/>
          <w:szCs w:val="14"/>
          <w:i w:val="1"/>
          <w:iCs w:val="1"/>
          <w:color w:val="auto"/>
        </w:rPr>
        <w:t>Income Statement – Reporting Comprehensive Income – Expense Disaggregation Disclosures (Subtopic 220-40)</w:t>
      </w:r>
      <w:r>
        <w:rPr>
          <w:rFonts w:ascii="Times New Roman" w:cs="Times New Roman" w:eastAsia="Times New Roman" w:hAnsi="Times New Roman"/>
          <w:sz w:val="14"/>
          <w:szCs w:val="14"/>
          <w:color w:val="auto"/>
        </w:rPr>
        <w:t xml:space="preserve"> ("ASU 2024-03"), which requires public entities to provide disaggregated disclosure of income statement expenses. Public entities are required to disaggregate, in a tabular presentation, each relevant expense caption on the face of the consolidated statements of operations such as the following expenses: purchases of inventory, employee compensation, intangible asset amortization, and depreciation. ASU 2024 -03 is effective for the Company in the fiscal year beginning October 1, 2027, with early adoption permitted. The Company is currently evaluating the potential impact that ASU 2024-03 may have on its financial statement disclosures.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Fair Value of Financial Assets and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information about the Company’s financial assets and liabilities that were subject to fair value measurement on a recurring basis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and 2024 and indicate the fair value hierarchy of the valuation inputs utilized to determine such fair value:</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00" w:type="dxa"/>
            <w:vAlign w:val="bottom"/>
            <w:gridSpan w:val="13"/>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Measurements at September 30, 2025 Using:</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equivalents: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11,580</w:t>
            </w:r>
          </w:p>
        </w:tc>
        <w:tc>
          <w:tcPr>
            <w:tcW w:w="320" w:type="dxa"/>
            <w:vAlign w:val="bottom"/>
            <w:gridSpan w:val="2"/>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7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U.S. Treasury notes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156,566</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7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156,566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168,146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7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168,146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1 nonconvertible preferred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5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ind w:left="7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1,311</w:t>
            </w:r>
          </w:p>
        </w:tc>
        <w:tc>
          <w:tcPr>
            <w:tcW w:w="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12"/>
          </w:tcPr>
          <w:p>
            <w:pPr>
              <w:spacing w:after="0"/>
              <w:rPr>
                <w:sz w:val="20"/>
                <w:szCs w:val="20"/>
                <w:color w:val="auto"/>
              </w:rPr>
            </w:pPr>
            <w:r>
              <w:rPr>
                <w:rFonts w:ascii="Times New Roman" w:cs="Times New Roman" w:eastAsia="Times New Roman" w:hAnsi="Times New Roman"/>
                <w:sz w:val="13"/>
                <w:szCs w:val="13"/>
                <w:b w:val="1"/>
                <w:bCs w:val="1"/>
                <w:color w:val="auto"/>
              </w:rPr>
              <w:t>Fair Value Measurements at September 30, 2024 Using:</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7"/>
          </w:tcPr>
          <w:p>
            <w:pPr>
              <w:ind w:left="8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equivalents: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Money market funds</w:t>
            </w:r>
          </w:p>
        </w:tc>
        <w:tc>
          <w:tcPr>
            <w:tcW w:w="4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33,448</w:t>
            </w:r>
          </w:p>
        </w:tc>
        <w:tc>
          <w:tcPr>
            <w:tcW w:w="120" w:type="dxa"/>
            <w:vAlign w:val="bottom"/>
          </w:tcPr>
          <w:p>
            <w:pPr>
              <w:spacing w:after="0"/>
              <w:rPr>
                <w:sz w:val="15"/>
                <w:szCs w:val="15"/>
                <w:color w:val="auto"/>
              </w:rPr>
            </w:pPr>
          </w:p>
        </w:tc>
        <w:tc>
          <w:tcPr>
            <w:tcW w:w="2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U.S. Treasury notes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210,953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210,953</w:t>
            </w: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244,401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244,401</w:t>
            </w:r>
          </w:p>
        </w:tc>
        <w:tc>
          <w:tcPr>
            <w:tcW w:w="0" w:type="dxa"/>
            <w:vAlign w:val="bottom"/>
          </w:tcPr>
          <w:p>
            <w:pPr>
              <w:spacing w:after="0"/>
              <w:rPr>
                <w:sz w:val="1"/>
                <w:szCs w:val="1"/>
                <w:color w:val="auto"/>
              </w:rPr>
            </w:pPr>
          </w:p>
        </w:tc>
      </w:tr>
      <w:tr>
        <w:trPr>
          <w:trHeight w:val="156"/>
        </w:trPr>
        <w:tc>
          <w:tcPr>
            <w:tcW w:w="35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Series 1 nonconvertible preferred stock</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1,350</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20"/>
        </w:trPr>
        <w:tc>
          <w:tcPr>
            <w:tcW w:w="35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1,350</w:t>
            </w:r>
          </w:p>
        </w:tc>
        <w:tc>
          <w:tcPr>
            <w:tcW w:w="6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1,350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equivalents as of September 30, 2025 and 2024 consist of money market funds that are readily convertible to cash and with less than 90 days until maturity.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years ended September 30, 2025, 2024, and 2023, there were no transfers between Level 1, Level 2 and Level 3.</w:t>
      </w:r>
    </w:p>
    <w:p>
      <w:pPr>
        <w:spacing w:after="0" w:line="92"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6"/>
          <w:szCs w:val="16"/>
          <w:color w:val="auto"/>
        </w:rPr>
        <w:t>The fair value of Level 1 instruments are valued using quoted prices in active markets. 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outstanding shares of Series 1 nonconvertible preferred stock as of September 30, 2025 and 2024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consolidated statements of operations.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spacing w:after="0" w:line="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recurring Level 3 fair value measurements of the Company’s outstanding Series 1 nonconvertible preferred stock using probability-weighted discounted cash flow include the following significant unobservable inputs:</w:t>
      </w:r>
    </w:p>
    <w:p>
      <w:pPr>
        <w:spacing w:after="0" w:line="163"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Series 1 nonconvertible preferred stock</w:t>
            </w:r>
          </w:p>
        </w:tc>
        <w:tc>
          <w:tcPr>
            <w:tcW w:w="2180" w:type="dxa"/>
            <w:vAlign w:val="bottom"/>
          </w:tcPr>
          <w:p>
            <w:pPr>
              <w:spacing w:after="0"/>
              <w:rPr>
                <w:sz w:val="16"/>
                <w:szCs w:val="16"/>
                <w:color w:val="auto"/>
              </w:rPr>
            </w:pPr>
          </w:p>
        </w:tc>
        <w:tc>
          <w:tcPr>
            <w:tcW w:w="2780" w:type="dxa"/>
            <w:vAlign w:val="bottom"/>
          </w:tcPr>
          <w:p>
            <w:pPr>
              <w:jc w:val="center"/>
              <w:ind w:right="1469"/>
              <w:spacing w:after="0"/>
              <w:rPr>
                <w:sz w:val="20"/>
                <w:szCs w:val="20"/>
                <w:color w:val="auto"/>
              </w:rPr>
            </w:pPr>
            <w:r>
              <w:rPr>
                <w:rFonts w:ascii="Times New Roman" w:cs="Times New Roman" w:eastAsia="Times New Roman" w:hAnsi="Times New Roman"/>
                <w:sz w:val="13"/>
                <w:szCs w:val="13"/>
                <w:b w:val="1"/>
                <w:bCs w:val="1"/>
                <w:color w:val="auto"/>
              </w:rPr>
              <w:t>Range</w:t>
            </w:r>
          </w:p>
        </w:tc>
      </w:tr>
      <w:tr>
        <w:trPr>
          <w:trHeight w:val="156"/>
        </w:trPr>
        <w:tc>
          <w:tcPr>
            <w:tcW w:w="45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780" w:type="dxa"/>
            <w:vAlign w:val="bottom"/>
          </w:tcPr>
          <w:p>
            <w:pPr>
              <w:jc w:val="center"/>
              <w:ind w:right="1469"/>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0"/>
        </w:trPr>
        <w:tc>
          <w:tcPr>
            <w:tcW w:w="454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2180" w:type="dxa"/>
            <w:vAlign w:val="bottom"/>
          </w:tcPr>
          <w:p>
            <w:pPr>
              <w:jc w:val="center"/>
              <w:ind w:left="114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780" w:type="dxa"/>
            <w:vAlign w:val="bottom"/>
          </w:tcPr>
          <w:p>
            <w:pPr>
              <w:jc w:val="center"/>
              <w:ind w:left="609"/>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Probabilities of payout</w:t>
            </w:r>
          </w:p>
        </w:tc>
        <w:tc>
          <w:tcPr>
            <w:tcW w:w="2180" w:type="dxa"/>
            <w:vAlign w:val="bottom"/>
            <w:shd w:val="clear" w:color="auto" w:fill="CFF0FC"/>
          </w:tcPr>
          <w:p>
            <w:pPr>
              <w:jc w:val="center"/>
              <w:ind w:left="1146"/>
              <w:spacing w:after="0"/>
              <w:rPr>
                <w:sz w:val="20"/>
                <w:szCs w:val="20"/>
                <w:color w:val="auto"/>
              </w:rPr>
            </w:pPr>
            <w:r>
              <w:rPr>
                <w:rFonts w:ascii="Times New Roman" w:cs="Times New Roman" w:eastAsia="Times New Roman" w:hAnsi="Times New Roman"/>
                <w:sz w:val="16"/>
                <w:szCs w:val="16"/>
                <w:color w:val="auto"/>
                <w:w w:val="99"/>
              </w:rPr>
              <w:t>0%-65%</w:t>
            </w:r>
          </w:p>
        </w:tc>
        <w:tc>
          <w:tcPr>
            <w:tcW w:w="2780" w:type="dxa"/>
            <w:vAlign w:val="bottom"/>
            <w:shd w:val="clear" w:color="auto" w:fill="CFF0FC"/>
          </w:tcPr>
          <w:p>
            <w:pPr>
              <w:jc w:val="center"/>
              <w:ind w:left="589"/>
              <w:spacing w:after="0"/>
              <w:rPr>
                <w:sz w:val="20"/>
                <w:szCs w:val="20"/>
                <w:color w:val="auto"/>
              </w:rPr>
            </w:pPr>
            <w:r>
              <w:rPr>
                <w:rFonts w:ascii="Times New Roman" w:cs="Times New Roman" w:eastAsia="Times New Roman" w:hAnsi="Times New Roman"/>
                <w:sz w:val="16"/>
                <w:szCs w:val="16"/>
                <w:color w:val="auto"/>
                <w:w w:val="99"/>
              </w:rPr>
              <w:t>0%-65%</w:t>
            </w: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2180" w:type="dxa"/>
            <w:vAlign w:val="bottom"/>
          </w:tcPr>
          <w:p>
            <w:pPr>
              <w:jc w:val="center"/>
              <w:ind w:left="1146"/>
              <w:spacing w:after="0"/>
              <w:rPr>
                <w:sz w:val="20"/>
                <w:szCs w:val="20"/>
                <w:color w:val="auto"/>
              </w:rPr>
            </w:pPr>
            <w:r>
              <w:rPr>
                <w:rFonts w:ascii="Times New Roman" w:cs="Times New Roman" w:eastAsia="Times New Roman" w:hAnsi="Times New Roman"/>
                <w:sz w:val="16"/>
                <w:szCs w:val="16"/>
                <w:color w:val="auto"/>
                <w:w w:val="96"/>
              </w:rPr>
              <w:t>8.25%</w:t>
            </w:r>
          </w:p>
        </w:tc>
        <w:tc>
          <w:tcPr>
            <w:tcW w:w="2780" w:type="dxa"/>
            <w:vAlign w:val="bottom"/>
          </w:tcPr>
          <w:p>
            <w:pPr>
              <w:jc w:val="center"/>
              <w:ind w:left="589"/>
              <w:spacing w:after="0"/>
              <w:rPr>
                <w:sz w:val="20"/>
                <w:szCs w:val="20"/>
                <w:color w:val="auto"/>
              </w:rPr>
            </w:pPr>
            <w:r>
              <w:rPr>
                <w:rFonts w:ascii="Times New Roman" w:cs="Times New Roman" w:eastAsia="Times New Roman" w:hAnsi="Times New Roman"/>
                <w:sz w:val="16"/>
                <w:szCs w:val="16"/>
                <w:color w:val="auto"/>
                <w:w w:val="96"/>
              </w:rPr>
              <w:t>9.00%</w:t>
            </w:r>
          </w:p>
        </w:tc>
      </w:tr>
    </w:tbl>
    <w:p>
      <w:pPr>
        <w:spacing w:after="0" w:line="180"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following table provides a rollforward of the aggregate fair value of the Company’s outstanding Series 1 nonconvertible preferred stock for which fair value is determined by Level 3 inputs:</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7"/>
              </w:rPr>
              <w:t>Series 1</w:t>
            </w:r>
          </w:p>
        </w:tc>
      </w:tr>
      <w:tr>
        <w:trPr>
          <w:trHeight w:val="156"/>
        </w:trPr>
        <w:tc>
          <w:tcPr>
            <w:tcW w:w="4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Nonconvertible</w:t>
            </w:r>
          </w:p>
        </w:tc>
      </w:tr>
      <w:tr>
        <w:trPr>
          <w:trHeight w:val="156"/>
        </w:trPr>
        <w:tc>
          <w:tcPr>
            <w:tcW w:w="4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9"/>
              </w:rPr>
              <w:t>Preferred</w:t>
            </w:r>
          </w:p>
        </w:tc>
      </w:tr>
      <w:tr>
        <w:trPr>
          <w:trHeight w:val="174"/>
        </w:trPr>
        <w:tc>
          <w:tcPr>
            <w:tcW w:w="4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Stock</w:t>
            </w:r>
          </w:p>
        </w:tc>
      </w:tr>
      <w:tr>
        <w:trPr>
          <w:trHeight w:val="176"/>
        </w:trPr>
        <w:tc>
          <w:tcPr>
            <w:tcW w:w="4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4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80"/>
        </w:trPr>
        <w:tc>
          <w:tcPr>
            <w:tcW w:w="4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2860" w:type="dxa"/>
            <w:vAlign w:val="bottom"/>
            <w:gridSpan w:val="2"/>
            <w:shd w:val="clear" w:color="auto" w:fill="CFF0FC"/>
          </w:tcPr>
          <w:p>
            <w:pPr>
              <w:jc w:val="right"/>
              <w:ind w:right="4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1,423</w:t>
            </w:r>
          </w:p>
        </w:tc>
      </w:tr>
      <w:tr>
        <w:trPr>
          <w:trHeight w:val="180"/>
        </w:trPr>
        <w:tc>
          <w:tcPr>
            <w:tcW w:w="4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Change in fair value</w:t>
            </w:r>
          </w:p>
        </w:tc>
        <w:tc>
          <w:tcPr>
            <w:tcW w:w="2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24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1,423</w:t>
            </w:r>
          </w:p>
        </w:tc>
      </w:tr>
      <w:tr>
        <w:trPr>
          <w:trHeight w:val="180"/>
        </w:trPr>
        <w:tc>
          <w:tcPr>
            <w:tcW w:w="4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Change in fair value</w:t>
            </w:r>
          </w:p>
        </w:tc>
        <w:tc>
          <w:tcPr>
            <w:tcW w:w="2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(73)</w:t>
            </w:r>
          </w:p>
        </w:tc>
      </w:tr>
      <w:tr>
        <w:trPr>
          <w:trHeight w:val="180"/>
        </w:trPr>
        <w:tc>
          <w:tcPr>
            <w:tcW w:w="43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24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1,350</w:t>
            </w:r>
          </w:p>
        </w:tc>
      </w:tr>
      <w:tr>
        <w:trPr>
          <w:trHeight w:val="180"/>
        </w:trPr>
        <w:tc>
          <w:tcPr>
            <w:tcW w:w="43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Change in fair value</w:t>
            </w:r>
          </w:p>
        </w:tc>
        <w:tc>
          <w:tcPr>
            <w:tcW w:w="2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200"/>
        </w:trPr>
        <w:tc>
          <w:tcPr>
            <w:tcW w:w="43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2860" w:type="dxa"/>
            <w:vAlign w:val="bottom"/>
            <w:gridSpan w:val="2"/>
            <w:shd w:val="clear" w:color="auto" w:fill="CFF0FC"/>
          </w:tcPr>
          <w:p>
            <w:pPr>
              <w:jc w:val="right"/>
              <w:ind w:right="4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24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1,311</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September 30, 2025 and 2024 and is based on current estimates of future royalties expected to be paid to OMERS over the next 10 years, which are considered Level 3 inputs. See Note 8 for a rollforward of the liability.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Marketable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and 2024, the fair value of available-for-sale marketable securities, by type of security, was as follows:</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6"/>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460" w:type="dxa"/>
            <w:vAlign w:val="bottom"/>
            <w:gridSpan w:val="2"/>
            <w:shd w:val="clear" w:color="auto" w:fill="CFF0FC"/>
          </w:tcPr>
          <w:p>
            <w:pPr>
              <w:jc w:val="right"/>
              <w:ind w:right="3200"/>
              <w:spacing w:after="0" w:line="180" w:lineRule="exact"/>
              <w:rPr>
                <w:sz w:val="20"/>
                <w:szCs w:val="20"/>
                <w:color w:val="auto"/>
              </w:rPr>
            </w:pPr>
            <w:r>
              <w:rPr>
                <w:rFonts w:ascii="Times New Roman" w:cs="Times New Roman" w:eastAsia="Times New Roman" w:hAnsi="Times New Roman"/>
                <w:sz w:val="16"/>
                <w:szCs w:val="16"/>
                <w:color w:val="auto"/>
                <w:w w:val="97"/>
              </w:rPr>
              <w:t>U.S. Treasury notes</w:t>
            </w:r>
          </w:p>
        </w:tc>
        <w:tc>
          <w:tcPr>
            <w:tcW w:w="7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156,521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156,566</w:t>
            </w:r>
          </w:p>
        </w:tc>
      </w:tr>
      <w:tr>
        <w:trPr>
          <w:trHeight w:val="180"/>
        </w:trPr>
        <w:tc>
          <w:tcPr>
            <w:tcW w:w="44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156,521</w:t>
            </w:r>
          </w:p>
        </w:tc>
        <w:tc>
          <w:tcPr>
            <w:tcW w:w="30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w:t>
            </w:r>
          </w:p>
        </w:tc>
        <w:tc>
          <w:tcPr>
            <w:tcW w:w="30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vertAlign w:val="subscript"/>
              </w:rPr>
              <w:t>)</w:t>
            </w:r>
          </w:p>
        </w:tc>
        <w:tc>
          <w:tcPr>
            <w:tcW w:w="440" w:type="dxa"/>
            <w:vAlign w:val="bottom"/>
            <w:gridSpan w:val="2"/>
          </w:tcPr>
          <w:p>
            <w:pPr>
              <w:jc w:val="right"/>
              <w:ind w:right="234"/>
              <w:spacing w:after="0" w:line="16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ind w:left="300"/>
              <w:spacing w:after="0" w:line="160" w:lineRule="exact"/>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156,566</w:t>
            </w: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6"/>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460" w:type="dxa"/>
            <w:vAlign w:val="bottom"/>
            <w:gridSpan w:val="2"/>
            <w:shd w:val="clear" w:color="auto" w:fill="CFF0FC"/>
          </w:tcPr>
          <w:p>
            <w:pPr>
              <w:jc w:val="right"/>
              <w:ind w:right="3220"/>
              <w:spacing w:after="0" w:line="180" w:lineRule="exact"/>
              <w:rPr>
                <w:sz w:val="20"/>
                <w:szCs w:val="20"/>
                <w:color w:val="auto"/>
              </w:rPr>
            </w:pPr>
            <w:r>
              <w:rPr>
                <w:rFonts w:ascii="Times New Roman" w:cs="Times New Roman" w:eastAsia="Times New Roman" w:hAnsi="Times New Roman"/>
                <w:sz w:val="16"/>
                <w:szCs w:val="16"/>
                <w:color w:val="auto"/>
                <w:w w:val="95"/>
              </w:rPr>
              <w:t>U.S. Treasury notes</w:t>
            </w:r>
          </w:p>
        </w:tc>
        <w:tc>
          <w:tcPr>
            <w:tcW w:w="7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210,267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ind w:left="3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210,953</w:t>
            </w:r>
          </w:p>
        </w:tc>
      </w:tr>
      <w:tr>
        <w:trPr>
          <w:trHeight w:val="180"/>
        </w:trPr>
        <w:tc>
          <w:tcPr>
            <w:tcW w:w="44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210,267</w:t>
            </w:r>
          </w:p>
        </w:tc>
        <w:tc>
          <w:tcPr>
            <w:tcW w:w="3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686</w:t>
            </w:r>
          </w:p>
        </w:tc>
        <w:tc>
          <w:tcPr>
            <w:tcW w:w="3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2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210,953</w:t>
            </w: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and 2024 marketable securities consisted of investments that mature within one year.</w:t>
      </w:r>
    </w:p>
    <w:p>
      <w:pPr>
        <w:spacing w:after="0" w:line="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3" w:name="page94"/>
    <w:bookmarkEnd w:id="9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Property and Equipment,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September 30, 2025 and 2024:</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ind w:right="4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Leasehold improvements</w:t>
            </w:r>
          </w:p>
        </w:tc>
        <w:tc>
          <w:tcPr>
            <w:tcW w:w="2040" w:type="dxa"/>
            <w:vAlign w:val="bottom"/>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38,200</w:t>
            </w:r>
          </w:p>
        </w:tc>
        <w:tc>
          <w:tcPr>
            <w:tcW w:w="1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13,975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Laboratory and office equipment</w:t>
            </w: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Furniture</w:t>
            </w:r>
          </w:p>
        </w:tc>
        <w:tc>
          <w:tcPr>
            <w:tcW w:w="1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Computer equipment</w:t>
            </w: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Purchased software</w:t>
            </w:r>
          </w:p>
        </w:tc>
        <w:tc>
          <w:tcPr>
            <w:tcW w:w="1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73"/>
        </w:trPr>
        <w:tc>
          <w:tcPr>
            <w:tcW w:w="4820" w:type="dxa"/>
            <w:vAlign w:val="bottom"/>
            <w:shd w:val="clear" w:color="auto" w:fill="CFF0FC"/>
          </w:tcPr>
          <w:p>
            <w:pPr>
              <w:spacing w:after="0"/>
              <w:rPr>
                <w:sz w:val="6"/>
                <w:szCs w:val="6"/>
                <w:color w:val="auto"/>
              </w:rPr>
            </w:pPr>
          </w:p>
        </w:tc>
        <w:tc>
          <w:tcPr>
            <w:tcW w:w="17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progress</w:t>
            </w: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22,748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59,200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57,735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(23,805)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(25,047)</w:t>
            </w:r>
          </w:p>
        </w:tc>
        <w:tc>
          <w:tcPr>
            <w:tcW w:w="0" w:type="dxa"/>
            <w:vAlign w:val="bottom"/>
          </w:tcPr>
          <w:p>
            <w:pPr>
              <w:spacing w:after="0"/>
              <w:rPr>
                <w:sz w:val="1"/>
                <w:szCs w:val="1"/>
                <w:color w:val="auto"/>
              </w:rPr>
            </w:pPr>
          </w:p>
        </w:tc>
      </w:tr>
      <w:tr>
        <w:trPr>
          <w:trHeight w:val="200"/>
        </w:trPr>
        <w:tc>
          <w:tcPr>
            <w:tcW w:w="48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35,395</w:t>
            </w:r>
          </w:p>
        </w:tc>
        <w:tc>
          <w:tcPr>
            <w:tcW w:w="1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32,688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As of September 30, 2024, construction in progress related primarily to leasehold improvements for the new laboratory and office space located at 4 Kingsbury Avenue in Watertown, Massachusetts which was completed during the year ended September 30, 2025. Depreciation and amortization expense for property and equipment, was $4,586, $2,336 and $2,371 for the years ended September 30,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Accrued Expenses and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 as of September 30, 2025 and 2024:</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126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320" w:type="dxa"/>
            <w:vAlign w:val="bottom"/>
            <w:vMerge w:val="restart"/>
          </w:tcPr>
          <w:p>
            <w:pPr>
              <w:jc w:val="right"/>
              <w:ind w:right="7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Accrued payroll and related expenses</w:t>
            </w:r>
          </w:p>
        </w:tc>
        <w:tc>
          <w:tcPr>
            <w:tcW w:w="1260" w:type="dxa"/>
            <w:vAlign w:val="bottom"/>
            <w:shd w:val="clear" w:color="auto" w:fill="CFF0FC"/>
          </w:tcPr>
          <w:p>
            <w:pPr>
              <w:jc w:val="right"/>
              <w:ind w:right="11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6,469</w:t>
            </w:r>
          </w:p>
        </w:tc>
        <w:tc>
          <w:tcPr>
            <w:tcW w:w="660" w:type="dxa"/>
            <w:vAlign w:val="bottom"/>
            <w:gridSpan w:val="2"/>
            <w:shd w:val="clear" w:color="auto" w:fill="CFF0FC"/>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6,570</w:t>
            </w:r>
          </w:p>
        </w:tc>
        <w:tc>
          <w:tcPr>
            <w:tcW w:w="0" w:type="dxa"/>
            <w:vAlign w:val="bottom"/>
          </w:tcPr>
          <w:p>
            <w:pPr>
              <w:spacing w:after="0"/>
              <w:rPr>
                <w:sz w:val="1"/>
                <w:szCs w:val="1"/>
                <w:color w:val="auto"/>
              </w:rPr>
            </w:pPr>
          </w:p>
        </w:tc>
      </w:tr>
      <w:tr>
        <w:trPr>
          <w:trHeight w:val="180"/>
        </w:trPr>
        <w:tc>
          <w:tcPr>
            <w:tcW w:w="5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research and development expenses</w:t>
            </w:r>
          </w:p>
        </w:tc>
        <w:tc>
          <w:tcPr>
            <w:tcW w:w="1260" w:type="dxa"/>
            <w:vAlign w:val="bottom"/>
          </w:tcPr>
          <w:p>
            <w:pPr>
              <w:spacing w:after="0"/>
              <w:rPr>
                <w:sz w:val="15"/>
                <w:szCs w:val="15"/>
                <w:color w:val="auto"/>
              </w:rPr>
            </w:pPr>
          </w:p>
        </w:tc>
        <w:tc>
          <w:tcPr>
            <w:tcW w:w="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3,087</w:t>
            </w:r>
          </w:p>
        </w:tc>
        <w:tc>
          <w:tcPr>
            <w:tcW w:w="0" w:type="dxa"/>
            <w:vAlign w:val="bottom"/>
          </w:tcPr>
          <w:p>
            <w:pPr>
              <w:spacing w:after="0"/>
              <w:rPr>
                <w:sz w:val="1"/>
                <w:szCs w:val="1"/>
                <w:color w:val="auto"/>
              </w:rPr>
            </w:pPr>
          </w:p>
        </w:tc>
      </w:tr>
      <w:tr>
        <w:trPr>
          <w:trHeight w:val="180"/>
        </w:trPr>
        <w:tc>
          <w:tcPr>
            <w:tcW w:w="5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Accrued professional fees</w:t>
            </w:r>
          </w:p>
        </w:tc>
        <w:tc>
          <w:tcPr>
            <w:tcW w:w="12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1,386</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180"/>
        </w:trPr>
        <w:tc>
          <w:tcPr>
            <w:tcW w:w="5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Accrued pharmaceutical drug manufacturing</w:t>
            </w:r>
          </w:p>
        </w:tc>
        <w:tc>
          <w:tcPr>
            <w:tcW w:w="1260" w:type="dxa"/>
            <w:vAlign w:val="bottom"/>
          </w:tcPr>
          <w:p>
            <w:pPr>
              <w:spacing w:after="0"/>
              <w:rPr>
                <w:sz w:val="15"/>
                <w:szCs w:val="15"/>
                <w:color w:val="auto"/>
              </w:rPr>
            </w:pPr>
          </w:p>
        </w:tc>
        <w:tc>
          <w:tcPr>
            <w:tcW w:w="7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2,691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Accrued other</w:t>
            </w:r>
          </w:p>
        </w:tc>
        <w:tc>
          <w:tcPr>
            <w:tcW w:w="1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180"/>
        </w:trPr>
        <w:tc>
          <w:tcPr>
            <w:tcW w:w="5460" w:type="dxa"/>
            <w:vAlign w:val="bottom"/>
          </w:tcPr>
          <w:p>
            <w:pPr>
              <w:spacing w:after="0"/>
              <w:rPr>
                <w:sz w:val="15"/>
                <w:szCs w:val="15"/>
                <w:color w:val="auto"/>
              </w:rPr>
            </w:pPr>
          </w:p>
        </w:tc>
        <w:tc>
          <w:tcPr>
            <w:tcW w:w="1260" w:type="dxa"/>
            <w:vAlign w:val="bottom"/>
          </w:tcPr>
          <w:p>
            <w:pPr>
              <w:jc w:val="right"/>
              <w:ind w:right="11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12,751</w:t>
            </w:r>
          </w:p>
        </w:tc>
        <w:tc>
          <w:tcPr>
            <w:tcW w:w="100" w:type="dxa"/>
            <w:vAlign w:val="bottom"/>
          </w:tcPr>
          <w:p>
            <w:pPr>
              <w:spacing w:after="0"/>
              <w:rPr>
                <w:sz w:val="15"/>
                <w:szCs w:val="15"/>
                <w:color w:val="auto"/>
              </w:rPr>
            </w:pPr>
          </w:p>
        </w:tc>
        <w:tc>
          <w:tcPr>
            <w:tcW w:w="660" w:type="dxa"/>
            <w:vAlign w:val="bottom"/>
            <w:gridSpan w:val="2"/>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right="8640" w:firstLine="6"/>
        <w:spacing w:after="0" w:line="413" w:lineRule="auto"/>
        <w:tabs>
          <w:tab w:leader="none" w:pos="156"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Collaboration Agreements AbbVie Collaboration</w:t>
      </w:r>
    </w:p>
    <w:p>
      <w:pPr>
        <w:ind w:right="20"/>
        <w:spacing w:after="0" w:line="241" w:lineRule="auto"/>
        <w:rPr>
          <w:sz w:val="20"/>
          <w:szCs w:val="20"/>
          <w:color w:val="auto"/>
        </w:rPr>
      </w:pPr>
      <w:r>
        <w:rPr>
          <w:rFonts w:ascii="Times New Roman" w:cs="Times New Roman" w:eastAsia="Times New Roman" w:hAnsi="Times New Roman"/>
          <w:sz w:val="16"/>
          <w:szCs w:val="16"/>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$1,349,000 through September 30, 2025. Since the Company satisfied all of its performance obligations under the AbbVie Agreement by the end of fiscal 2011, all milestone payments received since then have been recognized as revenue when the milestones were achieved by AbbVie.</w:t>
      </w:r>
    </w:p>
    <w:p>
      <w:pPr>
        <w:spacing w:after="0" w:line="7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 -by-product basis. The following table details the royalty tiers associated with cumulative calendar year net sales allocated to each royalty-bearing product as provided in the AbbVie Agreement: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3920" w:type="dxa"/>
            <w:vAlign w:val="bottom"/>
          </w:tcPr>
          <w:p>
            <w:pPr>
              <w:ind w:left="1840"/>
              <w:spacing w:after="0"/>
              <w:rPr>
                <w:sz w:val="20"/>
                <w:szCs w:val="20"/>
                <w:color w:val="auto"/>
              </w:rPr>
            </w:pPr>
            <w:r>
              <w:rPr>
                <w:rFonts w:ascii="Times New Roman" w:cs="Times New Roman" w:eastAsia="Times New Roman" w:hAnsi="Times New Roman"/>
                <w:sz w:val="13"/>
                <w:szCs w:val="13"/>
                <w:b w:val="1"/>
                <w:bCs w:val="1"/>
                <w:color w:val="auto"/>
              </w:rPr>
              <w:t>Calendar Year Net Sales</w:t>
            </w:r>
          </w:p>
        </w:tc>
        <w:tc>
          <w:tcPr>
            <w:tcW w:w="6100" w:type="dxa"/>
            <w:vAlign w:val="bottom"/>
            <w:gridSpan w:val="2"/>
          </w:tcPr>
          <w:p>
            <w:pPr>
              <w:ind w:left="3220"/>
              <w:spacing w:after="0"/>
              <w:rPr>
                <w:sz w:val="20"/>
                <w:szCs w:val="20"/>
                <w:color w:val="auto"/>
              </w:rPr>
            </w:pPr>
            <w:r>
              <w:rPr>
                <w:rFonts w:ascii="Times New Roman" w:cs="Times New Roman" w:eastAsia="Times New Roman" w:hAnsi="Times New Roman"/>
                <w:sz w:val="13"/>
                <w:szCs w:val="13"/>
                <w:b w:val="1"/>
                <w:bCs w:val="1"/>
                <w:color w:val="auto"/>
              </w:rPr>
              <w:t>Royalty Tier</w:t>
            </w:r>
          </w:p>
        </w:tc>
      </w:tr>
      <w:tr>
        <w:trPr>
          <w:trHeight w:val="170"/>
        </w:trPr>
        <w:tc>
          <w:tcPr>
            <w:tcW w:w="540" w:type="dxa"/>
            <w:vAlign w:val="bottom"/>
          </w:tcPr>
          <w:p>
            <w:pPr>
              <w:spacing w:after="0"/>
              <w:rPr>
                <w:sz w:val="14"/>
                <w:szCs w:val="14"/>
                <w:color w:val="auto"/>
              </w:rPr>
            </w:pPr>
          </w:p>
        </w:tc>
        <w:tc>
          <w:tcPr>
            <w:tcW w:w="3920" w:type="dxa"/>
            <w:vAlign w:val="bottom"/>
          </w:tcPr>
          <w:p>
            <w:pPr>
              <w:ind w:left="2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580" w:type="dxa"/>
            <w:vAlign w:val="bottom"/>
          </w:tcPr>
          <w:p>
            <w:pPr>
              <w:jc w:val="center"/>
              <w:ind w:left="1485"/>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4"/>
                <w:szCs w:val="14"/>
                <w:color w:val="auto"/>
              </w:rPr>
            </w:pPr>
          </w:p>
        </w:tc>
      </w:tr>
      <w:tr>
        <w:trPr>
          <w:trHeight w:val="216"/>
        </w:trPr>
        <w:tc>
          <w:tcPr>
            <w:tcW w:w="5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 to $500,000</w:t>
            </w:r>
          </w:p>
        </w:tc>
        <w:tc>
          <w:tcPr>
            <w:tcW w:w="5580" w:type="dxa"/>
            <w:vAlign w:val="bottom"/>
            <w:shd w:val="clear" w:color="auto" w:fill="CFF0FC"/>
          </w:tcPr>
          <w:p>
            <w:pPr>
              <w:jc w:val="center"/>
              <w:ind w:left="1505"/>
              <w:spacing w:after="0"/>
              <w:rPr>
                <w:sz w:val="20"/>
                <w:szCs w:val="20"/>
                <w:color w:val="auto"/>
              </w:rPr>
            </w:pPr>
            <w:r>
              <w:rPr>
                <w:rFonts w:ascii="Times New Roman" w:cs="Times New Roman" w:eastAsia="Times New Roman" w:hAnsi="Times New Roman"/>
                <w:sz w:val="16"/>
                <w:szCs w:val="16"/>
                <w:color w:val="auto"/>
                <w:w w:val="95"/>
              </w:rPr>
              <w:t>10%</w:t>
            </w:r>
          </w:p>
        </w:tc>
        <w:tc>
          <w:tcPr>
            <w:tcW w:w="5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from $500,000 up to $750,000</w:t>
            </w:r>
          </w:p>
        </w:tc>
        <w:tc>
          <w:tcPr>
            <w:tcW w:w="5580" w:type="dxa"/>
            <w:vAlign w:val="bottom"/>
          </w:tcPr>
          <w:p>
            <w:pPr>
              <w:jc w:val="center"/>
              <w:ind w:left="1505"/>
              <w:spacing w:after="0"/>
              <w:rPr>
                <w:sz w:val="20"/>
                <w:szCs w:val="20"/>
                <w:color w:val="auto"/>
              </w:rPr>
            </w:pPr>
            <w:r>
              <w:rPr>
                <w:rFonts w:ascii="Times New Roman" w:cs="Times New Roman" w:eastAsia="Times New Roman" w:hAnsi="Times New Roman"/>
                <w:sz w:val="16"/>
                <w:szCs w:val="16"/>
                <w:color w:val="auto"/>
                <w:w w:val="95"/>
              </w:rPr>
              <w:t>12%</w:t>
            </w:r>
          </w:p>
        </w:tc>
        <w:tc>
          <w:tcPr>
            <w:tcW w:w="5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from $750,000 up to $1,000,000</w:t>
            </w:r>
          </w:p>
        </w:tc>
        <w:tc>
          <w:tcPr>
            <w:tcW w:w="5580" w:type="dxa"/>
            <w:vAlign w:val="bottom"/>
            <w:shd w:val="clear" w:color="auto" w:fill="CFF0FC"/>
          </w:tcPr>
          <w:p>
            <w:pPr>
              <w:jc w:val="center"/>
              <w:ind w:left="1505"/>
              <w:spacing w:after="0"/>
              <w:rPr>
                <w:sz w:val="20"/>
                <w:szCs w:val="20"/>
                <w:color w:val="auto"/>
              </w:rPr>
            </w:pPr>
            <w:r>
              <w:rPr>
                <w:rFonts w:ascii="Times New Roman" w:cs="Times New Roman" w:eastAsia="Times New Roman" w:hAnsi="Times New Roman"/>
                <w:sz w:val="16"/>
                <w:szCs w:val="16"/>
                <w:color w:val="auto"/>
                <w:w w:val="95"/>
              </w:rPr>
              <w:t>14%</w:t>
            </w:r>
          </w:p>
        </w:tc>
        <w:tc>
          <w:tcPr>
            <w:tcW w:w="5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from $1,000,000 up to $2,500,000</w:t>
            </w:r>
          </w:p>
        </w:tc>
        <w:tc>
          <w:tcPr>
            <w:tcW w:w="5580" w:type="dxa"/>
            <w:vAlign w:val="bottom"/>
          </w:tcPr>
          <w:p>
            <w:pPr>
              <w:jc w:val="center"/>
              <w:ind w:left="1505"/>
              <w:spacing w:after="0"/>
              <w:rPr>
                <w:sz w:val="20"/>
                <w:szCs w:val="20"/>
                <w:color w:val="auto"/>
              </w:rPr>
            </w:pPr>
            <w:r>
              <w:rPr>
                <w:rFonts w:ascii="Times New Roman" w:cs="Times New Roman" w:eastAsia="Times New Roman" w:hAnsi="Times New Roman"/>
                <w:sz w:val="16"/>
                <w:szCs w:val="16"/>
                <w:color w:val="auto"/>
                <w:w w:val="95"/>
              </w:rPr>
              <w:t>17%</w:t>
            </w:r>
          </w:p>
        </w:tc>
        <w:tc>
          <w:tcPr>
            <w:tcW w:w="5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greater than or equal to $2,500,000</w:t>
            </w:r>
          </w:p>
        </w:tc>
        <w:tc>
          <w:tcPr>
            <w:tcW w:w="5580" w:type="dxa"/>
            <w:vAlign w:val="bottom"/>
            <w:shd w:val="clear" w:color="auto" w:fill="CFF0FC"/>
          </w:tcPr>
          <w:p>
            <w:pPr>
              <w:jc w:val="center"/>
              <w:ind w:left="1505"/>
              <w:spacing w:after="0"/>
              <w:rPr>
                <w:sz w:val="20"/>
                <w:szCs w:val="20"/>
                <w:color w:val="auto"/>
              </w:rPr>
            </w:pPr>
            <w:r>
              <w:rPr>
                <w:rFonts w:ascii="Times New Roman" w:cs="Times New Roman" w:eastAsia="Times New Roman" w:hAnsi="Times New Roman"/>
                <w:sz w:val="16"/>
                <w:szCs w:val="16"/>
                <w:color w:val="auto"/>
                <w:w w:val="95"/>
              </w:rPr>
              <w:t>20%</w:t>
            </w:r>
          </w:p>
        </w:tc>
        <w:tc>
          <w:tcPr>
            <w:tcW w:w="520" w:type="dxa"/>
            <w:vAlign w:val="bottom"/>
          </w:tcPr>
          <w:p>
            <w:pPr>
              <w:spacing w:after="0"/>
              <w:rPr>
                <w:sz w:val="18"/>
                <w:szCs w:val="18"/>
                <w:color w:val="auto"/>
              </w:rPr>
            </w:pPr>
          </w:p>
        </w:tc>
      </w:tr>
      <w:tr>
        <w:trPr>
          <w:trHeight w:val="370"/>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F-16</w:t>
            </w:r>
          </w:p>
        </w:tc>
      </w:tr>
      <w:tr>
        <w:trPr>
          <w:trHeight w:val="674"/>
        </w:trPr>
        <w:tc>
          <w:tcPr>
            <w:tcW w:w="54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c>
          <w:tcPr>
            <w:tcW w:w="55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4" w:name="page95"/>
    <w:bookmarkEnd w:id="94"/>
    <w:p>
      <w:pPr>
        <w:spacing w:after="0" w:line="11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 -party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4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AbbVie’s obligation to pay royalties on a product developed under the agreement expires on a country -by-country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certain exceptions, a party’s rights and obligations under the agreement continue until (i) such time as AbbVie is no longer developing a product candidate or</w:t>
      </w:r>
    </w:p>
    <w:p>
      <w:pPr>
        <w:spacing w:after="0" w:line="37" w:lineRule="exact"/>
        <w:rPr>
          <w:sz w:val="20"/>
          <w:szCs w:val="20"/>
          <w:color w:val="auto"/>
        </w:rPr>
      </w:pPr>
    </w:p>
    <w:p>
      <w:pPr>
        <w:ind w:right="180" w:firstLine="6"/>
        <w:spacing w:after="0" w:line="238" w:lineRule="auto"/>
        <w:tabs>
          <w:tab w:leader="none" w:pos="2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73"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7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Liability Related to the Sale of Future Royalties</w:t>
      </w:r>
    </w:p>
    <w:p>
      <w:pPr>
        <w:spacing w:after="0" w:line="1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consolidated balance sheets which will be amortized as interest expense in the consolidated statements of operations under the effective interest rate method over the life of the royalty sale agreement. The Company will continue to record the full amount of royalties earned on MAVYRET/MAVIRET sales as royalty revenue in the consolidated statements of operations.</w:t>
      </w:r>
    </w:p>
    <w:p>
      <w:pPr>
        <w:spacing w:after="0" w:line="4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September 30, 2025, the estimated future cash flows resulted in an effective annual imputed interest rate of approximately 6.39%.</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activity of the liability related to the sale of future royalties: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27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Liability related to the sale of future royalties</w:t>
            </w:r>
          </w:p>
        </w:tc>
        <w:tc>
          <w:tcPr>
            <w:tcW w:w="0" w:type="dxa"/>
            <w:vAlign w:val="bottom"/>
          </w:tcPr>
          <w:p>
            <w:pPr>
              <w:spacing w:after="0"/>
              <w:rPr>
                <w:sz w:val="1"/>
                <w:szCs w:val="1"/>
                <w:color w:val="auto"/>
              </w:rPr>
            </w:pPr>
          </w:p>
        </w:tc>
      </w:tr>
      <w:tr>
        <w:trPr>
          <w:trHeight w:val="163"/>
        </w:trPr>
        <w:tc>
          <w:tcPr>
            <w:tcW w:w="7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 September 30, 2022</w:t>
            </w:r>
          </w:p>
        </w:tc>
        <w:tc>
          <w:tcPr>
            <w:tcW w:w="500" w:type="dxa"/>
            <w:vAlign w:val="bottom"/>
          </w:tcPr>
          <w:p>
            <w:pPr>
              <w:spacing w:after="0"/>
              <w:rPr>
                <w:sz w:val="14"/>
                <w:szCs w:val="14"/>
                <w:color w:val="auto"/>
              </w:rPr>
            </w:pPr>
          </w:p>
        </w:tc>
        <w:tc>
          <w:tcPr>
            <w:tcW w:w="2260" w:type="dxa"/>
            <w:vAlign w:val="bottom"/>
            <w:gridSpan w:val="2"/>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93"/>
        </w:trPr>
        <w:tc>
          <w:tcPr>
            <w:tcW w:w="7800" w:type="dxa"/>
            <w:vAlign w:val="bottom"/>
            <w:vMerge w:val="continue"/>
          </w:tcPr>
          <w:p>
            <w:pPr>
              <w:spacing w:after="0"/>
              <w:rPr>
                <w:sz w:val="16"/>
                <w:szCs w:val="16"/>
                <w:color w:val="auto"/>
              </w:rPr>
            </w:pPr>
          </w:p>
        </w:tc>
        <w:tc>
          <w:tcPr>
            <w:tcW w:w="50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Proceeds from sale of future royalties</w:t>
            </w:r>
          </w:p>
        </w:tc>
        <w:tc>
          <w:tcPr>
            <w:tcW w:w="500" w:type="dxa"/>
            <w:vAlign w:val="bottom"/>
            <w:shd w:val="clear" w:color="auto" w:fill="CFF0FC"/>
          </w:tcPr>
          <w:p>
            <w:pPr>
              <w:spacing w:after="0"/>
              <w:rPr>
                <w:sz w:val="15"/>
                <w:szCs w:val="15"/>
                <w:color w:val="auto"/>
              </w:rPr>
            </w:pPr>
          </w:p>
        </w:tc>
        <w:tc>
          <w:tcPr>
            <w:tcW w:w="2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Debt issuance cost</w:t>
            </w:r>
          </w:p>
        </w:tc>
        <w:tc>
          <w:tcPr>
            <w:tcW w:w="500" w:type="dxa"/>
            <w:vAlign w:val="bottom"/>
          </w:tcPr>
          <w:p>
            <w:pPr>
              <w:spacing w:after="0"/>
              <w:rPr>
                <w:sz w:val="15"/>
                <w:szCs w:val="15"/>
                <w:color w:val="auto"/>
              </w:rPr>
            </w:pPr>
          </w:p>
        </w:tc>
        <w:tc>
          <w:tcPr>
            <w:tcW w:w="22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Royalty payable to royalty purchaser</w:t>
            </w:r>
          </w:p>
        </w:tc>
        <w:tc>
          <w:tcPr>
            <w:tcW w:w="500" w:type="dxa"/>
            <w:vAlign w:val="bottom"/>
            <w:shd w:val="clear" w:color="auto" w:fill="CFF0FC"/>
          </w:tcPr>
          <w:p>
            <w:pPr>
              <w:spacing w:after="0"/>
              <w:rPr>
                <w:sz w:val="15"/>
                <w:szCs w:val="15"/>
                <w:color w:val="auto"/>
              </w:rPr>
            </w:pPr>
          </w:p>
        </w:tc>
        <w:tc>
          <w:tcPr>
            <w:tcW w:w="22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(10,318)</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Interest expense, net of capitalized interest of $0</w:t>
            </w:r>
          </w:p>
        </w:tc>
        <w:tc>
          <w:tcPr>
            <w:tcW w:w="500" w:type="dxa"/>
            <w:vAlign w:val="bottom"/>
          </w:tcPr>
          <w:p>
            <w:pPr>
              <w:spacing w:after="0"/>
              <w:rPr>
                <w:sz w:val="15"/>
                <w:szCs w:val="15"/>
                <w:color w:val="auto"/>
              </w:rPr>
            </w:pPr>
          </w:p>
        </w:tc>
        <w:tc>
          <w:tcPr>
            <w:tcW w:w="2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5,148</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 September 30, 2023</w:t>
            </w:r>
          </w:p>
        </w:tc>
        <w:tc>
          <w:tcPr>
            <w:tcW w:w="500" w:type="dxa"/>
            <w:vAlign w:val="bottom"/>
            <w:shd w:val="clear" w:color="auto" w:fill="CFF0FC"/>
          </w:tcPr>
          <w:p>
            <w:pPr>
              <w:jc w:val="right"/>
              <w:ind w:right="3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194,505</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Royalty payable to purchaser</w:t>
            </w:r>
          </w:p>
        </w:tc>
        <w:tc>
          <w:tcPr>
            <w:tcW w:w="500" w:type="dxa"/>
            <w:vAlign w:val="bottom"/>
          </w:tcPr>
          <w:p>
            <w:pPr>
              <w:spacing w:after="0"/>
              <w:rPr>
                <w:sz w:val="15"/>
                <w:szCs w:val="15"/>
                <w:color w:val="auto"/>
              </w:rPr>
            </w:pPr>
          </w:p>
        </w:tc>
        <w:tc>
          <w:tcPr>
            <w:tcW w:w="22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(7,960)</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Payments on royalty sale liability</w:t>
            </w:r>
          </w:p>
        </w:tc>
        <w:tc>
          <w:tcPr>
            <w:tcW w:w="500" w:type="dxa"/>
            <w:vAlign w:val="bottom"/>
            <w:shd w:val="clear" w:color="auto" w:fill="CFF0FC"/>
          </w:tcPr>
          <w:p>
            <w:pPr>
              <w:spacing w:after="0"/>
              <w:rPr>
                <w:sz w:val="15"/>
                <w:szCs w:val="15"/>
                <w:color w:val="auto"/>
              </w:rPr>
            </w:pPr>
          </w:p>
        </w:tc>
        <w:tc>
          <w:tcPr>
            <w:tcW w:w="22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(28,916)</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Interest expense, net of capitalized interest of $672</w:t>
            </w:r>
          </w:p>
        </w:tc>
        <w:tc>
          <w:tcPr>
            <w:tcW w:w="500" w:type="dxa"/>
            <w:vAlign w:val="bottom"/>
          </w:tcPr>
          <w:p>
            <w:pPr>
              <w:spacing w:after="0"/>
              <w:rPr>
                <w:sz w:val="15"/>
                <w:szCs w:val="15"/>
                <w:color w:val="auto"/>
              </w:rPr>
            </w:pPr>
          </w:p>
        </w:tc>
        <w:tc>
          <w:tcPr>
            <w:tcW w:w="2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80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Balance - September 30, 2024</w:t>
            </w:r>
          </w:p>
        </w:tc>
        <w:tc>
          <w:tcPr>
            <w:tcW w:w="500" w:type="dxa"/>
            <w:vAlign w:val="bottom"/>
            <w:tcBorders>
              <w:bottom w:val="single" w:sz="8" w:color="auto"/>
            </w:tcBorders>
            <w:shd w:val="clear" w:color="auto" w:fill="CFF0FC"/>
          </w:tcPr>
          <w:p>
            <w:pPr>
              <w:jc w:val="right"/>
              <w:ind w:right="34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21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169,241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80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rPr>
              <w:t>Royalty payable to purchaser</w:t>
            </w:r>
          </w:p>
        </w:tc>
        <w:tc>
          <w:tcPr>
            <w:tcW w:w="500" w:type="dxa"/>
            <w:vAlign w:val="bottom"/>
          </w:tcPr>
          <w:p>
            <w:pPr>
              <w:spacing w:after="0"/>
              <w:rPr>
                <w:sz w:val="13"/>
                <w:szCs w:val="13"/>
                <w:color w:val="auto"/>
              </w:rPr>
            </w:pPr>
          </w:p>
        </w:tc>
        <w:tc>
          <w:tcPr>
            <w:tcW w:w="226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(8,243)</w:t>
            </w:r>
          </w:p>
        </w:tc>
        <w:tc>
          <w:tcPr>
            <w:tcW w:w="0" w:type="dxa"/>
            <w:vAlign w:val="bottom"/>
          </w:tcPr>
          <w:p>
            <w:pPr>
              <w:spacing w:after="0"/>
              <w:rPr>
                <w:sz w:val="1"/>
                <w:szCs w:val="1"/>
                <w:color w:val="auto"/>
              </w:rPr>
            </w:pPr>
          </w:p>
        </w:tc>
      </w:tr>
      <w:tr>
        <w:trPr>
          <w:trHeight w:val="180"/>
        </w:trPr>
        <w:tc>
          <w:tcPr>
            <w:tcW w:w="780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Payments on royalty sale liability</w:t>
            </w:r>
          </w:p>
        </w:tc>
        <w:tc>
          <w:tcPr>
            <w:tcW w:w="500" w:type="dxa"/>
            <w:vAlign w:val="bottom"/>
            <w:shd w:val="clear" w:color="auto" w:fill="CFF0FC"/>
          </w:tcPr>
          <w:p>
            <w:pPr>
              <w:spacing w:after="0"/>
              <w:rPr>
                <w:sz w:val="15"/>
                <w:szCs w:val="15"/>
                <w:color w:val="auto"/>
              </w:rPr>
            </w:pPr>
          </w:p>
        </w:tc>
        <w:tc>
          <w:tcPr>
            <w:tcW w:w="22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(27,356)</w:t>
            </w:r>
          </w:p>
        </w:tc>
        <w:tc>
          <w:tcPr>
            <w:tcW w:w="0" w:type="dxa"/>
            <w:vAlign w:val="bottom"/>
          </w:tcPr>
          <w:p>
            <w:pPr>
              <w:spacing w:after="0"/>
              <w:rPr>
                <w:sz w:val="1"/>
                <w:szCs w:val="1"/>
                <w:color w:val="auto"/>
              </w:rPr>
            </w:pPr>
          </w:p>
        </w:tc>
      </w:tr>
      <w:tr>
        <w:trPr>
          <w:trHeight w:val="180"/>
        </w:trPr>
        <w:tc>
          <w:tcPr>
            <w:tcW w:w="78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Interest expense, net of capitalized interest of $520</w:t>
            </w:r>
          </w:p>
        </w:tc>
        <w:tc>
          <w:tcPr>
            <w:tcW w:w="500" w:type="dxa"/>
            <w:vAlign w:val="bottom"/>
          </w:tcPr>
          <w:p>
            <w:pPr>
              <w:spacing w:after="0"/>
              <w:rPr>
                <w:sz w:val="15"/>
                <w:szCs w:val="15"/>
                <w:color w:val="auto"/>
              </w:rPr>
            </w:pPr>
          </w:p>
        </w:tc>
        <w:tc>
          <w:tcPr>
            <w:tcW w:w="2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8,200</w:t>
            </w:r>
          </w:p>
        </w:tc>
        <w:tc>
          <w:tcPr>
            <w:tcW w:w="0" w:type="dxa"/>
            <w:vAlign w:val="bottom"/>
          </w:tcPr>
          <w:p>
            <w:pPr>
              <w:spacing w:after="0"/>
              <w:rPr>
                <w:sz w:val="1"/>
                <w:szCs w:val="1"/>
                <w:color w:val="auto"/>
              </w:rPr>
            </w:pPr>
          </w:p>
        </w:tc>
      </w:tr>
      <w:tr>
        <w:trPr>
          <w:trHeight w:val="220"/>
        </w:trPr>
        <w:tc>
          <w:tcPr>
            <w:tcW w:w="780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Balance - September 30, 2025</w:t>
            </w:r>
          </w:p>
        </w:tc>
        <w:tc>
          <w:tcPr>
            <w:tcW w:w="500" w:type="dxa"/>
            <w:vAlign w:val="bottom"/>
            <w:tcBorders>
              <w:bottom w:val="single" w:sz="8" w:color="auto"/>
            </w:tcBorders>
            <w:shd w:val="clear" w:color="auto" w:fill="CFF0FC"/>
          </w:tcPr>
          <w:p>
            <w:pPr>
              <w:jc w:val="right"/>
              <w:ind w:right="344"/>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21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141,842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Stockholders’ Equity</w:t>
      </w:r>
    </w:p>
    <w:p>
      <w:pPr>
        <w:spacing w:after="0" w:line="9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Company is authorized to issue 100,000 shares of common stock at a par value of $0.01 per share. Each share of common stock entitles the holder to one vote on all matters submitted to a vote of the Company’s stockholders. Common stockholders are entitled to receive such dividends as may be declared by the board of directors, if any.</w:t>
      </w:r>
    </w:p>
    <w:p>
      <w:pPr>
        <w:spacing w:after="0" w:line="68" w:lineRule="exact"/>
        <w:rPr>
          <w:sz w:val="20"/>
          <w:szCs w:val="20"/>
          <w:color w:val="auto"/>
        </w:rPr>
      </w:pPr>
    </w:p>
    <w:p>
      <w:pPr>
        <w:ind w:right="940"/>
        <w:spacing w:after="0" w:line="259" w:lineRule="auto"/>
        <w:rPr>
          <w:sz w:val="20"/>
          <w:szCs w:val="20"/>
          <w:color w:val="auto"/>
        </w:rPr>
      </w:pPr>
      <w:r>
        <w:rPr>
          <w:rFonts w:ascii="Times New Roman" w:cs="Times New Roman" w:eastAsia="Times New Roman" w:hAnsi="Times New Roman"/>
          <w:sz w:val="16"/>
          <w:szCs w:val="16"/>
          <w:color w:val="auto"/>
        </w:rPr>
        <w:t>The Company also is authorized to issue 5,000 shares of preferred stock at a par value of $0.01 per share, of which 2,000 shares are designated as Series 1 Nonconvertible preferred stock and 3,000 shares are undesignated and unissued.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Series 1 Nonconvertible Preferred Stock</w:t>
      </w:r>
    </w:p>
    <w:p>
      <w:pPr>
        <w:spacing w:after="0" w:line="9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 As these shares qualify as a derivative, they are classified as a liability on the Company’s consolidated balance sheet.</w:t>
      </w:r>
    </w:p>
    <w:p>
      <w:pPr>
        <w:spacing w:after="0" w:line="77" w:lineRule="exact"/>
        <w:rPr>
          <w:sz w:val="20"/>
          <w:szCs w:val="20"/>
          <w:color w:val="auto"/>
        </w:rPr>
      </w:pPr>
    </w:p>
    <w:p>
      <w:pPr>
        <w:jc w:val="both"/>
        <w:ind w:right="300"/>
        <w:spacing w:after="0" w:line="243" w:lineRule="auto"/>
        <w:rPr>
          <w:sz w:val="20"/>
          <w:szCs w:val="20"/>
          <w:color w:val="auto"/>
        </w:rPr>
      </w:pPr>
      <w:r>
        <w:rPr>
          <w:rFonts w:ascii="Times New Roman" w:cs="Times New Roman" w:eastAsia="Times New Roman" w:hAnsi="Times New Roman"/>
          <w:sz w:val="16"/>
          <w:szCs w:val="16"/>
          <w:color w:val="auto"/>
        </w:rPr>
        <w:t>As of September 30, 2025 and 2024, 1,930 shares of Series 1 nonconvertible preferred stock were issued and outstanding. For the years ended September 30, 2025, 2024, and 2023, the remeasurement of the Series 1 nonconvertible preferred stock resulted in non-cash gain of $39, $73 and $0, respectively, which was recorded in other income (expense) in the consolidated statements of operations. The total fair value of the Series 1 nonconvertible preferred stock was $1,311 and $1,350 as of September 30, 2025 and 2024,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Stock-Based Awards</w:t>
      </w:r>
    </w:p>
    <w:p>
      <w:pPr>
        <w:spacing w:after="0" w:line="9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The Company grants stock -based awards, including stock options, restricted stock units and other unit awards under its 2019 Equity Incentive Plan (the “2019 Plan”), which was approved by its stockholders on February 28, 2019 and amended in March 2021, March 2022, March 2023, March 2024 and March 2025 and its 2024 Inducement Stock Incentive Plan (“2024 Inducement Plan”). The Company also has outstanding stock option awards under its 2012 Equity Incentive Plan (the “2012 Plan”), but is no longer granting awards under this plan. The Company’s 2019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2019 Plan is subject to increase by the number of shares forfeited under any options forfeited and not exercised under the 2019 Plan or any predecessor plans such as the 2012 Plan. Pursuant to the Company's 2024 Inducement Plan, the Company may grant non-statutory stock options, stock appreciation rights, restricted stock, restricted stock units and other stock -based awards to persons who (i) were not previously an employee or director of the Company or (ii) are commencing employment with the Company following a bona fide period 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96" w:name="page97"/>
    <w:bookmarkEnd w:id="96"/>
    <w:p>
      <w:pPr>
        <w:spacing w:after="0" w:line="17" w:lineRule="exact"/>
        <w:rPr>
          <w:sz w:val="20"/>
          <w:szCs w:val="20"/>
          <w:color w:val="auto"/>
        </w:rPr>
      </w:pPr>
    </w:p>
    <w:p>
      <w:pPr>
        <w:jc w:val="both"/>
        <w:ind w:right="180"/>
        <w:spacing w:after="0" w:line="331" w:lineRule="auto"/>
        <w:rPr>
          <w:sz w:val="20"/>
          <w:szCs w:val="20"/>
          <w:color w:val="auto"/>
        </w:rPr>
      </w:pPr>
      <w:r>
        <w:rPr>
          <w:rFonts w:ascii="Times New Roman" w:cs="Times New Roman" w:eastAsia="Times New Roman" w:hAnsi="Times New Roman"/>
          <w:sz w:val="14"/>
          <w:szCs w:val="14"/>
          <w:color w:val="auto"/>
        </w:rPr>
        <w:t>non-employment, in either case as an inducement material to the individual’s entering into employment with the Company and in accordance with the requirements of Nasdaq Stock Market Rule 5635(c)(4). As of September 30, 2025, 1,985 shares remained available for future awards under the 2019 Plan and 2024 Inducement Plan.</w:t>
      </w:r>
    </w:p>
    <w:p>
      <w:pPr>
        <w:spacing w:after="0" w:line="1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Options granted to employees under the 2019 Plan and the 2024 Inducement Plan generally vest over four years and to non -employee directors over one year, and expire after ten years. As required under the equity plans, the exercise price for awards granted is not to be less than the fair value of common shares on the date of grant. Restricted stock units with service-based vesting conditions generally vest over four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 Valuation</w:t>
      </w:r>
    </w:p>
    <w:p>
      <w:pPr>
        <w:spacing w:after="0" w:line="9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The fair value of each stock option award is determined on the date of grant using the Black-Scholes option-pricing model. The volatility has been determined using the Company’s traded stock price to estimate expected volatility. The Company utilized historical data to determine the expected term of stock options granted. The risk-free interest rate is determined by reference to the U.S. Treasury yield curve in effect at the time of grant of the award for time periods approximately equal to the expected term of the award. The expected dividend yield is zero due to the fact that the Company has never paid cash dividends and does not expect to pay any cash dividends in the foreseeable future. The relevant data used to determine the value of the stock option awards are as follows, presented on a weighted average basis:</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36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3640" w:type="dxa"/>
            <w:vAlign w:val="bottom"/>
          </w:tcPr>
          <w:p>
            <w:pPr>
              <w:spacing w:after="0"/>
              <w:rPr>
                <w:sz w:val="14"/>
                <w:szCs w:val="14"/>
                <w:color w:val="auto"/>
              </w:rPr>
            </w:pPr>
          </w:p>
        </w:tc>
        <w:tc>
          <w:tcPr>
            <w:tcW w:w="2140" w:type="dxa"/>
            <w:vAlign w:val="bottom"/>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6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4"/>
                <w:szCs w:val="14"/>
                <w:color w:val="auto"/>
              </w:rPr>
            </w:pPr>
          </w:p>
        </w:tc>
        <w:tc>
          <w:tcPr>
            <w:tcW w:w="114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2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4.14%</w:t>
            </w: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4.45%</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3.88%</w:t>
            </w:r>
          </w:p>
        </w:tc>
      </w:tr>
      <w:tr>
        <w:trPr>
          <w:trHeight w:val="180"/>
        </w:trPr>
        <w:tc>
          <w:tcPr>
            <w:tcW w:w="3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term (in years)</w:t>
            </w:r>
          </w:p>
        </w:tc>
        <w:tc>
          <w:tcPr>
            <w:tcW w:w="2140" w:type="dxa"/>
            <w:vAlign w:val="bottom"/>
          </w:tcPr>
          <w:p>
            <w:pPr>
              <w:spacing w:after="0"/>
              <w:rPr>
                <w:sz w:val="15"/>
                <w:szCs w:val="15"/>
                <w:color w:val="auto"/>
              </w:rPr>
            </w:pPr>
          </w:p>
        </w:tc>
        <w:tc>
          <w:tcPr>
            <w:tcW w:w="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6.22</w:t>
            </w:r>
          </w:p>
        </w:tc>
        <w:tc>
          <w:tcPr>
            <w:tcW w:w="440" w:type="dxa"/>
            <w:vAlign w:val="bottom"/>
          </w:tcPr>
          <w:p>
            <w:pPr>
              <w:spacing w:after="0"/>
              <w:rPr>
                <w:sz w:val="15"/>
                <w:szCs w:val="15"/>
                <w:color w:val="auto"/>
              </w:rPr>
            </w:pPr>
          </w:p>
        </w:tc>
        <w:tc>
          <w:tcPr>
            <w:tcW w:w="1220" w:type="dxa"/>
            <w:vAlign w:val="bottom"/>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6.01</w:t>
            </w:r>
          </w:p>
        </w:tc>
        <w:tc>
          <w:tcPr>
            <w:tcW w:w="380" w:type="dxa"/>
            <w:vAlign w:val="bottom"/>
          </w:tcPr>
          <w:p>
            <w:pPr>
              <w:spacing w:after="0"/>
              <w:rPr>
                <w:sz w:val="15"/>
                <w:szCs w:val="15"/>
                <w:color w:val="auto"/>
              </w:rPr>
            </w:pPr>
          </w:p>
        </w:tc>
        <w:tc>
          <w:tcPr>
            <w:tcW w:w="1140" w:type="dxa"/>
            <w:vAlign w:val="bottom"/>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6.04</w:t>
            </w: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w:t>
            </w:r>
          </w:p>
        </w:tc>
        <w:tc>
          <w:tcPr>
            <w:tcW w:w="2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r>
      <w:tr>
        <w:trPr>
          <w:trHeight w:val="180"/>
        </w:trPr>
        <w:tc>
          <w:tcPr>
            <w:tcW w:w="3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Expected dividends</w:t>
            </w:r>
          </w:p>
        </w:tc>
        <w:tc>
          <w:tcPr>
            <w:tcW w:w="214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440" w:type="dxa"/>
            <w:vAlign w:val="bottom"/>
          </w:tcPr>
          <w:p>
            <w:pPr>
              <w:spacing w:after="0"/>
              <w:rPr>
                <w:sz w:val="15"/>
                <w:szCs w:val="15"/>
                <w:color w:val="auto"/>
              </w:rPr>
            </w:pPr>
          </w:p>
        </w:tc>
        <w:tc>
          <w:tcPr>
            <w:tcW w:w="122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0%</w:t>
            </w:r>
          </w:p>
        </w:tc>
        <w:tc>
          <w:tcPr>
            <w:tcW w:w="38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grant date fair value</w:t>
            </w:r>
          </w:p>
        </w:tc>
        <w:tc>
          <w:tcPr>
            <w:tcW w:w="2140" w:type="dxa"/>
            <w:vAlign w:val="bottom"/>
            <w:shd w:val="clear" w:color="auto" w:fill="CFF0FC"/>
          </w:tcPr>
          <w:p>
            <w:pPr>
              <w:jc w:val="right"/>
              <w:ind w:right="7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440" w:type="dxa"/>
            <w:vAlign w:val="bottom"/>
            <w:shd w:val="clear" w:color="auto" w:fill="CFF0FC"/>
          </w:tcPr>
          <w:p>
            <w:pPr>
              <w:jc w:val="right"/>
              <w:ind w:right="1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44"/>
              <w:spacing w:after="0" w:line="180" w:lineRule="exact"/>
              <w:rPr>
                <w:sz w:val="20"/>
                <w:szCs w:val="20"/>
                <w:color w:val="auto"/>
              </w:rPr>
            </w:pPr>
            <w:r>
              <w:rPr>
                <w:rFonts w:ascii="Times New Roman" w:cs="Times New Roman" w:eastAsia="Times New Roman" w:hAnsi="Times New Roman"/>
                <w:sz w:val="16"/>
                <w:szCs w:val="16"/>
                <w:color w:val="auto"/>
              </w:rPr>
              <w:t>5.43</w:t>
            </w:r>
          </w:p>
        </w:tc>
        <w:tc>
          <w:tcPr>
            <w:tcW w:w="38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22.71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stock option activity, including aggregate intrinsic value for the year ended September 30, 2025:</w:t>
      </w:r>
    </w:p>
    <w:p>
      <w:pPr>
        <w:sectPr>
          <w:pgSz w:w="11900" w:h="16840" w:orient="portrait"/>
          <w:cols w:equalWidth="0" w:num="1">
            <w:col w:w="10580"/>
          </w:cols>
          <w:pgMar w:left="660" w:top="1440"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Outstanding as of September 30, 2024</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Granted</w:t>
      </w:r>
    </w:p>
    <w:p>
      <w:pPr>
        <w:ind w:left="600"/>
        <w:spacing w:after="0" w:line="234" w:lineRule="auto"/>
        <w:rPr>
          <w:sz w:val="20"/>
          <w:szCs w:val="20"/>
          <w:color w:val="auto"/>
        </w:rPr>
      </w:pPr>
      <w:r>
        <w:rPr>
          <w:rFonts w:ascii="Times New Roman" w:cs="Times New Roman" w:eastAsia="Times New Roman" w:hAnsi="Times New Roman"/>
          <w:sz w:val="16"/>
          <w:szCs w:val="16"/>
          <w:color w:val="auto"/>
        </w:rPr>
        <w:t>Exercised</w:t>
      </w:r>
    </w:p>
    <w:p>
      <w:pPr>
        <w:ind w:left="600"/>
        <w:spacing w:after="0" w:line="235" w:lineRule="auto"/>
        <w:rPr>
          <w:sz w:val="20"/>
          <w:szCs w:val="20"/>
          <w:color w:val="auto"/>
        </w:rPr>
      </w:pPr>
      <w:r>
        <w:rPr>
          <w:rFonts w:ascii="Times New Roman" w:cs="Times New Roman" w:eastAsia="Times New Roman" w:hAnsi="Times New Roman"/>
          <w:sz w:val="16"/>
          <w:szCs w:val="16"/>
          <w:color w:val="auto"/>
        </w:rPr>
        <w:t>Forfeited</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Expired</w:t>
      </w:r>
    </w:p>
    <w:p>
      <w:pPr>
        <w:spacing w:after="0" w:line="12" w:lineRule="exact"/>
        <w:rPr>
          <w:sz w:val="20"/>
          <w:szCs w:val="20"/>
          <w:color w:val="auto"/>
        </w:rPr>
      </w:pPr>
    </w:p>
    <w:p>
      <w:pPr>
        <w:ind w:left="540" w:right="780"/>
        <w:spacing w:after="0" w:line="283" w:lineRule="auto"/>
        <w:rPr>
          <w:sz w:val="20"/>
          <w:szCs w:val="20"/>
          <w:color w:val="auto"/>
        </w:rPr>
      </w:pPr>
      <w:r>
        <w:rPr>
          <w:rFonts w:ascii="Times New Roman" w:cs="Times New Roman" w:eastAsia="Times New Roman" w:hAnsi="Times New Roman"/>
          <w:sz w:val="14"/>
          <w:szCs w:val="14"/>
          <w:b w:val="1"/>
          <w:bCs w:val="1"/>
          <w:color w:val="auto"/>
        </w:rPr>
        <w:t>Outstanding as of September 30, 2025 Options vested and expected to vest as of</w:t>
      </w:r>
    </w:p>
    <w:p>
      <w:pPr>
        <w:ind w:left="66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Options exercisable as of September 30, 2025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3"/>
                <w:szCs w:val="13"/>
                <w:color w:val="auto"/>
              </w:rPr>
            </w:pPr>
          </w:p>
        </w:tc>
        <w:tc>
          <w:tcPr>
            <w:tcW w:w="1100" w:type="dxa"/>
            <w:vAlign w:val="bottom"/>
          </w:tcPr>
          <w:p>
            <w:pPr>
              <w:jc w:val="center"/>
              <w:ind w:right="28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280" w:type="dxa"/>
            <w:vAlign w:val="bottom"/>
          </w:tcPr>
          <w:p>
            <w:pPr>
              <w:spacing w:after="0"/>
              <w:rPr>
                <w:sz w:val="13"/>
                <w:szCs w:val="13"/>
                <w:color w:val="auto"/>
              </w:rPr>
            </w:pPr>
          </w:p>
        </w:tc>
        <w:tc>
          <w:tcPr>
            <w:tcW w:w="1100" w:type="dxa"/>
            <w:vAlign w:val="bottom"/>
          </w:tcPr>
          <w:p>
            <w:pPr>
              <w:jc w:val="center"/>
              <w:ind w:right="286"/>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240" w:type="dxa"/>
            <w:vAlign w:val="bottom"/>
          </w:tcPr>
          <w:p>
            <w:pPr>
              <w:spacing w:after="0"/>
              <w:rPr>
                <w:sz w:val="13"/>
                <w:szCs w:val="13"/>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56"/>
        </w:trPr>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Under</w:t>
            </w:r>
          </w:p>
        </w:tc>
        <w:tc>
          <w:tcPr>
            <w:tcW w:w="280" w:type="dxa"/>
            <w:vAlign w:val="bottom"/>
          </w:tcPr>
          <w:p>
            <w:pPr>
              <w:spacing w:after="0"/>
              <w:rPr>
                <w:sz w:val="13"/>
                <w:szCs w:val="13"/>
                <w:color w:val="auto"/>
              </w:rPr>
            </w:pPr>
          </w:p>
        </w:tc>
        <w:tc>
          <w:tcPr>
            <w:tcW w:w="1100" w:type="dxa"/>
            <w:vAlign w:val="bottom"/>
          </w:tcPr>
          <w:p>
            <w:pPr>
              <w:jc w:val="center"/>
              <w:ind w:right="306"/>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2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240" w:type="dxa"/>
            <w:vAlign w:val="bottom"/>
          </w:tcPr>
          <w:p>
            <w:pPr>
              <w:spacing w:after="0"/>
              <w:rPr>
                <w:sz w:val="13"/>
                <w:szCs w:val="13"/>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6"/>
        </w:trPr>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280" w:type="dxa"/>
            <w:vAlign w:val="bottom"/>
          </w:tcPr>
          <w:p>
            <w:pPr>
              <w:spacing w:after="0"/>
              <w:rPr>
                <w:sz w:val="13"/>
                <w:szCs w:val="13"/>
                <w:color w:val="auto"/>
              </w:rPr>
            </w:pPr>
          </w:p>
        </w:tc>
        <w:tc>
          <w:tcPr>
            <w:tcW w:w="1100" w:type="dxa"/>
            <w:vAlign w:val="bottom"/>
          </w:tcPr>
          <w:p>
            <w:pPr>
              <w:jc w:val="center"/>
              <w:ind w:right="286"/>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Term in years</w:t>
            </w:r>
          </w:p>
        </w:tc>
        <w:tc>
          <w:tcPr>
            <w:tcW w:w="240" w:type="dxa"/>
            <w:vAlign w:val="bottom"/>
          </w:tcPr>
          <w:p>
            <w:pPr>
              <w:spacing w:after="0"/>
              <w:rPr>
                <w:sz w:val="13"/>
                <w:szCs w:val="13"/>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74"/>
        </w:trPr>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86"/>
        </w:trPr>
        <w:tc>
          <w:tcPr>
            <w:tcW w:w="1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5,184</w:t>
            </w: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100" w:type="dxa"/>
            <w:vAlign w:val="bottom"/>
            <w:vMerge w:val="restart"/>
          </w:tcPr>
          <w:p>
            <w:pPr>
              <w:jc w:val="right"/>
              <w:ind w:right="106"/>
              <w:spacing w:after="0"/>
              <w:rPr>
                <w:sz w:val="20"/>
                <w:szCs w:val="20"/>
                <w:color w:val="auto"/>
              </w:rPr>
            </w:pPr>
            <w:r>
              <w:rPr>
                <w:rFonts w:ascii="Times New Roman" w:cs="Times New Roman" w:eastAsia="Times New Roman" w:hAnsi="Times New Roman"/>
                <w:sz w:val="16"/>
                <w:szCs w:val="16"/>
                <w:color w:val="auto"/>
              </w:rPr>
              <w:t>42.67</w:t>
            </w:r>
          </w:p>
        </w:tc>
        <w:tc>
          <w:tcPr>
            <w:tcW w:w="1280" w:type="dxa"/>
            <w:vAlign w:val="bottom"/>
            <w:vMerge w:val="restart"/>
          </w:tcPr>
          <w:p>
            <w:pPr>
              <w:jc w:val="right"/>
              <w:ind w:right="29"/>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vMerge w:val="continue"/>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0" w:type="dxa"/>
            <w:vAlign w:val="bottom"/>
          </w:tcPr>
          <w:p>
            <w:pPr>
              <w:spacing w:after="0"/>
              <w:rPr>
                <w:sz w:val="1"/>
                <w:szCs w:val="1"/>
                <w:color w:val="auto"/>
              </w:rPr>
            </w:pPr>
          </w:p>
        </w:tc>
      </w:tr>
      <w:tr>
        <w:trPr>
          <w:trHeight w:val="121"/>
        </w:trPr>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06"/>
              <w:spacing w:after="0" w:line="180" w:lineRule="exact"/>
              <w:rPr>
                <w:sz w:val="20"/>
                <w:szCs w:val="20"/>
                <w:color w:val="auto"/>
              </w:rPr>
            </w:pPr>
            <w:r>
              <w:rPr>
                <w:rFonts w:ascii="Times New Roman" w:cs="Times New Roman" w:eastAsia="Times New Roman" w:hAnsi="Times New Roman"/>
                <w:sz w:val="16"/>
                <w:szCs w:val="16"/>
                <w:color w:val="auto"/>
              </w:rPr>
              <w:t>8.63</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5"/>
                <w:szCs w:val="15"/>
                <w:color w:val="auto"/>
              </w:rPr>
            </w:pPr>
          </w:p>
        </w:tc>
        <w:tc>
          <w:tcPr>
            <w:tcW w:w="1100" w:type="dxa"/>
            <w:vAlign w:val="bottom"/>
          </w:tcPr>
          <w:p>
            <w:pPr>
              <w:jc w:val="right"/>
              <w:ind w:right="106"/>
              <w:spacing w:after="0" w:line="180" w:lineRule="exact"/>
              <w:rPr>
                <w:sz w:val="20"/>
                <w:szCs w:val="20"/>
                <w:color w:val="auto"/>
              </w:rPr>
            </w:pPr>
            <w:r>
              <w:rPr>
                <w:rFonts w:ascii="Times New Roman" w:cs="Times New Roman" w:eastAsia="Times New Roman" w:hAnsi="Times New Roman"/>
                <w:sz w:val="16"/>
                <w:szCs w:val="16"/>
                <w:color w:val="auto"/>
              </w:rPr>
              <w:t>8.97</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(232)</w:t>
            </w:r>
          </w:p>
        </w:tc>
        <w:tc>
          <w:tcPr>
            <w:tcW w:w="280" w:type="dxa"/>
            <w:vAlign w:val="bottom"/>
          </w:tcPr>
          <w:p>
            <w:pPr>
              <w:spacing w:after="0"/>
              <w:rPr>
                <w:sz w:val="15"/>
                <w:szCs w:val="15"/>
                <w:color w:val="auto"/>
              </w:rPr>
            </w:pPr>
          </w:p>
        </w:tc>
        <w:tc>
          <w:tcPr>
            <w:tcW w:w="1100" w:type="dxa"/>
            <w:vAlign w:val="bottom"/>
          </w:tcPr>
          <w:p>
            <w:pPr>
              <w:jc w:val="right"/>
              <w:ind w:right="106"/>
              <w:spacing w:after="0" w:line="180" w:lineRule="exact"/>
              <w:rPr>
                <w:sz w:val="20"/>
                <w:szCs w:val="20"/>
                <w:color w:val="auto"/>
              </w:rPr>
            </w:pPr>
            <w:r>
              <w:rPr>
                <w:rFonts w:ascii="Times New Roman" w:cs="Times New Roman" w:eastAsia="Times New Roman" w:hAnsi="Times New Roman"/>
                <w:sz w:val="16"/>
                <w:szCs w:val="16"/>
                <w:color w:val="auto"/>
              </w:rPr>
              <w:t>16.41</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(379)</w:t>
            </w:r>
          </w:p>
        </w:tc>
        <w:tc>
          <w:tcPr>
            <w:tcW w:w="280" w:type="dxa"/>
            <w:vAlign w:val="bottom"/>
          </w:tcPr>
          <w:p>
            <w:pPr>
              <w:spacing w:after="0"/>
              <w:rPr>
                <w:sz w:val="15"/>
                <w:szCs w:val="15"/>
                <w:color w:val="auto"/>
              </w:rPr>
            </w:pPr>
          </w:p>
        </w:tc>
        <w:tc>
          <w:tcPr>
            <w:tcW w:w="1100" w:type="dxa"/>
            <w:vAlign w:val="bottom"/>
          </w:tcPr>
          <w:p>
            <w:pPr>
              <w:jc w:val="right"/>
              <w:ind w:right="106"/>
              <w:spacing w:after="0" w:line="180" w:lineRule="exact"/>
              <w:rPr>
                <w:sz w:val="20"/>
                <w:szCs w:val="20"/>
                <w:color w:val="auto"/>
              </w:rPr>
            </w:pPr>
            <w:r>
              <w:rPr>
                <w:rFonts w:ascii="Times New Roman" w:cs="Times New Roman" w:eastAsia="Times New Roman" w:hAnsi="Times New Roman"/>
                <w:sz w:val="16"/>
                <w:szCs w:val="16"/>
                <w:color w:val="auto"/>
              </w:rPr>
              <w:t>48.84</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00" w:type="dxa"/>
            <w:vAlign w:val="bottom"/>
            <w:tcBorders>
              <w:bottom w:val="single" w:sz="8" w:color="auto"/>
            </w:tcBorders>
            <w:gridSpan w:val="2"/>
          </w:tcPr>
          <w:p>
            <w:pPr>
              <w:jc w:val="right"/>
              <w:ind w:right="20"/>
              <w:spacing w:after="0" w:line="173" w:lineRule="exact"/>
              <w:rPr>
                <w:sz w:val="20"/>
                <w:szCs w:val="20"/>
                <w:color w:val="auto"/>
              </w:rPr>
            </w:pPr>
            <w:r>
              <w:rPr>
                <w:rFonts w:ascii="Times New Roman" w:cs="Times New Roman" w:eastAsia="Times New Roman" w:hAnsi="Times New Roman"/>
                <w:sz w:val="16"/>
                <w:szCs w:val="16"/>
                <w:color w:val="auto"/>
              </w:rPr>
              <w:t>5,759</w:t>
            </w:r>
          </w:p>
        </w:tc>
        <w:tc>
          <w:tcPr>
            <w:tcW w:w="100" w:type="dxa"/>
            <w:vAlign w:val="bottom"/>
          </w:tcPr>
          <w:p>
            <w:pPr>
              <w:spacing w:after="0"/>
              <w:rPr>
                <w:sz w:val="16"/>
                <w:szCs w:val="16"/>
                <w:color w:val="auto"/>
              </w:rPr>
            </w:pPr>
          </w:p>
        </w:tc>
        <w:tc>
          <w:tcPr>
            <w:tcW w:w="280" w:type="dxa"/>
            <w:vAlign w:val="bottom"/>
          </w:tcPr>
          <w:p>
            <w:pPr>
              <w:jc w:val="right"/>
              <w:ind w:right="42"/>
              <w:spacing w:after="0" w:line="173"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06"/>
              <w:spacing w:after="0" w:line="173" w:lineRule="exact"/>
              <w:rPr>
                <w:sz w:val="20"/>
                <w:szCs w:val="20"/>
                <w:color w:val="auto"/>
              </w:rPr>
            </w:pPr>
            <w:r>
              <w:rPr>
                <w:rFonts w:ascii="Times New Roman" w:cs="Times New Roman" w:eastAsia="Times New Roman" w:hAnsi="Times New Roman"/>
                <w:sz w:val="16"/>
                <w:szCs w:val="16"/>
                <w:color w:val="auto"/>
              </w:rPr>
              <w:t>36.31</w:t>
            </w:r>
          </w:p>
        </w:tc>
        <w:tc>
          <w:tcPr>
            <w:tcW w:w="1280" w:type="dxa"/>
            <w:vAlign w:val="bottom"/>
          </w:tcPr>
          <w:p>
            <w:pPr>
              <w:jc w:val="right"/>
              <w:ind w:right="29"/>
              <w:spacing w:after="0" w:line="173" w:lineRule="exact"/>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6,457</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5,759</w:t>
            </w:r>
          </w:p>
        </w:tc>
        <w:tc>
          <w:tcPr>
            <w:tcW w:w="100" w:type="dxa"/>
            <w:vAlign w:val="bottom"/>
          </w:tcPr>
          <w:p>
            <w:pPr>
              <w:spacing w:after="0"/>
              <w:rPr>
                <w:sz w:val="24"/>
                <w:szCs w:val="24"/>
                <w:color w:val="auto"/>
              </w:rPr>
            </w:pP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36.31</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4,040</w:t>
            </w:r>
          </w:p>
        </w:tc>
        <w:tc>
          <w:tcPr>
            <w:tcW w:w="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ind w:right="42"/>
              <w:spacing w:after="0" w:line="156"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06"/>
              <w:spacing w:after="0" w:line="156" w:lineRule="exact"/>
              <w:rPr>
                <w:sz w:val="20"/>
                <w:szCs w:val="20"/>
                <w:color w:val="auto"/>
              </w:rPr>
            </w:pPr>
            <w:r>
              <w:rPr>
                <w:rFonts w:ascii="Times New Roman" w:cs="Times New Roman" w:eastAsia="Times New Roman" w:hAnsi="Times New Roman"/>
                <w:sz w:val="16"/>
                <w:szCs w:val="16"/>
                <w:color w:val="auto"/>
              </w:rPr>
              <w:t>45.49</w:t>
            </w:r>
          </w:p>
        </w:tc>
        <w:tc>
          <w:tcPr>
            <w:tcW w:w="1280" w:type="dxa"/>
            <w:vAlign w:val="bottom"/>
          </w:tcPr>
          <w:p>
            <w:pPr>
              <w:jc w:val="right"/>
              <w:ind w:right="29"/>
              <w:spacing w:after="0" w:line="156" w:lineRule="exact"/>
              <w:rPr>
                <w:sz w:val="20"/>
                <w:szCs w:val="20"/>
                <w:color w:val="auto"/>
              </w:rPr>
            </w:pPr>
            <w:r>
              <w:rPr>
                <w:rFonts w:ascii="Times New Roman" w:cs="Times New Roman" w:eastAsia="Times New Roman" w:hAnsi="Times New Roman"/>
                <w:sz w:val="16"/>
                <w:szCs w:val="16"/>
                <w:color w:val="auto"/>
              </w:rPr>
              <w:t>4.9</w:t>
            </w: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2,082</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-1165860</wp:posOffset>
            </wp:positionV>
            <wp:extent cx="603694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6036945" cy="20574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-845185</wp:posOffset>
            </wp:positionV>
            <wp:extent cx="6036945" cy="114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6036945" cy="11430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-616585</wp:posOffset>
            </wp:positionV>
            <wp:extent cx="6036945" cy="114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6036945" cy="11430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-365125</wp:posOffset>
            </wp:positionV>
            <wp:extent cx="6036945" cy="228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6036945" cy="228600"/>
                    </a:xfrm>
                    <a:prstGeom prst="rect">
                      <a:avLst/>
                    </a:prstGeom>
                    <a:noFill/>
                  </pic:spPr>
                </pic:pic>
              </a:graphicData>
            </a:graphic>
          </wp:anchor>
        </w:drawing>
      </w:r>
    </w:p>
    <w:p>
      <w:pPr>
        <w:spacing w:after="0" w:line="167" w:lineRule="exact"/>
        <w:rPr>
          <w:sz w:val="20"/>
          <w:szCs w:val="20"/>
          <w:color w:val="auto"/>
        </w:rPr>
      </w:pPr>
    </w:p>
    <w:p>
      <w:pPr>
        <w:sectPr>
          <w:pgSz w:w="11900" w:h="16840" w:orient="portrait"/>
          <w:cols w:equalWidth="0" w:num="2">
            <w:col w:w="4020" w:space="720"/>
            <w:col w:w="5840"/>
          </w:cols>
          <w:pgMar w:left="660" w:top="1440" w:right="660" w:bottom="1440" w:gutter="0" w:footer="0" w:header="0"/>
          <w:type w:val="continuous"/>
        </w:sect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6"/>
        </w:trPr>
        <w:tc>
          <w:tcPr>
            <w:tcW w:w="4080" w:type="dxa"/>
            <w:vAlign w:val="bottom"/>
          </w:tcPr>
          <w:p>
            <w:pPr>
              <w:spacing w:after="0"/>
              <w:rPr>
                <w:sz w:val="13"/>
                <w:szCs w:val="13"/>
                <w:color w:val="auto"/>
              </w:rPr>
            </w:pPr>
          </w:p>
        </w:tc>
        <w:tc>
          <w:tcPr>
            <w:tcW w:w="180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60" w:type="dxa"/>
            <w:vAlign w:val="bottom"/>
          </w:tcPr>
          <w:p>
            <w:pPr>
              <w:spacing w:after="0"/>
              <w:rPr>
                <w:sz w:val="13"/>
                <w:szCs w:val="13"/>
                <w:color w:val="auto"/>
              </w:rPr>
            </w:pPr>
          </w:p>
        </w:tc>
        <w:tc>
          <w:tcPr>
            <w:tcW w:w="1120" w:type="dxa"/>
            <w:vAlign w:val="bottom"/>
          </w:tcPr>
          <w:p>
            <w:pPr>
              <w:jc w:val="right"/>
              <w:ind w:right="54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0"/>
        </w:trPr>
        <w:tc>
          <w:tcPr>
            <w:tcW w:w="40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Aggregate intrinsic value of stock options exercised</w:t>
            </w:r>
          </w:p>
        </w:tc>
        <w:tc>
          <w:tcPr>
            <w:tcW w:w="1800" w:type="dxa"/>
            <w:vAlign w:val="bottom"/>
            <w:shd w:val="clear" w:color="auto" w:fill="CFF0FC"/>
          </w:tcPr>
          <w:p>
            <w:pPr>
              <w:jc w:val="right"/>
              <w:ind w:right="786"/>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93</w:t>
            </w:r>
          </w:p>
        </w:tc>
        <w:tc>
          <w:tcPr>
            <w:tcW w:w="3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rPr>
              <w:t>3,295</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Proceeds to Company from stock options exercised</w:t>
            </w:r>
          </w:p>
        </w:tc>
        <w:tc>
          <w:tcPr>
            <w:tcW w:w="1800" w:type="dxa"/>
            <w:vAlign w:val="bottom"/>
          </w:tcPr>
          <w:p>
            <w:pPr>
              <w:jc w:val="right"/>
              <w:ind w:right="786"/>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w:t>
            </w:r>
          </w:p>
        </w:tc>
        <w:tc>
          <w:tcPr>
            <w:tcW w:w="3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6"/>
                <w:szCs w:val="16"/>
                <w:color w:val="auto"/>
              </w:rPr>
              <w:t>147</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2,208</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and Performance-Based Stock Unit Awards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awards both performance share units (“PSUs”) and relative total stockholder return units (“rTSRUs”) to its executive officers.</w:t>
      </w:r>
    </w:p>
    <w:p>
      <w:pPr>
        <w:spacing w:after="0" w:line="9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The PSUs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two years. The fair value of PSUs is based on the fair</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97" w:name="page98"/>
    <w:bookmarkEnd w:id="97"/>
    <w:p>
      <w:pPr>
        <w:spacing w:after="0" w:line="17" w:lineRule="exact"/>
        <w:rPr>
          <w:sz w:val="20"/>
          <w:szCs w:val="20"/>
          <w:color w:val="auto"/>
        </w:rPr>
      </w:pPr>
    </w:p>
    <w:p>
      <w:pPr>
        <w:jc w:val="both"/>
        <w:ind w:right="240"/>
        <w:spacing w:after="0" w:line="331" w:lineRule="auto"/>
        <w:rPr>
          <w:sz w:val="20"/>
          <w:szCs w:val="20"/>
          <w:color w:val="auto"/>
        </w:rPr>
      </w:pPr>
      <w:r>
        <w:rPr>
          <w:rFonts w:ascii="Times New Roman" w:cs="Times New Roman" w:eastAsia="Times New Roman" w:hAnsi="Times New Roman"/>
          <w:sz w:val="14"/>
          <w:szCs w:val="14"/>
          <w:color w:val="auto"/>
        </w:rPr>
        <w:t>value of the stock on the date of grant, which is determined to be the closing price of the Company's common stock. Stock-based compensation expense for PSUs is recorded in the statements of operations over the service period, commencing when it is probable that the specified research and development milestone is achieved.</w:t>
      </w:r>
    </w:p>
    <w:p>
      <w:pPr>
        <w:spacing w:after="0" w:line="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rTSRUs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two specified periods that are two years apart, based on a comparison of average closing stock prices in specified periods noted in the award agreement. The number of market-based rTSRUs awarded represents the target number of shares of common stock that may be earned; however, the actual number of shares that may be earned ranges from 0% to 150% of the target number, depending on the award agreement and the year of the award. The Company used a Monte Carlo model to estimate the grant-date fair value of the rTSRUs. Stock-based compensation expense for rTSRUs is recorded in the statements of operations over the service period regardless of whether the market condition is achieved.</w:t>
      </w:r>
    </w:p>
    <w:p>
      <w:pPr>
        <w:spacing w:after="0" w:line="74"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160" w:type="dxa"/>
            <w:vAlign w:val="bottom"/>
          </w:tcPr>
          <w:p>
            <w:pPr>
              <w:spacing w:after="0"/>
              <w:rPr>
                <w:sz w:val="14"/>
                <w:szCs w:val="14"/>
                <w:color w:val="auto"/>
              </w:rPr>
            </w:pPr>
          </w:p>
        </w:tc>
        <w:tc>
          <w:tcPr>
            <w:tcW w:w="1180" w:type="dxa"/>
            <w:vAlign w:val="bottom"/>
          </w:tcPr>
          <w:p>
            <w:pPr>
              <w:jc w:val="right"/>
              <w:ind w:right="7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60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06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Risk-free interest rate</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528"/>
              <w:spacing w:after="0" w:line="180" w:lineRule="exact"/>
              <w:rPr>
                <w:sz w:val="20"/>
                <w:szCs w:val="20"/>
                <w:color w:val="auto"/>
              </w:rPr>
            </w:pPr>
            <w:r>
              <w:rPr>
                <w:rFonts w:ascii="Times New Roman" w:cs="Times New Roman" w:eastAsia="Times New Roman" w:hAnsi="Times New Roman"/>
                <w:sz w:val="16"/>
                <w:szCs w:val="16"/>
                <w:color w:val="auto"/>
              </w:rPr>
              <w:t>3.94%</w:t>
            </w:r>
          </w:p>
        </w:tc>
        <w:tc>
          <w:tcPr>
            <w:tcW w:w="1180" w:type="dxa"/>
            <w:vAlign w:val="bottom"/>
            <w:shd w:val="clear" w:color="auto" w:fill="CFF0FC"/>
          </w:tcPr>
          <w:p>
            <w:pPr>
              <w:jc w:val="right"/>
              <w:ind w:right="105"/>
              <w:spacing w:after="0" w:line="180" w:lineRule="exact"/>
              <w:rPr>
                <w:sz w:val="20"/>
                <w:szCs w:val="20"/>
                <w:color w:val="auto"/>
              </w:rPr>
            </w:pPr>
            <w:r>
              <w:rPr>
                <w:rFonts w:ascii="Times New Roman" w:cs="Times New Roman" w:eastAsia="Times New Roman" w:hAnsi="Times New Roman"/>
                <w:sz w:val="16"/>
                <w:szCs w:val="16"/>
                <w:color w:val="auto"/>
              </w:rPr>
              <w:t>4.40%</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Dividend yield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528"/>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180" w:type="dxa"/>
            <w:vAlign w:val="bottom"/>
          </w:tcPr>
          <w:p>
            <w:pPr>
              <w:jc w:val="right"/>
              <w:ind w:right="105"/>
              <w:spacing w:after="0" w:line="180" w:lineRule="exact"/>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06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Expected volatility</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528"/>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1180" w:type="dxa"/>
            <w:vAlign w:val="bottom"/>
            <w:shd w:val="clear" w:color="auto" w:fill="CFF0FC"/>
          </w:tcPr>
          <w:p>
            <w:pPr>
              <w:jc w:val="right"/>
              <w:ind w:right="105"/>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period (years)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668"/>
              <w:spacing w:after="0"/>
              <w:rPr>
                <w:sz w:val="20"/>
                <w:szCs w:val="20"/>
                <w:color w:val="auto"/>
              </w:rPr>
            </w:pPr>
            <w:r>
              <w:rPr>
                <w:rFonts w:ascii="Times New Roman" w:cs="Times New Roman" w:eastAsia="Times New Roman" w:hAnsi="Times New Roman"/>
                <w:sz w:val="16"/>
                <w:szCs w:val="16"/>
                <w:color w:val="auto"/>
              </w:rPr>
              <w:t>1.83</w:t>
            </w:r>
          </w:p>
        </w:tc>
        <w:tc>
          <w:tcPr>
            <w:tcW w:w="1180" w:type="dxa"/>
            <w:vAlign w:val="bottom"/>
          </w:tcPr>
          <w:p>
            <w:pPr>
              <w:jc w:val="right"/>
              <w:ind w:right="225"/>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347"/>
        </w:trPr>
        <w:tc>
          <w:tcPr>
            <w:tcW w:w="7420" w:type="dxa"/>
            <w:vAlign w:val="bottom"/>
            <w:gridSpan w:val="7"/>
          </w:tcPr>
          <w:p>
            <w:pPr>
              <w:jc w:val="right"/>
              <w:ind w:right="588"/>
              <w:spacing w:after="0"/>
              <w:rPr>
                <w:sz w:val="20"/>
                <w:szCs w:val="20"/>
                <w:color w:val="auto"/>
              </w:rPr>
            </w:pPr>
            <w:r>
              <w:rPr>
                <w:rFonts w:ascii="Times New Roman" w:cs="Times New Roman" w:eastAsia="Times New Roman" w:hAnsi="Times New Roman"/>
                <w:sz w:val="16"/>
                <w:szCs w:val="16"/>
                <w:color w:val="auto"/>
                <w:w w:val="97"/>
              </w:rPr>
              <w:t>The following table summarizes PSU and rTSRU activity (at target) for the year ended September 30, 2025:</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PSUs</w:t>
            </w:r>
          </w:p>
        </w:tc>
        <w:tc>
          <w:tcPr>
            <w:tcW w:w="1160" w:type="dxa"/>
            <w:vAlign w:val="bottom"/>
            <w:vMerge w:val="restart"/>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58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rTSRUs</w:t>
            </w:r>
          </w:p>
        </w:tc>
        <w:tc>
          <w:tcPr>
            <w:tcW w:w="1040" w:type="dxa"/>
            <w:vAlign w:val="bottom"/>
            <w:vMerge w:val="restart"/>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8"/>
        </w:trPr>
        <w:tc>
          <w:tcPr>
            <w:tcW w:w="5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rPr>
              <w:t>Date Fair</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rPr>
              <w:t>Date Fair</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rPr>
              <w:t>Value per</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w w:val="98"/>
              </w:rPr>
              <w:t>Value per</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040" w:type="dxa"/>
            <w:vAlign w:val="bottom"/>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rPr>
              <w:t>Share</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06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Unvested at September 30, 2024</w:t>
            </w: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08"/>
              <w:spacing w:after="0" w:line="180" w:lineRule="exact"/>
              <w:rPr>
                <w:sz w:val="20"/>
                <w:szCs w:val="20"/>
                <w:color w:val="auto"/>
              </w:rPr>
            </w:pPr>
            <w:r>
              <w:rPr>
                <w:rFonts w:ascii="Times New Roman" w:cs="Times New Roman" w:eastAsia="Times New Roman" w:hAnsi="Times New Roman"/>
                <w:sz w:val="16"/>
                <w:szCs w:val="16"/>
                <w:color w:val="auto"/>
              </w:rPr>
              <w:t>27.98</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7"/>
              <w:spacing w:after="0" w:line="180" w:lineRule="exact"/>
              <w:rPr>
                <w:sz w:val="20"/>
                <w:szCs w:val="20"/>
                <w:color w:val="auto"/>
              </w:rPr>
            </w:pPr>
            <w:r>
              <w:rPr>
                <w:rFonts w:ascii="Times New Roman" w:cs="Times New Roman" w:eastAsia="Times New Roman" w:hAnsi="Times New Roman"/>
                <w:sz w:val="16"/>
                <w:szCs w:val="16"/>
                <w:color w:val="auto"/>
              </w:rPr>
              <w:t>25.09</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0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08"/>
              <w:spacing w:after="0" w:line="180" w:lineRule="exact"/>
              <w:rPr>
                <w:sz w:val="20"/>
                <w:szCs w:val="20"/>
                <w:color w:val="auto"/>
              </w:rPr>
            </w:pPr>
            <w:r>
              <w:rPr>
                <w:rFonts w:ascii="Times New Roman" w:cs="Times New Roman" w:eastAsia="Times New Roman" w:hAnsi="Times New Roman"/>
                <w:sz w:val="16"/>
                <w:szCs w:val="16"/>
                <w:color w:val="auto"/>
              </w:rPr>
              <w:t>20.44</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7"/>
              <w:spacing w:after="0" w:line="180" w:lineRule="exact"/>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06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4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08"/>
              <w:spacing w:after="0" w:line="180" w:lineRule="exact"/>
              <w:rPr>
                <w:sz w:val="20"/>
                <w:szCs w:val="20"/>
                <w:color w:val="auto"/>
              </w:rPr>
            </w:pPr>
            <w:r>
              <w:rPr>
                <w:rFonts w:ascii="Times New Roman" w:cs="Times New Roman" w:eastAsia="Times New Roman" w:hAnsi="Times New Roman"/>
                <w:sz w:val="16"/>
                <w:szCs w:val="16"/>
                <w:color w:val="auto"/>
              </w:rPr>
              <w:t>47.24</w:t>
            </w:r>
          </w:p>
        </w:tc>
        <w:tc>
          <w:tcPr>
            <w:tcW w:w="1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7"/>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06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Cancelled</w:t>
            </w:r>
          </w:p>
        </w:tc>
        <w:tc>
          <w:tcPr>
            <w:tcW w:w="4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108"/>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5"/>
                <w:szCs w:val="15"/>
                <w:color w:val="auto"/>
              </w:rPr>
            </w:pPr>
          </w:p>
        </w:tc>
        <w:tc>
          <w:tcPr>
            <w:tcW w:w="1040" w:type="dxa"/>
            <w:vAlign w:val="bottom"/>
          </w:tcPr>
          <w:p>
            <w:pPr>
              <w:jc w:val="right"/>
              <w:ind w:right="7"/>
              <w:spacing w:after="0" w:line="180" w:lineRule="exact"/>
              <w:rPr>
                <w:sz w:val="20"/>
                <w:szCs w:val="20"/>
                <w:color w:val="auto"/>
              </w:rPr>
            </w:pPr>
            <w:r>
              <w:rPr>
                <w:rFonts w:ascii="Times New Roman" w:cs="Times New Roman" w:eastAsia="Times New Roman" w:hAnsi="Times New Roman"/>
                <w:sz w:val="16"/>
                <w:szCs w:val="16"/>
                <w:color w:val="auto"/>
              </w:rPr>
              <w:t>40.32</w:t>
            </w:r>
          </w:p>
        </w:tc>
        <w:tc>
          <w:tcPr>
            <w:tcW w:w="0" w:type="dxa"/>
            <w:vAlign w:val="bottom"/>
          </w:tcPr>
          <w:p>
            <w:pPr>
              <w:spacing w:after="0"/>
              <w:rPr>
                <w:sz w:val="1"/>
                <w:szCs w:val="1"/>
                <w:color w:val="auto"/>
              </w:rPr>
            </w:pPr>
          </w:p>
        </w:tc>
      </w:tr>
      <w:tr>
        <w:trPr>
          <w:trHeight w:val="220"/>
        </w:trPr>
        <w:tc>
          <w:tcPr>
            <w:tcW w:w="54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Unvested at September 30, 2025</w:t>
            </w:r>
          </w:p>
        </w:tc>
        <w:tc>
          <w:tcPr>
            <w:tcW w:w="8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FF0FC"/>
            </w:tcBorders>
            <w:shd w:val="clear" w:color="auto" w:fill="CFF0FC"/>
          </w:tcPr>
          <w:p>
            <w:pPr>
              <w:jc w:val="right"/>
              <w:ind w:right="108"/>
              <w:spacing w:after="0" w:line="160" w:lineRule="exact"/>
              <w:rPr>
                <w:sz w:val="20"/>
                <w:szCs w:val="20"/>
                <w:color w:val="auto"/>
              </w:rPr>
            </w:pPr>
            <w:r>
              <w:rPr>
                <w:rFonts w:ascii="Times New Roman" w:cs="Times New Roman" w:eastAsia="Times New Roman" w:hAnsi="Times New Roman"/>
                <w:sz w:val="16"/>
                <w:szCs w:val="16"/>
                <w:color w:val="auto"/>
              </w:rPr>
              <w:t>8.47</w:t>
            </w:r>
          </w:p>
        </w:tc>
        <w:tc>
          <w:tcPr>
            <w:tcW w:w="118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FF0FC"/>
            </w:tcBorders>
            <w:shd w:val="clear" w:color="auto" w:fill="CFF0FC"/>
          </w:tcPr>
          <w:p>
            <w:pPr>
              <w:jc w:val="right"/>
              <w:ind w:right="7"/>
              <w:spacing w:after="0" w:line="160" w:lineRule="exact"/>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fair value of PSUs and rTSRUs vested during the years ended September 30, 2025, 2024, and 2023 were $396, $307, and $8,103,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restricted stock unit activity for the year ending September 30, 2025:</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5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left="371"/>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46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left="391"/>
              <w:spacing w:after="0"/>
              <w:rPr>
                <w:sz w:val="20"/>
                <w:szCs w:val="20"/>
                <w:color w:val="auto"/>
              </w:rPr>
            </w:pPr>
            <w:r>
              <w:rPr>
                <w:rFonts w:ascii="Times New Roman" w:cs="Times New Roman" w:eastAsia="Times New Roman" w:hAnsi="Times New Roman"/>
                <w:sz w:val="13"/>
                <w:szCs w:val="13"/>
                <w:b w:val="1"/>
                <w:bCs w:val="1"/>
                <w:color w:val="auto"/>
              </w:rPr>
              <w:t>Average Grant</w:t>
            </w:r>
          </w:p>
        </w:tc>
        <w:tc>
          <w:tcPr>
            <w:tcW w:w="46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260" w:type="dxa"/>
            <w:vAlign w:val="bottom"/>
          </w:tcPr>
          <w:p>
            <w:pPr>
              <w:jc w:val="center"/>
              <w:ind w:left="354"/>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left="371"/>
              <w:spacing w:after="0"/>
              <w:rPr>
                <w:sz w:val="20"/>
                <w:szCs w:val="20"/>
                <w:color w:val="auto"/>
              </w:rPr>
            </w:pPr>
            <w:r>
              <w:rPr>
                <w:rFonts w:ascii="Times New Roman" w:cs="Times New Roman" w:eastAsia="Times New Roman" w:hAnsi="Times New Roman"/>
                <w:sz w:val="13"/>
                <w:szCs w:val="13"/>
                <w:b w:val="1"/>
                <w:bCs w:val="1"/>
                <w:color w:val="auto"/>
              </w:rPr>
              <w:t>Date Fair</w:t>
            </w:r>
          </w:p>
        </w:tc>
        <w:tc>
          <w:tcPr>
            <w:tcW w:w="46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26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left="411"/>
              <w:spacing w:after="0"/>
              <w:rPr>
                <w:sz w:val="20"/>
                <w:szCs w:val="20"/>
                <w:color w:val="auto"/>
              </w:rPr>
            </w:pPr>
            <w:r>
              <w:rPr>
                <w:rFonts w:ascii="Times New Roman" w:cs="Times New Roman" w:eastAsia="Times New Roman" w:hAnsi="Times New Roman"/>
                <w:sz w:val="13"/>
                <w:szCs w:val="13"/>
                <w:b w:val="1"/>
                <w:bCs w:val="1"/>
                <w:color w:val="auto"/>
                <w:w w:val="98"/>
              </w:rPr>
              <w:t>Value per</w:t>
            </w:r>
          </w:p>
        </w:tc>
        <w:tc>
          <w:tcPr>
            <w:tcW w:w="46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260" w:type="dxa"/>
            <w:vAlign w:val="bottom"/>
          </w:tcPr>
          <w:p>
            <w:pPr>
              <w:jc w:val="center"/>
              <w:ind w:left="374"/>
              <w:spacing w:after="0"/>
              <w:rPr>
                <w:sz w:val="20"/>
                <w:szCs w:val="20"/>
                <w:color w:val="auto"/>
              </w:rPr>
            </w:pPr>
            <w:r>
              <w:rPr>
                <w:rFonts w:ascii="Times New Roman" w:cs="Times New Roman" w:eastAsia="Times New Roman" w:hAnsi="Times New Roman"/>
                <w:sz w:val="13"/>
                <w:szCs w:val="13"/>
                <w:b w:val="1"/>
                <w:bCs w:val="1"/>
                <w:color w:val="auto"/>
              </w:rPr>
              <w:t>Units</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w:t>
            </w:r>
          </w:p>
        </w:tc>
        <w:tc>
          <w:tcPr>
            <w:tcW w:w="460" w:type="dxa"/>
            <w:vAlign w:val="bottom"/>
          </w:tcPr>
          <w:p>
            <w:pPr>
              <w:spacing w:after="0"/>
              <w:rPr>
                <w:sz w:val="13"/>
                <w:szCs w:val="13"/>
                <w:color w:val="auto"/>
              </w:rPr>
            </w:pPr>
          </w:p>
        </w:tc>
      </w:tr>
      <w:tr>
        <w:trPr>
          <w:trHeight w:val="170"/>
        </w:trPr>
        <w:tc>
          <w:tcPr>
            <w:tcW w:w="5840" w:type="dxa"/>
            <w:vAlign w:val="bottom"/>
          </w:tcPr>
          <w:p>
            <w:pPr>
              <w:spacing w:after="0"/>
              <w:rPr>
                <w:sz w:val="14"/>
                <w:szCs w:val="14"/>
                <w:color w:val="auto"/>
              </w:rPr>
            </w:pPr>
          </w:p>
        </w:tc>
        <w:tc>
          <w:tcPr>
            <w:tcW w:w="3200" w:type="dxa"/>
            <w:vAlign w:val="bottom"/>
            <w:gridSpan w:val="4"/>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460" w:type="dxa"/>
            <w:vAlign w:val="bottom"/>
          </w:tcPr>
          <w:p>
            <w:pPr>
              <w:spacing w:after="0"/>
              <w:rPr>
                <w:sz w:val="14"/>
                <w:szCs w:val="14"/>
                <w:color w:val="auto"/>
              </w:rPr>
            </w:pPr>
          </w:p>
        </w:tc>
      </w:tr>
      <w:tr>
        <w:trPr>
          <w:trHeight w:val="180"/>
        </w:trPr>
        <w:tc>
          <w:tcPr>
            <w:tcW w:w="710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Unvested at September 30, 2024</w:t>
            </w:r>
          </w:p>
        </w:tc>
        <w:tc>
          <w:tcPr>
            <w:tcW w:w="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428</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91"/>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36.37</w:t>
            </w:r>
          </w:p>
        </w:tc>
      </w:tr>
      <w:tr>
        <w:trPr>
          <w:trHeight w:val="180"/>
        </w:trPr>
        <w:tc>
          <w:tcPr>
            <w:tcW w:w="71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8.57</w:t>
            </w:r>
          </w:p>
        </w:tc>
      </w:tr>
      <w:tr>
        <w:trPr>
          <w:trHeight w:val="180"/>
        </w:trPr>
        <w:tc>
          <w:tcPr>
            <w:tcW w:w="7100" w:type="dxa"/>
            <w:vAlign w:val="bottom"/>
            <w:gridSpan w:val="2"/>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6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3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42.11</w:t>
            </w:r>
          </w:p>
        </w:tc>
      </w:tr>
      <w:tr>
        <w:trPr>
          <w:trHeight w:val="180"/>
        </w:trPr>
        <w:tc>
          <w:tcPr>
            <w:tcW w:w="71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Cancelled</w:t>
            </w:r>
          </w:p>
        </w:tc>
        <w:tc>
          <w:tcPr>
            <w:tcW w:w="6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1340" w:type="dxa"/>
            <w:vAlign w:val="bottom"/>
          </w:tcPr>
          <w:p>
            <w:pPr>
              <w:spacing w:after="0"/>
              <w:rPr>
                <w:sz w:val="15"/>
                <w:szCs w:val="15"/>
                <w:color w:val="auto"/>
              </w:rPr>
            </w:pPr>
          </w:p>
        </w:tc>
        <w:tc>
          <w:tcPr>
            <w:tcW w:w="4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99"/>
              </w:rPr>
              <w:t>16.71</w:t>
            </w:r>
          </w:p>
        </w:tc>
      </w:tr>
      <w:tr>
        <w:trPr>
          <w:trHeight w:val="220"/>
        </w:trPr>
        <w:tc>
          <w:tcPr>
            <w:tcW w:w="584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Unvested at September 30, 2025</w:t>
            </w:r>
          </w:p>
        </w:tc>
        <w:tc>
          <w:tcPr>
            <w:tcW w:w="1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408</w:t>
            </w:r>
          </w:p>
        </w:tc>
        <w:tc>
          <w:tcPr>
            <w:tcW w:w="1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ind w:right="1091"/>
              <w:spacing w:after="0" w:line="16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FF0FC"/>
            </w:tcBorders>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99"/>
              </w:rPr>
              <w:t>24.15</w:t>
            </w:r>
          </w:p>
        </w:tc>
      </w:tr>
    </w:tbl>
    <w:p>
      <w:pPr>
        <w:spacing w:after="0" w:line="167" w:lineRule="exact"/>
        <w:rPr>
          <w:sz w:val="20"/>
          <w:szCs w:val="20"/>
          <w:color w:val="auto"/>
        </w:rPr>
      </w:pPr>
    </w:p>
    <w:p>
      <w:pPr>
        <w:ind w:left="5140" w:right="640" w:hanging="5130"/>
        <w:spacing w:after="0" w:line="259" w:lineRule="auto"/>
        <w:rPr>
          <w:sz w:val="20"/>
          <w:szCs w:val="20"/>
          <w:color w:val="auto"/>
        </w:rPr>
      </w:pPr>
      <w:r>
        <w:rPr>
          <w:rFonts w:ascii="Times New Roman" w:cs="Times New Roman" w:eastAsia="Times New Roman" w:hAnsi="Times New Roman"/>
          <w:sz w:val="16"/>
          <w:szCs w:val="16"/>
          <w:color w:val="auto"/>
        </w:rPr>
        <w:t>The total fair value of restricted stock units vested during the years ended September 30, 2025, 2024, and 2023 were $1,290, $1,228, and $2,590, respectively.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98" w:name="page99"/>
    <w:bookmarkEnd w:id="98"/>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Company recorded the following stock-based compensation expense for the years ended September 30, 2025, 2024, and 2023:</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56"/>
        </w:trPr>
        <w:tc>
          <w:tcPr>
            <w:tcW w:w="4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9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r>
      <w:tr>
        <w:trPr>
          <w:trHeight w:val="170"/>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shd w:val="clear" w:color="auto" w:fill="CFF0FC"/>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6,306</w:t>
            </w:r>
          </w:p>
        </w:tc>
        <w:tc>
          <w:tcPr>
            <w:tcW w:w="34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7,389</w:t>
            </w: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9,551</w:t>
            </w: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15"/>
                <w:szCs w:val="15"/>
                <w:color w:val="auto"/>
              </w:rPr>
            </w:pP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12,259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19,406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18,665</w:t>
            </w:r>
          </w:p>
        </w:tc>
        <w:tc>
          <w:tcPr>
            <w:tcW w:w="80" w:type="dxa"/>
            <w:vAlign w:val="bottom"/>
          </w:tcPr>
          <w:p>
            <w:pPr>
              <w:spacing w:after="0"/>
              <w:rPr>
                <w:sz w:val="15"/>
                <w:szCs w:val="15"/>
                <w:color w:val="auto"/>
              </w:rPr>
            </w:pPr>
          </w:p>
        </w:tc>
      </w:tr>
      <w:tr>
        <w:trPr>
          <w:trHeight w:val="200"/>
        </w:trPr>
        <w:tc>
          <w:tcPr>
            <w:tcW w:w="49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right w:val="single" w:sz="8" w:color="CFF0FC"/>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18,565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26,795</w:t>
            </w:r>
          </w:p>
        </w:tc>
        <w:tc>
          <w:tcPr>
            <w:tcW w:w="2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28,216</w:t>
            </w:r>
          </w:p>
        </w:tc>
        <w:tc>
          <w:tcPr>
            <w:tcW w:w="80" w:type="dxa"/>
            <w:vAlign w:val="bottom"/>
            <w:shd w:val="clear" w:color="auto" w:fill="CFF0FC"/>
          </w:tcPr>
          <w:p>
            <w:pPr>
              <w:spacing w:after="0"/>
              <w:rPr>
                <w:sz w:val="17"/>
                <w:szCs w:val="17"/>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22"/>
        </w:trPr>
        <w:tc>
          <w:tcPr>
            <w:tcW w:w="4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49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r>
      <w:tr>
        <w:trPr>
          <w:trHeight w:val="170"/>
        </w:trPr>
        <w:tc>
          <w:tcPr>
            <w:tcW w:w="4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Stock options</w:t>
            </w:r>
          </w:p>
        </w:tc>
        <w:tc>
          <w:tcPr>
            <w:tcW w:w="840" w:type="dxa"/>
            <w:vAlign w:val="bottom"/>
            <w:shd w:val="clear" w:color="auto" w:fill="CFF0FC"/>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right w:val="single" w:sz="8" w:color="CFF0FC"/>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11,860</w:t>
            </w:r>
          </w:p>
        </w:tc>
        <w:tc>
          <w:tcPr>
            <w:tcW w:w="34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15,342</w:t>
            </w:r>
          </w:p>
        </w:tc>
        <w:tc>
          <w:tcPr>
            <w:tcW w:w="24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19,784</w:t>
            </w:r>
          </w:p>
        </w:tc>
        <w:tc>
          <w:tcPr>
            <w:tcW w:w="80" w:type="dxa"/>
            <w:vAlign w:val="bottom"/>
            <w:shd w:val="clear" w:color="auto" w:fill="CFF0FC"/>
          </w:tcPr>
          <w:p>
            <w:pPr>
              <w:spacing w:after="0"/>
              <w:rPr>
                <w:sz w:val="15"/>
                <w:szCs w:val="15"/>
                <w:color w:val="auto"/>
              </w:rPr>
            </w:pP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rTSRUs</w:t>
            </w:r>
          </w:p>
        </w:tc>
        <w:tc>
          <w:tcPr>
            <w:tcW w:w="840" w:type="dxa"/>
            <w:vAlign w:val="bottom"/>
          </w:tcPr>
          <w:p>
            <w:pPr>
              <w:spacing w:after="0"/>
              <w:rPr>
                <w:sz w:val="15"/>
                <w:szCs w:val="15"/>
                <w:color w:val="auto"/>
              </w:rPr>
            </w:pP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667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1,243</w:t>
            </w:r>
          </w:p>
        </w:tc>
        <w:tc>
          <w:tcPr>
            <w:tcW w:w="30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1,893</w:t>
            </w:r>
          </w:p>
        </w:tc>
      </w:tr>
      <w:tr>
        <w:trPr>
          <w:trHeight w:val="180"/>
        </w:trPr>
        <w:tc>
          <w:tcPr>
            <w:tcW w:w="4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PSUs</w:t>
            </w:r>
          </w:p>
        </w:tc>
        <w:tc>
          <w:tcPr>
            <w:tcW w:w="840" w:type="dxa"/>
            <w:vAlign w:val="bottom"/>
            <w:shd w:val="clear" w:color="auto" w:fill="CFF0FC"/>
          </w:tcPr>
          <w:p>
            <w:pPr>
              <w:spacing w:after="0"/>
              <w:rPr>
                <w:sz w:val="15"/>
                <w:szCs w:val="15"/>
                <w:color w:val="auto"/>
              </w:rPr>
            </w:pPr>
          </w:p>
        </w:tc>
        <w:tc>
          <w:tcPr>
            <w:tcW w:w="560" w:type="dxa"/>
            <w:vAlign w:val="bottom"/>
            <w:tcBorders>
              <w:right w:val="single" w:sz="8" w:color="CFF0FC"/>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814</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4,087</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542</w:t>
            </w:r>
          </w:p>
        </w:tc>
        <w:tc>
          <w:tcPr>
            <w:tcW w:w="80" w:type="dxa"/>
            <w:vAlign w:val="bottom"/>
            <w:shd w:val="clear" w:color="auto" w:fill="CFF0FC"/>
          </w:tcPr>
          <w:p>
            <w:pPr>
              <w:spacing w:after="0"/>
              <w:rPr>
                <w:sz w:val="15"/>
                <w:szCs w:val="15"/>
                <w:color w:val="auto"/>
              </w:rPr>
            </w:pPr>
          </w:p>
        </w:tc>
      </w:tr>
      <w:tr>
        <w:trPr>
          <w:trHeight w:val="180"/>
        </w:trPr>
        <w:tc>
          <w:tcPr>
            <w:tcW w:w="4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stock units</w:t>
            </w:r>
          </w:p>
        </w:tc>
        <w:tc>
          <w:tcPr>
            <w:tcW w:w="8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5,224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6,123</w:t>
            </w:r>
          </w:p>
        </w:tc>
        <w:tc>
          <w:tcPr>
            <w:tcW w:w="30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5,997</w:t>
            </w:r>
          </w:p>
        </w:tc>
      </w:tr>
      <w:tr>
        <w:trPr>
          <w:trHeight w:val="200"/>
        </w:trPr>
        <w:tc>
          <w:tcPr>
            <w:tcW w:w="49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8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right w:val="single" w:sz="8" w:color="CFF0FC"/>
            </w:tcBorders>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18,565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26,795</w:t>
            </w:r>
          </w:p>
        </w:tc>
        <w:tc>
          <w:tcPr>
            <w:tcW w:w="2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28,216</w:t>
            </w:r>
          </w:p>
        </w:tc>
        <w:tc>
          <w:tcPr>
            <w:tcW w:w="80" w:type="dxa"/>
            <w:vAlign w:val="bottom"/>
            <w:shd w:val="clear" w:color="auto" w:fill="CFF0FC"/>
          </w:tcPr>
          <w:p>
            <w:pPr>
              <w:spacing w:after="0"/>
              <w:rPr>
                <w:sz w:val="17"/>
                <w:szCs w:val="17"/>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left="20" w:right="500"/>
        <w:spacing w:after="0" w:line="259" w:lineRule="auto"/>
        <w:rPr>
          <w:sz w:val="20"/>
          <w:szCs w:val="20"/>
          <w:color w:val="auto"/>
        </w:rPr>
      </w:pPr>
      <w:r>
        <w:rPr>
          <w:rFonts w:ascii="Times New Roman" w:cs="Times New Roman" w:eastAsia="Times New Roman" w:hAnsi="Times New Roman"/>
          <w:sz w:val="16"/>
          <w:szCs w:val="16"/>
          <w:color w:val="auto"/>
        </w:rPr>
        <w:t>As of September 30, 2025, the Company had an aggregate of $18,839 of unrecognized stock-based compensation cost, which is expected to be recognized over a weighted average period of 1.8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Leases</w:t>
      </w:r>
    </w:p>
    <w:p>
      <w:pPr>
        <w:spacing w:after="0" w:line="94" w:lineRule="exact"/>
        <w:rPr>
          <w:sz w:val="20"/>
          <w:szCs w:val="20"/>
          <w:color w:val="auto"/>
        </w:rPr>
      </w:pPr>
    </w:p>
    <w:p>
      <w:pPr>
        <w:ind w:left="20" w:right="140"/>
        <w:spacing w:after="0" w:line="259" w:lineRule="auto"/>
        <w:rPr>
          <w:sz w:val="20"/>
          <w:szCs w:val="20"/>
          <w:color w:val="auto"/>
        </w:rPr>
      </w:pPr>
      <w:r>
        <w:rPr>
          <w:rFonts w:ascii="Times New Roman" w:cs="Times New Roman" w:eastAsia="Times New Roman" w:hAnsi="Times New Roman"/>
          <w:sz w:val="16"/>
          <w:szCs w:val="16"/>
          <w:color w:val="auto"/>
        </w:rPr>
        <w:t>The Company has two real estate leases for properties located in Watertown, Massachusetts. The first lease, for office and laboratory space at 4 Kingsbury Avenue and the second lease, is for office space located at 400 Talcott Avenue.</w:t>
      </w:r>
    </w:p>
    <w:p>
      <w:pPr>
        <w:spacing w:after="0" w:line="59" w:lineRule="exact"/>
        <w:rPr>
          <w:sz w:val="20"/>
          <w:szCs w:val="20"/>
          <w:color w:val="auto"/>
        </w:rPr>
      </w:pPr>
    </w:p>
    <w:p>
      <w:pPr>
        <w:jc w:val="both"/>
        <w:ind w:left="20" w:right="360"/>
        <w:spacing w:after="0" w:line="247" w:lineRule="auto"/>
        <w:rPr>
          <w:sz w:val="20"/>
          <w:szCs w:val="20"/>
          <w:color w:val="auto"/>
        </w:rPr>
      </w:pPr>
      <w:r>
        <w:rPr>
          <w:rFonts w:ascii="Times New Roman" w:cs="Times New Roman" w:eastAsia="Times New Roman" w:hAnsi="Times New Roman"/>
          <w:sz w:val="16"/>
          <w:szCs w:val="16"/>
          <w:color w:val="auto"/>
        </w:rPr>
        <w:t>Lease payments for the Company's real estate leases include fixed lease payments that escalate over the terms of the leases and require the Company to pay certain operating expenses based on actual costs incurred. Operating expenses that are not fixed in nature are expensed in the period incurred and included in variable lease costs. The leases do not include any restrictions or covenants that had to be accounted for under the lease guidance.</w:t>
      </w:r>
    </w:p>
    <w:p>
      <w:pPr>
        <w:spacing w:after="0" w:line="68" w:lineRule="exact"/>
        <w:rPr>
          <w:sz w:val="20"/>
          <w:szCs w:val="20"/>
          <w:color w:val="auto"/>
        </w:rPr>
      </w:pPr>
    </w:p>
    <w:p>
      <w:pPr>
        <w:ind w:left="20"/>
        <w:spacing w:after="0" w:line="277" w:lineRule="auto"/>
        <w:rPr>
          <w:sz w:val="20"/>
          <w:szCs w:val="20"/>
          <w:color w:val="auto"/>
        </w:rPr>
      </w:pPr>
      <w:r>
        <w:rPr>
          <w:rFonts w:ascii="Times New Roman" w:cs="Times New Roman" w:eastAsia="Times New Roman" w:hAnsi="Times New Roman"/>
          <w:sz w:val="14"/>
          <w:szCs w:val="14"/>
          <w:color w:val="auto"/>
        </w:rPr>
        <w:t>In May 2022, the Company entered into its lease agreement for 4 Kingsbury Avenue with its existing landlord, adjacent to its 400 Talcott Avenue premises. Construction of the facility shell was completed by the landlord and the Company gained access to the building to construct tenant improvements during the three months ended March 31, 2024. The estimated minimum lease payments for the 4 Kingsbury Avenue facility total $76,470 over the ten-year term. The lease also contains</w:t>
      </w:r>
    </w:p>
    <w:p>
      <w:pPr>
        <w:spacing w:after="0" w:line="1" w:lineRule="exact"/>
        <w:rPr>
          <w:sz w:val="20"/>
          <w:szCs w:val="20"/>
          <w:color w:val="auto"/>
        </w:rPr>
      </w:pPr>
    </w:p>
    <w:p>
      <w:pPr>
        <w:ind w:left="20" w:right="180" w:firstLine="6"/>
        <w:spacing w:after="0" w:line="237" w:lineRule="auto"/>
        <w:tabs>
          <w:tab w:leader="none" w:pos="12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improvement allowance of $15,205. The Company recorded a right-of-use asset of $32,499 and lease liability of $31,939 upon commencement of the lease during the year ended September 30, 2024. The Company moved its lab operations from 500 Arsenal Street into the newly constructed 4 Kingsbury Avenue facility in November 2024.</w:t>
      </w:r>
    </w:p>
    <w:p>
      <w:pPr>
        <w:spacing w:after="0" w:line="169" w:lineRule="exact"/>
        <w:rPr>
          <w:sz w:val="20"/>
          <w:szCs w:val="20"/>
          <w:color w:val="auto"/>
        </w:rPr>
      </w:pPr>
    </w:p>
    <w:p>
      <w:pPr>
        <w:ind w:left="20" w:right="40"/>
        <w:spacing w:after="0" w:line="243" w:lineRule="auto"/>
        <w:rPr>
          <w:sz w:val="20"/>
          <w:szCs w:val="20"/>
          <w:color w:val="auto"/>
        </w:rPr>
      </w:pPr>
      <w:r>
        <w:rPr>
          <w:rFonts w:ascii="Times New Roman" w:cs="Times New Roman" w:eastAsia="Times New Roman" w:hAnsi="Times New Roman"/>
          <w:sz w:val="16"/>
          <w:szCs w:val="16"/>
          <w:color w:val="auto"/>
        </w:rPr>
        <w:t>In conjunction with the new lease agreement at 4 Kingsbury Avenue, the Company amended its 500 Arsenal Street lease to shorten the term of the lease from September 2027 to November 2024. The Company remeasured the lease term and remaining lease payments for the 500 Arsenal Street facility during the year ended September 30, 2024 when the Company gained access to the 4 Kingsbury Avenue facility. The Company recorded an adjustment to the right-of-use asset and lease liability for 500 Arsenal Street of $9,322 during the year ended September 30, 2024 and vacated the facility in November 2024.</w:t>
      </w:r>
    </w:p>
    <w:p>
      <w:pPr>
        <w:spacing w:after="0" w:line="71" w:lineRule="exact"/>
        <w:rPr>
          <w:sz w:val="20"/>
          <w:szCs w:val="20"/>
          <w:color w:val="auto"/>
        </w:rPr>
      </w:pPr>
    </w:p>
    <w:p>
      <w:pPr>
        <w:ind w:left="20" w:right="100"/>
        <w:spacing w:after="0" w:line="243" w:lineRule="auto"/>
        <w:rPr>
          <w:sz w:val="20"/>
          <w:szCs w:val="20"/>
          <w:color w:val="auto"/>
        </w:rPr>
      </w:pPr>
      <w:r>
        <w:rPr>
          <w:rFonts w:ascii="Times New Roman" w:cs="Times New Roman" w:eastAsia="Times New Roman" w:hAnsi="Times New Roman"/>
          <w:sz w:val="16"/>
          <w:szCs w:val="16"/>
          <w:color w:val="auto"/>
        </w:rPr>
        <w:t>The Company leases units of equipment over eighteen-month lease periods commencing upon shipment of each unit. The lease agreements contain options to terminate the leases early or to extend the leases for successive six-month periods, however these options were not included in the right- of-use assets and lease liability as they were not reasonably certain of being exercised. The equipment leases require the Company to pay for certain consumable and peripheral equipment supplies based on actual costs incurred. As these costs are not fixed in nature, they are expensed in the period incurred and included in variable lease costs.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components of lease expense for the Company’s real estate and equipment leases were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2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r>
      <w:tr>
        <w:trPr>
          <w:trHeight w:val="170"/>
        </w:trPr>
        <w:tc>
          <w:tcPr>
            <w:tcW w:w="32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200" w:type="dxa"/>
            <w:vAlign w:val="bottom"/>
            <w:shd w:val="clear" w:color="auto" w:fill="CFF2FC"/>
          </w:tcPr>
          <w:p>
            <w:pPr>
              <w:spacing w:after="0" w:line="180" w:lineRule="exact"/>
              <w:rPr>
                <w:sz w:val="20"/>
                <w:szCs w:val="20"/>
                <w:color w:val="auto"/>
              </w:rPr>
            </w:pPr>
            <w:r>
              <w:rPr>
                <w:rFonts w:ascii="Times New Roman" w:cs="Times New Roman" w:eastAsia="Times New Roman" w:hAnsi="Times New Roman"/>
                <w:sz w:val="16"/>
                <w:szCs w:val="16"/>
                <w:color w:val="auto"/>
              </w:rPr>
              <w:t>Operating lease cost</w:t>
            </w:r>
          </w:p>
        </w:tc>
        <w:tc>
          <w:tcPr>
            <w:tcW w:w="3700" w:type="dxa"/>
            <w:vAlign w:val="bottom"/>
            <w:gridSpan w:val="2"/>
            <w:shd w:val="clear" w:color="auto" w:fill="CFF2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2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9,572</w:t>
            </w:r>
          </w:p>
        </w:tc>
        <w:tc>
          <w:tcPr>
            <w:tcW w:w="340" w:type="dxa"/>
            <w:vAlign w:val="bottom"/>
            <w:gridSpan w:val="2"/>
            <w:shd w:val="clear" w:color="auto" w:fill="CFF2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2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10,574</w:t>
            </w:r>
          </w:p>
        </w:tc>
        <w:tc>
          <w:tcPr>
            <w:tcW w:w="80" w:type="dxa"/>
            <w:vAlign w:val="bottom"/>
            <w:shd w:val="clear" w:color="auto" w:fill="CFF2FC"/>
          </w:tcPr>
          <w:p>
            <w:pPr>
              <w:spacing w:after="0"/>
              <w:rPr>
                <w:sz w:val="15"/>
                <w:szCs w:val="15"/>
                <w:color w:val="auto"/>
              </w:rPr>
            </w:pPr>
          </w:p>
        </w:tc>
        <w:tc>
          <w:tcPr>
            <w:tcW w:w="360" w:type="dxa"/>
            <w:vAlign w:val="bottom"/>
            <w:gridSpan w:val="2"/>
            <w:shd w:val="clear" w:color="auto" w:fill="CFF2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2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6,230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5,352</w:t>
            </w:r>
          </w:p>
        </w:tc>
      </w:tr>
      <w:tr>
        <w:trPr>
          <w:trHeight w:val="220"/>
        </w:trPr>
        <w:tc>
          <w:tcPr>
            <w:tcW w:w="3200" w:type="dxa"/>
            <w:vAlign w:val="bottom"/>
            <w:shd w:val="clear" w:color="auto" w:fill="CFF2FC"/>
          </w:tcPr>
          <w:p>
            <w:pPr>
              <w:spacing w:after="0"/>
              <w:rPr>
                <w:sz w:val="19"/>
                <w:szCs w:val="19"/>
                <w:color w:val="auto"/>
              </w:rPr>
            </w:pPr>
          </w:p>
        </w:tc>
        <w:tc>
          <w:tcPr>
            <w:tcW w:w="3700" w:type="dxa"/>
            <w:vAlign w:val="bottom"/>
            <w:gridSpan w:val="2"/>
            <w:shd w:val="clear" w:color="auto" w:fill="CFF2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2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15,616</w:t>
            </w:r>
          </w:p>
        </w:tc>
        <w:tc>
          <w:tcPr>
            <w:tcW w:w="40" w:type="dxa"/>
            <w:vAlign w:val="bottom"/>
            <w:shd w:val="clear" w:color="auto" w:fill="CFF2FC"/>
          </w:tcPr>
          <w:p>
            <w:pPr>
              <w:spacing w:after="0"/>
              <w:rPr>
                <w:sz w:val="19"/>
                <w:szCs w:val="19"/>
                <w:color w:val="auto"/>
              </w:rPr>
            </w:pPr>
          </w:p>
        </w:tc>
        <w:tc>
          <w:tcPr>
            <w:tcW w:w="340" w:type="dxa"/>
            <w:vAlign w:val="bottom"/>
            <w:gridSpan w:val="2"/>
            <w:shd w:val="clear" w:color="auto" w:fill="CFF2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2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15,294</w:t>
            </w:r>
          </w:p>
        </w:tc>
        <w:tc>
          <w:tcPr>
            <w:tcW w:w="80" w:type="dxa"/>
            <w:vAlign w:val="bottom"/>
            <w:shd w:val="clear" w:color="auto" w:fill="CFF2FC"/>
          </w:tcPr>
          <w:p>
            <w:pPr>
              <w:spacing w:after="0"/>
              <w:rPr>
                <w:sz w:val="19"/>
                <w:szCs w:val="19"/>
                <w:color w:val="auto"/>
              </w:rPr>
            </w:pPr>
          </w:p>
        </w:tc>
        <w:tc>
          <w:tcPr>
            <w:tcW w:w="360" w:type="dxa"/>
            <w:vAlign w:val="bottom"/>
            <w:gridSpan w:val="2"/>
            <w:shd w:val="clear" w:color="auto" w:fill="CFF2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2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11,582</w:t>
            </w:r>
          </w:p>
        </w:tc>
        <w:tc>
          <w:tcPr>
            <w:tcW w:w="80" w:type="dxa"/>
            <w:vAlign w:val="bottom"/>
            <w:shd w:val="clear" w:color="auto" w:fill="CFF2FC"/>
          </w:tcPr>
          <w:p>
            <w:pPr>
              <w:spacing w:after="0"/>
              <w:rPr>
                <w:sz w:val="19"/>
                <w:szCs w:val="19"/>
                <w:color w:val="auto"/>
              </w:rPr>
            </w:pPr>
          </w:p>
        </w:tc>
      </w:tr>
      <w:tr>
        <w:trPr>
          <w:trHeight w:val="346"/>
        </w:trPr>
        <w:tc>
          <w:tcPr>
            <w:tcW w:w="3200" w:type="dxa"/>
            <w:vAlign w:val="bottom"/>
            <w:tcBorders>
              <w:top w:val="single" w:sz="8" w:color="CFF2FC"/>
            </w:tcBorders>
          </w:tcPr>
          <w:p>
            <w:pPr>
              <w:spacing w:after="0"/>
              <w:rPr>
                <w:sz w:val="24"/>
                <w:szCs w:val="24"/>
                <w:color w:val="auto"/>
              </w:rPr>
            </w:pPr>
          </w:p>
        </w:tc>
        <w:tc>
          <w:tcPr>
            <w:tcW w:w="3480" w:type="dxa"/>
            <w:vAlign w:val="bottom"/>
            <w:tcBorders>
              <w:top w:val="single" w:sz="8" w:color="CFF2FC"/>
            </w:tcBorders>
          </w:tcPr>
          <w:p>
            <w:pPr>
              <w:ind w:left="1940"/>
              <w:spacing w:after="0"/>
              <w:rPr>
                <w:sz w:val="20"/>
                <w:szCs w:val="20"/>
                <w:color w:val="auto"/>
              </w:rPr>
            </w:pPr>
            <w:r>
              <w:rPr>
                <w:rFonts w:ascii="Times New Roman" w:cs="Times New Roman" w:eastAsia="Times New Roman" w:hAnsi="Times New Roman"/>
                <w:sz w:val="16"/>
                <w:szCs w:val="16"/>
                <w:color w:val="auto"/>
              </w:rPr>
              <w:t>F-21</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CFF2FC"/>
            </w:tcBorders>
          </w:tcPr>
          <w:p>
            <w:pPr>
              <w:spacing w:after="0"/>
              <w:rPr>
                <w:sz w:val="24"/>
                <w:szCs w:val="24"/>
                <w:color w:val="auto"/>
              </w:rPr>
            </w:pPr>
          </w:p>
        </w:tc>
        <w:tc>
          <w:tcPr>
            <w:tcW w:w="160" w:type="dxa"/>
            <w:vAlign w:val="bottom"/>
            <w:tcBorders>
              <w:top w:val="single" w:sz="8" w:color="CFF2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FF2FC"/>
            </w:tcBorders>
          </w:tcPr>
          <w:p>
            <w:pPr>
              <w:spacing w:after="0"/>
              <w:rPr>
                <w:sz w:val="24"/>
                <w:szCs w:val="24"/>
                <w:color w:val="auto"/>
              </w:rPr>
            </w:pPr>
          </w:p>
        </w:tc>
        <w:tc>
          <w:tcPr>
            <w:tcW w:w="100" w:type="dxa"/>
            <w:vAlign w:val="bottom"/>
            <w:tcBorders>
              <w:top w:val="single" w:sz="8" w:color="CFF2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FF2FC"/>
            </w:tcBorders>
          </w:tcPr>
          <w:p>
            <w:pPr>
              <w:spacing w:after="0"/>
              <w:rPr>
                <w:sz w:val="24"/>
                <w:szCs w:val="24"/>
                <w:color w:val="auto"/>
              </w:rPr>
            </w:pPr>
          </w:p>
        </w:tc>
      </w:tr>
      <w:tr>
        <w:trPr>
          <w:trHeight w:val="674"/>
        </w:trPr>
        <w:tc>
          <w:tcPr>
            <w:tcW w:w="3200" w:type="dxa"/>
            <w:vAlign w:val="bottom"/>
            <w:tcBorders>
              <w:bottom w:val="single" w:sz="8" w:color="EEEEEE"/>
            </w:tcBorders>
          </w:tcPr>
          <w:p>
            <w:pPr>
              <w:spacing w:after="0"/>
              <w:rPr>
                <w:sz w:val="24"/>
                <w:szCs w:val="24"/>
                <w:color w:val="auto"/>
              </w:rPr>
            </w:pPr>
          </w:p>
        </w:tc>
        <w:tc>
          <w:tcPr>
            <w:tcW w:w="34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99" w:name="page100"/>
    <w:bookmarkEnd w:id="99"/>
    <w:p>
      <w:pPr>
        <w:spacing w:after="0" w:line="113"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Supplemental disclosure of cash flow information related to the Company's operating leases included in cash flows used in operating activities in the consolidated statements of cash flows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08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6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c>
          <w:tcPr>
            <w:tcW w:w="108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0"/>
        </w:trPr>
        <w:tc>
          <w:tcPr>
            <w:tcW w:w="5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5840" w:type="dxa"/>
            <w:vAlign w:val="bottom"/>
            <w:shd w:val="clear" w:color="auto" w:fill="CFF2FC"/>
          </w:tcPr>
          <w:p>
            <w:pPr>
              <w:spacing w:after="0" w:line="180" w:lineRule="exact"/>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1500" w:type="dxa"/>
            <w:vAlign w:val="bottom"/>
            <w:shd w:val="clear" w:color="auto" w:fill="CFF2FC"/>
          </w:tcPr>
          <w:p>
            <w:pPr>
              <w:jc w:val="right"/>
              <w:ind w:right="505"/>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2FC"/>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9,856</w:t>
            </w:r>
          </w:p>
        </w:tc>
        <w:tc>
          <w:tcPr>
            <w:tcW w:w="340" w:type="dxa"/>
            <w:vAlign w:val="bottom"/>
            <w:shd w:val="clear" w:color="auto" w:fill="CFF2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2FC"/>
          </w:tcPr>
          <w:p>
            <w:pPr>
              <w:jc w:val="right"/>
              <w:ind w:right="106"/>
              <w:spacing w:after="0" w:line="180" w:lineRule="exact"/>
              <w:rPr>
                <w:sz w:val="20"/>
                <w:szCs w:val="20"/>
                <w:color w:val="auto"/>
              </w:rPr>
            </w:pPr>
            <w:r>
              <w:rPr>
                <w:rFonts w:ascii="Times New Roman" w:cs="Times New Roman" w:eastAsia="Times New Roman" w:hAnsi="Times New Roman"/>
                <w:sz w:val="16"/>
                <w:szCs w:val="16"/>
                <w:color w:val="auto"/>
              </w:rPr>
              <w:t>8,283</w:t>
            </w:r>
          </w:p>
        </w:tc>
        <w:tc>
          <w:tcPr>
            <w:tcW w:w="140" w:type="dxa"/>
            <w:vAlign w:val="bottom"/>
            <w:shd w:val="clear" w:color="auto" w:fill="CFF2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2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6,586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Tenant improvement allowance received</w:t>
            </w:r>
          </w:p>
        </w:tc>
        <w:tc>
          <w:tcPr>
            <w:tcW w:w="1500" w:type="dxa"/>
            <w:vAlign w:val="bottom"/>
          </w:tcPr>
          <w:p>
            <w:pPr>
              <w:jc w:val="right"/>
              <w:ind w:right="50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5,881</w:t>
            </w: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9,358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1,994</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500" w:type="dxa"/>
            <w:vAlign w:val="bottom"/>
            <w:shd w:val="clear" w:color="auto" w:fill="CFF0FC"/>
          </w:tcPr>
          <w:p>
            <w:pPr>
              <w:jc w:val="right"/>
              <w:ind w:right="50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1,199</w:t>
            </w:r>
          </w:p>
        </w:tc>
        <w:tc>
          <w:tcPr>
            <w:tcW w:w="3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6"/>
                <w:szCs w:val="16"/>
                <w:color w:val="auto"/>
              </w:rPr>
              <w:t>23,960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3,817</w:t>
            </w:r>
          </w:p>
        </w:tc>
      </w:tr>
      <w:tr>
        <w:trPr>
          <w:trHeight w:val="382"/>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The weighted-average remaining lease term and discount rate were as follows:</w:t>
            </w: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6"/>
        </w:trPr>
        <w:tc>
          <w:tcPr>
            <w:tcW w:w="5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5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right"/>
              <w:ind w:right="108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80" w:type="dxa"/>
            <w:vAlign w:val="bottom"/>
          </w:tcPr>
          <w:p>
            <w:pPr>
              <w:jc w:val="right"/>
              <w:ind w:right="705"/>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5840" w:type="dxa"/>
            <w:vAlign w:val="bottom"/>
            <w:shd w:val="clear" w:color="auto" w:fill="CFF2FC"/>
          </w:tcPr>
          <w:p>
            <w:pPr>
              <w:spacing w:after="0" w:line="180" w:lineRule="exact"/>
              <w:rPr>
                <w:sz w:val="20"/>
                <w:szCs w:val="20"/>
                <w:color w:val="auto"/>
              </w:rPr>
            </w:pPr>
            <w:r>
              <w:rPr>
                <w:rFonts w:ascii="Times New Roman" w:cs="Times New Roman" w:eastAsia="Times New Roman" w:hAnsi="Times New Roman"/>
                <w:sz w:val="16"/>
                <w:szCs w:val="16"/>
                <w:color w:val="auto"/>
              </w:rPr>
              <w:t>Weighted-average remaining lease term - operating leases (in years)</w:t>
            </w:r>
          </w:p>
        </w:tc>
        <w:tc>
          <w:tcPr>
            <w:tcW w:w="1500" w:type="dxa"/>
            <w:vAlign w:val="bottom"/>
            <w:shd w:val="clear" w:color="auto" w:fill="CFF2FC"/>
          </w:tcPr>
          <w:p>
            <w:pPr>
              <w:spacing w:after="0"/>
              <w:rPr>
                <w:sz w:val="15"/>
                <w:szCs w:val="15"/>
                <w:color w:val="auto"/>
              </w:rPr>
            </w:pPr>
          </w:p>
        </w:tc>
        <w:tc>
          <w:tcPr>
            <w:tcW w:w="400" w:type="dxa"/>
            <w:vAlign w:val="bottom"/>
            <w:shd w:val="clear" w:color="auto" w:fill="CFF2FC"/>
          </w:tcPr>
          <w:p>
            <w:pPr>
              <w:spacing w:after="0"/>
              <w:rPr>
                <w:sz w:val="15"/>
                <w:szCs w:val="15"/>
                <w:color w:val="auto"/>
              </w:rPr>
            </w:pPr>
          </w:p>
        </w:tc>
        <w:tc>
          <w:tcPr>
            <w:tcW w:w="340" w:type="dxa"/>
            <w:vAlign w:val="bottom"/>
            <w:shd w:val="clear" w:color="auto" w:fill="CFF2FC"/>
          </w:tcPr>
          <w:p>
            <w:pPr>
              <w:spacing w:after="0"/>
              <w:rPr>
                <w:sz w:val="15"/>
                <w:szCs w:val="15"/>
                <w:color w:val="auto"/>
              </w:rPr>
            </w:pPr>
          </w:p>
        </w:tc>
        <w:tc>
          <w:tcPr>
            <w:tcW w:w="1260" w:type="dxa"/>
            <w:vAlign w:val="bottom"/>
            <w:shd w:val="clear" w:color="auto" w:fill="CFF2FC"/>
          </w:tcPr>
          <w:p>
            <w:pPr>
              <w:jc w:val="right"/>
              <w:ind w:right="606"/>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40" w:type="dxa"/>
            <w:vAlign w:val="bottom"/>
            <w:shd w:val="clear" w:color="auto" w:fill="CFF2FC"/>
          </w:tcPr>
          <w:p>
            <w:pPr>
              <w:spacing w:after="0"/>
              <w:rPr>
                <w:sz w:val="15"/>
                <w:szCs w:val="15"/>
                <w:color w:val="auto"/>
              </w:rPr>
            </w:pPr>
          </w:p>
        </w:tc>
        <w:tc>
          <w:tcPr>
            <w:tcW w:w="1080" w:type="dxa"/>
            <w:vAlign w:val="bottom"/>
            <w:shd w:val="clear" w:color="auto" w:fill="CFF2FC"/>
          </w:tcPr>
          <w:p>
            <w:pPr>
              <w:ind w:left="760"/>
              <w:spacing w:after="0" w:line="180" w:lineRule="exact"/>
              <w:rPr>
                <w:sz w:val="20"/>
                <w:szCs w:val="20"/>
                <w:color w:val="auto"/>
              </w:rPr>
            </w:pPr>
            <w:r>
              <w:rPr>
                <w:rFonts w:ascii="Times New Roman" w:cs="Times New Roman" w:eastAsia="Times New Roman" w:hAnsi="Times New Roman"/>
                <w:sz w:val="16"/>
                <w:szCs w:val="16"/>
                <w:color w:val="auto"/>
              </w:rPr>
              <w:t>9.8</w:t>
            </w: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486"/>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tcPr>
          <w:p>
            <w:pPr>
              <w:spacing w:after="0"/>
              <w:rPr>
                <w:sz w:val="17"/>
                <w:szCs w:val="17"/>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89"/>
              </w:rPr>
              <w:t>8.8%</w:t>
            </w:r>
          </w:p>
        </w:tc>
      </w:tr>
    </w:tbl>
    <w:p>
      <w:pPr>
        <w:spacing w:after="0" w:line="6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As the Company’s leases do not provide an implicit rate, the Company utilized its incremental borrowing rate based on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annual minimum lease payments relating to the Company's lease liabilities as of September 30, 2025 were as follows:</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80"/>
        </w:trPr>
        <w:tc>
          <w:tcPr>
            <w:tcW w:w="8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8,467</w:t>
            </w: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8,721</w:t>
            </w:r>
          </w:p>
        </w:tc>
      </w:tr>
      <w:tr>
        <w:trPr>
          <w:trHeight w:val="180"/>
        </w:trPr>
        <w:tc>
          <w:tcPr>
            <w:tcW w:w="8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8,983</w:t>
            </w: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9,252</w:t>
            </w:r>
          </w:p>
        </w:tc>
      </w:tr>
      <w:tr>
        <w:trPr>
          <w:trHeight w:val="180"/>
        </w:trPr>
        <w:tc>
          <w:tcPr>
            <w:tcW w:w="8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9,530</w:t>
            </w: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41,065</w:t>
            </w:r>
          </w:p>
        </w:tc>
        <w:tc>
          <w:tcPr>
            <w:tcW w:w="80" w:type="dxa"/>
            <w:vAlign w:val="bottom"/>
          </w:tcPr>
          <w:p>
            <w:pPr>
              <w:spacing w:after="0"/>
              <w:rPr>
                <w:sz w:val="15"/>
                <w:szCs w:val="15"/>
                <w:color w:val="auto"/>
              </w:rPr>
            </w:pPr>
          </w:p>
        </w:tc>
      </w:tr>
      <w:tr>
        <w:trPr>
          <w:trHeight w:val="180"/>
        </w:trPr>
        <w:tc>
          <w:tcPr>
            <w:tcW w:w="8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future minimum lease payments</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86,018</w:t>
            </w:r>
          </w:p>
        </w:tc>
        <w:tc>
          <w:tcPr>
            <w:tcW w:w="80" w:type="dxa"/>
            <w:vAlign w:val="bottom"/>
            <w:shd w:val="clear" w:color="auto" w:fill="CFF0FC"/>
          </w:tcPr>
          <w:p>
            <w:pPr>
              <w:spacing w:after="0"/>
              <w:rPr>
                <w:sz w:val="15"/>
                <w:szCs w:val="15"/>
                <w:color w:val="auto"/>
              </w:rPr>
            </w:pPr>
          </w:p>
        </w:tc>
      </w:tr>
      <w:tr>
        <w:trPr>
          <w:trHeight w:val="180"/>
        </w:trPr>
        <w:tc>
          <w:tcPr>
            <w:tcW w:w="8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Pr>
          <w:p>
            <w:pPr>
              <w:spacing w:after="0"/>
              <w:rPr>
                <w:sz w:val="15"/>
                <w:szCs w:val="15"/>
                <w:color w:val="auto"/>
              </w:rPr>
            </w:pPr>
          </w:p>
        </w:tc>
        <w:tc>
          <w:tcPr>
            <w:tcW w:w="12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(27,785)</w:t>
            </w:r>
          </w:p>
        </w:tc>
      </w:tr>
      <w:tr>
        <w:trPr>
          <w:trHeight w:val="180"/>
        </w:trPr>
        <w:tc>
          <w:tcPr>
            <w:tcW w:w="8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tenant improvement allowance</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(330)</w:t>
            </w:r>
          </w:p>
        </w:tc>
      </w:tr>
      <w:tr>
        <w:trPr>
          <w:trHeight w:val="180"/>
        </w:trPr>
        <w:tc>
          <w:tcPr>
            <w:tcW w:w="804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Total operating lease liabilities</w:t>
            </w:r>
          </w:p>
        </w:tc>
        <w:tc>
          <w:tcPr>
            <w:tcW w:w="180" w:type="dxa"/>
            <w:vAlign w:val="bottom"/>
            <w:tcBorders>
              <w:bottom w:val="single" w:sz="8" w:color="auto"/>
            </w:tcBorders>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57,903</w:t>
            </w:r>
          </w:p>
        </w:tc>
        <w:tc>
          <w:tcPr>
            <w:tcW w:w="80" w:type="dxa"/>
            <w:vAlign w:val="bottom"/>
          </w:tcPr>
          <w:p>
            <w:pPr>
              <w:spacing w:after="0"/>
              <w:rPr>
                <w:sz w:val="15"/>
                <w:szCs w:val="15"/>
                <w:color w:val="auto"/>
              </w:rPr>
            </w:pP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ind w:right="40"/>
        <w:spacing w:after="0" w:line="299" w:lineRule="auto"/>
        <w:rPr>
          <w:sz w:val="20"/>
          <w:szCs w:val="20"/>
          <w:color w:val="auto"/>
        </w:rPr>
      </w:pPr>
      <w:r>
        <w:rPr>
          <w:rFonts w:ascii="Times New Roman" w:cs="Times New Roman" w:eastAsia="Times New Roman" w:hAnsi="Times New Roman"/>
          <w:sz w:val="14"/>
          <w:szCs w:val="14"/>
          <w:color w:val="auto"/>
        </w:rPr>
        <w:t>The Company is required to maintain security deposits of $ 92 in connection with the real estate lease of 400 Talcott Avenue, which is included in other long -term assets on the Company's consolidated balance sheets. In addition, the Company is required to maintain a letter of credit in connection with the real estate lease of 4 Kingsbury Avenue, collateralized by money market accounts of $3,360, which amounts are classified as long-term restricted cash on the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and Contingencies Related to Use of Intellectual Property</w:t>
      </w:r>
    </w:p>
    <w:p>
      <w:pPr>
        <w:spacing w:after="0" w:line="94"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From time to time, the Company may become subject to legal proceedings, claims and litigation arising in the ordinary course of business. Except as described below,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7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In May 2024, the Company and Pfizer each filed motions for summary judgment and a hearing on the motions was held on July 31, 2024. On December 23, 2024, the District Court issued a summary judgment decision ruling that the asserted claims of the ’953 Patent were invalid. In its decision, the District Court also denied the Company’s partial</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0" w:name="page101"/>
    <w:bookmarkEnd w:id="100"/>
    <w:p>
      <w:pPr>
        <w:spacing w:after="0" w:line="247" w:lineRule="auto"/>
        <w:rPr>
          <w:sz w:val="20"/>
          <w:szCs w:val="20"/>
          <w:color w:val="auto"/>
        </w:rPr>
      </w:pPr>
      <w:r>
        <w:rPr>
          <w:rFonts w:ascii="Times New Roman" w:cs="Times New Roman" w:eastAsia="Times New Roman" w:hAnsi="Times New Roman"/>
          <w:sz w:val="16"/>
          <w:szCs w:val="16"/>
          <w:color w:val="auto"/>
        </w:rPr>
        <w:t>motion for summary judgment of infringement as moot in light of its allowance of summary judgment on invalidity. On February 3, 2025, the Company filed a notice of appeal with the United States Court of Appeals for the Federal Circuit. The Company filed its opening brief with the Federal Circuit on March 21, 2025. On May 21, 2025, Pfizer filed its response brief. The Company filed its reply on June 13, 2025. The timing for a decision on the appeal is currently uncertain.</w:t>
      </w:r>
    </w:p>
    <w:p>
      <w:pPr>
        <w:spacing w:after="0" w:line="68"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On August 20, 2025, the Company filed a patent infringement action in the Unified Patent Court (UPC) of the European Union against Pfizer Inc. and certain of its subsidiaries. The suit seeks a determination of liability for infringement of European Patent No. EP 4 051 265 (the “’265 Patent”) in connection with Pfizer’s manufacture, use, and sale of Paxlovid™ (nirmatrelvir tablets; ritonavir tablets) in the 18 EU member states participating in the UPC. The ’265 Patent is the European counterpart to the ‘953 Patent, which is the subject of ongoing litigation between Enanta and Pfizer in the United States. Under UPC procedures, a hearing on the infringement action is expected within the UPC’s published 12-month target, with a decision rendered within weeks thereafter. If the UPC determines there has been infringement, subsequent proceedings would be required to determine damages. All timelines remain subject to potential rights of appeal and other customary proceedings in European patent litigation.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records all legal expenses associated with the patent infringement suit as incurred in the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consolidated financial statements as of September 30,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Income Taxes</w:t>
      </w:r>
    </w:p>
    <w:p>
      <w:pPr>
        <w:spacing w:after="0" w:line="9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Income before income taxes for all periods presented is from domestic operations, which are the Company’s only operations. During the years ended September 30, 2025, 2024, and 2023, the Company recorded income tax benefit (expense)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20" w:type="dxa"/>
            <w:vAlign w:val="bottom"/>
            <w:gridSpan w:val="6"/>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6"/>
        </w:trPr>
        <w:tc>
          <w:tcPr>
            <w:tcW w:w="5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Current income tax benefit (expense):</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20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1,772</w:t>
            </w:r>
          </w:p>
        </w:tc>
        <w:tc>
          <w:tcPr>
            <w:tcW w:w="1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1,936</w:t>
            </w:r>
          </w:p>
        </w:tc>
        <w:tc>
          <w:tcPr>
            <w:tcW w:w="160" w:type="dxa"/>
            <w:vAlign w:val="bottom"/>
          </w:tcPr>
          <w:p>
            <w:pPr>
              <w:spacing w:after="0"/>
              <w:rPr>
                <w:sz w:val="15"/>
                <w:szCs w:val="15"/>
                <w:color w:val="auto"/>
              </w:rPr>
            </w:pP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(2,522)</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(299)</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 benefit (expense):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5"/>
                <w:szCs w:val="15"/>
                <w:color w:val="auto"/>
              </w:rPr>
            </w:pPr>
          </w:p>
        </w:tc>
        <w:tc>
          <w:tcPr>
            <w:tcW w:w="10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r>
      <w:tr>
        <w:trPr>
          <w:trHeight w:val="200"/>
        </w:trPr>
        <w:tc>
          <w:tcPr>
            <w:tcW w:w="540" w:type="dxa"/>
            <w:vAlign w:val="bottom"/>
          </w:tcPr>
          <w:p>
            <w:pPr>
              <w:spacing w:after="0"/>
              <w:rPr>
                <w:sz w:val="17"/>
                <w:szCs w:val="17"/>
                <w:color w:val="auto"/>
              </w:rPr>
            </w:pPr>
          </w:p>
        </w:tc>
        <w:tc>
          <w:tcPr>
            <w:tcW w:w="37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Income tax benefit (expense)</w:t>
            </w:r>
          </w:p>
        </w:tc>
        <w:tc>
          <w:tcPr>
            <w:tcW w:w="2020" w:type="dxa"/>
            <w:vAlign w:val="bottom"/>
            <w:gridSpan w:val="3"/>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1,660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FF0FC"/>
            </w:tcBorders>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1,743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(2,821</w:t>
            </w:r>
            <w:r>
              <w:rPr>
                <w:rFonts w:ascii="Times New Roman" w:cs="Times New Roman" w:eastAsia="Times New Roman" w:hAnsi="Times New Roman"/>
                <w:sz w:val="18"/>
                <w:szCs w:val="18"/>
                <w:color w:val="auto"/>
                <w:vertAlign w:val="subscript"/>
              </w:rPr>
              <w:t>)</w:t>
            </w:r>
          </w:p>
        </w:tc>
        <w:tc>
          <w:tcPr>
            <w:tcW w:w="5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7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6"/>
        </w:trPr>
        <w:tc>
          <w:tcPr>
            <w:tcW w:w="75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 reconciliation of the U.S. federal statutory income tax rate to the Company’s effective tax rate is as follows: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7"/>
          </w:tcPr>
          <w:p>
            <w:pPr>
              <w:ind w:left="80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6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Federal statutory income tax rate</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 %</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 %</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(21.0) %</w:t>
            </w:r>
          </w:p>
        </w:tc>
        <w:tc>
          <w:tcPr>
            <w:tcW w:w="520" w:type="dxa"/>
            <w:vAlign w:val="bottom"/>
          </w:tcPr>
          <w:p>
            <w:pPr>
              <w:spacing w:after="0"/>
              <w:rPr>
                <w:sz w:val="15"/>
                <w:szCs w:val="15"/>
                <w:color w:val="auto"/>
              </w:rPr>
            </w:pPr>
          </w:p>
        </w:tc>
      </w:tr>
      <w:tr>
        <w:trPr>
          <w:trHeight w:val="228"/>
        </w:trPr>
        <w:tc>
          <w:tcPr>
            <w:tcW w:w="54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14"/>
                <w:szCs w:val="14"/>
                <w:color w:val="auto"/>
              </w:rPr>
              <w:t>(2.7</w:t>
            </w:r>
            <w:r>
              <w:rPr>
                <w:rFonts w:ascii="Times New Roman" w:cs="Times New Roman" w:eastAsia="Times New Roman" w:hAnsi="Times New Roman"/>
                <w:sz w:val="26"/>
                <w:szCs w:val="26"/>
                <w:color w:val="auto"/>
                <w:vertAlign w:val="subscript"/>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 in valuation allowance</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17.8</w:t>
            </w:r>
          </w:p>
        </w:tc>
        <w:tc>
          <w:tcPr>
            <w:tcW w:w="2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Federal research and development tax credit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Share-based compensation</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State research and development tax credit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Foreign derived intangible income</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Interest on net operating loss carryback claim</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Change in deferred tax rate</w:t>
            </w:r>
          </w:p>
        </w:tc>
        <w:tc>
          <w:tcPr>
            <w:tcW w:w="1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37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94"/>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0"/>
        </w:trPr>
        <w:tc>
          <w:tcPr>
            <w:tcW w:w="540" w:type="dxa"/>
            <w:vAlign w:val="bottom"/>
          </w:tcPr>
          <w:p>
            <w:pPr>
              <w:spacing w:after="0"/>
              <w:rPr>
                <w:sz w:val="19"/>
                <w:szCs w:val="19"/>
                <w:color w:val="auto"/>
              </w:rPr>
            </w:pPr>
          </w:p>
        </w:tc>
        <w:tc>
          <w:tcPr>
            <w:tcW w:w="37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Effective income tax rate</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(2.0</w:t>
            </w:r>
            <w:r>
              <w:rPr>
                <w:rFonts w:ascii="Times New Roman" w:cs="Times New Roman" w:eastAsia="Times New Roman" w:hAnsi="Times New Roman"/>
                <w:sz w:val="18"/>
                <w:szCs w:val="18"/>
                <w:color w:val="auto"/>
                <w:vertAlign w:val="subscript"/>
              </w:rPr>
              <w:t>) %</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(1.5</w:t>
            </w:r>
            <w:r>
              <w:rPr>
                <w:rFonts w:ascii="Times New Roman" w:cs="Times New Roman" w:eastAsia="Times New Roman" w:hAnsi="Times New Roman"/>
                <w:sz w:val="18"/>
                <w:szCs w:val="18"/>
                <w:color w:val="auto"/>
                <w:vertAlign w:val="subscript"/>
              </w:rPr>
              <w:t>) %</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 xml:space="preserve">2.2 </w:t>
            </w:r>
            <w:r>
              <w:rPr>
                <w:rFonts w:ascii="Times New Roman" w:cs="Times New Roman" w:eastAsia="Times New Roman" w:hAnsi="Times New Roman"/>
                <w:sz w:val="18"/>
                <w:szCs w:val="18"/>
                <w:color w:val="auto"/>
                <w:vertAlign w:val="subscript"/>
              </w:rPr>
              <w:t>%</w:t>
            </w:r>
          </w:p>
        </w:tc>
        <w:tc>
          <w:tcPr>
            <w:tcW w:w="520" w:type="dxa"/>
            <w:vAlign w:val="bottom"/>
          </w:tcPr>
          <w:p>
            <w:pPr>
              <w:spacing w:after="0"/>
              <w:rPr>
                <w:sz w:val="19"/>
                <w:szCs w:val="19"/>
                <w:color w:val="auto"/>
              </w:rPr>
            </w:pPr>
          </w:p>
        </w:tc>
      </w:tr>
      <w:tr>
        <w:trPr>
          <w:trHeight w:val="346"/>
        </w:trPr>
        <w:tc>
          <w:tcPr>
            <w:tcW w:w="540" w:type="dxa"/>
            <w:vAlign w:val="bottom"/>
          </w:tcPr>
          <w:p>
            <w:pPr>
              <w:spacing w:after="0"/>
              <w:rPr>
                <w:sz w:val="24"/>
                <w:szCs w:val="24"/>
                <w:color w:val="auto"/>
              </w:rPr>
            </w:pPr>
          </w:p>
        </w:tc>
        <w:tc>
          <w:tcPr>
            <w:tcW w:w="3760" w:type="dxa"/>
            <w:vAlign w:val="bottom"/>
            <w:tcBorders>
              <w:top w:val="single" w:sz="8" w:color="CFF0FC"/>
            </w:tcBorders>
          </w:tcPr>
          <w:p>
            <w:pPr>
              <w:spacing w:after="0"/>
              <w:rPr>
                <w:sz w:val="24"/>
                <w:szCs w:val="24"/>
                <w:color w:val="auto"/>
              </w:rPr>
            </w:pPr>
          </w:p>
        </w:tc>
        <w:tc>
          <w:tcPr>
            <w:tcW w:w="1680" w:type="dxa"/>
            <w:vAlign w:val="bottom"/>
            <w:tcBorders>
              <w:top w:val="single" w:sz="8" w:color="CFF0FC"/>
            </w:tcBorders>
          </w:tcPr>
          <w:p>
            <w:pPr>
              <w:ind w:left="840"/>
              <w:spacing w:after="0"/>
              <w:rPr>
                <w:sz w:val="20"/>
                <w:szCs w:val="20"/>
                <w:color w:val="auto"/>
              </w:rPr>
            </w:pPr>
            <w:r>
              <w:rPr>
                <w:rFonts w:ascii="Times New Roman" w:cs="Times New Roman" w:eastAsia="Times New Roman" w:hAnsi="Times New Roman"/>
                <w:sz w:val="16"/>
                <w:szCs w:val="16"/>
                <w:color w:val="auto"/>
              </w:rPr>
              <w:t>F-23</w:t>
            </w:r>
          </w:p>
        </w:tc>
        <w:tc>
          <w:tcPr>
            <w:tcW w:w="340" w:type="dxa"/>
            <w:vAlign w:val="bottom"/>
            <w:tcBorders>
              <w:top w:val="single" w:sz="8" w:color="auto"/>
            </w:tcBorders>
            <w:gridSpan w:val="2"/>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376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61" w:right="660" w:bottom="1440" w:gutter="0" w:footer="0" w:header="0"/>
        </w:sectPr>
      </w:pPr>
    </w:p>
    <w:bookmarkStart w:id="101" w:name="page102"/>
    <w:bookmarkEnd w:id="101"/>
    <w:p>
      <w:pPr>
        <w:spacing w:after="0" w:line="10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effective tax rates during the years ended September 30, 2025 and 2024 differ from the U.S. federal statutory rate primarily due to the full valuation allowance maintained on the Company’s net deferred tax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valuation allowance for deferred tax assets during the years ended September 30, 2025, 2024, and 2023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gridSpan w:val="6"/>
          </w:tcPr>
          <w:p>
            <w:pPr>
              <w:jc w:val="center"/>
              <w:ind w:left="148"/>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left="6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Valuation allowance, beginning of year</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(127,244)</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(115,120)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(67,726)</w:t>
            </w:r>
          </w:p>
        </w:tc>
      </w:tr>
      <w:tr>
        <w:trPr>
          <w:trHeight w:val="180"/>
        </w:trPr>
        <w:tc>
          <w:tcPr>
            <w:tcW w:w="540" w:type="dxa"/>
            <w:vAlign w:val="bottom"/>
          </w:tcPr>
          <w:p>
            <w:pPr>
              <w:spacing w:after="0"/>
              <w:rPr>
                <w:sz w:val="15"/>
                <w:szCs w:val="15"/>
                <w:color w:val="auto"/>
              </w:rPr>
            </w:pPr>
          </w:p>
        </w:tc>
        <w:tc>
          <w:tcPr>
            <w:tcW w:w="56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Increase recorded to valuation allowance</w:t>
            </w:r>
          </w:p>
        </w:tc>
        <w:tc>
          <w:tcPr>
            <w:tcW w:w="240" w:type="dxa"/>
            <w:vAlign w:val="bottom"/>
          </w:tcPr>
          <w:p>
            <w:pPr>
              <w:spacing w:after="0"/>
              <w:rPr>
                <w:sz w:val="15"/>
                <w:szCs w:val="15"/>
                <w:color w:val="auto"/>
              </w:rPr>
            </w:pPr>
          </w:p>
        </w:tc>
        <w:tc>
          <w:tcPr>
            <w:tcW w:w="110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(14,989)</w:t>
            </w:r>
          </w:p>
        </w:tc>
        <w:tc>
          <w:tcPr>
            <w:tcW w:w="80" w:type="dxa"/>
            <w:vAlign w:val="bottom"/>
          </w:tcPr>
          <w:p>
            <w:pPr>
              <w:spacing w:after="0"/>
              <w:rPr>
                <w:sz w:val="15"/>
                <w:szCs w:val="15"/>
                <w:color w:val="auto"/>
              </w:rPr>
            </w:pPr>
          </w:p>
        </w:tc>
        <w:tc>
          <w:tcPr>
            <w:tcW w:w="1260" w:type="dxa"/>
            <w:vAlign w:val="bottom"/>
            <w:gridSpan w:val="3"/>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(12,124)</w:t>
            </w:r>
          </w:p>
        </w:tc>
        <w:tc>
          <w:tcPr>
            <w:tcW w:w="200" w:type="dxa"/>
            <w:vAlign w:val="bottom"/>
          </w:tcPr>
          <w:p>
            <w:pPr>
              <w:spacing w:after="0"/>
              <w:rPr>
                <w:sz w:val="15"/>
                <w:szCs w:val="15"/>
                <w:color w:val="auto"/>
              </w:rPr>
            </w:pPr>
          </w:p>
        </w:tc>
        <w:tc>
          <w:tcPr>
            <w:tcW w:w="10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(47,394)</w:t>
            </w:r>
          </w:p>
        </w:tc>
      </w:tr>
      <w:tr>
        <w:trPr>
          <w:trHeight w:val="200"/>
        </w:trPr>
        <w:tc>
          <w:tcPr>
            <w:tcW w:w="540" w:type="dxa"/>
            <w:vAlign w:val="bottom"/>
          </w:tcPr>
          <w:p>
            <w:pPr>
              <w:spacing w:after="0"/>
              <w:rPr>
                <w:sz w:val="17"/>
                <w:szCs w:val="17"/>
                <w:color w:val="auto"/>
              </w:rPr>
            </w:pPr>
          </w:p>
        </w:tc>
        <w:tc>
          <w:tcPr>
            <w:tcW w:w="56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Valuation allowance, end of year</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(142,233</w:t>
            </w:r>
            <w:r>
              <w:rPr>
                <w:rFonts w:ascii="Times New Roman" w:cs="Times New Roman" w:eastAsia="Times New Roman" w:hAnsi="Times New Roman"/>
                <w:sz w:val="18"/>
                <w:szCs w:val="18"/>
                <w:color w:val="auto"/>
                <w:vertAlign w:val="subscript"/>
              </w:rPr>
              <w:t>)</w:t>
            </w: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3"/>
            <w:shd w:val="clear" w:color="auto" w:fill="CFF0FC"/>
          </w:tcPr>
          <w:p>
            <w:pPr>
              <w:jc w:val="right"/>
              <w:ind w:right="102"/>
              <w:spacing w:after="0" w:line="160" w:lineRule="exact"/>
              <w:rPr>
                <w:sz w:val="20"/>
                <w:szCs w:val="20"/>
                <w:color w:val="auto"/>
              </w:rPr>
            </w:pPr>
            <w:r>
              <w:rPr>
                <w:rFonts w:ascii="Times New Roman" w:cs="Times New Roman" w:eastAsia="Times New Roman" w:hAnsi="Times New Roman"/>
                <w:sz w:val="11"/>
                <w:szCs w:val="11"/>
                <w:color w:val="auto"/>
              </w:rPr>
              <w:t>(127,244</w:t>
            </w:r>
            <w:r>
              <w:rPr>
                <w:rFonts w:ascii="Times New Roman" w:cs="Times New Roman" w:eastAsia="Times New Roman" w:hAnsi="Times New Roman"/>
                <w:sz w:val="18"/>
                <w:szCs w:val="18"/>
                <w:color w:val="auto"/>
                <w:vertAlign w:val="subscript"/>
              </w:rPr>
              <w:t>)</w:t>
            </w:r>
          </w:p>
        </w:tc>
        <w:tc>
          <w:tcPr>
            <w:tcW w:w="20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(115,120</w:t>
            </w:r>
            <w:r>
              <w:rPr>
                <w:rFonts w:ascii="Times New Roman" w:cs="Times New Roman" w:eastAsia="Times New Roman" w:hAnsi="Times New Roman"/>
                <w:sz w:val="18"/>
                <w:szCs w:val="18"/>
                <w:color w:val="auto"/>
                <w:vertAlign w:val="subscript"/>
              </w:rPr>
              <w:t>)</w:t>
            </w:r>
          </w:p>
        </w:tc>
      </w:tr>
      <w:tr>
        <w:trPr>
          <w:trHeight w:val="20"/>
        </w:trPr>
        <w:tc>
          <w:tcPr>
            <w:tcW w:w="540" w:type="dxa"/>
            <w:vAlign w:val="bottom"/>
          </w:tcPr>
          <w:p>
            <w:pPr>
              <w:spacing w:after="0" w:line="20" w:lineRule="exact"/>
              <w:rPr>
                <w:sz w:val="1"/>
                <w:szCs w:val="1"/>
                <w:color w:val="auto"/>
              </w:rPr>
            </w:pPr>
          </w:p>
        </w:tc>
        <w:tc>
          <w:tcPr>
            <w:tcW w:w="5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46"/>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deferred tax assets as of September 30, 2025 and 2024 consisted of the following:</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7"/>
        </w:trPr>
        <w:tc>
          <w:tcPr>
            <w:tcW w:w="5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5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65"/>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r>
      <w:tr>
        <w:trPr>
          <w:trHeight w:val="170"/>
        </w:trPr>
        <w:tc>
          <w:tcPr>
            <w:tcW w:w="5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Capitalized research and development</w:t>
            </w:r>
          </w:p>
        </w:tc>
        <w:tc>
          <w:tcPr>
            <w:tcW w:w="240" w:type="dxa"/>
            <w:vAlign w:val="bottom"/>
          </w:tcPr>
          <w:p>
            <w:pPr>
              <w:spacing w:after="0"/>
              <w:rPr>
                <w:sz w:val="15"/>
                <w:szCs w:val="15"/>
                <w:color w:val="auto"/>
              </w:rPr>
            </w:pPr>
          </w:p>
        </w:tc>
        <w:tc>
          <w:tcPr>
            <w:tcW w:w="860" w:type="dxa"/>
            <w:vAlign w:val="bottom"/>
            <w:gridSpan w:val="2"/>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58,675</w:t>
            </w:r>
          </w:p>
        </w:tc>
        <w:tc>
          <w:tcPr>
            <w:tcW w:w="26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49,921</w:t>
            </w:r>
          </w:p>
        </w:tc>
        <w:tc>
          <w:tcPr>
            <w:tcW w:w="8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Liability related to the sale of future royalties</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29,787</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36,200</w:t>
            </w:r>
          </w:p>
        </w:tc>
        <w:tc>
          <w:tcPr>
            <w:tcW w:w="80" w:type="dxa"/>
            <w:vAlign w:val="bottom"/>
            <w:shd w:val="clear" w:color="auto" w:fill="CFF0FC"/>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 credit carryforwards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24,196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18,793</w:t>
            </w:r>
          </w:p>
        </w:tc>
        <w:tc>
          <w:tcPr>
            <w:tcW w:w="8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12,911</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14,551</w:t>
            </w:r>
          </w:p>
        </w:tc>
        <w:tc>
          <w:tcPr>
            <w:tcW w:w="80" w:type="dxa"/>
            <w:vAlign w:val="bottom"/>
            <w:shd w:val="clear" w:color="auto" w:fill="CFF0FC"/>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12,229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13,058</w:t>
            </w:r>
          </w:p>
        </w:tc>
        <w:tc>
          <w:tcPr>
            <w:tcW w:w="8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operating loss carryforward</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14,782</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7,274</w:t>
            </w:r>
          </w:p>
        </w:tc>
      </w:tr>
      <w:tr>
        <w:trPr>
          <w:trHeight w:val="180"/>
        </w:trPr>
        <w:tc>
          <w:tcPr>
            <w:tcW w:w="540" w:type="dxa"/>
            <w:vAlign w:val="bottom"/>
          </w:tcPr>
          <w:p>
            <w:pPr>
              <w:spacing w:after="0"/>
              <w:rPr>
                <w:sz w:val="15"/>
                <w:szCs w:val="15"/>
                <w:color w:val="auto"/>
              </w:rPr>
            </w:pPr>
          </w:p>
        </w:tc>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1,209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1,387</w:t>
            </w: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temporary differences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deferred tax assets</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154,217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141,395</w:t>
            </w:r>
          </w:p>
        </w:tc>
      </w:tr>
      <w:tr>
        <w:trPr>
          <w:trHeight w:val="180"/>
        </w:trPr>
        <w:tc>
          <w:tcPr>
            <w:tcW w:w="540" w:type="dxa"/>
            <w:vAlign w:val="bottom"/>
          </w:tcPr>
          <w:p>
            <w:pPr>
              <w:spacing w:after="0"/>
              <w:rPr>
                <w:sz w:val="15"/>
                <w:szCs w:val="15"/>
                <w:color w:val="auto"/>
              </w:rPr>
            </w:pPr>
          </w:p>
        </w:tc>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Valuation allowance</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(142,233)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(127,244)</w:t>
            </w: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deferred tax assets</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11,984</w:t>
            </w: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14,151</w:t>
            </w:r>
          </w:p>
        </w:tc>
        <w:tc>
          <w:tcPr>
            <w:tcW w:w="80" w:type="dxa"/>
            <w:vAlign w:val="bottom"/>
            <w:shd w:val="clear" w:color="auto" w:fill="CFF0FC"/>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56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(7,885)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(8,627)</w:t>
            </w: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(3,920)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(4,362)</w:t>
            </w:r>
          </w:p>
        </w:tc>
      </w:tr>
      <w:tr>
        <w:trPr>
          <w:trHeight w:val="180"/>
        </w:trPr>
        <w:tc>
          <w:tcPr>
            <w:tcW w:w="540" w:type="dxa"/>
            <w:vAlign w:val="bottom"/>
          </w:tcPr>
          <w:p>
            <w:pPr>
              <w:spacing w:after="0"/>
              <w:rPr>
                <w:sz w:val="15"/>
                <w:szCs w:val="15"/>
                <w:color w:val="auto"/>
              </w:rPr>
            </w:pPr>
          </w:p>
        </w:tc>
        <w:tc>
          <w:tcPr>
            <w:tcW w:w="56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(170)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(999)</w:t>
            </w:r>
          </w:p>
        </w:tc>
      </w:tr>
      <w:tr>
        <w:trPr>
          <w:trHeight w:val="180"/>
        </w:trPr>
        <w:tc>
          <w:tcPr>
            <w:tcW w:w="540" w:type="dxa"/>
            <w:vAlign w:val="bottom"/>
          </w:tcPr>
          <w:p>
            <w:pPr>
              <w:spacing w:after="0"/>
              <w:rPr>
                <w:sz w:val="15"/>
                <w:szCs w:val="15"/>
                <w:color w:val="auto"/>
              </w:rPr>
            </w:pPr>
          </w:p>
        </w:tc>
        <w:tc>
          <w:tcPr>
            <w:tcW w:w="562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Unrealized gain</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(163)</w:t>
            </w:r>
          </w:p>
        </w:tc>
      </w:tr>
      <w:tr>
        <w:trPr>
          <w:trHeight w:val="180"/>
        </w:trPr>
        <w:tc>
          <w:tcPr>
            <w:tcW w:w="540" w:type="dxa"/>
            <w:vAlign w:val="bottom"/>
          </w:tcPr>
          <w:p>
            <w:pPr>
              <w:spacing w:after="0"/>
              <w:rPr>
                <w:sz w:val="15"/>
                <w:szCs w:val="15"/>
                <w:color w:val="auto"/>
              </w:rPr>
            </w:pPr>
          </w:p>
        </w:tc>
        <w:tc>
          <w:tcPr>
            <w:tcW w:w="56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(11,984)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(14,151)</w:t>
            </w:r>
          </w:p>
        </w:tc>
      </w:tr>
      <w:tr>
        <w:trPr>
          <w:trHeight w:val="220"/>
        </w:trPr>
        <w:tc>
          <w:tcPr>
            <w:tcW w:w="54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deferred income tax assets (liabilities)</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63"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As of September 30, 2025, the Company had federal net operating loss carryforwards of $58,907 which do not expire and state net operating loss carryforwards of $38,200, which may be available to offset future taxable income and expire at various dates beginning in 2032. As of September 30, 2025, the Company also had federal and state research and development tax credit carryforwards of $18,043 and $7,981, respectively, which may be available to reduce future tax liabilities and expire at various dates beginning in 2042 and 2035, respectively.</w:t>
      </w:r>
    </w:p>
    <w:p>
      <w:pPr>
        <w:spacing w:after="0" w:line="7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Utilization of the federal and state net operating loss carryforwards and research and development tax credit carryforwards may be subject to a substantial annual limitation under Sections 382 and 383 of the Internal Revenue Code (“IRC”) of 1986, and corresponding provisions of state law, due to ownership changes that may have occurred previously or that could occur in the future. These ownership changes may limit the amount of net operating loss and research and development tax credit carryforwards that can be utilized annually to offset future tax liabilities. In general, an ownership change, as defined by Section 382, results from transactions that increase the ownership of 5% stockholders in the stock of a corporation by more than 50% in the aggregate over a three-year period. The Company completed a review of the changes in ownership through September 30, 2022 and determined that the transactions have not resulted in an ownership change during the year ended September 30, 2022, as defined by Section 382. The impact of the historical ownership changes have been reflected within our deferred tax assets shown in the table above. Although the Company believes that these ownership changes have not resulted in material limitations on its ability to use these net operating losses and credit carryforwards, its ability to utilize these and future net operating losses and credit carryforwards may be limited due to future ownership changes or for other reasons. As a result, the Company may not be able to take full advantage of its carryforwards for U.S. federal and state tax purposes.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2" w:name="page103"/>
    <w:bookmarkEnd w:id="102"/>
    <w:p>
      <w:pPr>
        <w:spacing w:after="0" w:line="1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 has evaluated the positive and negative evidence bearing upon its ability to realize the deferred tax assets, which are comprised primarily of net operating loss carryforwards, research and development tax credit carryforwards and stock compensation expense. The Company considers it more likely that it will not have sufficient taxable income in the future that will allow it to realize all of its existing deferred tax assets. This is due to the fact the Company continues to progress its wholly-owned research and development programs and its declining royalty revenues from its Collaboration Agreement with AbbVie. As a result, the Company continued to record a valuation allowance as of September 30, 2025 against its deferred tax assets to reduce a portion of the Company’s deferred tax assets for which the Company does not believe it is more likely than not these will be realized.</w:t>
      </w:r>
    </w:p>
    <w:p>
      <w:pPr>
        <w:spacing w:after="0" w:line="7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Company files tax returns as prescribed by the tax laws of the jurisdictions in which it operates. In the normal course of business, the Company is subject to examination by federal and state jurisdictions, where applicable. The Company’s tax years in the U.S. are still open under statute from 2021 to the present. Earlier years may be examined to the extent that tax credit or net operating loss carryforwards are used in future periods. During the year ended September 30, 2024, the Company received notice of examination by the Internal Revenue Service (“IRS”) for the years ending September 30, 2018 and September 30, 2019. The Company received and agreed to a notice of proposed adjustment from the IRS in October 2024, resulting in an additional refund of $871 related to the year ended September 30, 2019. The Company has not received notice of examination by any other jurisdictions for any other tax year open under statute.</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Beginning in October 1, 2022, the Tax Cuts and Jobs Act of 2017 (the “Tax Act”) eliminated the Company’s option to deduct research and development expenditures currently and requires taxpayers to amortize them over five years for domestic research expenditures and over fifteen years for foreign research expenditures, pursuant to IRC 174. The most significant impact of this provision is an increase to the current taxable income for the year ended September 30, 2023, the tax year in which the provision took effect for the Company.</w:t>
      </w:r>
    </w:p>
    <w:p>
      <w:pPr>
        <w:spacing w:after="0" w:line="7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 response to the COVID-19 pandemic, the CARES Act was signed into law in March 2020. The CARES Act lifted certain deduction limitations originally imposed by the Tax Act. Under the CARES Act, the Company was permitted to carryback net operating losses for up to five years for losses generated in fiscal 2018 through fiscal 2021. Net operating loss carrybacks were previously prohibited under the Tax Act. The CARES Act also eliminated the 80% of taxable income limitations by allowing corporate entities to fully utilize net operating loss carryforwards to offset taxable income in fiscal years 2018, 2019 or 2020. In addition, the CARES Act made qualified improvement property eligible for 15 -year cost- recovery and 100% bonus depreciation. The enactment of the CARES Act resulted in a $28,721 income tax benefit related to a federal net operating loss carryback at the previously enacted 35% rate in the Company’s consolidated financial statements during the year ended September 30, 2021. As of September 30, 2024, the Company had a federal income tax receivable $31,999, inclusive of an interest receivable of $3,292. The federal income tax refund of $33,785, inclusive of interest, was received in April 2025.</w:t>
      </w:r>
    </w:p>
    <w:p>
      <w:pPr>
        <w:spacing w:after="0" w:line="10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Uncertain tax positions represent tax positions for which reserves have been established. The Company’s policy is to record interest and penalties related to uncertain tax positions as part of income tax expense. Total interest related to uncertain tax positions recorded as a liability on the Company’s consolidated balance sheets were $26 and $11 as of September 30, 2025 and 2024, respectively. A reconciliation of the beginning and ending amount of uncertain tax positions is summarized as follows:</w:t>
      </w:r>
    </w:p>
    <w:p>
      <w:pPr>
        <w:spacing w:after="0" w:line="178"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2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vMerge w:val="restart"/>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10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Beginning Balance</w:t>
            </w:r>
          </w:p>
        </w:tc>
        <w:tc>
          <w:tcPr>
            <w:tcW w:w="2140" w:type="dxa"/>
            <w:vAlign w:val="bottom"/>
            <w:gridSpan w:val="2"/>
            <w:shd w:val="clear" w:color="auto" w:fill="CFF0FC"/>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905</w:t>
            </w:r>
          </w:p>
        </w:tc>
        <w:tc>
          <w:tcPr>
            <w:tcW w:w="1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180"/>
        </w:trPr>
        <w:tc>
          <w:tcPr>
            <w:tcW w:w="54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Additions based on tax positions for the current period</w:t>
            </w: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4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Reductions for tax positions due to lapse of statute of limitations</w:t>
            </w:r>
          </w:p>
        </w:tc>
        <w:tc>
          <w:tcPr>
            <w:tcW w:w="1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54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Additions (reductions) for tax positions of prior periods</w:t>
            </w:r>
          </w:p>
        </w:tc>
        <w:tc>
          <w:tcPr>
            <w:tcW w:w="1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0"/>
        </w:trPr>
        <w:tc>
          <w:tcPr>
            <w:tcW w:w="5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Ending Balance</w:t>
            </w:r>
          </w:p>
        </w:tc>
        <w:tc>
          <w:tcPr>
            <w:tcW w:w="2140" w:type="dxa"/>
            <w:vAlign w:val="bottom"/>
            <w:gridSpan w:val="2"/>
            <w:shd w:val="clear" w:color="auto" w:fill="CFF0FC"/>
          </w:tcPr>
          <w:p>
            <w:pPr>
              <w:jc w:val="right"/>
              <w:ind w:right="8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892</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expect that its uncertain tax position will materially change within the next twelve months.</w:t>
      </w:r>
    </w:p>
    <w:p>
      <w:pPr>
        <w:spacing w:after="0" w:line="17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On July 4, 2025, the U.S. government enacted the One Big Beautiful Bill Act ("OBBBA"), which includes several changes to U.S. federal income tax law, including the temporary and permanent extension of expiring provisions of the Tax Act of 2017. The new legislation has multiple effective dates, with certain provisions effective in 2025 and others in the future. The Company determined that the tax provisions of the legislation do not have a material impact on its 2025 consolidated financial statements and continues to assess the impact on future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401(k) Plan</w:t>
      </w:r>
    </w:p>
    <w:p>
      <w:pPr>
        <w:spacing w:after="0" w:line="9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has a 401(k) plan. This plan covers substantially all employees who meet minimum age and service requirements. During the years ended September 30, 2025, 2024, and 2023, the Company recognized $1,684, $1,697, and $1,784, respectively, of expense related to its contributions to this plan.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3" w:name="page104"/>
    <w:bookmarkEnd w:id="10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Segment Information</w:t>
      </w:r>
    </w:p>
    <w:p>
      <w:pPr>
        <w:spacing w:after="0" w:line="9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The Company manages its operations as a single operating segment for the purposes of assessing performance and making operating decisions. The Company’s singular focus is on discovering and developing small molecule drugs with an emphasis on virology and immunology. The Company’s Chief Operating Decision Maker (“CODM”) is the Company’s Chief Executive Officer (“CEO”). The CODM reviews consolidated operating results and utilizes net loss from the Statement of Operations against budget forecasts as the primary measure of segment profit or loss in making decisions surrounding allocating resources and assessing performance of the Company. The CODM is regularly provided detailed expense information, including expenses by expense category and program. The CODM makes decisions surrounding capital and personnel allocation using this information on a consolidated basis. Asset information on a reportable segment basis is not disclosed as this information is not separately identified and internally reported to the Company’s CODM. The CODM is regularly provided information on total cash, which is inclusive of cash, cash equivalents and short-term marketable securities, as a measure of segment assets. As of September 30, 2025, the Company’s cash, cash equivalents and short-term marketable securities were $188,864. The following table presents selected financial information with respect to the Company’s single operating segment for the years ended September 30, 2025, 2024 and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6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80"/>
        </w:trPr>
        <w:tc>
          <w:tcPr>
            <w:tcW w:w="6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Royalty revenue</w:t>
            </w:r>
          </w:p>
        </w:tc>
        <w:tc>
          <w:tcPr>
            <w:tcW w:w="760" w:type="dxa"/>
            <w:vAlign w:val="bottom"/>
          </w:tcPr>
          <w:p>
            <w:pPr>
              <w:jc w:val="right"/>
              <w:ind w:right="60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65,324</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67,635</w:t>
            </w:r>
          </w:p>
        </w:tc>
        <w:tc>
          <w:tcPr>
            <w:tcW w:w="240" w:type="dxa"/>
            <w:vAlign w:val="bottom"/>
          </w:tcPr>
          <w:p>
            <w:pPr>
              <w:spacing w:after="0"/>
              <w:rPr>
                <w:sz w:val="15"/>
                <w:szCs w:val="15"/>
                <w:color w:val="auto"/>
              </w:rPr>
            </w:pP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78,204</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License revenue</w:t>
            </w:r>
          </w:p>
        </w:tc>
        <w:tc>
          <w:tcPr>
            <w:tcW w:w="7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180"/>
        </w:trPr>
        <w:tc>
          <w:tcPr>
            <w:tcW w:w="62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revenue</w:t>
            </w:r>
          </w:p>
        </w:tc>
        <w:tc>
          <w:tcPr>
            <w:tcW w:w="7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65,324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67,635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79,204</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RSV</w:t>
            </w:r>
          </w:p>
        </w:tc>
        <w:tc>
          <w:tcPr>
            <w:tcW w:w="7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59,808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86,367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78,120</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COVID-19</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4,625</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66,082</w:t>
            </w:r>
          </w:p>
        </w:tc>
        <w:tc>
          <w:tcPr>
            <w:tcW w:w="80" w:type="dxa"/>
            <w:vAlign w:val="bottom"/>
            <w:shd w:val="clear" w:color="auto" w:fill="CFF0FC"/>
          </w:tcPr>
          <w:p>
            <w:pPr>
              <w:spacing w:after="0"/>
              <w:rPr>
                <w:sz w:val="15"/>
                <w:szCs w:val="15"/>
                <w:color w:val="auto"/>
              </w:rPr>
            </w:pPr>
          </w:p>
        </w:tc>
      </w:tr>
      <w:tr>
        <w:trPr>
          <w:trHeight w:val="348"/>
        </w:trPr>
        <w:tc>
          <w:tcPr>
            <w:tcW w:w="6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HBV</w:t>
            </w:r>
          </w:p>
        </w:tc>
        <w:tc>
          <w:tcPr>
            <w:tcW w:w="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6,974</w:t>
            </w:r>
          </w:p>
        </w:tc>
      </w:tr>
      <w:tr>
        <w:trPr>
          <w:trHeight w:val="180"/>
        </w:trPr>
        <w:tc>
          <w:tcPr>
            <w:tcW w:w="624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virology</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60,547</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91,363</w:t>
            </w: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151,176</w:t>
            </w: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KIT</w:t>
            </w:r>
          </w:p>
        </w:tc>
        <w:tc>
          <w:tcPr>
            <w:tcW w:w="7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18,052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19,822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STAT6</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16,614</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4,691</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immunology</w:t>
            </w:r>
          </w:p>
        </w:tc>
        <w:tc>
          <w:tcPr>
            <w:tcW w:w="7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34,666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24,513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Early discovery</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11,328</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14,995</w:t>
            </w: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8,253</w:t>
            </w: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programs for out-licensing</w:t>
            </w:r>
          </w:p>
        </w:tc>
        <w:tc>
          <w:tcPr>
            <w:tcW w:w="7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4,095</w:t>
            </w:r>
          </w:p>
        </w:tc>
      </w:tr>
      <w:tr>
        <w:trPr>
          <w:trHeight w:val="180"/>
        </w:trPr>
        <w:tc>
          <w:tcPr>
            <w:tcW w:w="6240" w:type="dxa"/>
            <w:vAlign w:val="bottom"/>
            <w:shd w:val="clear" w:color="auto" w:fill="CFF0FC"/>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other programs</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11,527</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15,600</w:t>
            </w: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12,348</w:t>
            </w:r>
          </w:p>
        </w:tc>
        <w:tc>
          <w:tcPr>
            <w:tcW w:w="80" w:type="dxa"/>
            <w:vAlign w:val="bottom"/>
            <w:shd w:val="clear" w:color="auto" w:fill="CFF0FC"/>
          </w:tcPr>
          <w:p>
            <w:pPr>
              <w:spacing w:after="0"/>
              <w:rPr>
                <w:sz w:val="15"/>
                <w:szCs w:val="15"/>
                <w:color w:val="auto"/>
              </w:rPr>
            </w:pP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76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43,933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57,850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52,887</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w:t>
            </w:r>
          </w:p>
        </w:tc>
        <w:tc>
          <w:tcPr>
            <w:tcW w:w="7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5"/>
              </w:rPr>
              <w:t>(85,349)</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(121,691)</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(137,207)</w:t>
            </w:r>
          </w:p>
        </w:tc>
      </w:tr>
      <w:tr>
        <w:trPr>
          <w:trHeight w:val="180"/>
        </w:trPr>
        <w:tc>
          <w:tcPr>
            <w:tcW w:w="6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(expense):</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7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(7,681)</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(10,940)</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(5,148)</w:t>
            </w: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 and investment income, net</w:t>
            </w:r>
          </w:p>
        </w:tc>
        <w:tc>
          <w:tcPr>
            <w:tcW w:w="760" w:type="dxa"/>
            <w:vAlign w:val="bottom"/>
          </w:tcPr>
          <w:p>
            <w:pPr>
              <w:spacing w:after="0"/>
              <w:rPr>
                <w:sz w:val="15"/>
                <w:szCs w:val="15"/>
                <w:color w:val="auto"/>
              </w:rPr>
            </w:pPr>
          </w:p>
        </w:tc>
        <w:tc>
          <w:tcPr>
            <w:tcW w:w="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9,442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14,770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11,360</w:t>
            </w:r>
          </w:p>
        </w:tc>
        <w:tc>
          <w:tcPr>
            <w:tcW w:w="80" w:type="dxa"/>
            <w:vAlign w:val="bottom"/>
          </w:tcPr>
          <w:p>
            <w:pPr>
              <w:spacing w:after="0"/>
              <w:rPr>
                <w:sz w:val="15"/>
                <w:szCs w:val="15"/>
                <w:color w:val="auto"/>
              </w:rPr>
            </w:pPr>
          </w:p>
        </w:tc>
      </w:tr>
      <w:tr>
        <w:trPr>
          <w:trHeight w:val="180"/>
        </w:trPr>
        <w:tc>
          <w:tcPr>
            <w:tcW w:w="624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Change in fair value of Series 1 nonconvertible preferred stock</w:t>
            </w: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624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rPr>
              <w:t>Total other income, net</w:t>
            </w:r>
          </w:p>
        </w:tc>
        <w:tc>
          <w:tcPr>
            <w:tcW w:w="760" w:type="dxa"/>
            <w:vAlign w:val="bottom"/>
          </w:tcPr>
          <w:p>
            <w:pPr>
              <w:spacing w:after="0"/>
              <w:rPr>
                <w:sz w:val="15"/>
                <w:szCs w:val="15"/>
                <w:color w:val="auto"/>
              </w:rPr>
            </w:pPr>
          </w:p>
        </w:tc>
        <w:tc>
          <w:tcPr>
            <w:tcW w:w="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1,800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3,903</w:t>
            </w:r>
          </w:p>
        </w:tc>
        <w:tc>
          <w:tcPr>
            <w:tcW w:w="28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6,212</w:t>
            </w:r>
          </w:p>
        </w:tc>
      </w:tr>
      <w:tr>
        <w:trPr>
          <w:trHeight w:val="180"/>
        </w:trPr>
        <w:tc>
          <w:tcPr>
            <w:tcW w:w="6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before income taxes</w:t>
            </w:r>
          </w:p>
        </w:tc>
        <w:tc>
          <w:tcPr>
            <w:tcW w:w="7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5"/>
              </w:rPr>
              <w:t>(83,549)</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tcBorders>
              <w:right w:val="single" w:sz="8" w:color="CFF0FC"/>
            </w:tcBorders>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(117,788)</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(130,995)</w:t>
            </w:r>
          </w:p>
        </w:tc>
      </w:tr>
      <w:tr>
        <w:trPr>
          <w:trHeight w:val="180"/>
        </w:trPr>
        <w:tc>
          <w:tcPr>
            <w:tcW w:w="624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Income tax benefit (expense)</w:t>
            </w:r>
          </w:p>
        </w:tc>
        <w:tc>
          <w:tcPr>
            <w:tcW w:w="760" w:type="dxa"/>
            <w:vAlign w:val="bottom"/>
          </w:tcPr>
          <w:p>
            <w:pPr>
              <w:spacing w:after="0"/>
              <w:rPr>
                <w:sz w:val="15"/>
                <w:szCs w:val="15"/>
                <w:color w:val="auto"/>
              </w:rPr>
            </w:pPr>
          </w:p>
        </w:tc>
        <w:tc>
          <w:tcPr>
            <w:tcW w:w="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1,660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1,743</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(2,821)</w:t>
            </w:r>
          </w:p>
        </w:tc>
      </w:tr>
      <w:tr>
        <w:trPr>
          <w:trHeight w:val="200"/>
        </w:trPr>
        <w:tc>
          <w:tcPr>
            <w:tcW w:w="62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FF0FC"/>
          </w:tcPr>
          <w:p>
            <w:pPr>
              <w:jc w:val="right"/>
              <w:ind w:right="606"/>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(81,889</w:t>
            </w:r>
            <w:r>
              <w:rPr>
                <w:rFonts w:ascii="Times New Roman" w:cs="Times New Roman" w:eastAsia="Times New Roman" w:hAnsi="Times New Roman"/>
                <w:sz w:val="18"/>
                <w:szCs w:val="18"/>
                <w:color w:val="auto"/>
                <w:vertAlign w:val="subscript"/>
              </w:rPr>
              <w:t>)</w:t>
            </w:r>
          </w:p>
        </w:tc>
        <w:tc>
          <w:tcPr>
            <w:tcW w:w="48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1"/>
                <w:szCs w:val="11"/>
                <w:color w:val="auto"/>
              </w:rPr>
              <w:t>(116,045</w:t>
            </w:r>
            <w:r>
              <w:rPr>
                <w:rFonts w:ascii="Times New Roman" w:cs="Times New Roman" w:eastAsia="Times New Roman" w:hAnsi="Times New Roman"/>
                <w:sz w:val="18"/>
                <w:szCs w:val="18"/>
                <w:color w:val="auto"/>
                <w:vertAlign w:val="subscript"/>
              </w:rPr>
              <w:t>)</w:t>
            </w:r>
          </w:p>
        </w:tc>
        <w:tc>
          <w:tcPr>
            <w:tcW w:w="280" w:type="dxa"/>
            <w:vAlign w:val="bottom"/>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(133,816</w:t>
            </w:r>
            <w:r>
              <w:rPr>
                <w:rFonts w:ascii="Times New Roman" w:cs="Times New Roman" w:eastAsia="Times New Roman" w:hAnsi="Times New Roman"/>
                <w:sz w:val="18"/>
                <w:szCs w:val="18"/>
                <w:color w:val="auto"/>
                <w:vertAlign w:val="subscript"/>
              </w:rPr>
              <w:t>)</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Subsequent Events</w:t>
      </w:r>
    </w:p>
    <w:p>
      <w:pPr>
        <w:spacing w:after="0" w:line="94"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color w:val="auto"/>
        </w:rPr>
        <w:t>On October 2, 2025, the Company closed an underwritten public offering of 7,475 shares of its common stock at a price of $10.00 per share. The gross proceeds of the offering, before deducting underwriting discounts and commissions and other offering expenses, were $74,750.</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4" w:name="page105"/>
    <w:bookmarkEnd w:id="104"/>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780" w:type="dxa"/>
            <w:vAlign w:val="bottom"/>
            <w:gridSpan w:val="2"/>
          </w:tcPr>
          <w:p>
            <w:pPr>
              <w:ind w:left="2960"/>
              <w:spacing w:after="0"/>
              <w:rPr>
                <w:sz w:val="20"/>
                <w:szCs w:val="20"/>
                <w:color w:val="auto"/>
              </w:rPr>
            </w:pPr>
            <w:r>
              <w:rPr>
                <w:rFonts w:ascii="Times New Roman" w:cs="Times New Roman" w:eastAsia="Times New Roman" w:hAnsi="Times New Roman"/>
                <w:sz w:val="16"/>
                <w:szCs w:val="16"/>
                <w:b w:val="1"/>
                <w:bCs w:val="1"/>
                <w:color w:val="auto"/>
                <w:w w:val="96"/>
              </w:rPr>
              <w:t>Exhibit 21.1</w:t>
            </w:r>
          </w:p>
        </w:tc>
      </w:tr>
      <w:tr>
        <w:trPr>
          <w:trHeight w:val="372"/>
        </w:trPr>
        <w:tc>
          <w:tcPr>
            <w:tcW w:w="3200" w:type="dxa"/>
            <w:vAlign w:val="bottom"/>
          </w:tcPr>
          <w:p>
            <w:pPr>
              <w:spacing w:after="0"/>
              <w:rPr>
                <w:sz w:val="24"/>
                <w:szCs w:val="24"/>
                <w:color w:val="auto"/>
              </w:rPr>
            </w:pPr>
          </w:p>
        </w:tc>
        <w:tc>
          <w:tcPr>
            <w:tcW w:w="3600" w:type="dxa"/>
            <w:vAlign w:val="bottom"/>
          </w:tcPr>
          <w:p>
            <w:pPr>
              <w:jc w:val="center"/>
              <w:ind w:left="485"/>
              <w:spacing w:after="0"/>
              <w:rPr>
                <w:sz w:val="20"/>
                <w:szCs w:val="20"/>
                <w:color w:val="auto"/>
              </w:rPr>
            </w:pPr>
            <w:r>
              <w:rPr>
                <w:rFonts w:ascii="Times New Roman" w:cs="Times New Roman" w:eastAsia="Times New Roman" w:hAnsi="Times New Roman"/>
                <w:sz w:val="16"/>
                <w:szCs w:val="16"/>
                <w:b w:val="1"/>
                <w:bCs w:val="1"/>
                <w:color w:val="auto"/>
                <w:w w:val="97"/>
              </w:rPr>
              <w:t>Enanta Pharmaceuticals, Inc.</w:t>
            </w: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3200" w:type="dxa"/>
            <w:vAlign w:val="bottom"/>
          </w:tcPr>
          <w:p>
            <w:pPr>
              <w:spacing w:after="0"/>
              <w:rPr>
                <w:sz w:val="24"/>
                <w:szCs w:val="24"/>
                <w:color w:val="auto"/>
              </w:rPr>
            </w:pPr>
          </w:p>
        </w:tc>
        <w:tc>
          <w:tcPr>
            <w:tcW w:w="3600" w:type="dxa"/>
            <w:vAlign w:val="bottom"/>
          </w:tcPr>
          <w:p>
            <w:pPr>
              <w:jc w:val="center"/>
              <w:ind w:left="485"/>
              <w:spacing w:after="0"/>
              <w:rPr>
                <w:sz w:val="20"/>
                <w:szCs w:val="20"/>
                <w:color w:val="auto"/>
              </w:rPr>
            </w:pPr>
            <w:r>
              <w:rPr>
                <w:rFonts w:ascii="Times New Roman" w:cs="Times New Roman" w:eastAsia="Times New Roman" w:hAnsi="Times New Roman"/>
                <w:sz w:val="16"/>
                <w:szCs w:val="16"/>
                <w:b w:val="1"/>
                <w:bCs w:val="1"/>
                <w:color w:val="auto"/>
                <w:w w:val="97"/>
              </w:rPr>
              <w:t>Subsidiaries of the Company</w:t>
            </w: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2"/>
        </w:trPr>
        <w:tc>
          <w:tcPr>
            <w:tcW w:w="3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600" w:type="dxa"/>
            <w:vAlign w:val="bottom"/>
          </w:tcPr>
          <w:p>
            <w:pPr>
              <w:ind w:left="1880"/>
              <w:spacing w:after="0"/>
              <w:rPr>
                <w:sz w:val="20"/>
                <w:szCs w:val="20"/>
                <w:color w:val="auto"/>
              </w:rPr>
            </w:pPr>
            <w:r>
              <w:rPr>
                <w:rFonts w:ascii="Times New Roman" w:cs="Times New Roman" w:eastAsia="Times New Roman" w:hAnsi="Times New Roman"/>
                <w:sz w:val="13"/>
                <w:szCs w:val="13"/>
                <w:b w:val="1"/>
                <w:bCs w:val="1"/>
                <w:color w:val="auto"/>
              </w:rPr>
              <w:t>PARENT</w:t>
            </w:r>
          </w:p>
        </w:tc>
        <w:tc>
          <w:tcPr>
            <w:tcW w:w="3780" w:type="dxa"/>
            <w:vAlign w:val="bottom"/>
            <w:gridSpan w:val="2"/>
          </w:tcPr>
          <w:p>
            <w:pPr>
              <w:ind w:left="820"/>
              <w:spacing w:after="0"/>
              <w:rPr>
                <w:sz w:val="20"/>
                <w:szCs w:val="20"/>
                <w:color w:val="auto"/>
              </w:rPr>
            </w:pPr>
            <w:r>
              <w:rPr>
                <w:rFonts w:ascii="Times New Roman" w:cs="Times New Roman" w:eastAsia="Times New Roman" w:hAnsi="Times New Roman"/>
                <w:sz w:val="13"/>
                <w:szCs w:val="13"/>
                <w:b w:val="1"/>
                <w:bCs w:val="1"/>
                <w:color w:val="auto"/>
              </w:rPr>
              <w:t>STATE OR COUNTRY OF INCORPORATION</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Enanta Pharmaceuticals Security Corporation</w:t>
            </w:r>
          </w:p>
        </w:tc>
        <w:tc>
          <w:tcPr>
            <w:tcW w:w="3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Enanta Pharmaceuticals, Inc.</w:t>
            </w: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Massachusetts</w:t>
            </w:r>
          </w:p>
        </w:tc>
      </w:tr>
      <w:tr>
        <w:trPr>
          <w:trHeight w:val="1622"/>
        </w:trPr>
        <w:tc>
          <w:tcPr>
            <w:tcW w:w="3200" w:type="dxa"/>
            <w:vAlign w:val="bottom"/>
            <w:tcBorders>
              <w:bottom w:val="single" w:sz="8" w:color="EEEEEE"/>
            </w:tcBorders>
          </w:tcPr>
          <w:p>
            <w:pPr>
              <w:spacing w:after="0"/>
              <w:rPr>
                <w:sz w:val="24"/>
                <w:szCs w:val="24"/>
                <w:color w:val="auto"/>
              </w:rPr>
            </w:pPr>
          </w:p>
        </w:tc>
        <w:tc>
          <w:tcPr>
            <w:tcW w:w="3600" w:type="dxa"/>
            <w:vAlign w:val="bottom"/>
            <w:tcBorders>
              <w:bottom w:val="single" w:sz="8" w:color="EEEEEE"/>
            </w:tcBorders>
          </w:tcPr>
          <w:p>
            <w:pPr>
              <w:spacing w:after="0"/>
              <w:rPr>
                <w:sz w:val="24"/>
                <w:szCs w:val="24"/>
                <w:color w:val="auto"/>
              </w:rPr>
            </w:pPr>
          </w:p>
        </w:tc>
        <w:tc>
          <w:tcPr>
            <w:tcW w:w="376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5" w:name="page106"/>
    <w:bookmarkEnd w:id="105"/>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82"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S-3 (No. 333-275723) and on Form S-8 (Nos. 333-189217, 333-192935, 333-202257, 333 -209542, 333-215011, 333-221988, 333-231375, 333-231384, 333-255957, 333 -264794, 333-273800, 333-279217, and 333-287274) of Enanta Pharmaceuticals, Inc. of our report dated November 19, 2025 relating to the financial statements, which appears in this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rPr>
          <w:sz w:val="20"/>
          <w:szCs w:val="20"/>
          <w:color w:val="auto"/>
        </w:rPr>
      </w:pPr>
      <w:r>
        <w:rPr>
          <w:rFonts w:ascii="Times New Roman" w:cs="Times New Roman" w:eastAsia="Times New Roman" w:hAnsi="Times New Roman"/>
          <w:sz w:val="16"/>
          <w:szCs w:val="16"/>
          <w:color w:val="auto"/>
        </w:rPr>
        <w:t>November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1010920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6" w:name="page107"/>
    <w:bookmarkEnd w:id="106"/>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Section 240.13a-14 or 240.15d-14</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 as amended</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 Jay R. Luly, certify that:</w:t>
      </w:r>
    </w:p>
    <w:p>
      <w:pPr>
        <w:spacing w:after="0" w:line="92" w:lineRule="exact"/>
        <w:rPr>
          <w:sz w:val="20"/>
          <w:szCs w:val="20"/>
          <w:color w:val="auto"/>
        </w:rPr>
      </w:pPr>
    </w:p>
    <w:p>
      <w:pPr>
        <w:ind w:left="160" w:hanging="158"/>
        <w:spacing w:after="0"/>
        <w:tabs>
          <w:tab w:leader="none" w:pos="1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Enanta Pharmaceuticals, Inc.;</w:t>
      </w:r>
    </w:p>
    <w:p>
      <w:pPr>
        <w:spacing w:after="0" w:line="92" w:lineRule="exact"/>
        <w:rPr>
          <w:rFonts w:ascii="Times New Roman" w:cs="Times New Roman" w:eastAsia="Times New Roman" w:hAnsi="Times New Roman"/>
          <w:sz w:val="16"/>
          <w:szCs w:val="16"/>
          <w:color w:val="auto"/>
        </w:rPr>
      </w:pPr>
    </w:p>
    <w:p>
      <w:pPr>
        <w:ind w:left="500" w:right="100" w:hanging="498"/>
        <w:spacing w:after="0" w:line="259" w:lineRule="auto"/>
        <w:tabs>
          <w:tab w:leader="none" w:pos="16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6"/>
          <w:szCs w:val="16"/>
          <w:color w:val="auto"/>
        </w:rPr>
      </w:pPr>
    </w:p>
    <w:p>
      <w:pPr>
        <w:ind w:left="500" w:right="80" w:hanging="498"/>
        <w:spacing w:after="0" w:line="259" w:lineRule="auto"/>
        <w:tabs>
          <w:tab w:leader="none" w:pos="16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160" w:hanging="158"/>
        <w:spacing w:after="0"/>
        <w:tabs>
          <w:tab w:leader="none" w:pos="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4"/>
          <w:szCs w:val="14"/>
          <w:color w:val="auto"/>
        </w:rPr>
      </w:pPr>
    </w:p>
    <w:p>
      <w:pPr>
        <w:ind w:left="960" w:right="300" w:hanging="490"/>
        <w:spacing w:after="0" w:line="247" w:lineRule="auto"/>
        <w:tabs>
          <w:tab w:leader="none" w:pos="6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700" w:hanging="230"/>
        <w:spacing w:after="0"/>
        <w:tabs>
          <w:tab w:leader="none" w:pos="7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w:t>
      </w:r>
    </w:p>
    <w:p>
      <w:pPr>
        <w:spacing w:after="0" w:line="14" w:lineRule="exact"/>
        <w:rPr>
          <w:rFonts w:ascii="Times New Roman" w:cs="Times New Roman" w:eastAsia="Times New Roman" w:hAnsi="Times New Roman"/>
          <w:sz w:val="16"/>
          <w:szCs w:val="16"/>
          <w:color w:val="auto"/>
        </w:rPr>
      </w:pPr>
    </w:p>
    <w:p>
      <w:pPr>
        <w:ind w:left="960" w:right="72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960" w:right="240" w:hanging="490"/>
        <w:spacing w:after="0" w:line="259" w:lineRule="auto"/>
        <w:tabs>
          <w:tab w:leader="none" w:pos="6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960" w:right="180" w:hanging="490"/>
        <w:spacing w:after="0" w:line="247" w:lineRule="auto"/>
        <w:tabs>
          <w:tab w:leader="none" w:pos="68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6"/>
          <w:szCs w:val="16"/>
          <w:color w:val="auto"/>
        </w:rPr>
      </w:pPr>
    </w:p>
    <w:p>
      <w:pPr>
        <w:ind w:left="500" w:right="360" w:hanging="498"/>
        <w:spacing w:after="0" w:line="259" w:lineRule="auto"/>
        <w:tabs>
          <w:tab w:leader="none" w:pos="16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ind w:left="960" w:right="420" w:hanging="490"/>
        <w:spacing w:after="0" w:line="259" w:lineRule="auto"/>
        <w:tabs>
          <w:tab w:leader="none" w:pos="6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960" w:right="20" w:hanging="490"/>
        <w:spacing w:after="0" w:line="259" w:lineRule="auto"/>
        <w:tabs>
          <w:tab w:leader="none" w:pos="68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November 19, 2025</w:t>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/s/ Jay R. Luly, Ph.D.</w:t>
      </w:r>
    </w:p>
    <w:p>
      <w:pPr>
        <w:spacing w:after="0" w:line="1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Jay R. Luly, Ph.D.</w:t>
      </w:r>
    </w:p>
    <w:p>
      <w:pPr>
        <w:ind w:left="6360"/>
        <w:spacing w:after="0" w:line="234" w:lineRule="auto"/>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888365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07" w:name="page108"/>
    <w:bookmarkEnd w:id="107"/>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Section 240.13a-14 or 240.15d-14</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 as amended</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 Harry R. Trout III, certify that:</w:t>
      </w:r>
    </w:p>
    <w:p>
      <w:pPr>
        <w:spacing w:after="0" w:line="92" w:lineRule="exact"/>
        <w:rPr>
          <w:sz w:val="20"/>
          <w:szCs w:val="20"/>
          <w:color w:val="auto"/>
        </w:rPr>
      </w:pPr>
    </w:p>
    <w:p>
      <w:pPr>
        <w:ind w:left="160" w:hanging="158"/>
        <w:spacing w:after="0"/>
        <w:tabs>
          <w:tab w:leader="none" w:pos="1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Enanta Pharmaceuticals, Inc.;</w:t>
      </w:r>
    </w:p>
    <w:p>
      <w:pPr>
        <w:spacing w:after="0" w:line="92" w:lineRule="exact"/>
        <w:rPr>
          <w:rFonts w:ascii="Times New Roman" w:cs="Times New Roman" w:eastAsia="Times New Roman" w:hAnsi="Times New Roman"/>
          <w:sz w:val="16"/>
          <w:szCs w:val="16"/>
          <w:color w:val="auto"/>
        </w:rPr>
      </w:pPr>
    </w:p>
    <w:p>
      <w:pPr>
        <w:ind w:left="500" w:right="100" w:hanging="498"/>
        <w:spacing w:after="0" w:line="259" w:lineRule="auto"/>
        <w:tabs>
          <w:tab w:leader="none" w:pos="16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6"/>
          <w:szCs w:val="16"/>
          <w:color w:val="auto"/>
        </w:rPr>
      </w:pPr>
    </w:p>
    <w:p>
      <w:pPr>
        <w:ind w:left="500" w:right="80" w:hanging="498"/>
        <w:spacing w:after="0" w:line="259" w:lineRule="auto"/>
        <w:tabs>
          <w:tab w:leader="none" w:pos="16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160" w:hanging="158"/>
        <w:spacing w:after="0"/>
        <w:tabs>
          <w:tab w:leader="none" w:pos="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4"/>
          <w:szCs w:val="14"/>
          <w:color w:val="auto"/>
        </w:rPr>
      </w:pPr>
    </w:p>
    <w:p>
      <w:pPr>
        <w:ind w:left="960" w:right="300" w:hanging="490"/>
        <w:spacing w:after="0" w:line="247" w:lineRule="auto"/>
        <w:tabs>
          <w:tab w:leader="none" w:pos="68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700" w:hanging="230"/>
        <w:spacing w:after="0"/>
        <w:tabs>
          <w:tab w:leader="none" w:pos="7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w:t>
      </w:r>
    </w:p>
    <w:p>
      <w:pPr>
        <w:spacing w:after="0" w:line="14" w:lineRule="exact"/>
        <w:rPr>
          <w:rFonts w:ascii="Times New Roman" w:cs="Times New Roman" w:eastAsia="Times New Roman" w:hAnsi="Times New Roman"/>
          <w:sz w:val="16"/>
          <w:szCs w:val="16"/>
          <w:color w:val="auto"/>
        </w:rPr>
      </w:pPr>
    </w:p>
    <w:p>
      <w:pPr>
        <w:ind w:left="960" w:right="72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960" w:right="240" w:hanging="490"/>
        <w:spacing w:after="0" w:line="259" w:lineRule="auto"/>
        <w:tabs>
          <w:tab w:leader="none" w:pos="68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960" w:right="180" w:hanging="490"/>
        <w:spacing w:after="0" w:line="247" w:lineRule="auto"/>
        <w:tabs>
          <w:tab w:leader="none" w:pos="68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6"/>
          <w:szCs w:val="16"/>
          <w:color w:val="auto"/>
        </w:rPr>
      </w:pPr>
    </w:p>
    <w:p>
      <w:pPr>
        <w:ind w:left="500" w:right="360" w:hanging="498"/>
        <w:spacing w:after="0" w:line="259" w:lineRule="auto"/>
        <w:tabs>
          <w:tab w:leader="none" w:pos="16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Times New Roman" w:cs="Times New Roman" w:eastAsia="Times New Roman" w:hAnsi="Times New Roman"/>
          <w:sz w:val="16"/>
          <w:szCs w:val="16"/>
          <w:color w:val="auto"/>
        </w:rPr>
      </w:pPr>
    </w:p>
    <w:p>
      <w:pPr>
        <w:ind w:left="960" w:right="420" w:hanging="490"/>
        <w:spacing w:after="0" w:line="259" w:lineRule="auto"/>
        <w:tabs>
          <w:tab w:leader="none" w:pos="68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960" w:right="20" w:hanging="490"/>
        <w:spacing w:after="0" w:line="259" w:lineRule="auto"/>
        <w:tabs>
          <w:tab w:leader="none" w:pos="68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November 19, 2025</w:t>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/s/ Harry R. Trout III</w:t>
      </w:r>
    </w:p>
    <w:p>
      <w:pPr>
        <w:spacing w:after="0" w:line="1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Harry R. Trout III</w:t>
      </w:r>
    </w:p>
    <w:p>
      <w:pPr>
        <w:ind w:left="6360"/>
        <w:spacing w:after="0" w:line="234" w:lineRule="auto"/>
        <w:rPr>
          <w:sz w:val="20"/>
          <w:szCs w:val="20"/>
          <w:color w:val="auto"/>
        </w:rPr>
      </w:pPr>
      <w:r>
        <w:rPr>
          <w:rFonts w:ascii="Times New Roman" w:cs="Times New Roman" w:eastAsia="Times New Roman" w:hAnsi="Times New Roman"/>
          <w:sz w:val="16"/>
          <w:szCs w:val="16"/>
          <w:i w:val="1"/>
          <w:iCs w:val="1"/>
          <w:color w:val="auto"/>
        </w:rPr>
        <w:t>Vice President, Finance</w:t>
      </w:r>
    </w:p>
    <w:p>
      <w:pPr>
        <w:spacing w:after="0" w:line="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i w:val="1"/>
          <w:iCs w:val="1"/>
          <w:color w:val="auto"/>
        </w:rPr>
        <w:t>(Principal Financial Office</w:t>
      </w:r>
      <w:r>
        <w:rPr>
          <w:rFonts w:ascii="Times New Roman" w:cs="Times New Roman" w:eastAsia="Times New Roman" w:hAnsi="Times New Roman"/>
          <w:sz w:val="16"/>
          <w:szCs w:val="16"/>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888365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1440" w:right="660" w:bottom="1440" w:gutter="0" w:footer="0" w:header="0"/>
        </w:sectPr>
      </w:pPr>
    </w:p>
    <w:bookmarkStart w:id="108" w:name="page109"/>
    <w:bookmarkEnd w:id="108"/>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Periodic Financial Report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7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Each of the undersigned officers of Enanta Pharmaceuticals, Inc. (the “Company”) certifies, to his knowledge and solely for the purposes of 18 U.S.C. Section 1350, as adopted pursuant to Section 906 of the Sarbanes -Oxley Act of 2002, that the Annual Report on Form 10-K of the Company for the year ended September 30, 2025 complies with the requirements of Section 13(a) or 15(d) of the Securities Exchange Act of 1934 and that information contained in the Form 10-K fairly presents, in all material respects, the financial condition and results of operations of Enanta.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19, 2025</w:t>
      </w:r>
    </w:p>
    <w:p>
      <w:pPr>
        <w:spacing w:after="0" w:line="24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 Jay R. Luly, Ph.D.</w:t>
      </w:r>
    </w:p>
    <w:p>
      <w:pPr>
        <w:spacing w:after="0" w:line="1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Jay R. Luly, Ph.D.</w:t>
      </w:r>
    </w:p>
    <w:p>
      <w:pPr>
        <w:ind w:left="6340"/>
        <w:spacing w:after="0" w:line="234" w:lineRule="auto"/>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ind w:left="6340"/>
        <w:spacing w:after="0" w:line="235" w:lineRule="auto"/>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19, 2025</w:t>
      </w:r>
    </w:p>
    <w:p>
      <w:pPr>
        <w:spacing w:after="0" w:line="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 Harry R. Trout III</w:t>
      </w:r>
    </w:p>
    <w:p>
      <w:pPr>
        <w:spacing w:after="0" w:line="1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Harry R. Trout III</w:t>
      </w:r>
    </w:p>
    <w:p>
      <w:pPr>
        <w:ind w:left="6340"/>
        <w:spacing w:after="0" w:line="234" w:lineRule="auto"/>
        <w:rPr>
          <w:sz w:val="20"/>
          <w:szCs w:val="20"/>
          <w:color w:val="auto"/>
        </w:rPr>
      </w:pPr>
      <w:r>
        <w:rPr>
          <w:rFonts w:ascii="Times New Roman" w:cs="Times New Roman" w:eastAsia="Times New Roman" w:hAnsi="Times New Roman"/>
          <w:sz w:val="16"/>
          <w:szCs w:val="16"/>
          <w:i w:val="1"/>
          <w:iCs w:val="1"/>
          <w:color w:val="auto"/>
        </w:rPr>
        <w:t>Vice President, Finance</w:t>
      </w:r>
    </w:p>
    <w:p>
      <w:pPr>
        <w:spacing w:after="0" w:line="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9" w:name="page110"/>
    <w:bookmarkEnd w:id="109"/>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a"/>
      <w:numFmt w:val="bullet"/>
      <w:start w:val="1"/>
    </w:lvl>
  </w:abstractNum>
  <w:abstractNum w:abstractNumId="3">
    <w:nsid w:val="79E2A9E3"/>
    <w:multiLevelType w:val="hybridMultilevel"/>
    <w:lvl w:ilvl="0">
      <w:lvlJc w:val="left"/>
      <w:lvlText w:val="#"/>
      <w:numFmt w:val="bullet"/>
      <w:start w:val="1"/>
    </w:lvl>
    <w:lvl w:ilvl="1">
      <w:lvlJc w:val="left"/>
      <w:lvlText w:val="%2"/>
      <w:numFmt w:val="decimal"/>
      <w:start w:val="10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lowerRoman"/>
      <w:start w:val="2"/>
    </w:lvl>
  </w:abstractNum>
  <w:abstractNum w:abstractNumId="8">
    <w:nsid w:val="4DB127F8"/>
    <w:multiLevelType w:val="hybridMultilevel"/>
    <w:lvl w:ilvl="0">
      <w:lvlJc w:val="left"/>
      <w:lvlText w:val="a"/>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2" Type="http://schemas.openxmlformats.org/officeDocument/2006/relationships/image" Target="media/image84.png"/><Relationship Id="rId125"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91" Type="http://schemas.openxmlformats.org/officeDocument/2006/relationships/hyperlink" Target="https://www.sec.gov/Archives/edgar/data/1177648/000119312513132679/d511662dex31.htm" TargetMode="External"/><Relationship Id="rId92" Type="http://schemas.openxmlformats.org/officeDocument/2006/relationships/hyperlink" Target="https://www.sec.gov/Archives/edgar/data/1177648/000119312515294582/d95810dex32.htm" TargetMode="External"/><Relationship Id="rId93" Type="http://schemas.openxmlformats.org/officeDocument/2006/relationships/hyperlink" Target="https://www.sec.gov/Archives/edgar/data/1177648/000119312513038960/d401292dex41.htm" TargetMode="External"/><Relationship Id="rId94" Type="http://schemas.openxmlformats.org/officeDocument/2006/relationships/hyperlink" Target="https://www.sec.gov/Archives/edgar/data/1177648/000156459017024794/enta-ex43_1302.htm" TargetMode="External"/><Relationship Id="rId95" Type="http://schemas.openxmlformats.org/officeDocument/2006/relationships/hyperlink" Target="https://www.sec.gov/Archives/edgar/data/1177648/000156459019044729/enta-ex43_411.htm" TargetMode="External"/><Relationship Id="rId96" Type="http://schemas.openxmlformats.org/officeDocument/2006/relationships/hyperlink" Target="https://www.sec.gov/Archives/edgar/data/1177648/000119312513038960/d401292dex107.htm" TargetMode="External"/><Relationship Id="rId97" Type="http://schemas.openxmlformats.org/officeDocument/2006/relationships/hyperlink" Target="https://www.sec.gov/Archives/edgar/data/1177648/000119312513091763/d401292dex105.htm" TargetMode="External"/><Relationship Id="rId98" Type="http://schemas.openxmlformats.org/officeDocument/2006/relationships/hyperlink" Target="https://www.sec.gov/Archives/edgar/data/1177648/000119312513091763/d401292dex1017.htm" TargetMode="External"/><Relationship Id="rId99" Type="http://schemas.openxmlformats.org/officeDocument/2006/relationships/hyperlink" Target="https://www.sec.gov/Archives/edgar/data/1177648/000156459021004518/enta-ex101_25.htm" TargetMode="External"/><Relationship Id="rId100" Type="http://schemas.openxmlformats.org/officeDocument/2006/relationships/hyperlink" Target="https://www.sec.gov/Archives/edgar/data/1177648/000156459021004518/enta-ex102_24.htm" TargetMode="External"/><Relationship Id="rId101" Type="http://schemas.openxmlformats.org/officeDocument/2006/relationships/hyperlink" Target="https://www.sec.gov/Archives/edgar/data/1177648/000119312515179595/d873137dex101.htm" TargetMode="External"/><Relationship Id="rId103" Type="http://schemas.openxmlformats.org/officeDocument/2006/relationships/hyperlink" Target="https://www.sec.gov/Archives/edgar/data/1177648/000119312523122434/d500394dex101.htm" TargetMode="External"/><Relationship Id="rId104" Type="http://schemas.openxmlformats.org/officeDocument/2006/relationships/hyperlink" Target="https://www.sec.gov/Archives/edgar/data/1177648/000156459018030275/enta-ex1010_399.htm" TargetMode="External"/><Relationship Id="rId105" Type="http://schemas.openxmlformats.org/officeDocument/2006/relationships/hyperlink" Target="https://www.sec.gov/Archives/edgar/data/1177648/000119312522153071/d349963dex102.htm" TargetMode="External"/><Relationship Id="rId106" Type="http://schemas.openxmlformats.org/officeDocument/2006/relationships/hyperlink" Target="https://www.sec.gov/Archives/edgar/data/1177648/000119312522153071/d349963dex103.htm" TargetMode="External"/><Relationship Id="rId107" Type="http://schemas.openxmlformats.org/officeDocument/2006/relationships/hyperlink" Target="https://www.sec.gov/Archives/edgar/data/1177648/000119312517004530/d325877dex1014.htm" TargetMode="External"/><Relationship Id="rId108" Type="http://schemas.openxmlformats.org/officeDocument/2006/relationships/hyperlink" Target="https://www.sec.gov/Archives/edgar/data/1177648/000119312513091763/d401292dex1013.htm" TargetMode="External"/><Relationship Id="rId109" Type="http://schemas.openxmlformats.org/officeDocument/2006/relationships/hyperlink" Target="https://www.sec.gov/Archives/edgar/data/1177648/000119312513091763/d401292dex1014.htm" TargetMode="External"/><Relationship Id="rId110" Type="http://schemas.openxmlformats.org/officeDocument/2006/relationships/hyperlink" Target="https://www.sec.gov/Archives/edgar/data/1177648/000119312513091763/d401292dex1015.htm" TargetMode="External"/><Relationship Id="rId111" Type="http://schemas.openxmlformats.org/officeDocument/2006/relationships/hyperlink" Target="https://www.sec.gov/Archives/edgar/data/1177648/000156459017024794/enta-ex1018_1136.htm" TargetMode="External"/><Relationship Id="rId112" Type="http://schemas.openxmlformats.org/officeDocument/2006/relationships/hyperlink" Target="https://www.sec.gov/Archives/edgar/data/1177648/000156459017024794/enta-ex1019_1137.htm" TargetMode="External"/><Relationship Id="rId113" Type="http://schemas.openxmlformats.org/officeDocument/2006/relationships/hyperlink" Target="https://www.sec.gov/Archives/edgar/data/1177648/000119312513038960/d401292dex1016.htm" TargetMode="External"/><Relationship Id="rId114" Type="http://schemas.openxmlformats.org/officeDocument/2006/relationships/hyperlink" Target="https://www.sec.gov/Archives/edgar/data/1177648/000095017025040230/enta-ex10_1.htm" TargetMode="External"/><Relationship Id="rId115" Type="http://schemas.openxmlformats.org/officeDocument/2006/relationships/hyperlink" Target="https://www.sec.gov/Archives/edgar/data/1177648/000156459019018517/enta-ex102_12.htm" TargetMode="External"/><Relationship Id="rId116" Type="http://schemas.openxmlformats.org/officeDocument/2006/relationships/hyperlink" Target="https://www.sec.gov/Archives/edgar/data/1177648/000156459019018517/enta-ex103_11.htm" TargetMode="External"/><Relationship Id="rId117" Type="http://schemas.openxmlformats.org/officeDocument/2006/relationships/hyperlink" Target="https://www.sec.gov/Archives/edgar/data/1177648/000156459019018517/enta-ex104_166.htm" TargetMode="External"/><Relationship Id="rId118" Type="http://schemas.openxmlformats.org/officeDocument/2006/relationships/hyperlink" Target="https://www.sec.gov/Archives/edgar/data/1177648/000156459019018517/enta-ex105_165.htm" TargetMode="External"/><Relationship Id="rId119" Type="http://schemas.openxmlformats.org/officeDocument/2006/relationships/hyperlink" Target="https://www.sec.gov/Archives/edgar/data/1177648/000156459020055233/enta-ex1027_466.htm" TargetMode="External"/><Relationship Id="rId120" Type="http://schemas.openxmlformats.org/officeDocument/2006/relationships/hyperlink" Target="https://www.sec.gov/Archives/edgar/data/1177648/000095017024055581/enta-ex10_2.htm" TargetMode="External"/><Relationship Id="rId121" Type="http://schemas.openxmlformats.org/officeDocument/2006/relationships/hyperlink" Target="https://www.sec.gov/Archives/edgar/data/1177648/000119312524134274/d825189dex992.htm" TargetMode="External"/><Relationship Id="rId122" Type="http://schemas.openxmlformats.org/officeDocument/2006/relationships/hyperlink" Target="https://www.sec.gov/Archives/edgar/data/1177648/000095017024131260/enta-ex10_26.htm" TargetMode="External"/><Relationship Id="rId123" Type="http://schemas.openxmlformats.org/officeDocument/2006/relationships/hyperlink" Target="https://www.sec.gov/Archives/edgar/data/1177648/000095017024131260/enta-ex10_27.htm" TargetMode="External"/><Relationship Id="rId124" Type="http://schemas.openxmlformats.org/officeDocument/2006/relationships/hyperlink" Target="https://www.sec.gov/Archives/edgar/data/1177648/000095017024131260/enta-ex10_28.htm" TargetMode="External"/><Relationship Id="rId126" Type="http://schemas.openxmlformats.org/officeDocument/2006/relationships/hyperlink" Target="https://www.sec.gov/Archives/edgar/data/1177648/000095017024131260/enta-ex10_29.htm" TargetMode="External"/><Relationship Id="rId127" Type="http://schemas.openxmlformats.org/officeDocument/2006/relationships/hyperlink" Target="https://www.sec.gov/Archives/edgar/data/1177648/000095017024131260/enta-ex10_30.htm" TargetMode="External"/><Relationship Id="rId128" Type="http://schemas.openxmlformats.org/officeDocument/2006/relationships/hyperlink" Target="https://www.sec.gov/Archives/edgar/data/1177648/000095017024131260/enta-ex10_31.htm" TargetMode="External"/><Relationship Id="rId129" Type="http://schemas.openxmlformats.org/officeDocument/2006/relationships/hyperlink" Target="https://www.sec.gov/Archives/edgar/data/1177648/000095017024131260/enta-ex19_1.htm" TargetMode="External"/><Relationship Id="rId130" Type="http://schemas.openxmlformats.org/officeDocument/2006/relationships/hyperlink" Target="https://www.sec.gov/Archives/edgar/data/1177648/000095017024131260/ent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2025-11-19T16:09:28Z</dcterms:created>
  <dcterms:modified xsi:type="dcterms:W3CDTF">2025-11-19T16:09:28Z</dcterms:modified>
</cp:coreProperties>
</file>