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900"/>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MAY 13, 2026</w:t>
      </w:r>
    </w:p>
    <w:p>
      <w:pPr>
        <w:spacing w:after="0" w:line="30" w:lineRule="exact"/>
        <w:rPr>
          <w:sz w:val="24"/>
          <w:szCs w:val="24"/>
          <w:color w:val="auto"/>
        </w:rPr>
      </w:pPr>
    </w:p>
    <w:p>
      <w:pPr>
        <w:ind w:left="8260"/>
        <w:spacing w:after="0"/>
        <w:rPr>
          <w:sz w:val="20"/>
          <w:szCs w:val="20"/>
          <w:color w:val="auto"/>
        </w:rPr>
      </w:pPr>
      <w:r>
        <w:rPr>
          <w:rFonts w:ascii="Times New Roman" w:cs="Times New Roman" w:eastAsia="Times New Roman" w:hAnsi="Times New Roman"/>
          <w:sz w:val="18"/>
          <w:szCs w:val="18"/>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63500</wp:posOffset>
            </wp:positionV>
            <wp:extent cx="69215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15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105410</wp:posOffset>
            </wp:positionV>
            <wp:extent cx="69215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pacing w:after="0" w:line="19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222250</wp:posOffset>
            </wp:positionV>
            <wp:extent cx="1450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39"/>
        <w:spacing w:after="0" w:line="238" w:lineRule="auto"/>
        <w:rPr>
          <w:sz w:val="20"/>
          <w:szCs w:val="20"/>
          <w:color w:val="auto"/>
        </w:rPr>
      </w:pPr>
      <w:r>
        <w:rPr>
          <w:rFonts w:ascii="Times New Roman" w:cs="Times New Roman" w:eastAsia="Times New Roman" w:hAnsi="Times New Roman"/>
          <w:sz w:val="21"/>
          <w:szCs w:val="21"/>
          <w:b w:val="1"/>
          <w:bCs w:val="1"/>
          <w:i w:val="1"/>
          <w:iCs w:val="1"/>
          <w:color w:val="auto"/>
        </w:rPr>
        <w:t>UNDER</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222250</wp:posOffset>
            </wp:positionV>
            <wp:extent cx="1450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ENANTA PHARMACEUTICALS, INC.</w:t>
      </w:r>
    </w:p>
    <w:p>
      <w:pPr>
        <w:spacing w:after="0" w:line="5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232410</wp:posOffset>
            </wp:positionV>
            <wp:extent cx="1450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tbl>
      <w:tblPr>
        <w:tblLayout w:type="fixed"/>
        <w:tblInd w:w="1300" w:type="dxa"/>
        <w:tblCellMar>
          <w:top w:w="0" w:type="dxa"/>
          <w:left w:w="0" w:type="dxa"/>
          <w:bottom w:w="0" w:type="dxa"/>
          <w:right w:w="0" w:type="dxa"/>
        </w:tblCellMar>
      </w:tblPr>
      <w:tr>
        <w:trPr>
          <w:trHeight w:val="211"/>
        </w:trPr>
        <w:tc>
          <w:tcPr>
            <w:tcW w:w="6200" w:type="dxa"/>
            <w:vAlign w:val="bottom"/>
            <w:gridSpan w:val="3"/>
          </w:tcPr>
          <w:p>
            <w:pPr>
              <w:jc w:val="center"/>
              <w:ind w:right="332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300" w:type="dxa"/>
            <w:vAlign w:val="bottom"/>
          </w:tcPr>
          <w:p>
            <w:pPr>
              <w:jc w:val="right"/>
              <w:ind w:right="42"/>
              <w:spacing w:after="0"/>
              <w:rPr>
                <w:sz w:val="20"/>
                <w:szCs w:val="20"/>
                <w:color w:val="auto"/>
              </w:rPr>
            </w:pPr>
            <w:r>
              <w:rPr>
                <w:rFonts w:ascii="Times New Roman" w:cs="Times New Roman" w:eastAsia="Times New Roman" w:hAnsi="Times New Roman"/>
                <w:sz w:val="18"/>
                <w:szCs w:val="18"/>
                <w:b w:val="1"/>
                <w:bCs w:val="1"/>
                <w:color w:val="auto"/>
              </w:rPr>
              <w:t>04-3205099</w:t>
            </w:r>
          </w:p>
        </w:tc>
      </w:tr>
      <w:tr>
        <w:trPr>
          <w:trHeight w:val="147"/>
        </w:trPr>
        <w:tc>
          <w:tcPr>
            <w:tcW w:w="6200" w:type="dxa"/>
            <w:vAlign w:val="bottom"/>
            <w:gridSpan w:val="3"/>
          </w:tcPr>
          <w:p>
            <w:pPr>
              <w:jc w:val="center"/>
              <w:ind w:right="3300"/>
              <w:spacing w:after="0" w:line="147"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300" w:type="dxa"/>
            <w:vAlign w:val="bottom"/>
          </w:tcPr>
          <w:p>
            <w:pPr>
              <w:jc w:val="center"/>
              <w:ind w:left="122"/>
              <w:spacing w:after="0" w:line="147"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7"/>
        </w:trPr>
        <w:tc>
          <w:tcPr>
            <w:tcW w:w="6200" w:type="dxa"/>
            <w:vAlign w:val="bottom"/>
            <w:gridSpan w:val="3"/>
          </w:tcPr>
          <w:p>
            <w:pPr>
              <w:jc w:val="center"/>
              <w:ind w:right="330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300" w:type="dxa"/>
            <w:vAlign w:val="bottom"/>
          </w:tcPr>
          <w:p>
            <w:pPr>
              <w:jc w:val="center"/>
              <w:ind w:left="12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1"/>
        </w:trPr>
        <w:tc>
          <w:tcPr>
            <w:tcW w:w="6200" w:type="dxa"/>
            <w:vAlign w:val="bottom"/>
            <w:gridSpan w:val="3"/>
          </w:tcPr>
          <w:p>
            <w:pPr>
              <w:jc w:val="center"/>
              <w:ind w:right="3320"/>
              <w:spacing w:after="0"/>
              <w:rPr>
                <w:sz w:val="20"/>
                <w:szCs w:val="20"/>
                <w:color w:val="auto"/>
              </w:rPr>
            </w:pPr>
            <w:r>
              <w:rPr>
                <w:rFonts w:ascii="Times New Roman" w:cs="Times New Roman" w:eastAsia="Times New Roman" w:hAnsi="Times New Roman"/>
                <w:sz w:val="18"/>
                <w:szCs w:val="18"/>
                <w:b w:val="1"/>
                <w:bCs w:val="1"/>
                <w:color w:val="auto"/>
                <w:w w:val="98"/>
              </w:rPr>
              <w:t>4 Kingsbury Avenue, Watertown, MA</w:t>
            </w:r>
          </w:p>
        </w:tc>
        <w:tc>
          <w:tcPr>
            <w:tcW w:w="1300" w:type="dxa"/>
            <w:vAlign w:val="bottom"/>
          </w:tcPr>
          <w:p>
            <w:pPr>
              <w:jc w:val="right"/>
              <w:ind w:right="242"/>
              <w:spacing w:after="0"/>
              <w:rPr>
                <w:sz w:val="20"/>
                <w:szCs w:val="20"/>
                <w:color w:val="auto"/>
              </w:rPr>
            </w:pPr>
            <w:r>
              <w:rPr>
                <w:rFonts w:ascii="Times New Roman" w:cs="Times New Roman" w:eastAsia="Times New Roman" w:hAnsi="Times New Roman"/>
                <w:sz w:val="18"/>
                <w:szCs w:val="18"/>
                <w:b w:val="1"/>
                <w:bCs w:val="1"/>
                <w:color w:val="auto"/>
              </w:rPr>
              <w:t>02472</w:t>
            </w:r>
          </w:p>
        </w:tc>
      </w:tr>
      <w:tr>
        <w:trPr>
          <w:trHeight w:val="187"/>
        </w:trPr>
        <w:tc>
          <w:tcPr>
            <w:tcW w:w="6200" w:type="dxa"/>
            <w:vAlign w:val="bottom"/>
            <w:gridSpan w:val="3"/>
          </w:tcPr>
          <w:p>
            <w:pPr>
              <w:jc w:val="center"/>
              <w:ind w:right="33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300" w:type="dxa"/>
            <w:vAlign w:val="bottom"/>
          </w:tcPr>
          <w:p>
            <w:pPr>
              <w:jc w:val="center"/>
              <w:ind w:left="122"/>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90"/>
        </w:trPr>
        <w:tc>
          <w:tcPr>
            <w:tcW w:w="3000" w:type="dxa"/>
            <w:vAlign w:val="bottom"/>
          </w:tcPr>
          <w:p>
            <w:pPr>
              <w:spacing w:after="0"/>
              <w:rPr>
                <w:sz w:val="24"/>
                <w:szCs w:val="24"/>
                <w:color w:val="auto"/>
              </w:rPr>
            </w:pPr>
          </w:p>
        </w:tc>
        <w:tc>
          <w:tcPr>
            <w:tcW w:w="3200" w:type="dxa"/>
            <w:vAlign w:val="bottom"/>
            <w:gridSpan w:val="2"/>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9"/>
              </w:rPr>
              <w:t>2019 Equity Incentive Plan</w:t>
            </w:r>
          </w:p>
        </w:tc>
        <w:tc>
          <w:tcPr>
            <w:tcW w:w="1300" w:type="dxa"/>
            <w:vAlign w:val="bottom"/>
          </w:tcPr>
          <w:p>
            <w:pPr>
              <w:spacing w:after="0"/>
              <w:rPr>
                <w:sz w:val="24"/>
                <w:szCs w:val="24"/>
                <w:color w:val="auto"/>
              </w:rPr>
            </w:pPr>
          </w:p>
        </w:tc>
      </w:tr>
      <w:tr>
        <w:trPr>
          <w:trHeight w:val="211"/>
        </w:trPr>
        <w:tc>
          <w:tcPr>
            <w:tcW w:w="6200" w:type="dxa"/>
            <w:vAlign w:val="bottom"/>
            <w:gridSpan w:val="3"/>
          </w:tcPr>
          <w:p>
            <w:pPr>
              <w:jc w:val="center"/>
              <w:ind w:left="1998"/>
              <w:spacing w:after="0"/>
              <w:rPr>
                <w:sz w:val="20"/>
                <w:szCs w:val="20"/>
                <w:color w:val="auto"/>
              </w:rPr>
            </w:pPr>
            <w:r>
              <w:rPr>
                <w:rFonts w:ascii="Times New Roman" w:cs="Times New Roman" w:eastAsia="Times New Roman" w:hAnsi="Times New Roman"/>
                <w:sz w:val="18"/>
                <w:szCs w:val="18"/>
                <w:b w:val="1"/>
                <w:bCs w:val="1"/>
                <w:color w:val="auto"/>
                <w:w w:val="98"/>
              </w:rPr>
              <w:t>(As amended through March 11, 2026)</w:t>
            </w:r>
          </w:p>
        </w:tc>
        <w:tc>
          <w:tcPr>
            <w:tcW w:w="1300" w:type="dxa"/>
            <w:vAlign w:val="bottom"/>
          </w:tcPr>
          <w:p>
            <w:pPr>
              <w:spacing w:after="0"/>
              <w:rPr>
                <w:sz w:val="18"/>
                <w:szCs w:val="18"/>
                <w:color w:val="auto"/>
              </w:rPr>
            </w:pPr>
          </w:p>
        </w:tc>
      </w:tr>
      <w:tr>
        <w:trPr>
          <w:trHeight w:val="187"/>
        </w:trPr>
        <w:tc>
          <w:tcPr>
            <w:tcW w:w="3000" w:type="dxa"/>
            <w:vAlign w:val="bottom"/>
          </w:tcPr>
          <w:p>
            <w:pPr>
              <w:spacing w:after="0"/>
              <w:rPr>
                <w:sz w:val="16"/>
                <w:szCs w:val="16"/>
                <w:color w:val="auto"/>
              </w:rPr>
            </w:pPr>
          </w:p>
        </w:tc>
        <w:tc>
          <w:tcPr>
            <w:tcW w:w="3200" w:type="dxa"/>
            <w:vAlign w:val="bottom"/>
            <w:gridSpan w:val="2"/>
          </w:tcPr>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(Full title of the plan)</w:t>
            </w:r>
          </w:p>
        </w:tc>
        <w:tc>
          <w:tcPr>
            <w:tcW w:w="1300" w:type="dxa"/>
            <w:vAlign w:val="bottom"/>
          </w:tcPr>
          <w:p>
            <w:pPr>
              <w:spacing w:after="0"/>
              <w:rPr>
                <w:sz w:val="16"/>
                <w:szCs w:val="16"/>
                <w:color w:val="auto"/>
              </w:rPr>
            </w:pPr>
          </w:p>
        </w:tc>
      </w:tr>
      <w:tr>
        <w:trPr>
          <w:trHeight w:val="345"/>
        </w:trPr>
        <w:tc>
          <w:tcPr>
            <w:tcW w:w="3000" w:type="dxa"/>
            <w:vAlign w:val="bottom"/>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98"/>
        </w:trPr>
        <w:tc>
          <w:tcPr>
            <w:tcW w:w="3000" w:type="dxa"/>
            <w:vAlign w:val="bottom"/>
          </w:tcPr>
          <w:p>
            <w:pPr>
              <w:spacing w:after="0"/>
              <w:rPr>
                <w:sz w:val="24"/>
                <w:szCs w:val="24"/>
                <w:color w:val="auto"/>
              </w:rPr>
            </w:pPr>
          </w:p>
        </w:tc>
        <w:tc>
          <w:tcPr>
            <w:tcW w:w="3200" w:type="dxa"/>
            <w:vAlign w:val="bottom"/>
            <w:gridSpan w:val="2"/>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8"/>
              </w:rPr>
              <w:t>Jay R. Luly, Ph.D.</w:t>
            </w:r>
          </w:p>
        </w:tc>
        <w:tc>
          <w:tcPr>
            <w:tcW w:w="1300" w:type="dxa"/>
            <w:vAlign w:val="bottom"/>
          </w:tcPr>
          <w:p>
            <w:pPr>
              <w:spacing w:after="0"/>
              <w:rPr>
                <w:sz w:val="24"/>
                <w:szCs w:val="24"/>
                <w:color w:val="auto"/>
              </w:rPr>
            </w:pPr>
          </w:p>
        </w:tc>
      </w:tr>
      <w:tr>
        <w:trPr>
          <w:trHeight w:val="214"/>
        </w:trPr>
        <w:tc>
          <w:tcPr>
            <w:tcW w:w="6200" w:type="dxa"/>
            <w:vAlign w:val="bottom"/>
            <w:gridSpan w:val="3"/>
          </w:tcPr>
          <w:p>
            <w:pPr>
              <w:jc w:val="center"/>
              <w:ind w:left="1998"/>
              <w:spacing w:after="0"/>
              <w:rPr>
                <w:sz w:val="20"/>
                <w:szCs w:val="20"/>
                <w:color w:val="auto"/>
              </w:rPr>
            </w:pPr>
            <w:r>
              <w:rPr>
                <w:rFonts w:ascii="Times New Roman" w:cs="Times New Roman" w:eastAsia="Times New Roman" w:hAnsi="Times New Roman"/>
                <w:sz w:val="18"/>
                <w:szCs w:val="18"/>
                <w:b w:val="1"/>
                <w:bCs w:val="1"/>
                <w:color w:val="auto"/>
                <w:w w:val="98"/>
              </w:rPr>
              <w:t>President and Chief Executive Officer</w:t>
            </w:r>
          </w:p>
        </w:tc>
        <w:tc>
          <w:tcPr>
            <w:tcW w:w="1300" w:type="dxa"/>
            <w:vAlign w:val="bottom"/>
          </w:tcPr>
          <w:p>
            <w:pPr>
              <w:spacing w:after="0"/>
              <w:rPr>
                <w:sz w:val="18"/>
                <w:szCs w:val="18"/>
                <w:color w:val="auto"/>
              </w:rPr>
            </w:pPr>
          </w:p>
        </w:tc>
      </w:tr>
      <w:tr>
        <w:trPr>
          <w:trHeight w:val="214"/>
        </w:trPr>
        <w:tc>
          <w:tcPr>
            <w:tcW w:w="3000" w:type="dxa"/>
            <w:vAlign w:val="bottom"/>
          </w:tcPr>
          <w:p>
            <w:pPr>
              <w:spacing w:after="0"/>
              <w:rPr>
                <w:sz w:val="18"/>
                <w:szCs w:val="18"/>
                <w:color w:val="auto"/>
              </w:rPr>
            </w:pPr>
          </w:p>
        </w:tc>
        <w:tc>
          <w:tcPr>
            <w:tcW w:w="3200" w:type="dxa"/>
            <w:vAlign w:val="bottom"/>
            <w:gridSpan w:val="2"/>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8"/>
              </w:rPr>
              <w:t>Enanta Pharmaceuticals, Inc.</w:t>
            </w:r>
          </w:p>
        </w:tc>
        <w:tc>
          <w:tcPr>
            <w:tcW w:w="1300" w:type="dxa"/>
            <w:vAlign w:val="bottom"/>
          </w:tcPr>
          <w:p>
            <w:pPr>
              <w:spacing w:after="0"/>
              <w:rPr>
                <w:sz w:val="18"/>
                <w:szCs w:val="18"/>
                <w:color w:val="auto"/>
              </w:rPr>
            </w:pPr>
          </w:p>
        </w:tc>
      </w:tr>
      <w:tr>
        <w:trPr>
          <w:trHeight w:val="214"/>
        </w:trPr>
        <w:tc>
          <w:tcPr>
            <w:tcW w:w="3000" w:type="dxa"/>
            <w:vAlign w:val="bottom"/>
          </w:tcPr>
          <w:p>
            <w:pPr>
              <w:spacing w:after="0"/>
              <w:rPr>
                <w:sz w:val="18"/>
                <w:szCs w:val="18"/>
                <w:color w:val="auto"/>
              </w:rPr>
            </w:pPr>
          </w:p>
        </w:tc>
        <w:tc>
          <w:tcPr>
            <w:tcW w:w="3200" w:type="dxa"/>
            <w:vAlign w:val="bottom"/>
            <w:gridSpan w:val="2"/>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8"/>
              </w:rPr>
              <w:t>4 Kingsbury Avenue</w:t>
            </w:r>
          </w:p>
        </w:tc>
        <w:tc>
          <w:tcPr>
            <w:tcW w:w="1300" w:type="dxa"/>
            <w:vAlign w:val="bottom"/>
          </w:tcPr>
          <w:p>
            <w:pPr>
              <w:spacing w:after="0"/>
              <w:rPr>
                <w:sz w:val="18"/>
                <w:szCs w:val="18"/>
                <w:color w:val="auto"/>
              </w:rPr>
            </w:pPr>
          </w:p>
        </w:tc>
      </w:tr>
      <w:tr>
        <w:trPr>
          <w:trHeight w:val="211"/>
        </w:trPr>
        <w:tc>
          <w:tcPr>
            <w:tcW w:w="6200" w:type="dxa"/>
            <w:vAlign w:val="bottom"/>
            <w:gridSpan w:val="3"/>
          </w:tcPr>
          <w:p>
            <w:pPr>
              <w:jc w:val="center"/>
              <w:ind w:left="1998"/>
              <w:spacing w:after="0"/>
              <w:rPr>
                <w:sz w:val="20"/>
                <w:szCs w:val="20"/>
                <w:color w:val="auto"/>
              </w:rPr>
            </w:pPr>
            <w:r>
              <w:rPr>
                <w:rFonts w:ascii="Times New Roman" w:cs="Times New Roman" w:eastAsia="Times New Roman" w:hAnsi="Times New Roman"/>
                <w:sz w:val="18"/>
                <w:szCs w:val="18"/>
                <w:b w:val="1"/>
                <w:bCs w:val="1"/>
                <w:color w:val="auto"/>
                <w:w w:val="98"/>
              </w:rPr>
              <w:t>Watertown, Massachusetts 02472</w:t>
            </w:r>
          </w:p>
        </w:tc>
        <w:tc>
          <w:tcPr>
            <w:tcW w:w="1300" w:type="dxa"/>
            <w:vAlign w:val="bottom"/>
          </w:tcPr>
          <w:p>
            <w:pPr>
              <w:spacing w:after="0"/>
              <w:rPr>
                <w:sz w:val="18"/>
                <w:szCs w:val="18"/>
                <w:color w:val="auto"/>
              </w:rPr>
            </w:pPr>
          </w:p>
        </w:tc>
      </w:tr>
      <w:tr>
        <w:trPr>
          <w:trHeight w:val="187"/>
        </w:trPr>
        <w:tc>
          <w:tcPr>
            <w:tcW w:w="6200" w:type="dxa"/>
            <w:vAlign w:val="bottom"/>
            <w:gridSpan w:val="3"/>
          </w:tcPr>
          <w:p>
            <w:pPr>
              <w:jc w:val="center"/>
              <w:ind w:left="1998"/>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w:t>
            </w:r>
          </w:p>
        </w:tc>
        <w:tc>
          <w:tcPr>
            <w:tcW w:w="1300" w:type="dxa"/>
            <w:vAlign w:val="bottom"/>
          </w:tcPr>
          <w:p>
            <w:pPr>
              <w:spacing w:after="0"/>
              <w:rPr>
                <w:sz w:val="16"/>
                <w:szCs w:val="16"/>
                <w:color w:val="auto"/>
              </w:rPr>
            </w:pPr>
          </w:p>
        </w:tc>
      </w:tr>
      <w:tr>
        <w:trPr>
          <w:trHeight w:val="388"/>
        </w:trPr>
        <w:tc>
          <w:tcPr>
            <w:tcW w:w="5280" w:type="dxa"/>
            <w:vAlign w:val="bottom"/>
            <w:gridSpan w:val="2"/>
          </w:tcPr>
          <w:p>
            <w:pPr>
              <w:jc w:val="center"/>
              <w:ind w:left="2918"/>
              <w:spacing w:after="0"/>
              <w:rPr>
                <w:sz w:val="20"/>
                <w:szCs w:val="20"/>
                <w:color w:val="auto"/>
              </w:rPr>
            </w:pPr>
            <w:r>
              <w:rPr>
                <w:rFonts w:ascii="Times New Roman" w:cs="Times New Roman" w:eastAsia="Times New Roman" w:hAnsi="Times New Roman"/>
                <w:sz w:val="18"/>
                <w:szCs w:val="18"/>
                <w:b w:val="1"/>
                <w:bCs w:val="1"/>
                <w:color w:val="auto"/>
                <w:w w:val="99"/>
              </w:rPr>
              <w:t>(617) 607-0800</w:t>
            </w:r>
          </w:p>
        </w:tc>
        <w:tc>
          <w:tcPr>
            <w:tcW w:w="9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7"/>
        </w:trPr>
        <w:tc>
          <w:tcPr>
            <w:tcW w:w="6200" w:type="dxa"/>
            <w:vAlign w:val="bottom"/>
            <w:gridSpan w:val="3"/>
          </w:tcPr>
          <w:p>
            <w:pPr>
              <w:jc w:val="center"/>
              <w:ind w:left="2018"/>
              <w:spacing w:after="0"/>
              <w:rPr>
                <w:sz w:val="20"/>
                <w:szCs w:val="20"/>
                <w:color w:val="auto"/>
              </w:rPr>
            </w:pPr>
            <w:r>
              <w:rPr>
                <w:rFonts w:ascii="Times New Roman" w:cs="Times New Roman" w:eastAsia="Times New Roman" w:hAnsi="Times New Roman"/>
                <w:sz w:val="14"/>
                <w:szCs w:val="14"/>
                <w:b w:val="1"/>
                <w:bCs w:val="1"/>
                <w:color w:val="auto"/>
              </w:rPr>
              <w:t>(Telephone number, including area code, of agent for service)</w:t>
            </w:r>
          </w:p>
        </w:tc>
        <w:tc>
          <w:tcPr>
            <w:tcW w:w="1300" w:type="dxa"/>
            <w:vAlign w:val="bottom"/>
          </w:tcPr>
          <w:p>
            <w:pPr>
              <w:spacing w:after="0"/>
              <w:rPr>
                <w:sz w:val="16"/>
                <w:szCs w:val="16"/>
                <w:color w:val="auto"/>
              </w:rPr>
            </w:pPr>
          </w:p>
        </w:tc>
      </w:tr>
      <w:tr>
        <w:trPr>
          <w:trHeight w:val="332"/>
        </w:trPr>
        <w:tc>
          <w:tcPr>
            <w:tcW w:w="3000" w:type="dxa"/>
            <w:vAlign w:val="bottom"/>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21"/>
        </w:trPr>
        <w:tc>
          <w:tcPr>
            <w:tcW w:w="3000" w:type="dxa"/>
            <w:vAlign w:val="bottom"/>
          </w:tcPr>
          <w:p>
            <w:pPr>
              <w:spacing w:after="0"/>
              <w:rPr>
                <w:sz w:val="24"/>
                <w:szCs w:val="24"/>
                <w:color w:val="auto"/>
              </w:rPr>
            </w:pPr>
          </w:p>
        </w:tc>
        <w:tc>
          <w:tcPr>
            <w:tcW w:w="3200" w:type="dxa"/>
            <w:vAlign w:val="bottom"/>
            <w:gridSpan w:val="2"/>
          </w:tcPr>
          <w:p>
            <w:pPr>
              <w:jc w:val="center"/>
              <w:ind w:right="900"/>
              <w:spacing w:after="0"/>
              <w:rPr>
                <w:sz w:val="20"/>
                <w:szCs w:val="20"/>
                <w:color w:val="auto"/>
              </w:rPr>
            </w:pPr>
            <w:r>
              <w:rPr>
                <w:rFonts w:ascii="Times New Roman" w:cs="Times New Roman" w:eastAsia="Times New Roman" w:hAnsi="Times New Roman"/>
                <w:sz w:val="18"/>
                <w:szCs w:val="18"/>
                <w:b w:val="1"/>
                <w:bCs w:val="1"/>
                <w:i w:val="1"/>
                <w:iCs w:val="1"/>
                <w:color w:val="auto"/>
                <w:w w:val="99"/>
              </w:rPr>
              <w:t>Copy to:</w:t>
            </w:r>
          </w:p>
        </w:tc>
        <w:tc>
          <w:tcPr>
            <w:tcW w:w="1300" w:type="dxa"/>
            <w:vAlign w:val="bottom"/>
          </w:tcPr>
          <w:p>
            <w:pPr>
              <w:spacing w:after="0"/>
              <w:rPr>
                <w:sz w:val="24"/>
                <w:szCs w:val="24"/>
                <w:color w:val="auto"/>
              </w:rPr>
            </w:pPr>
          </w:p>
        </w:tc>
      </w:tr>
      <w:tr>
        <w:trPr>
          <w:trHeight w:val="405"/>
        </w:trPr>
        <w:tc>
          <w:tcPr>
            <w:tcW w:w="3000" w:type="dxa"/>
            <w:vAlign w:val="bottom"/>
          </w:tcPr>
          <w:p>
            <w:pPr>
              <w:spacing w:after="0"/>
              <w:rPr>
                <w:sz w:val="24"/>
                <w:szCs w:val="24"/>
                <w:color w:val="auto"/>
              </w:rPr>
            </w:pPr>
          </w:p>
        </w:tc>
        <w:tc>
          <w:tcPr>
            <w:tcW w:w="3200" w:type="dxa"/>
            <w:vAlign w:val="bottom"/>
            <w:gridSpan w:val="2"/>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8"/>
              </w:rPr>
              <w:t>Stacie S. Aarestad</w:t>
            </w:r>
          </w:p>
        </w:tc>
        <w:tc>
          <w:tcPr>
            <w:tcW w:w="1300" w:type="dxa"/>
            <w:vAlign w:val="bottom"/>
          </w:tcPr>
          <w:p>
            <w:pPr>
              <w:spacing w:after="0"/>
              <w:rPr>
                <w:sz w:val="24"/>
                <w:szCs w:val="24"/>
                <w:color w:val="auto"/>
              </w:rPr>
            </w:pPr>
          </w:p>
        </w:tc>
      </w:tr>
      <w:tr>
        <w:trPr>
          <w:trHeight w:val="214"/>
        </w:trPr>
        <w:tc>
          <w:tcPr>
            <w:tcW w:w="3000" w:type="dxa"/>
            <w:vAlign w:val="bottom"/>
          </w:tcPr>
          <w:p>
            <w:pPr>
              <w:spacing w:after="0"/>
              <w:rPr>
                <w:sz w:val="18"/>
                <w:szCs w:val="18"/>
                <w:color w:val="auto"/>
              </w:rPr>
            </w:pPr>
          </w:p>
        </w:tc>
        <w:tc>
          <w:tcPr>
            <w:tcW w:w="3200" w:type="dxa"/>
            <w:vAlign w:val="bottom"/>
            <w:gridSpan w:val="2"/>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8"/>
              </w:rPr>
              <w:t>Ryan M. Rourke Reed</w:t>
            </w:r>
          </w:p>
        </w:tc>
        <w:tc>
          <w:tcPr>
            <w:tcW w:w="1300" w:type="dxa"/>
            <w:vAlign w:val="bottom"/>
          </w:tcPr>
          <w:p>
            <w:pPr>
              <w:spacing w:after="0"/>
              <w:rPr>
                <w:sz w:val="18"/>
                <w:szCs w:val="18"/>
                <w:color w:val="auto"/>
              </w:rPr>
            </w:pPr>
          </w:p>
        </w:tc>
      </w:tr>
      <w:tr>
        <w:trPr>
          <w:trHeight w:val="214"/>
        </w:trPr>
        <w:tc>
          <w:tcPr>
            <w:tcW w:w="3000" w:type="dxa"/>
            <w:vAlign w:val="bottom"/>
          </w:tcPr>
          <w:p>
            <w:pPr>
              <w:spacing w:after="0"/>
              <w:rPr>
                <w:sz w:val="18"/>
                <w:szCs w:val="18"/>
                <w:color w:val="auto"/>
              </w:rPr>
            </w:pPr>
          </w:p>
        </w:tc>
        <w:tc>
          <w:tcPr>
            <w:tcW w:w="3200" w:type="dxa"/>
            <w:vAlign w:val="bottom"/>
            <w:gridSpan w:val="2"/>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9"/>
              </w:rPr>
              <w:t>Foley Hoag LLP</w:t>
            </w:r>
          </w:p>
        </w:tc>
        <w:tc>
          <w:tcPr>
            <w:tcW w:w="1300" w:type="dxa"/>
            <w:vAlign w:val="bottom"/>
          </w:tcPr>
          <w:p>
            <w:pPr>
              <w:spacing w:after="0"/>
              <w:rPr>
                <w:sz w:val="18"/>
                <w:szCs w:val="18"/>
                <w:color w:val="auto"/>
              </w:rPr>
            </w:pPr>
          </w:p>
        </w:tc>
      </w:tr>
      <w:tr>
        <w:trPr>
          <w:trHeight w:val="214"/>
        </w:trPr>
        <w:tc>
          <w:tcPr>
            <w:tcW w:w="3000" w:type="dxa"/>
            <w:vAlign w:val="bottom"/>
          </w:tcPr>
          <w:p>
            <w:pPr>
              <w:spacing w:after="0"/>
              <w:rPr>
                <w:sz w:val="18"/>
                <w:szCs w:val="18"/>
                <w:color w:val="auto"/>
              </w:rPr>
            </w:pPr>
          </w:p>
        </w:tc>
        <w:tc>
          <w:tcPr>
            <w:tcW w:w="3200" w:type="dxa"/>
            <w:vAlign w:val="bottom"/>
            <w:gridSpan w:val="2"/>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8"/>
              </w:rPr>
              <w:t>155 Seaport Boulevard</w:t>
            </w:r>
          </w:p>
        </w:tc>
        <w:tc>
          <w:tcPr>
            <w:tcW w:w="1300" w:type="dxa"/>
            <w:vAlign w:val="bottom"/>
          </w:tcPr>
          <w:p>
            <w:pPr>
              <w:spacing w:after="0"/>
              <w:rPr>
                <w:sz w:val="18"/>
                <w:szCs w:val="18"/>
                <w:color w:val="auto"/>
              </w:rPr>
            </w:pPr>
          </w:p>
        </w:tc>
      </w:tr>
      <w:tr>
        <w:trPr>
          <w:trHeight w:val="214"/>
        </w:trPr>
        <w:tc>
          <w:tcPr>
            <w:tcW w:w="6200" w:type="dxa"/>
            <w:vAlign w:val="bottom"/>
            <w:gridSpan w:val="3"/>
          </w:tcPr>
          <w:p>
            <w:pPr>
              <w:jc w:val="center"/>
              <w:ind w:left="1998"/>
              <w:spacing w:after="0"/>
              <w:rPr>
                <w:sz w:val="20"/>
                <w:szCs w:val="20"/>
                <w:color w:val="auto"/>
              </w:rPr>
            </w:pPr>
            <w:r>
              <w:rPr>
                <w:rFonts w:ascii="Times New Roman" w:cs="Times New Roman" w:eastAsia="Times New Roman" w:hAnsi="Times New Roman"/>
                <w:sz w:val="18"/>
                <w:szCs w:val="18"/>
                <w:b w:val="1"/>
                <w:bCs w:val="1"/>
                <w:color w:val="auto"/>
                <w:w w:val="98"/>
              </w:rPr>
              <w:t>Boston, Massachusetts 02110-2600</w:t>
            </w:r>
          </w:p>
        </w:tc>
        <w:tc>
          <w:tcPr>
            <w:tcW w:w="1300" w:type="dxa"/>
            <w:vAlign w:val="bottom"/>
          </w:tcPr>
          <w:p>
            <w:pPr>
              <w:spacing w:after="0"/>
              <w:rPr>
                <w:sz w:val="18"/>
                <w:szCs w:val="18"/>
                <w:color w:val="auto"/>
              </w:rPr>
            </w:pPr>
          </w:p>
        </w:tc>
      </w:tr>
      <w:tr>
        <w:trPr>
          <w:trHeight w:val="237"/>
        </w:trPr>
        <w:tc>
          <w:tcPr>
            <w:tcW w:w="5280" w:type="dxa"/>
            <w:vAlign w:val="bottom"/>
            <w:gridSpan w:val="2"/>
          </w:tcPr>
          <w:p>
            <w:pPr>
              <w:jc w:val="center"/>
              <w:ind w:left="2918"/>
              <w:spacing w:after="0"/>
              <w:rPr>
                <w:sz w:val="20"/>
                <w:szCs w:val="20"/>
                <w:color w:val="auto"/>
              </w:rPr>
            </w:pPr>
            <w:r>
              <w:rPr>
                <w:rFonts w:ascii="Times New Roman" w:cs="Times New Roman" w:eastAsia="Times New Roman" w:hAnsi="Times New Roman"/>
                <w:sz w:val="18"/>
                <w:szCs w:val="18"/>
                <w:b w:val="1"/>
                <w:bCs w:val="1"/>
                <w:color w:val="auto"/>
                <w:w w:val="99"/>
              </w:rPr>
              <w:t>(617) 832-1000</w:t>
            </w:r>
          </w:p>
        </w:tc>
        <w:tc>
          <w:tcPr>
            <w:tcW w:w="920" w:type="dxa"/>
            <w:vAlign w:val="bottom"/>
          </w:tcPr>
          <w:p>
            <w:pPr>
              <w:spacing w:after="0"/>
              <w:rPr>
                <w:sz w:val="20"/>
                <w:szCs w:val="20"/>
                <w:color w:val="auto"/>
              </w:rPr>
            </w:pPr>
          </w:p>
        </w:tc>
        <w:tc>
          <w:tcPr>
            <w:tcW w:w="130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220345</wp:posOffset>
            </wp:positionV>
            <wp:extent cx="1450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3" w:lineRule="exact"/>
        <w:rPr>
          <w:sz w:val="24"/>
          <w:szCs w:val="24"/>
          <w:color w:val="auto"/>
        </w:rPr>
      </w:pPr>
    </w:p>
    <w:tbl>
      <w:tblPr>
        <w:tblLayout w:type="fixed"/>
        <w:tblInd w:w="0" w:type="dxa"/>
        <w:tblCellMar>
          <w:top w:w="0" w:type="dxa"/>
          <w:left w:w="0" w:type="dxa"/>
          <w:bottom w:w="0" w:type="dxa"/>
          <w:right w:w="0" w:type="dxa"/>
        </w:tblCellMar>
      </w:tblPr>
      <w:tr>
        <w:trPr>
          <w:trHeight w:val="301"/>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38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02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1"/>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38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0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1"/>
        </w:trPr>
        <w:tc>
          <w:tcPr>
            <w:tcW w:w="17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5300" w:type="dxa"/>
            <w:vAlign w:val="bottom"/>
          </w:tcPr>
          <w:p>
            <w:pPr>
              <w:ind w:left="3020"/>
              <w:spacing w:after="0"/>
              <w:rPr>
                <w:sz w:val="20"/>
                <w:szCs w:val="20"/>
                <w:color w:val="auto"/>
              </w:rPr>
            </w:pPr>
            <w:r>
              <w:rPr>
                <w:rFonts w:ascii="Times New Roman" w:cs="Times New Roman" w:eastAsia="Times New Roman" w:hAnsi="Times New Roman"/>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7" w:lineRule="exact"/>
        <w:rPr>
          <w:sz w:val="24"/>
          <w:szCs w:val="24"/>
          <w:color w:val="auto"/>
        </w:rPr>
      </w:pPr>
    </w:p>
    <w:p>
      <w:pPr>
        <w:ind w:right="100" w:firstLine="436"/>
        <w:spacing w:after="0" w:line="23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134620</wp:posOffset>
            </wp:positionV>
            <wp:extent cx="6921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215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177165</wp:posOffset>
            </wp:positionV>
            <wp:extent cx="6921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ectPr>
          <w:pgSz w:w="11900" w:h="16838" w:orient="portrait"/>
          <w:cols w:equalWidth="0" w:num="1">
            <w:col w:w="10840"/>
          </w:cols>
          <w:pgMar w:left="500" w:top="224" w:right="559" w:bottom="1158" w:gutter="0" w:footer="0" w:header="0"/>
        </w:sectPr>
      </w:pPr>
    </w:p>
    <w:bookmarkStart w:id="1" w:name="page2"/>
    <w:bookmarkEnd w:id="1"/>
    <w:p>
      <w:pPr>
        <w:jc w:val="center"/>
        <w:ind w:right="-5"/>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EXPLANATORY NOTE</w:t>
      </w:r>
    </w:p>
    <w:p>
      <w:pPr>
        <w:spacing w:after="0" w:line="224" w:lineRule="exact"/>
        <w:rPr>
          <w:sz w:val="20"/>
          <w:szCs w:val="20"/>
          <w:color w:val="auto"/>
        </w:rPr>
      </w:pPr>
    </w:p>
    <w:p>
      <w:pPr>
        <w:ind w:left="6" w:firstLine="436"/>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Enanta Pharmaceuticals, Inc. (the “Registrant”) is filing this Registration Statement on Form S-8 (this “Registration Statement”) to register an additional 1,600,000 shares of its common stock, par value $0.01 per share (the “Common Stock”), that may be issued and sold under the Enanta Pharmaceuticals, Inc. 2019 Equity Incentive Plan, as amended through March 11, 2026 (the “2019 Plan”), following the amendment to the 2019 Plan that was approved by the stockholders of the Registrant at its annual meeting on March 11, 2026. This Registration Statement is submitted in accordance with General Instruction E to Form S-8 regarding registration of additional securities, and pursuant to that instruction, the contents of the Registration Statements on Form S-8 (File Nos. 333-231384, 333-255957, 333-264794, 333-273800, 333-279217 and 333-287274) filed with the Securities and Exchange Commission on </w:t>
      </w:r>
      <w:hyperlink r:id="rId17">
        <w:r>
          <w:rPr>
            <w:rFonts w:ascii="Times New Roman" w:cs="Times New Roman" w:eastAsia="Times New Roman" w:hAnsi="Times New Roman"/>
            <w:sz w:val="18"/>
            <w:szCs w:val="18"/>
            <w:u w:val="single" w:color="auto"/>
            <w:color w:val="0000EE"/>
          </w:rPr>
          <w:t>May 10, 2019</w:t>
        </w:r>
      </w:hyperlink>
      <w:r>
        <w:rPr>
          <w:rFonts w:ascii="Times New Roman" w:cs="Times New Roman" w:eastAsia="Times New Roman" w:hAnsi="Times New Roman"/>
          <w:sz w:val="18"/>
          <w:szCs w:val="18"/>
          <w:color w:val="auto"/>
        </w:rPr>
        <w:t xml:space="preserve">, </w:t>
      </w:r>
      <w:hyperlink r:id="rId18">
        <w:r>
          <w:rPr>
            <w:rFonts w:ascii="Times New Roman" w:cs="Times New Roman" w:eastAsia="Times New Roman" w:hAnsi="Times New Roman"/>
            <w:sz w:val="18"/>
            <w:szCs w:val="18"/>
            <w:u w:val="single" w:color="auto"/>
            <w:color w:val="0000EE"/>
          </w:rPr>
          <w:t>May 10, 2021</w:t>
        </w:r>
      </w:hyperlink>
      <w:r>
        <w:rPr>
          <w:rFonts w:ascii="Times New Roman" w:cs="Times New Roman" w:eastAsia="Times New Roman" w:hAnsi="Times New Roman"/>
          <w:sz w:val="18"/>
          <w:szCs w:val="18"/>
          <w:color w:val="auto"/>
        </w:rPr>
        <w:t xml:space="preserve">, </w:t>
      </w:r>
      <w:hyperlink r:id="rId19">
        <w:r>
          <w:rPr>
            <w:rFonts w:ascii="Times New Roman" w:cs="Times New Roman" w:eastAsia="Times New Roman" w:hAnsi="Times New Roman"/>
            <w:sz w:val="18"/>
            <w:szCs w:val="18"/>
            <w:u w:val="single" w:color="auto"/>
            <w:color w:val="0000EE"/>
          </w:rPr>
          <w:t>May 9, 2022</w:t>
        </w:r>
      </w:hyperlink>
      <w:r>
        <w:rPr>
          <w:rFonts w:ascii="Times New Roman" w:cs="Times New Roman" w:eastAsia="Times New Roman" w:hAnsi="Times New Roman"/>
          <w:sz w:val="18"/>
          <w:szCs w:val="18"/>
          <w:color w:val="auto"/>
        </w:rPr>
        <w:t xml:space="preserve">, </w:t>
      </w:r>
      <w:hyperlink r:id="rId20">
        <w:r>
          <w:rPr>
            <w:rFonts w:ascii="Times New Roman" w:cs="Times New Roman" w:eastAsia="Times New Roman" w:hAnsi="Times New Roman"/>
            <w:sz w:val="18"/>
            <w:szCs w:val="18"/>
            <w:u w:val="single" w:color="auto"/>
            <w:color w:val="0000EE"/>
          </w:rPr>
          <w:t>August 8, 2023</w:t>
        </w:r>
      </w:hyperlink>
      <w:r>
        <w:rPr>
          <w:rFonts w:ascii="Times New Roman" w:cs="Times New Roman" w:eastAsia="Times New Roman" w:hAnsi="Times New Roman"/>
          <w:sz w:val="18"/>
          <w:szCs w:val="18"/>
          <w:color w:val="auto"/>
        </w:rPr>
        <w:t xml:space="preserve">, </w:t>
      </w:r>
      <w:hyperlink r:id="rId21">
        <w:r>
          <w:rPr>
            <w:rFonts w:ascii="Times New Roman" w:cs="Times New Roman" w:eastAsia="Times New Roman" w:hAnsi="Times New Roman"/>
            <w:sz w:val="18"/>
            <w:szCs w:val="18"/>
            <w:u w:val="single" w:color="auto"/>
            <w:color w:val="0000EE"/>
          </w:rPr>
          <w:t>May 8,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22">
        <w:r>
          <w:rPr>
            <w:rFonts w:ascii="Times New Roman" w:cs="Times New Roman" w:eastAsia="Times New Roman" w:hAnsi="Times New Roman"/>
            <w:sz w:val="18"/>
            <w:szCs w:val="18"/>
            <w:u w:val="single" w:color="auto"/>
            <w:color w:val="0000EE"/>
          </w:rPr>
          <w:t>May 14, 2025</w:t>
        </w:r>
      </w:hyperlink>
      <w:r>
        <w:rPr>
          <w:rFonts w:ascii="Times New Roman" w:cs="Times New Roman" w:eastAsia="Times New Roman" w:hAnsi="Times New Roman"/>
          <w:sz w:val="18"/>
          <w:szCs w:val="18"/>
          <w:color w:val="auto"/>
        </w:rPr>
        <w:t>, are incorporated herein by reference.</w:t>
      </w:r>
    </w:p>
    <w:p>
      <w:pPr>
        <w:spacing w:after="0" w:line="395" w:lineRule="exact"/>
        <w:rPr>
          <w:rFonts w:ascii="Times New Roman" w:cs="Times New Roman" w:eastAsia="Times New Roman" w:hAnsi="Times New Roman"/>
          <w:sz w:val="18"/>
          <w:szCs w:val="18"/>
          <w:color w:val="auto"/>
        </w:rPr>
      </w:pPr>
    </w:p>
    <w:p>
      <w:pPr>
        <w:jc w:val="center"/>
        <w:ind w:right="-5"/>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0" w:lineRule="exact"/>
        <w:rPr>
          <w:rFonts w:ascii="Times New Roman" w:cs="Times New Roman" w:eastAsia="Times New Roman" w:hAnsi="Times New Roman"/>
          <w:sz w:val="18"/>
          <w:szCs w:val="18"/>
          <w:color w:val="auto"/>
        </w:rPr>
      </w:pPr>
    </w:p>
    <w:p>
      <w:pPr>
        <w:jc w:val="center"/>
        <w:ind w:right="-5"/>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0" w:lineRule="exact"/>
        <w:rPr>
          <w:rFonts w:ascii="Times New Roman" w:cs="Times New Roman" w:eastAsia="Times New Roman" w:hAnsi="Times New Roman"/>
          <w:sz w:val="18"/>
          <w:szCs w:val="18"/>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31" w:lineRule="exact"/>
        <w:rPr>
          <w:rFonts w:ascii="Times New Roman" w:cs="Times New Roman" w:eastAsia="Times New Roman" w:hAnsi="Times New Roman"/>
          <w:sz w:val="18"/>
          <w:szCs w:val="18"/>
          <w:color w:val="auto"/>
        </w:rPr>
      </w:pPr>
    </w:p>
    <w:tbl>
      <w:tblPr>
        <w:tblLayout w:type="fixed"/>
        <w:tblInd w:w="6" w:type="dxa"/>
        <w:tblCellMar>
          <w:top w:w="0" w:type="dxa"/>
          <w:left w:w="0" w:type="dxa"/>
          <w:bottom w:w="0" w:type="dxa"/>
          <w:right w:w="0" w:type="dxa"/>
        </w:tblCellMar>
      </w:tblPr>
      <w:tr>
        <w:trPr>
          <w:trHeight w:val="161"/>
        </w:trPr>
        <w:tc>
          <w:tcPr>
            <w:tcW w:w="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9220" w:type="dxa"/>
            <w:vAlign w:val="bottom"/>
            <w:gridSpan w:val="6"/>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20" w:type="dxa"/>
            <w:vAlign w:val="bottom"/>
            <w:tcBorders>
              <w:bottom w:val="single" w:sz="8" w:color="auto"/>
            </w:tcBorders>
            <w:gridSpan w:val="2"/>
            <w:vMerge w:val="continue"/>
          </w:tcPr>
          <w:p>
            <w:pPr>
              <w:spacing w:after="0"/>
              <w:rPr>
                <w:sz w:val="14"/>
                <w:szCs w:val="14"/>
                <w:color w:val="auto"/>
              </w:rPr>
            </w:pPr>
          </w:p>
        </w:tc>
        <w:tc>
          <w:tcPr>
            <w:tcW w:w="922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  4.1</w:t>
            </w:r>
          </w:p>
        </w:tc>
        <w:tc>
          <w:tcPr>
            <w:tcW w:w="9940" w:type="dxa"/>
            <w:vAlign w:val="bottom"/>
            <w:gridSpan w:val="8"/>
          </w:tcPr>
          <w:p>
            <w:pPr>
              <w:spacing w:after="0"/>
              <w:rPr>
                <w:rFonts w:ascii="Times New Roman" w:cs="Times New Roman" w:eastAsia="Times New Roman" w:hAnsi="Times New Roman"/>
                <w:sz w:val="18"/>
                <w:szCs w:val="18"/>
                <w:color w:val="0000EE"/>
                <w:w w:val="99"/>
              </w:rPr>
            </w:pPr>
            <w:hyperlink r:id="rId23">
              <w:r>
                <w:rPr>
                  <w:rFonts w:ascii="Times New Roman" w:cs="Times New Roman" w:eastAsia="Times New Roman" w:hAnsi="Times New Roman"/>
                  <w:sz w:val="18"/>
                  <w:szCs w:val="18"/>
                  <w:color w:val="0000EE"/>
                  <w:w w:val="99"/>
                </w:rPr>
                <w:t>Restated Certificate of Incorporation of Enanta Pharmaceuticals, Inc. Previously filed as Exhibit 3.1 to the Registrant’s Current Report on</w:t>
              </w:r>
            </w:hyperlink>
          </w:p>
        </w:tc>
        <w:tc>
          <w:tcPr>
            <w:tcW w:w="0" w:type="dxa"/>
            <w:vAlign w:val="bottom"/>
          </w:tcPr>
          <w:p>
            <w:pPr>
              <w:spacing w:after="0"/>
              <w:rPr>
                <w:sz w:val="1"/>
                <w:szCs w:val="1"/>
                <w:color w:val="auto"/>
              </w:rPr>
            </w:pPr>
          </w:p>
        </w:tc>
      </w:tr>
      <w:tr>
        <w:trPr>
          <w:trHeight w:val="194"/>
        </w:trPr>
        <w:tc>
          <w:tcPr>
            <w:tcW w:w="920" w:type="dxa"/>
            <w:vAlign w:val="bottom"/>
          </w:tcPr>
          <w:p>
            <w:pPr>
              <w:spacing w:after="0"/>
              <w:rPr>
                <w:sz w:val="16"/>
                <w:szCs w:val="16"/>
                <w:color w:val="auto"/>
              </w:rPr>
            </w:pPr>
          </w:p>
        </w:tc>
        <w:tc>
          <w:tcPr>
            <w:tcW w:w="9840" w:type="dxa"/>
            <w:vAlign w:val="bottom"/>
            <w:tcBorders>
              <w:top w:val="single" w:sz="8" w:color="0000EE"/>
            </w:tcBorders>
            <w:gridSpan w:val="6"/>
          </w:tcPr>
          <w:p>
            <w:pPr>
              <w:spacing w:after="0" w:line="194" w:lineRule="exact"/>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Form 8-K filed with the SEC on March 28, 2013 (File No. 001-35839) and incorporated herein by reference</w:t>
              </w:r>
              <w:r>
                <w:rPr>
                  <w:rFonts w:ascii="Times New Roman" w:cs="Times New Roman" w:eastAsia="Times New Roman" w:hAnsi="Times New Roman"/>
                  <w:sz w:val="18"/>
                  <w:szCs w:val="18"/>
                  <w:color w:val="000000"/>
                </w:rPr>
                <w:t>.</w:t>
              </w:r>
            </w:hyperlink>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7040" w:type="dxa"/>
            <w:vAlign w:val="bottom"/>
            <w:gridSpan w:val="2"/>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  4.2</w:t>
            </w:r>
          </w:p>
        </w:tc>
        <w:tc>
          <w:tcPr>
            <w:tcW w:w="9940" w:type="dxa"/>
            <w:vAlign w:val="bottom"/>
            <w:gridSpan w:val="8"/>
          </w:tcPr>
          <w:p>
            <w:pPr>
              <w:spacing w:after="0"/>
              <w:rPr>
                <w:rFonts w:ascii="Times New Roman" w:cs="Times New Roman" w:eastAsia="Times New Roman" w:hAnsi="Times New Roman"/>
                <w:sz w:val="18"/>
                <w:szCs w:val="18"/>
                <w:color w:val="0000EE"/>
                <w:w w:val="99"/>
              </w:rPr>
            </w:pPr>
            <w:hyperlink r:id="rId24">
              <w:r>
                <w:rPr>
                  <w:rFonts w:ascii="Times New Roman" w:cs="Times New Roman" w:eastAsia="Times New Roman" w:hAnsi="Times New Roman"/>
                  <w:sz w:val="18"/>
                  <w:szCs w:val="18"/>
                  <w:color w:val="0000EE"/>
                  <w:w w:val="99"/>
                </w:rPr>
                <w:t>Amended and Restated Bylaws of Enanta Pharmaceuticals, Inc. (as amended and restated in August 2015). Previously filed as Exhibit 3.2</w:t>
              </w:r>
            </w:hyperlink>
          </w:p>
        </w:tc>
        <w:tc>
          <w:tcPr>
            <w:tcW w:w="0" w:type="dxa"/>
            <w:vAlign w:val="bottom"/>
          </w:tcPr>
          <w:p>
            <w:pPr>
              <w:spacing w:after="0"/>
              <w:rPr>
                <w:sz w:val="1"/>
                <w:szCs w:val="1"/>
                <w:color w:val="auto"/>
              </w:rPr>
            </w:pPr>
          </w:p>
        </w:tc>
      </w:tr>
      <w:tr>
        <w:trPr>
          <w:trHeight w:val="194"/>
        </w:trPr>
        <w:tc>
          <w:tcPr>
            <w:tcW w:w="920" w:type="dxa"/>
            <w:vAlign w:val="bottom"/>
          </w:tcPr>
          <w:p>
            <w:pPr>
              <w:spacing w:after="0"/>
              <w:rPr>
                <w:sz w:val="16"/>
                <w:szCs w:val="16"/>
                <w:color w:val="auto"/>
              </w:rPr>
            </w:pPr>
          </w:p>
        </w:tc>
        <w:tc>
          <w:tcPr>
            <w:tcW w:w="9860" w:type="dxa"/>
            <w:vAlign w:val="bottom"/>
            <w:tcBorders>
              <w:top w:val="single" w:sz="8" w:color="0000EE"/>
            </w:tcBorders>
            <w:gridSpan w:val="7"/>
          </w:tcPr>
          <w:p>
            <w:pPr>
              <w:spacing w:after="0" w:line="194" w:lineRule="exact"/>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to the Registrant’s Current Report on Form 8-K filed with the SEC on August 18, 2015 (File No. 001-35839) and incorporated herein by</w:t>
              </w:r>
            </w:hyperlink>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20" w:type="dxa"/>
            <w:vAlign w:val="bottom"/>
          </w:tcPr>
          <w:p>
            <w:pPr>
              <w:spacing w:after="0"/>
              <w:rPr>
                <w:sz w:val="16"/>
                <w:szCs w:val="16"/>
                <w:color w:val="auto"/>
              </w:rPr>
            </w:pPr>
          </w:p>
        </w:tc>
        <w:tc>
          <w:tcPr>
            <w:tcW w:w="9760" w:type="dxa"/>
            <w:vAlign w:val="bottom"/>
            <w:tcBorders>
              <w:top w:val="single" w:sz="8" w:color="0000EE"/>
            </w:tcBorders>
            <w:gridSpan w:val="5"/>
          </w:tcPr>
          <w:p>
            <w:pPr>
              <w:spacing w:after="0" w:line="194" w:lineRule="exact"/>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reference.</w:t>
              </w:r>
            </w:hyperlink>
          </w:p>
        </w:tc>
        <w:tc>
          <w:tcPr>
            <w:tcW w:w="18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560" w:type="dxa"/>
            <w:vAlign w:val="bottom"/>
            <w:gridSpan w:val="3"/>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  4.3</w:t>
            </w:r>
          </w:p>
        </w:tc>
        <w:tc>
          <w:tcPr>
            <w:tcW w:w="994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8"/>
              </w:rPr>
            </w:pPr>
            <w:hyperlink r:id="rId25">
              <w:r>
                <w:rPr>
                  <w:rFonts w:ascii="Times New Roman" w:cs="Times New Roman" w:eastAsia="Times New Roman" w:hAnsi="Times New Roman"/>
                  <w:sz w:val="18"/>
                  <w:szCs w:val="18"/>
                  <w:color w:val="0000EE"/>
                  <w:w w:val="98"/>
                </w:rPr>
                <w:t>Specimen certificate evidencing shares of common stock of Enanta Pharmaceuticals, Inc. Previously filed as Exhibit 4.1 to the Registrant’s</w:t>
              </w:r>
            </w:hyperlink>
          </w:p>
        </w:tc>
        <w:tc>
          <w:tcPr>
            <w:tcW w:w="0" w:type="dxa"/>
            <w:vAlign w:val="bottom"/>
          </w:tcPr>
          <w:p>
            <w:pPr>
              <w:spacing w:after="0"/>
              <w:rPr>
                <w:sz w:val="1"/>
                <w:szCs w:val="1"/>
                <w:color w:val="auto"/>
              </w:rPr>
            </w:pPr>
          </w:p>
        </w:tc>
      </w:tr>
      <w:tr>
        <w:trPr>
          <w:trHeight w:val="194"/>
        </w:trPr>
        <w:tc>
          <w:tcPr>
            <w:tcW w:w="920" w:type="dxa"/>
            <w:vAlign w:val="bottom"/>
          </w:tcPr>
          <w:p>
            <w:pPr>
              <w:spacing w:after="0"/>
              <w:rPr>
                <w:sz w:val="16"/>
                <w:szCs w:val="16"/>
                <w:color w:val="auto"/>
              </w:rPr>
            </w:pPr>
          </w:p>
        </w:tc>
        <w:tc>
          <w:tcPr>
            <w:tcW w:w="9260" w:type="dxa"/>
            <w:vAlign w:val="bottom"/>
            <w:tcBorders>
              <w:bottom w:val="single" w:sz="8" w:color="0000EE"/>
            </w:tcBorders>
            <w:gridSpan w:val="4"/>
          </w:tcPr>
          <w:p>
            <w:pPr>
              <w:spacing w:after="0" w:line="194" w:lineRule="exact"/>
              <w:rPr>
                <w:rFonts w:ascii="Times New Roman" w:cs="Times New Roman" w:eastAsia="Times New Roman" w:hAnsi="Times New Roman"/>
                <w:sz w:val="18"/>
                <w:szCs w:val="18"/>
                <w:color w:val="0000EE"/>
                <w:w w:val="99"/>
              </w:rPr>
            </w:pPr>
            <w:hyperlink r:id="rId25">
              <w:r>
                <w:rPr>
                  <w:rFonts w:ascii="Times New Roman" w:cs="Times New Roman" w:eastAsia="Times New Roman" w:hAnsi="Times New Roman"/>
                  <w:sz w:val="18"/>
                  <w:szCs w:val="18"/>
                  <w:color w:val="0000EE"/>
                  <w:w w:val="99"/>
                </w:rPr>
                <w:t>Registration Statement on Form S-1/A filed with the SEC on February 5, 2013 (File No. 333-184779) and incorporated herein by</w:t>
              </w:r>
            </w:hyperlink>
          </w:p>
        </w:tc>
        <w:tc>
          <w:tcPr>
            <w:tcW w:w="680" w:type="dxa"/>
            <w:vAlign w:val="bottom"/>
            <w:gridSpan w:val="4"/>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20" w:type="dxa"/>
            <w:vAlign w:val="bottom"/>
          </w:tcPr>
          <w:p>
            <w:pPr>
              <w:spacing w:after="0"/>
              <w:rPr>
                <w:sz w:val="16"/>
                <w:szCs w:val="16"/>
                <w:color w:val="auto"/>
              </w:rPr>
            </w:pPr>
          </w:p>
        </w:tc>
        <w:tc>
          <w:tcPr>
            <w:tcW w:w="9940" w:type="dxa"/>
            <w:vAlign w:val="bottom"/>
            <w:gridSpan w:val="8"/>
          </w:tcPr>
          <w:p>
            <w:pPr>
              <w:spacing w:after="0" w:line="194" w:lineRule="exact"/>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reference.</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5" w:lineRule="exact"/>
        <w:rPr>
          <w:sz w:val="20"/>
          <w:szCs w:val="20"/>
          <w:color w:val="auto"/>
        </w:rPr>
      </w:pPr>
    </w:p>
    <w:p>
      <w:pPr>
        <w:ind w:left="86" w:hanging="86"/>
        <w:spacing w:after="0"/>
        <w:tabs>
          <w:tab w:leader="none" w:pos="86"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5.1*</w:t>
      </w:r>
      <w:r>
        <w:rPr>
          <w:rFonts w:ascii="Times New Roman" w:cs="Times New Roman" w:eastAsia="Times New Roman" w:hAnsi="Times New Roman"/>
          <w:sz w:val="17"/>
          <w:szCs w:val="17"/>
          <w:u w:val="single" w:color="auto"/>
          <w:color w:val="0000EE"/>
        </w:rPr>
        <w:t>Opinion of Foley Hoag LLP.</w:t>
      </w:r>
    </w:p>
    <w:p>
      <w:pPr>
        <w:spacing w:after="0" w:line="125" w:lineRule="exact"/>
        <w:rPr>
          <w:sz w:val="20"/>
          <w:szCs w:val="20"/>
          <w:color w:val="auto"/>
        </w:rPr>
      </w:pPr>
    </w:p>
    <w:p>
      <w:pPr>
        <w:ind w:left="6"/>
        <w:spacing w:after="0"/>
        <w:tabs>
          <w:tab w:leader="none" w:pos="906"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EE"/>
        </w:rPr>
        <w:t>Consent of PricewaterhouseCoopers LLP.</w:t>
      </w:r>
    </w:p>
    <w:p>
      <w:pPr>
        <w:spacing w:after="0" w:line="114" w:lineRule="exact"/>
        <w:rPr>
          <w:sz w:val="20"/>
          <w:szCs w:val="20"/>
          <w:color w:val="auto"/>
        </w:rPr>
      </w:pPr>
    </w:p>
    <w:p>
      <w:pPr>
        <w:ind w:left="6"/>
        <w:spacing w:after="0"/>
        <w:tabs>
          <w:tab w:leader="none" w:pos="906"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7"/>
          <w:szCs w:val="17"/>
          <w:u w:val="single" w:color="auto"/>
          <w:color w:val="0000EE"/>
        </w:rPr>
        <w:t>Consent of Foley Hoag LLP (included in the opinion filed as Exhibit 5.1).</w:t>
      </w:r>
    </w:p>
    <w:p>
      <w:pPr>
        <w:spacing w:after="0" w:line="114" w:lineRule="exact"/>
        <w:rPr>
          <w:sz w:val="20"/>
          <w:szCs w:val="20"/>
          <w:color w:val="auto"/>
        </w:rPr>
      </w:pPr>
    </w:p>
    <w:p>
      <w:pPr>
        <w:ind w:left="6"/>
        <w:spacing w:after="0"/>
        <w:tabs>
          <w:tab w:leader="none" w:pos="906"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7"/>
          <w:szCs w:val="17"/>
          <w:u w:val="single" w:color="auto"/>
          <w:color w:val="0000EE"/>
        </w:rPr>
        <w:t>Power of Attorney (included on the signature page hereto).</w:t>
      </w:r>
    </w:p>
    <w:p>
      <w:pPr>
        <w:spacing w:after="0" w:line="114" w:lineRule="exact"/>
        <w:rPr>
          <w:sz w:val="20"/>
          <w:szCs w:val="20"/>
          <w:color w:val="auto"/>
        </w:rPr>
      </w:pPr>
    </w:p>
    <w:p>
      <w:pPr>
        <w:ind w:left="926" w:right="200" w:hanging="921"/>
        <w:spacing w:after="0" w:line="277" w:lineRule="auto"/>
        <w:tabs>
          <w:tab w:leader="none" w:pos="906"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99.1+</w:t>
      </w:r>
      <w:r>
        <w:rPr>
          <w:sz w:val="20"/>
          <w:szCs w:val="20"/>
          <w:color w:val="auto"/>
        </w:rPr>
        <w:tab/>
      </w:r>
      <w:hyperlink r:id="rId26">
        <w:r>
          <w:rPr>
            <w:rFonts w:ascii="Times New Roman" w:cs="Times New Roman" w:eastAsia="Times New Roman" w:hAnsi="Times New Roman"/>
            <w:sz w:val="18"/>
            <w:szCs w:val="18"/>
            <w:u w:val="single" w:color="auto"/>
            <w:color w:val="0000EE"/>
          </w:rPr>
          <w:t>2019 Equity Incentive Plan (as amended through March 11, 2026). Previously filed as Exhibit 10.1 to the Registrant’s Current Report on</w:t>
        </w:r>
      </w:hyperlink>
      <w:r>
        <w:rPr>
          <w:rFonts w:ascii="Times New Roman" w:cs="Times New Roman" w:eastAsia="Times New Roman" w:hAnsi="Times New Roman"/>
          <w:sz w:val="18"/>
          <w:szCs w:val="18"/>
          <w:u w:val="single" w:color="auto"/>
          <w:color w:val="0000EE"/>
        </w:rPr>
        <w:t xml:space="preserve"> </w:t>
      </w:r>
      <w:hyperlink r:id="rId26">
        <w:r>
          <w:rPr>
            <w:rFonts w:ascii="Times New Roman" w:cs="Times New Roman" w:eastAsia="Times New Roman" w:hAnsi="Times New Roman"/>
            <w:sz w:val="18"/>
            <w:szCs w:val="18"/>
            <w:u w:val="single" w:color="auto"/>
            <w:color w:val="0000EE"/>
          </w:rPr>
          <w:t>Form 8-K filed with the SEC on March 12, 2026 (File No. 001-35839) and incorporated herein by reference.</w:t>
        </w:r>
      </w:hyperlink>
    </w:p>
    <w:p>
      <w:pPr>
        <w:spacing w:after="0" w:line="57" w:lineRule="exact"/>
        <w:rPr>
          <w:sz w:val="20"/>
          <w:szCs w:val="20"/>
          <w:color w:val="auto"/>
        </w:rPr>
      </w:pPr>
    </w:p>
    <w:p>
      <w:pPr>
        <w:ind w:left="6"/>
        <w:spacing w:after="0"/>
        <w:tabs>
          <w:tab w:leader="none" w:pos="906" w:val="left"/>
        </w:tabs>
        <w:rPr>
          <w:sz w:val="20"/>
          <w:szCs w:val="20"/>
          <w:color w:val="auto"/>
        </w:rPr>
      </w:pPr>
      <w:r>
        <w:rPr>
          <w:rFonts w:ascii="Times New Roman" w:cs="Times New Roman" w:eastAsia="Times New Roman" w:hAnsi="Times New Roman"/>
          <w:sz w:val="18"/>
          <w:szCs w:val="18"/>
          <w:color w:val="auto"/>
        </w:rPr>
        <w:t>107*</w:t>
      </w:r>
      <w:r>
        <w:rPr>
          <w:sz w:val="20"/>
          <w:szCs w:val="20"/>
          <w:color w:val="auto"/>
        </w:rPr>
        <w:tab/>
      </w:r>
      <w:r>
        <w:rPr>
          <w:rFonts w:ascii="Times New Roman" w:cs="Times New Roman" w:eastAsia="Times New Roman" w:hAnsi="Times New Roman"/>
          <w:sz w:val="18"/>
          <w:szCs w:val="18"/>
          <w:u w:val="single" w:color="auto"/>
          <w:color w:val="0000EE"/>
        </w:rPr>
        <w:t>Filing Fee Table.</w:t>
      </w:r>
    </w:p>
    <w:p>
      <w:pPr>
        <w:spacing w:after="0" w:line="247" w:lineRule="exact"/>
        <w:rPr>
          <w:sz w:val="20"/>
          <w:szCs w:val="20"/>
          <w:color w:val="auto"/>
        </w:rPr>
      </w:pPr>
    </w:p>
    <w:p>
      <w:pPr>
        <w:ind w:left="426" w:hanging="426"/>
        <w:spacing w:after="0"/>
        <w:tabs>
          <w:tab w:leader="none" w:pos="426"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Filed herewith.</w:t>
      </w:r>
    </w:p>
    <w:p>
      <w:pPr>
        <w:spacing w:after="0" w:line="26" w:lineRule="exact"/>
        <w:rPr>
          <w:sz w:val="20"/>
          <w:szCs w:val="20"/>
          <w:color w:val="auto"/>
        </w:rPr>
      </w:pPr>
    </w:p>
    <w:p>
      <w:pPr>
        <w:ind w:left="426" w:hanging="426"/>
        <w:spacing w:after="0"/>
        <w:tabs>
          <w:tab w:leader="none" w:pos="42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w:t>
      </w:r>
    </w:p>
    <w:p>
      <w:pPr>
        <w:spacing w:after="0" w:line="135"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886"/>
          </w:cols>
          <w:pgMar w:left="494" w:top="264" w:right="51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SIGNATURES</w:t>
      </w:r>
    </w:p>
    <w:p>
      <w:pPr>
        <w:spacing w:after="0" w:line="224" w:lineRule="exact"/>
        <w:rPr>
          <w:sz w:val="20"/>
          <w:szCs w:val="20"/>
          <w:color w:val="auto"/>
        </w:rPr>
      </w:pPr>
    </w:p>
    <w:p>
      <w:pPr>
        <w:ind w:right="100" w:firstLine="436"/>
        <w:spacing w:after="0" w:line="26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Watertown, Commonwealth of Massachusetts, on May 13, 2026.</w:t>
      </w:r>
    </w:p>
    <w:p>
      <w:pPr>
        <w:spacing w:after="0" w:line="20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ENANTA PHARMACEUTICALS, INC.</w:t>
      </w:r>
    </w:p>
    <w:p>
      <w:pPr>
        <w:spacing w:after="0" w:line="220"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By: /s/ Jay R. Luly,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4385945</wp:posOffset>
            </wp:positionH>
            <wp:positionV relativeFrom="paragraph">
              <wp:posOffset>15875</wp:posOffset>
            </wp:positionV>
            <wp:extent cx="25361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2536190" cy="8255"/>
                    </a:xfrm>
                    <a:prstGeom prst="rect">
                      <a:avLst/>
                    </a:prstGeom>
                    <a:noFill/>
                  </pic:spPr>
                </pic:pic>
              </a:graphicData>
            </a:graphic>
          </wp:anchor>
        </w:drawing>
      </w:r>
    </w:p>
    <w:p>
      <w:pPr>
        <w:spacing w:after="0" w:line="13"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Jay R. Luly, Ph.D.</w:t>
      </w:r>
    </w:p>
    <w:p>
      <w:pPr>
        <w:spacing w:after="0" w:line="26"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4" w:lineRule="exact"/>
        <w:rPr>
          <w:sz w:val="20"/>
          <w:szCs w:val="20"/>
          <w:color w:val="auto"/>
        </w:rPr>
      </w:pPr>
    </w:p>
    <w:p>
      <w:pPr>
        <w:ind w:firstLine="436"/>
        <w:spacing w:after="0" w:line="255" w:lineRule="auto"/>
        <w:rPr>
          <w:sz w:val="20"/>
          <w:szCs w:val="20"/>
          <w:color w:val="auto"/>
        </w:rPr>
      </w:pPr>
      <w:r>
        <w:rPr>
          <w:rFonts w:ascii="Times New Roman" w:cs="Times New Roman" w:eastAsia="Times New Roman" w:hAnsi="Times New Roman"/>
          <w:sz w:val="18"/>
          <w:szCs w:val="18"/>
          <w:color w:val="auto"/>
        </w:rPr>
        <w:t>We, the undersigned officers and directors of Enanta Pharmaceuticals, Inc., hereby severally constitute and appoint each of Jay R. Luly, Ph.D. and Matthew P. Kowalsky, our true and lawful attorneys-in-fact, with full power to them in any and all capacities, to sign any and all amendments to this Registration Statement on Form S-8 (including any post-effective amendments thereto), and to file the same, with exhibits thereto and other documents in connection therewith, with the Securities and Exchange Commission, hereby ratifying and confirming all that each of said attorneys-in-fact may do or cause to be done by virtue hereof.</w:t>
      </w:r>
    </w:p>
    <w:p>
      <w:pPr>
        <w:spacing w:after="0" w:line="183" w:lineRule="exact"/>
        <w:rPr>
          <w:sz w:val="20"/>
          <w:szCs w:val="20"/>
          <w:color w:val="auto"/>
        </w:rPr>
      </w:pPr>
    </w:p>
    <w:p>
      <w:pPr>
        <w:ind w:right="360" w:firstLine="436"/>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below by the following persons in the capacities and on the dates indicated.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8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880" w:type="dxa"/>
            <w:vAlign w:val="bottom"/>
          </w:tcPr>
          <w:p>
            <w:pPr>
              <w:spacing w:after="0"/>
              <w:rPr>
                <w:sz w:val="14"/>
                <w:szCs w:val="14"/>
                <w:color w:val="auto"/>
              </w:rPr>
            </w:pPr>
          </w:p>
        </w:tc>
        <w:tc>
          <w:tcPr>
            <w:tcW w:w="4520" w:type="dxa"/>
            <w:vAlign w:val="bottom"/>
            <w:gridSpan w:val="3"/>
          </w:tcPr>
          <w:p>
            <w:pPr>
              <w:ind w:left="204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780" w:type="dxa"/>
            <w:vAlign w:val="bottom"/>
          </w:tcPr>
          <w:p>
            <w:pPr>
              <w:spacing w:after="0"/>
              <w:rPr>
                <w:sz w:val="14"/>
                <w:szCs w:val="14"/>
                <w:color w:val="auto"/>
              </w:rPr>
            </w:pPr>
          </w:p>
        </w:tc>
        <w:tc>
          <w:tcPr>
            <w:tcW w:w="6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20"/>
        </w:trPr>
        <w:tc>
          <w:tcPr>
            <w:tcW w:w="18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21"/>
        </w:trPr>
        <w:tc>
          <w:tcPr>
            <w:tcW w:w="43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Jay R. Luly, Ph.D.</w:t>
            </w:r>
          </w:p>
        </w:tc>
        <w:tc>
          <w:tcPr>
            <w:tcW w:w="45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President, Chief Executive Officer and</w:t>
            </w:r>
          </w:p>
        </w:tc>
        <w:tc>
          <w:tcPr>
            <w:tcW w:w="1420" w:type="dxa"/>
            <w:vAlign w:val="bottom"/>
            <w:gridSpan w:val="3"/>
          </w:tcPr>
          <w:p>
            <w:pPr>
              <w:jc w:val="center"/>
              <w:ind w:left="331"/>
              <w:spacing w:after="0"/>
              <w:rPr>
                <w:sz w:val="20"/>
                <w:szCs w:val="20"/>
                <w:color w:val="auto"/>
              </w:rPr>
            </w:pPr>
            <w:r>
              <w:rPr>
                <w:rFonts w:ascii="Times New Roman" w:cs="Times New Roman" w:eastAsia="Times New Roman" w:hAnsi="Times New Roman"/>
                <w:sz w:val="18"/>
                <w:szCs w:val="18"/>
                <w:color w:val="auto"/>
                <w:w w:val="99"/>
              </w:rPr>
              <w:t>May 13, 2026</w:t>
            </w:r>
          </w:p>
        </w:tc>
      </w:tr>
      <w:tr>
        <w:trPr>
          <w:trHeight w:val="226"/>
        </w:trPr>
        <w:tc>
          <w:tcPr>
            <w:tcW w:w="43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Jay R. Luly, Ph.D.</w:t>
            </w:r>
          </w:p>
        </w:tc>
        <w:tc>
          <w:tcPr>
            <w:tcW w:w="45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 (Principal Executive Officer)</w:t>
            </w: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22"/>
        </w:trPr>
        <w:tc>
          <w:tcPr>
            <w:tcW w:w="436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8"/>
              </w:rPr>
              <w:t>/s/ Harry R. Trout, III</w:t>
            </w:r>
          </w:p>
        </w:tc>
        <w:tc>
          <w:tcPr>
            <w:tcW w:w="45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Vice President, Finance (Principal Financial Officer)</w:t>
            </w:r>
          </w:p>
        </w:tc>
        <w:tc>
          <w:tcPr>
            <w:tcW w:w="1420" w:type="dxa"/>
            <w:vAlign w:val="bottom"/>
            <w:gridSpan w:val="3"/>
          </w:tcPr>
          <w:p>
            <w:pPr>
              <w:jc w:val="center"/>
              <w:ind w:left="331"/>
              <w:spacing w:after="0"/>
              <w:rPr>
                <w:sz w:val="20"/>
                <w:szCs w:val="20"/>
                <w:color w:val="auto"/>
              </w:rPr>
            </w:pPr>
            <w:r>
              <w:rPr>
                <w:rFonts w:ascii="Times New Roman" w:cs="Times New Roman" w:eastAsia="Times New Roman" w:hAnsi="Times New Roman"/>
                <w:sz w:val="18"/>
                <w:szCs w:val="18"/>
                <w:color w:val="auto"/>
                <w:w w:val="99"/>
              </w:rPr>
              <w:t>May 13, 2026</w:t>
            </w:r>
          </w:p>
        </w:tc>
      </w:tr>
      <w:tr>
        <w:trPr>
          <w:trHeight w:val="226"/>
        </w:trPr>
        <w:tc>
          <w:tcPr>
            <w:tcW w:w="43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Harry R. Trout, III</w:t>
            </w:r>
          </w:p>
        </w:tc>
        <w:tc>
          <w:tcPr>
            <w:tcW w:w="2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22"/>
        </w:trPr>
        <w:tc>
          <w:tcPr>
            <w:tcW w:w="43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Kathleen S. Capps, CPA</w:t>
            </w:r>
          </w:p>
        </w:tc>
        <w:tc>
          <w:tcPr>
            <w:tcW w:w="45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Executive Director of Accounting, Controller (Principal</w:t>
            </w:r>
          </w:p>
        </w:tc>
        <w:tc>
          <w:tcPr>
            <w:tcW w:w="1420" w:type="dxa"/>
            <w:vAlign w:val="bottom"/>
            <w:gridSpan w:val="3"/>
          </w:tcPr>
          <w:p>
            <w:pPr>
              <w:jc w:val="center"/>
              <w:ind w:left="331"/>
              <w:spacing w:after="0"/>
              <w:rPr>
                <w:sz w:val="20"/>
                <w:szCs w:val="20"/>
                <w:color w:val="auto"/>
              </w:rPr>
            </w:pPr>
            <w:r>
              <w:rPr>
                <w:rFonts w:ascii="Times New Roman" w:cs="Times New Roman" w:eastAsia="Times New Roman" w:hAnsi="Times New Roman"/>
                <w:sz w:val="18"/>
                <w:szCs w:val="18"/>
                <w:color w:val="auto"/>
                <w:w w:val="99"/>
              </w:rPr>
              <w:t>May 13, 2026</w:t>
            </w:r>
          </w:p>
        </w:tc>
      </w:tr>
      <w:tr>
        <w:trPr>
          <w:trHeight w:val="226"/>
        </w:trPr>
        <w:tc>
          <w:tcPr>
            <w:tcW w:w="436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8"/>
              </w:rPr>
              <w:t>Kathleen S. Capps, CPA</w:t>
            </w:r>
          </w:p>
        </w:tc>
        <w:tc>
          <w:tcPr>
            <w:tcW w:w="45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Accounting Officer)</w:t>
            </w: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22"/>
        </w:trPr>
        <w:tc>
          <w:tcPr>
            <w:tcW w:w="43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Bruce L.A. Carter, Ph.D.</w:t>
            </w:r>
          </w:p>
        </w:tc>
        <w:tc>
          <w:tcPr>
            <w:tcW w:w="45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420" w:type="dxa"/>
            <w:vAlign w:val="bottom"/>
            <w:gridSpan w:val="3"/>
          </w:tcPr>
          <w:p>
            <w:pPr>
              <w:jc w:val="center"/>
              <w:ind w:left="331"/>
              <w:spacing w:after="0"/>
              <w:rPr>
                <w:sz w:val="20"/>
                <w:szCs w:val="20"/>
                <w:color w:val="auto"/>
              </w:rPr>
            </w:pPr>
            <w:r>
              <w:rPr>
                <w:rFonts w:ascii="Times New Roman" w:cs="Times New Roman" w:eastAsia="Times New Roman" w:hAnsi="Times New Roman"/>
                <w:sz w:val="18"/>
                <w:szCs w:val="18"/>
                <w:color w:val="auto"/>
                <w:w w:val="99"/>
              </w:rPr>
              <w:t>May 13, 2026</w:t>
            </w:r>
          </w:p>
        </w:tc>
      </w:tr>
      <w:tr>
        <w:trPr>
          <w:trHeight w:val="226"/>
        </w:trPr>
        <w:tc>
          <w:tcPr>
            <w:tcW w:w="43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Bruce L.A. Carter, Ph.D.</w:t>
            </w:r>
          </w:p>
        </w:tc>
        <w:tc>
          <w:tcPr>
            <w:tcW w:w="2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22"/>
        </w:trPr>
        <w:tc>
          <w:tcPr>
            <w:tcW w:w="43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Mark G. Foletta</w:t>
            </w:r>
          </w:p>
        </w:tc>
        <w:tc>
          <w:tcPr>
            <w:tcW w:w="45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420" w:type="dxa"/>
            <w:vAlign w:val="bottom"/>
            <w:gridSpan w:val="3"/>
          </w:tcPr>
          <w:p>
            <w:pPr>
              <w:jc w:val="center"/>
              <w:ind w:left="331"/>
              <w:spacing w:after="0"/>
              <w:rPr>
                <w:sz w:val="20"/>
                <w:szCs w:val="20"/>
                <w:color w:val="auto"/>
              </w:rPr>
            </w:pPr>
            <w:r>
              <w:rPr>
                <w:rFonts w:ascii="Times New Roman" w:cs="Times New Roman" w:eastAsia="Times New Roman" w:hAnsi="Times New Roman"/>
                <w:sz w:val="18"/>
                <w:szCs w:val="18"/>
                <w:color w:val="auto"/>
                <w:w w:val="99"/>
              </w:rPr>
              <w:t>May 13, 2026</w:t>
            </w:r>
          </w:p>
        </w:tc>
      </w:tr>
      <w:tr>
        <w:trPr>
          <w:trHeight w:val="226"/>
        </w:trPr>
        <w:tc>
          <w:tcPr>
            <w:tcW w:w="436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8"/>
              </w:rPr>
              <w:t>Mark G. Foletta</w:t>
            </w:r>
          </w:p>
        </w:tc>
        <w:tc>
          <w:tcPr>
            <w:tcW w:w="2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22"/>
        </w:trPr>
        <w:tc>
          <w:tcPr>
            <w:tcW w:w="43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Yujiro S. Hata</w:t>
            </w:r>
          </w:p>
        </w:tc>
        <w:tc>
          <w:tcPr>
            <w:tcW w:w="45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420" w:type="dxa"/>
            <w:vAlign w:val="bottom"/>
            <w:gridSpan w:val="3"/>
          </w:tcPr>
          <w:p>
            <w:pPr>
              <w:jc w:val="center"/>
              <w:ind w:left="331"/>
              <w:spacing w:after="0"/>
              <w:rPr>
                <w:sz w:val="20"/>
                <w:szCs w:val="20"/>
                <w:color w:val="auto"/>
              </w:rPr>
            </w:pPr>
            <w:r>
              <w:rPr>
                <w:rFonts w:ascii="Times New Roman" w:cs="Times New Roman" w:eastAsia="Times New Roman" w:hAnsi="Times New Roman"/>
                <w:sz w:val="18"/>
                <w:szCs w:val="18"/>
                <w:color w:val="auto"/>
                <w:w w:val="99"/>
              </w:rPr>
              <w:t>May 13, 2026</w:t>
            </w:r>
          </w:p>
        </w:tc>
      </w:tr>
      <w:tr>
        <w:trPr>
          <w:trHeight w:val="226"/>
        </w:trPr>
        <w:tc>
          <w:tcPr>
            <w:tcW w:w="43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5"/>
              </w:rPr>
              <w:t>Yujiro S. Hata</w:t>
            </w:r>
          </w:p>
        </w:tc>
        <w:tc>
          <w:tcPr>
            <w:tcW w:w="2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22"/>
        </w:trPr>
        <w:tc>
          <w:tcPr>
            <w:tcW w:w="43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Kristine Peterson</w:t>
            </w:r>
          </w:p>
        </w:tc>
        <w:tc>
          <w:tcPr>
            <w:tcW w:w="45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420" w:type="dxa"/>
            <w:vAlign w:val="bottom"/>
            <w:gridSpan w:val="3"/>
          </w:tcPr>
          <w:p>
            <w:pPr>
              <w:jc w:val="center"/>
              <w:ind w:left="331"/>
              <w:spacing w:after="0"/>
              <w:rPr>
                <w:sz w:val="20"/>
                <w:szCs w:val="20"/>
                <w:color w:val="auto"/>
              </w:rPr>
            </w:pPr>
            <w:r>
              <w:rPr>
                <w:rFonts w:ascii="Times New Roman" w:cs="Times New Roman" w:eastAsia="Times New Roman" w:hAnsi="Times New Roman"/>
                <w:sz w:val="18"/>
                <w:szCs w:val="18"/>
                <w:color w:val="auto"/>
                <w:w w:val="99"/>
              </w:rPr>
              <w:t>May 13, 2026</w:t>
            </w:r>
          </w:p>
        </w:tc>
      </w:tr>
      <w:tr>
        <w:trPr>
          <w:trHeight w:val="226"/>
        </w:trPr>
        <w:tc>
          <w:tcPr>
            <w:tcW w:w="43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Kristine Peterson</w:t>
            </w:r>
          </w:p>
        </w:tc>
        <w:tc>
          <w:tcPr>
            <w:tcW w:w="2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22"/>
        </w:trPr>
        <w:tc>
          <w:tcPr>
            <w:tcW w:w="43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Lesley Russell, MB. CH.B., MRCP</w:t>
            </w:r>
          </w:p>
        </w:tc>
        <w:tc>
          <w:tcPr>
            <w:tcW w:w="45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420" w:type="dxa"/>
            <w:vAlign w:val="bottom"/>
            <w:gridSpan w:val="3"/>
          </w:tcPr>
          <w:p>
            <w:pPr>
              <w:jc w:val="center"/>
              <w:ind w:left="331"/>
              <w:spacing w:after="0"/>
              <w:rPr>
                <w:sz w:val="20"/>
                <w:szCs w:val="20"/>
                <w:color w:val="auto"/>
              </w:rPr>
            </w:pPr>
            <w:r>
              <w:rPr>
                <w:rFonts w:ascii="Times New Roman" w:cs="Times New Roman" w:eastAsia="Times New Roman" w:hAnsi="Times New Roman"/>
                <w:sz w:val="18"/>
                <w:szCs w:val="18"/>
                <w:color w:val="auto"/>
                <w:w w:val="99"/>
              </w:rPr>
              <w:t>May 13, 2026</w:t>
            </w:r>
          </w:p>
        </w:tc>
      </w:tr>
      <w:tr>
        <w:trPr>
          <w:trHeight w:val="226"/>
        </w:trPr>
        <w:tc>
          <w:tcPr>
            <w:tcW w:w="436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8"/>
              </w:rPr>
              <w:t>Lesley Russell, MB. Ch.B., MRCP</w:t>
            </w:r>
          </w:p>
        </w:tc>
        <w:tc>
          <w:tcPr>
            <w:tcW w:w="2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22"/>
        </w:trPr>
        <w:tc>
          <w:tcPr>
            <w:tcW w:w="43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6"/>
              </w:rPr>
              <w:t>/s/ Terry Vance</w:t>
            </w:r>
          </w:p>
        </w:tc>
        <w:tc>
          <w:tcPr>
            <w:tcW w:w="45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420" w:type="dxa"/>
            <w:vAlign w:val="bottom"/>
            <w:gridSpan w:val="3"/>
          </w:tcPr>
          <w:p>
            <w:pPr>
              <w:jc w:val="center"/>
              <w:ind w:left="331"/>
              <w:spacing w:after="0"/>
              <w:rPr>
                <w:sz w:val="20"/>
                <w:szCs w:val="20"/>
                <w:color w:val="auto"/>
              </w:rPr>
            </w:pPr>
            <w:r>
              <w:rPr>
                <w:rFonts w:ascii="Times New Roman" w:cs="Times New Roman" w:eastAsia="Times New Roman" w:hAnsi="Times New Roman"/>
                <w:sz w:val="18"/>
                <w:szCs w:val="18"/>
                <w:color w:val="auto"/>
                <w:w w:val="99"/>
              </w:rPr>
              <w:t>May 13, 2026</w:t>
            </w:r>
          </w:p>
        </w:tc>
      </w:tr>
      <w:tr>
        <w:trPr>
          <w:trHeight w:val="226"/>
        </w:trPr>
        <w:tc>
          <w:tcPr>
            <w:tcW w:w="436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5"/>
              </w:rPr>
              <w:t>Terry Vance</w:t>
            </w:r>
          </w:p>
        </w:tc>
        <w:tc>
          <w:tcPr>
            <w:tcW w:w="2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r>
    </w:tbl>
    <w:p>
      <w:pPr>
        <w:sectPr>
          <w:pgSz w:w="11900" w:h="16838" w:orient="portrait"/>
          <w:cols w:equalWidth="0" w:num="1">
            <w:col w:w="10860"/>
          </w:cols>
          <w:pgMar w:left="500" w:top="264" w:right="5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51"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Seaport West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-42545</wp:posOffset>
            </wp:positionV>
            <wp:extent cx="1247140" cy="407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1247140" cy="407035"/>
                    </a:xfrm>
                    <a:prstGeom prst="rect">
                      <a:avLst/>
                    </a:prstGeom>
                    <a:noFill/>
                  </pic:spPr>
                </pic:pic>
              </a:graphicData>
            </a:graphic>
          </wp:anchor>
        </w:drawing>
      </w:r>
    </w:p>
    <w:p>
      <w:pPr>
        <w:spacing w:after="0" w:line="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155 Seaport Boulevard</w:t>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Boston, MA 02210-2600</w:t>
      </w:r>
    </w:p>
    <w:p>
      <w:pPr>
        <w:spacing w:after="0" w:line="22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 xml:space="preserve">617 832 1000 </w:t>
      </w:r>
      <w:r>
        <w:rPr>
          <w:rFonts w:ascii="Times New Roman" w:cs="Times New Roman" w:eastAsia="Times New Roman" w:hAnsi="Times New Roman"/>
          <w:sz w:val="18"/>
          <w:szCs w:val="18"/>
          <w:i w:val="1"/>
          <w:iCs w:val="1"/>
          <w:color w:val="auto"/>
        </w:rPr>
        <w:t>main</w:t>
      </w:r>
    </w:p>
    <w:p>
      <w:pPr>
        <w:spacing w:after="0" w:line="28"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 xml:space="preserve">617 832 7000 </w:t>
      </w:r>
      <w:r>
        <w:rPr>
          <w:rFonts w:ascii="Times New Roman" w:cs="Times New Roman" w:eastAsia="Times New Roman" w:hAnsi="Times New Roman"/>
          <w:sz w:val="18"/>
          <w:szCs w:val="18"/>
          <w:i w:val="1"/>
          <w:iCs w:val="1"/>
          <w:color w:val="auto"/>
        </w:rPr>
        <w:t>fax</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13, 2026</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Enanta Pharmaceuticals,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 Kingsbury Avenue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Watertown, MA 02472</w:t>
      </w:r>
    </w:p>
    <w:p>
      <w:pPr>
        <w:spacing w:after="0" w:line="22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Registration Statement on Form S-8</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Addressees:</w:t>
      </w:r>
    </w:p>
    <w:p>
      <w:pPr>
        <w:spacing w:after="0" w:line="110" w:lineRule="exact"/>
        <w:rPr>
          <w:sz w:val="20"/>
          <w:szCs w:val="20"/>
          <w:color w:val="auto"/>
        </w:rPr>
      </w:pPr>
    </w:p>
    <w:p>
      <w:pPr>
        <w:ind w:right="200" w:firstLine="436"/>
        <w:spacing w:after="0" w:line="256" w:lineRule="auto"/>
        <w:rPr>
          <w:sz w:val="20"/>
          <w:szCs w:val="20"/>
          <w:color w:val="auto"/>
        </w:rPr>
      </w:pPr>
      <w:r>
        <w:rPr>
          <w:rFonts w:ascii="Times New Roman" w:cs="Times New Roman" w:eastAsia="Times New Roman" w:hAnsi="Times New Roman"/>
          <w:sz w:val="18"/>
          <w:szCs w:val="18"/>
          <w:color w:val="auto"/>
        </w:rPr>
        <w:t>We are familiar with the Registration Statement on Form S-8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being filed by Enanta Pharmaceuticals,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on the date hereof. The Registration Statement relates to the offer and sale by the Company of up to 1,600,000 shares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of its common stock, par value $0.01 per share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issuable under the Company’s 2019 Equity Incentive Plan (as amended through March 11, 2026, the “</w:t>
      </w:r>
      <w:r>
        <w:rPr>
          <w:rFonts w:ascii="Times New Roman" w:cs="Times New Roman" w:eastAsia="Times New Roman" w:hAnsi="Times New Roman"/>
          <w:sz w:val="18"/>
          <w:szCs w:val="18"/>
          <w:b w:val="1"/>
          <w:bCs w:val="1"/>
          <w:color w:val="auto"/>
        </w:rPr>
        <w:t>2019 Plan</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both"/>
        <w:ind w:right="200" w:firstLine="436"/>
        <w:spacing w:after="0" w:line="262" w:lineRule="auto"/>
        <w:rPr>
          <w:sz w:val="20"/>
          <w:szCs w:val="20"/>
          <w:color w:val="auto"/>
        </w:rPr>
      </w:pPr>
      <w:r>
        <w:rPr>
          <w:rFonts w:ascii="Times New Roman" w:cs="Times New Roman" w:eastAsia="Times New Roman" w:hAnsi="Times New Roman"/>
          <w:sz w:val="18"/>
          <w:szCs w:val="18"/>
          <w:color w:val="auto"/>
        </w:rPr>
        <w:t>In arriving at the opinions expressed below, we have examined the Certificate of Incorporation and Bylaws of the Company, each as amended to date, the records of meetings and consents of the Company’s Board of Directors, or committees thereof, records of the proceedings of its stockholders deemed to be relevant to this opinion letter, and the 2019 Plan, each as provided to us by the Company, and the Registration Statement.</w:t>
      </w:r>
    </w:p>
    <w:p>
      <w:pPr>
        <w:spacing w:after="0" w:line="177" w:lineRule="exact"/>
        <w:rPr>
          <w:sz w:val="20"/>
          <w:szCs w:val="20"/>
          <w:color w:val="auto"/>
        </w:rPr>
      </w:pPr>
    </w:p>
    <w:p>
      <w:pPr>
        <w:ind w:right="280" w:firstLine="436"/>
        <w:spacing w:after="0" w:line="253" w:lineRule="auto"/>
        <w:rPr>
          <w:sz w:val="20"/>
          <w:szCs w:val="20"/>
          <w:color w:val="auto"/>
        </w:rPr>
      </w:pPr>
      <w:r>
        <w:rPr>
          <w:rFonts w:ascii="Times New Roman" w:cs="Times New Roman" w:eastAsia="Times New Roman" w:hAnsi="Times New Roman"/>
          <w:sz w:val="18"/>
          <w:szCs w:val="18"/>
          <w:color w:val="auto"/>
        </w:rPr>
        <w:t>In addition, we have relied upon certificates and other assurances of officers of the Company and others as to factual matters without having independently verified such factual matters. In our examination, we have assumed the genuineness of all signatures, the authenticity of all documents submitted to us as originals, the conformity to authentic original documents of all documents submitted to us as copies and the due authorization, execution and delivery of all documents by all persons other than the Company, where authorization, execution and delivery are prerequisites to the effectiveness of such documents. We have also made such investigations of law as we have deemed appropriate as a basis for the opinions expressed below.</w:t>
      </w:r>
    </w:p>
    <w:p>
      <w:pPr>
        <w:spacing w:after="0" w:line="187" w:lineRule="exact"/>
        <w:rPr>
          <w:sz w:val="20"/>
          <w:szCs w:val="20"/>
          <w:color w:val="auto"/>
        </w:rPr>
      </w:pPr>
    </w:p>
    <w:p>
      <w:pPr>
        <w:ind w:right="100" w:firstLine="436"/>
        <w:spacing w:after="0" w:line="277" w:lineRule="auto"/>
        <w:rPr>
          <w:sz w:val="20"/>
          <w:szCs w:val="20"/>
          <w:color w:val="auto"/>
        </w:rPr>
      </w:pPr>
      <w:r>
        <w:rPr>
          <w:rFonts w:ascii="Times New Roman" w:cs="Times New Roman" w:eastAsia="Times New Roman" w:hAnsi="Times New Roman"/>
          <w:sz w:val="18"/>
          <w:szCs w:val="18"/>
          <w:color w:val="auto"/>
        </w:rPr>
        <w:t>We have assumed that the purchase price or other consideration to be received by the Company for the Shares will be valid consideration equal to or in excess of the par value thereof.</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 rendering the opinion expressed below, we express no opinion other than as to the Delaware General Corporation Law.</w:t>
      </w:r>
    </w:p>
    <w:p>
      <w:pPr>
        <w:spacing w:after="0" w:line="220" w:lineRule="exact"/>
        <w:rPr>
          <w:sz w:val="20"/>
          <w:szCs w:val="20"/>
          <w:color w:val="auto"/>
        </w:rPr>
      </w:pPr>
    </w:p>
    <w:p>
      <w:pPr>
        <w:ind w:right="240" w:firstLine="436"/>
        <w:spacing w:after="0" w:line="262" w:lineRule="auto"/>
        <w:rPr>
          <w:sz w:val="20"/>
          <w:szCs w:val="20"/>
          <w:color w:val="auto"/>
        </w:rPr>
      </w:pPr>
      <w:r>
        <w:rPr>
          <w:rFonts w:ascii="Times New Roman" w:cs="Times New Roman" w:eastAsia="Times New Roman" w:hAnsi="Times New Roman"/>
          <w:sz w:val="18"/>
          <w:szCs w:val="18"/>
          <w:color w:val="auto"/>
        </w:rPr>
        <w:t>On the basis of the foregoing, it is our opinion that the Shares, when issued and delivered in accordance with the terms of the 2019 Plan and the awards thereunder against the Company’s receipt of the purchase price or other consideration therefor, will be validly issued, fully paid and non-assessable.</w:t>
      </w:r>
    </w:p>
    <w:p>
      <w:pPr>
        <w:spacing w:after="0" w:line="17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This opinion is to be used only in connection with the offer and sale of the Shares while the Registration Statement is in effect.</w:t>
      </w:r>
    </w:p>
    <w:p>
      <w:pPr>
        <w:sectPr>
          <w:pgSz w:w="11900" w:h="16838" w:orient="portrait"/>
          <w:cols w:equalWidth="0" w:num="1">
            <w:col w:w="10900"/>
          </w:cols>
          <w:pgMar w:left="500" w:top="117" w:right="4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Enanta Pharmaceuticals,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13, 2026</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2" w:lineRule="exact"/>
        <w:rPr>
          <w:sz w:val="20"/>
          <w:szCs w:val="20"/>
          <w:color w:val="auto"/>
        </w:rPr>
      </w:pPr>
    </w:p>
    <w:p>
      <w:pPr>
        <w:ind w:right="120" w:firstLine="436"/>
        <w:spacing w:after="0" w:line="262" w:lineRule="auto"/>
        <w:rPr>
          <w:sz w:val="20"/>
          <w:szCs w:val="20"/>
          <w:color w:val="auto"/>
        </w:rPr>
      </w:pPr>
      <w:r>
        <w:rPr>
          <w:rFonts w:ascii="Times New Roman" w:cs="Times New Roman" w:eastAsia="Times New Roman" w:hAnsi="Times New Roman"/>
          <w:sz w:val="18"/>
          <w:szCs w:val="18"/>
          <w:color w:val="auto"/>
        </w:rPr>
        <w:t>This opinion is being delivered solely for the benefit of the Company and such other persons as are entitled to rely upon it pursuant to the applicable provisions of the Securities Act. This opinion may not be used, quoted, relied upon or referred to for any other purpose, nor may it be used, quoted, relied upon or referred to by any other person, for any purpose, without our prior written consent.</w:t>
      </w:r>
    </w:p>
    <w:p>
      <w:pPr>
        <w:spacing w:after="0" w:line="177" w:lineRule="exact"/>
        <w:rPr>
          <w:sz w:val="20"/>
          <w:szCs w:val="20"/>
          <w:color w:val="auto"/>
        </w:rPr>
      </w:pPr>
    </w:p>
    <w:p>
      <w:pPr>
        <w:jc w:val="both"/>
        <w:ind w:right="200" w:firstLine="436"/>
        <w:spacing w:after="0" w:line="262" w:lineRule="auto"/>
        <w:rPr>
          <w:sz w:val="20"/>
          <w:szCs w:val="20"/>
          <w:color w:val="auto"/>
        </w:rPr>
      </w:pPr>
      <w:r>
        <w:rPr>
          <w:rFonts w:ascii="Times New Roman" w:cs="Times New Roman" w:eastAsia="Times New Roman" w:hAnsi="Times New Roman"/>
          <w:sz w:val="18"/>
          <w:szCs w:val="18"/>
          <w:color w:val="auto"/>
        </w:rPr>
        <w:t>This opinion is based upon currently existing statutes, rules and regulations and judicial decisions and is rendered as of the date hereof, and we disclaim any obligation to advise you of any change in any of the foregoing sources of law or subsequent developments in law or changes in facts or circumstances which might affect any matters or opinions set forth herein.</w:t>
      </w:r>
    </w:p>
    <w:p>
      <w:pPr>
        <w:spacing w:after="0" w:line="177" w:lineRule="exact"/>
        <w:rPr>
          <w:sz w:val="20"/>
          <w:szCs w:val="20"/>
          <w:color w:val="auto"/>
        </w:rPr>
      </w:pPr>
    </w:p>
    <w:p>
      <w:pPr>
        <w:ind w:firstLine="436"/>
        <w:spacing w:after="0" w:line="262" w:lineRule="auto"/>
        <w:rPr>
          <w:sz w:val="20"/>
          <w:szCs w:val="20"/>
          <w:color w:val="auto"/>
        </w:rPr>
      </w:pPr>
      <w:r>
        <w:rPr>
          <w:rFonts w:ascii="Times New Roman" w:cs="Times New Roman" w:eastAsia="Times New Roman" w:hAnsi="Times New Roman"/>
          <w:sz w:val="18"/>
          <w:szCs w:val="18"/>
          <w:color w:val="auto"/>
        </w:rPr>
        <w:t>We consent to the filing of this opinion as an exhibit to the Registration Statement. In giving such consent, we do not admit that we are within the category of persons whose consent is required under Section 7 of the Securities Act or the rules and regulations of the Commission promulgated thereunder.</w:t>
      </w:r>
    </w:p>
    <w:p>
      <w:pPr>
        <w:spacing w:after="0" w:line="177" w:lineRule="exact"/>
        <w:rPr>
          <w:sz w:val="20"/>
          <w:szCs w:val="20"/>
          <w:color w:val="auto"/>
        </w:rPr>
      </w:pPr>
    </w:p>
    <w:p>
      <w:pPr>
        <w:ind w:right="80" w:firstLine="436"/>
        <w:spacing w:after="0" w:line="262" w:lineRule="auto"/>
        <w:rPr>
          <w:sz w:val="20"/>
          <w:szCs w:val="20"/>
          <w:color w:val="auto"/>
        </w:rPr>
      </w:pPr>
      <w:r>
        <w:rPr>
          <w:rFonts w:ascii="Times New Roman" w:cs="Times New Roman" w:eastAsia="Times New Roman" w:hAnsi="Times New Roman"/>
          <w:sz w:val="18"/>
          <w:szCs w:val="18"/>
          <w:color w:val="auto"/>
        </w:rPr>
        <w:t>This opinion letter shall be interpreted in accordance with the Core Opinion Principles jointly issued by the Committee on Legal Opinions of the American Bar Association’s Business Law Section and the Working Group on Legal Opinions Foundation as published in 74 Business Lawyer 815 (2019).</w:t>
      </w:r>
    </w:p>
    <w:p>
      <w:pPr>
        <w:spacing w:after="0" w:line="20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0"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FOLEY HOAG LLP</w:t>
      </w:r>
    </w:p>
    <w:p>
      <w:pPr>
        <w:spacing w:after="0" w:line="220"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By: /s/ Stacie S. Aarestad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4385945</wp:posOffset>
            </wp:positionH>
            <wp:positionV relativeFrom="paragraph">
              <wp:posOffset>15875</wp:posOffset>
            </wp:positionV>
            <wp:extent cx="25361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2536190" cy="825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a Partner</w:t>
      </w:r>
    </w:p>
    <w:p>
      <w:pPr>
        <w:sectPr>
          <w:pgSz w:w="11900" w:h="16838" w:orient="portrait"/>
          <w:cols w:equalWidth="0" w:num="1">
            <w:col w:w="10800"/>
          </w:cols>
          <w:pgMar w:left="500" w:top="268" w:right="59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4" w:lineRule="exact"/>
        <w:rPr>
          <w:sz w:val="20"/>
          <w:szCs w:val="20"/>
          <w:color w:val="auto"/>
        </w:rPr>
      </w:pPr>
    </w:p>
    <w:p>
      <w:pPr>
        <w:jc w:val="both"/>
        <w:ind w:right="400"/>
        <w:spacing w:after="0" w:line="262"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S-8 of Enanta Pharmaceuticals, Inc. of our report dated November 19, 2025 relating to the financial statements, which appears in Enanta Pharmaceuticals, Inc.’s Annual Report on Form 10-K for the year ended September 30, 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13, 2026</w:t>
      </w:r>
    </w:p>
    <w:p>
      <w:pPr>
        <w:sectPr>
          <w:pgSz w:w="11900" w:h="16838" w:orient="portrait"/>
          <w:cols w:equalWidth="0" w:num="1">
            <w:col w:w="10900"/>
          </w:cols>
          <w:pgMar w:left="500" w:top="117" w:right="499" w:bottom="1440" w:gutter="0" w:footer="0" w:header="0"/>
        </w:sectPr>
      </w:pPr>
    </w:p>
    <w:bookmarkStart w:id="6" w:name="page7"/>
    <w:bookmarkEnd w:id="6"/>
    <w:p>
      <w:pPr>
        <w:ind w:left="2860"/>
        <w:spacing w:after="0"/>
        <w:rPr>
          <w:sz w:val="20"/>
          <w:szCs w:val="20"/>
          <w:color w:val="auto"/>
        </w:rPr>
      </w:pPr>
      <w:r>
        <w:rPr>
          <w:rFonts w:ascii="Arial" w:cs="Arial" w:eastAsia="Arial" w:hAnsi="Arial"/>
          <w:sz w:val="36"/>
          <w:szCs w:val="36"/>
          <w:b w:val="1"/>
          <w:bCs w:val="1"/>
          <w:color w:val="auto"/>
        </w:rPr>
        <w:t>Calculation of Filing Fee Tables</w:t>
      </w:r>
    </w:p>
    <w:p>
      <w:pPr>
        <w:spacing w:after="0" w:line="214" w:lineRule="exact"/>
        <w:rPr>
          <w:sz w:val="20"/>
          <w:szCs w:val="20"/>
          <w:color w:val="auto"/>
        </w:rPr>
      </w:pPr>
    </w:p>
    <w:p>
      <w:pPr>
        <w:ind w:left="5240"/>
        <w:spacing w:after="0"/>
        <w:rPr>
          <w:sz w:val="20"/>
          <w:szCs w:val="20"/>
          <w:color w:val="auto"/>
        </w:rPr>
      </w:pPr>
      <w:r>
        <w:rPr>
          <w:rFonts w:ascii="Arial" w:cs="Arial" w:eastAsia="Arial" w:hAnsi="Arial"/>
          <w:sz w:val="36"/>
          <w:szCs w:val="36"/>
          <w:b w:val="1"/>
          <w:bCs w:val="1"/>
          <w:color w:val="auto"/>
        </w:rPr>
        <w:t>S-8</w:t>
      </w:r>
    </w:p>
    <w:p>
      <w:pPr>
        <w:spacing w:after="0" w:line="120" w:lineRule="exact"/>
        <w:rPr>
          <w:sz w:val="20"/>
          <w:szCs w:val="20"/>
          <w:color w:val="auto"/>
        </w:rPr>
      </w:pPr>
    </w:p>
    <w:p>
      <w:pPr>
        <w:jc w:val="center"/>
        <w:ind w:right="220"/>
        <w:spacing w:after="0"/>
        <w:rPr>
          <w:sz w:val="20"/>
          <w:szCs w:val="20"/>
          <w:color w:val="auto"/>
        </w:rPr>
      </w:pPr>
      <w:r>
        <w:rPr>
          <w:rFonts w:ascii="Arial" w:cs="Arial" w:eastAsia="Arial" w:hAnsi="Arial"/>
          <w:sz w:val="36"/>
          <w:szCs w:val="36"/>
          <w:b w:val="1"/>
          <w:bCs w:val="1"/>
          <w:color w:val="auto"/>
        </w:rPr>
        <w:t>ENANTA PHARMACEUTICALS INC</w:t>
      </w:r>
    </w:p>
    <w:p>
      <w:pPr>
        <w:spacing w:after="0" w:line="156" w:lineRule="exact"/>
        <w:rPr>
          <w:sz w:val="20"/>
          <w:szCs w:val="20"/>
          <w:color w:val="auto"/>
        </w:rPr>
      </w:pPr>
    </w:p>
    <w:p>
      <w:pPr>
        <w:jc w:val="center"/>
        <w:ind w:right="80"/>
        <w:spacing w:after="0"/>
        <w:rPr>
          <w:sz w:val="20"/>
          <w:szCs w:val="20"/>
          <w:color w:val="auto"/>
        </w:rPr>
      </w:pPr>
      <w:r>
        <w:rPr>
          <w:rFonts w:ascii="Arial" w:cs="Arial" w:eastAsia="Arial" w:hAnsi="Arial"/>
          <w:sz w:val="21"/>
          <w:szCs w:val="21"/>
          <w:b w:val="1"/>
          <w:bCs w:val="1"/>
          <w:color w:val="auto"/>
        </w:rPr>
        <w:t>Table 1: Newly Registered Securities</w:t>
      </w:r>
    </w:p>
    <w:p>
      <w:pPr>
        <w:spacing w:after="0" w:line="54" w:lineRule="exact"/>
        <w:rPr>
          <w:sz w:val="20"/>
          <w:szCs w:val="20"/>
          <w:color w:val="auto"/>
        </w:rPr>
      </w:pPr>
    </w:p>
    <w:tbl>
      <w:tblPr>
        <w:tblLayout w:type="fixed"/>
        <w:tblInd w:w="55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3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2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0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1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shd w:val="clear" w:color="auto" w:fill="9ADAF6"/>
          </w:tcPr>
          <w:p>
            <w:pPr>
              <w:jc w:val="center"/>
              <w:spacing w:after="0" w:line="219" w:lineRule="exact"/>
              <w:rPr>
                <w:sz w:val="20"/>
                <w:szCs w:val="20"/>
                <w:color w:val="auto"/>
              </w:rPr>
            </w:pPr>
            <w:r>
              <w:rPr>
                <w:rFonts w:ascii="Arial" w:cs="Arial" w:eastAsia="Arial" w:hAnsi="Arial"/>
                <w:sz w:val="21"/>
                <w:szCs w:val="21"/>
                <w:b w:val="1"/>
                <w:bCs w:val="1"/>
                <w:color w:val="auto"/>
              </w:rPr>
              <w:t>Proposed</w:t>
            </w:r>
          </w:p>
        </w:tc>
        <w:tc>
          <w:tcPr>
            <w:tcW w:w="20" w:type="dxa"/>
            <w:vAlign w:val="bottom"/>
          </w:tcPr>
          <w:p>
            <w:pPr>
              <w:spacing w:after="0"/>
              <w:rPr>
                <w:sz w:val="19"/>
                <w:szCs w:val="19"/>
                <w:color w:val="auto"/>
              </w:rPr>
            </w:pPr>
          </w:p>
        </w:tc>
        <w:tc>
          <w:tcPr>
            <w:tcW w:w="152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36"/>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4"/>
                <w:szCs w:val="24"/>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20" w:type="dxa"/>
            <w:vAlign w:val="bottom"/>
          </w:tcPr>
          <w:p>
            <w:pPr>
              <w:spacing w:after="0"/>
              <w:rPr>
                <w:sz w:val="24"/>
                <w:szCs w:val="24"/>
                <w:color w:val="auto"/>
              </w:rPr>
            </w:pPr>
          </w:p>
        </w:tc>
        <w:tc>
          <w:tcPr>
            <w:tcW w:w="1140" w:type="dxa"/>
            <w:vAlign w:val="bottom"/>
            <w:shd w:val="clear" w:color="auto" w:fill="9ADAF6"/>
          </w:tcPr>
          <w:p>
            <w:pPr>
              <w:jc w:val="right"/>
              <w:ind w:right="53"/>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24"/>
                <w:szCs w:val="24"/>
                <w:color w:val="auto"/>
              </w:rPr>
            </w:pPr>
          </w:p>
        </w:tc>
        <w:tc>
          <w:tcPr>
            <w:tcW w:w="13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20" w:type="dxa"/>
            <w:vAlign w:val="bottom"/>
          </w:tcPr>
          <w:p>
            <w:pPr>
              <w:spacing w:after="0"/>
              <w:rPr>
                <w:sz w:val="24"/>
                <w:szCs w:val="24"/>
                <w:color w:val="auto"/>
              </w:rPr>
            </w:pPr>
          </w:p>
        </w:tc>
        <w:tc>
          <w:tcPr>
            <w:tcW w:w="152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40" w:type="dxa"/>
            <w:vAlign w:val="bottom"/>
          </w:tcPr>
          <w:p>
            <w:pPr>
              <w:spacing w:after="0"/>
              <w:rPr>
                <w:sz w:val="24"/>
                <w:szCs w:val="24"/>
                <w:color w:val="auto"/>
              </w:rPr>
            </w:pPr>
          </w:p>
        </w:tc>
        <w:tc>
          <w:tcPr>
            <w:tcW w:w="10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Amount of</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Class</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Calculation</w:t>
            </w:r>
          </w:p>
        </w:tc>
        <w:tc>
          <w:tcPr>
            <w:tcW w:w="20" w:type="dxa"/>
            <w:vAlign w:val="bottom"/>
          </w:tcPr>
          <w:p>
            <w:pPr>
              <w:spacing w:after="0"/>
              <w:rPr>
                <w:sz w:val="20"/>
                <w:szCs w:val="20"/>
                <w:color w:val="auto"/>
              </w:rPr>
            </w:pPr>
          </w:p>
        </w:tc>
        <w:tc>
          <w:tcPr>
            <w:tcW w:w="1140" w:type="dxa"/>
            <w:vAlign w:val="bottom"/>
            <w:shd w:val="clear" w:color="auto" w:fill="9ADAF6"/>
          </w:tcPr>
          <w:p>
            <w:pPr>
              <w:jc w:val="right"/>
              <w:spacing w:after="0" w:line="240" w:lineRule="exact"/>
              <w:rPr>
                <w:sz w:val="20"/>
                <w:szCs w:val="20"/>
                <w:color w:val="auto"/>
              </w:rPr>
            </w:pPr>
            <w:r>
              <w:rPr>
                <w:rFonts w:ascii="Arial" w:cs="Arial" w:eastAsia="Arial" w:hAnsi="Arial"/>
                <w:sz w:val="21"/>
                <w:szCs w:val="21"/>
                <w:b w:val="1"/>
                <w:bCs w:val="1"/>
                <w:color w:val="auto"/>
              </w:rPr>
              <w:t>Registered</w:t>
            </w:r>
          </w:p>
        </w:tc>
        <w:tc>
          <w:tcPr>
            <w:tcW w:w="20" w:type="dxa"/>
            <w:vAlign w:val="bottom"/>
          </w:tcPr>
          <w:p>
            <w:pPr>
              <w:spacing w:after="0"/>
              <w:rPr>
                <w:sz w:val="20"/>
                <w:szCs w:val="20"/>
                <w:color w:val="auto"/>
              </w:rPr>
            </w:pPr>
          </w:p>
        </w:tc>
        <w:tc>
          <w:tcPr>
            <w:tcW w:w="13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152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40" w:type="dxa"/>
            <w:vAlign w:val="bottom"/>
          </w:tcPr>
          <w:p>
            <w:pPr>
              <w:spacing w:after="0"/>
              <w:rPr>
                <w:sz w:val="20"/>
                <w:szCs w:val="20"/>
                <w:color w:val="auto"/>
              </w:rPr>
            </w:pPr>
          </w:p>
        </w:tc>
        <w:tc>
          <w:tcPr>
            <w:tcW w:w="104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Fee Rate</w:t>
            </w:r>
          </w:p>
        </w:tc>
        <w:tc>
          <w:tcPr>
            <w:tcW w:w="20" w:type="dxa"/>
            <w:vAlign w:val="bottom"/>
          </w:tcPr>
          <w:p>
            <w:pPr>
              <w:spacing w:after="0"/>
              <w:rPr>
                <w:sz w:val="20"/>
                <w:szCs w:val="20"/>
                <w:color w:val="auto"/>
              </w:rPr>
            </w:pPr>
          </w:p>
        </w:tc>
        <w:tc>
          <w:tcPr>
            <w:tcW w:w="15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Registration</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5"/>
        </w:trPr>
        <w:tc>
          <w:tcPr>
            <w:tcW w:w="40" w:type="dxa"/>
            <w:vAlign w:val="bottom"/>
            <w:tcBorders>
              <w:left w:val="single" w:sz="8" w:color="auto"/>
            </w:tcBorders>
          </w:tcPr>
          <w:p>
            <w:pPr>
              <w:spacing w:after="0"/>
              <w:rPr>
                <w:sz w:val="12"/>
                <w:szCs w:val="12"/>
                <w:color w:val="auto"/>
              </w:rPr>
            </w:pPr>
          </w:p>
        </w:tc>
        <w:tc>
          <w:tcPr>
            <w:tcW w:w="1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Title</w:t>
            </w:r>
          </w:p>
        </w:tc>
        <w:tc>
          <w:tcPr>
            <w:tcW w:w="4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Rule</w:t>
            </w:r>
          </w:p>
        </w:tc>
        <w:tc>
          <w:tcPr>
            <w:tcW w:w="20" w:type="dxa"/>
            <w:vAlign w:val="bottom"/>
          </w:tcPr>
          <w:p>
            <w:pPr>
              <w:spacing w:after="0"/>
              <w:rPr>
                <w:sz w:val="12"/>
                <w:szCs w:val="12"/>
                <w:color w:val="auto"/>
              </w:rPr>
            </w:pPr>
          </w:p>
        </w:tc>
        <w:tc>
          <w:tcPr>
            <w:tcW w:w="11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Price Per</w:t>
            </w:r>
          </w:p>
        </w:tc>
        <w:tc>
          <w:tcPr>
            <w:tcW w:w="20" w:type="dxa"/>
            <w:vAlign w:val="bottom"/>
          </w:tcPr>
          <w:p>
            <w:pPr>
              <w:spacing w:after="0"/>
              <w:rPr>
                <w:sz w:val="12"/>
                <w:szCs w:val="12"/>
                <w:color w:val="auto"/>
              </w:rPr>
            </w:pPr>
          </w:p>
        </w:tc>
        <w:tc>
          <w:tcPr>
            <w:tcW w:w="152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Offering Price</w:t>
            </w:r>
          </w:p>
        </w:tc>
        <w:tc>
          <w:tcPr>
            <w:tcW w:w="40" w:type="dxa"/>
            <w:vAlign w:val="bottom"/>
          </w:tcPr>
          <w:p>
            <w:pPr>
              <w:spacing w:after="0"/>
              <w:rPr>
                <w:sz w:val="12"/>
                <w:szCs w:val="12"/>
                <w:color w:val="auto"/>
              </w:rPr>
            </w:pPr>
          </w:p>
        </w:tc>
        <w:tc>
          <w:tcPr>
            <w:tcW w:w="10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Fee</w:t>
            </w: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Unit</w:t>
            </w:r>
          </w:p>
        </w:tc>
        <w:tc>
          <w:tcPr>
            <w:tcW w:w="20" w:type="dxa"/>
            <w:vAlign w:val="bottom"/>
          </w:tcPr>
          <w:p>
            <w:pPr>
              <w:spacing w:after="0"/>
              <w:rPr>
                <w:sz w:val="24"/>
                <w:szCs w:val="24"/>
                <w:color w:val="auto"/>
              </w:rPr>
            </w:pPr>
          </w:p>
        </w:tc>
        <w:tc>
          <w:tcPr>
            <w:tcW w:w="152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9ADAF6"/>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ind w:left="20"/>
              <w:spacing w:after="0" w:line="227" w:lineRule="exact"/>
              <w:rPr>
                <w:sz w:val="20"/>
                <w:szCs w:val="20"/>
                <w:color w:val="auto"/>
              </w:rPr>
            </w:pPr>
            <w:r>
              <w:rPr>
                <w:rFonts w:ascii="Arial" w:cs="Arial" w:eastAsia="Arial" w:hAnsi="Arial"/>
                <w:sz w:val="21"/>
                <w:szCs w:val="21"/>
                <w:color w:val="auto"/>
              </w:rPr>
              <w:t>Common</w:t>
            </w:r>
          </w:p>
        </w:tc>
        <w:tc>
          <w:tcPr>
            <w:tcW w:w="4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stock,</w:t>
            </w:r>
          </w:p>
        </w:tc>
        <w:tc>
          <w:tcPr>
            <w:tcW w:w="4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w:t>
            </w: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40" w:type="dxa"/>
            <w:vAlign w:val="bottom"/>
            <w:tcBorders>
              <w:left w:val="single" w:sz="8" w:color="auto"/>
            </w:tcBorders>
          </w:tcPr>
          <w:p>
            <w:pPr>
              <w:spacing w:after="0"/>
              <w:rPr>
                <w:sz w:val="10"/>
                <w:szCs w:val="10"/>
                <w:color w:val="auto"/>
              </w:rPr>
            </w:pPr>
          </w:p>
        </w:tc>
        <w:tc>
          <w:tcPr>
            <w:tcW w:w="1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1</w:t>
            </w:r>
          </w:p>
        </w:tc>
        <w:tc>
          <w:tcPr>
            <w:tcW w:w="20" w:type="dxa"/>
            <w:vAlign w:val="bottom"/>
          </w:tcPr>
          <w:p>
            <w:pPr>
              <w:spacing w:after="0"/>
              <w:rPr>
                <w:sz w:val="10"/>
                <w:szCs w:val="10"/>
                <w:color w:val="auto"/>
              </w:rPr>
            </w:pPr>
          </w:p>
        </w:tc>
        <w:tc>
          <w:tcPr>
            <w:tcW w:w="960" w:type="dxa"/>
            <w:vAlign w:val="bottom"/>
            <w:vMerge w:val="restart"/>
            <w:shd w:val="clear" w:color="auto" w:fill="E7E7E2"/>
          </w:tcPr>
          <w:p>
            <w:pPr>
              <w:ind w:left="20"/>
              <w:spacing w:after="0"/>
              <w:rPr>
                <w:sz w:val="20"/>
                <w:szCs w:val="20"/>
                <w:color w:val="auto"/>
              </w:rPr>
            </w:pPr>
            <w:r>
              <w:rPr>
                <w:rFonts w:ascii="Arial" w:cs="Arial" w:eastAsia="Arial" w:hAnsi="Arial"/>
                <w:sz w:val="21"/>
                <w:szCs w:val="21"/>
                <w:color w:val="auto"/>
              </w:rPr>
              <w:t>Equity</w:t>
            </w:r>
          </w:p>
        </w:tc>
        <w:tc>
          <w:tcPr>
            <w:tcW w:w="20" w:type="dxa"/>
            <w:vAlign w:val="bottom"/>
          </w:tcPr>
          <w:p>
            <w:pPr>
              <w:spacing w:after="0"/>
              <w:rPr>
                <w:sz w:val="10"/>
                <w:szCs w:val="10"/>
                <w:color w:val="auto"/>
              </w:rPr>
            </w:pPr>
          </w:p>
        </w:tc>
        <w:tc>
          <w:tcPr>
            <w:tcW w:w="960" w:type="dxa"/>
            <w:vAlign w:val="bottom"/>
            <w:vMerge w:val="restart"/>
            <w:shd w:val="clear" w:color="auto" w:fill="E7E7E2"/>
          </w:tcPr>
          <w:p>
            <w:pPr>
              <w:ind w:left="20"/>
              <w:spacing w:after="0"/>
              <w:rPr>
                <w:sz w:val="20"/>
                <w:szCs w:val="20"/>
                <w:color w:val="auto"/>
              </w:rPr>
            </w:pPr>
            <w:r>
              <w:rPr>
                <w:rFonts w:ascii="Arial" w:cs="Arial" w:eastAsia="Arial" w:hAnsi="Arial"/>
                <w:sz w:val="21"/>
                <w:szCs w:val="21"/>
                <w:color w:val="auto"/>
              </w:rPr>
              <w:t>$0.01 par</w:t>
            </w:r>
          </w:p>
        </w:tc>
        <w:tc>
          <w:tcPr>
            <w:tcW w:w="40" w:type="dxa"/>
            <w:vAlign w:val="bottom"/>
          </w:tcPr>
          <w:p>
            <w:pPr>
              <w:spacing w:after="0"/>
              <w:rPr>
                <w:sz w:val="10"/>
                <w:szCs w:val="10"/>
                <w:color w:val="auto"/>
              </w:rPr>
            </w:pPr>
          </w:p>
        </w:tc>
        <w:tc>
          <w:tcPr>
            <w:tcW w:w="1180" w:type="dxa"/>
            <w:vAlign w:val="bottom"/>
            <w:vMerge w:val="restart"/>
            <w:shd w:val="clear" w:color="auto" w:fill="E7E7E2"/>
          </w:tcPr>
          <w:p>
            <w:pPr>
              <w:jc w:val="center"/>
              <w:spacing w:after="0"/>
              <w:rPr>
                <w:sz w:val="20"/>
                <w:szCs w:val="20"/>
                <w:color w:val="auto"/>
              </w:rPr>
            </w:pPr>
            <w:r>
              <w:rPr>
                <w:rFonts w:ascii="Arial" w:cs="Arial" w:eastAsia="Arial" w:hAnsi="Arial"/>
                <w:sz w:val="21"/>
                <w:szCs w:val="21"/>
                <w:color w:val="auto"/>
                <w:w w:val="98"/>
              </w:rPr>
              <w:t>Other</w:t>
            </w:r>
          </w:p>
        </w:tc>
        <w:tc>
          <w:tcPr>
            <w:tcW w:w="20" w:type="dxa"/>
            <w:vAlign w:val="bottom"/>
          </w:tcPr>
          <w:p>
            <w:pPr>
              <w:spacing w:after="0"/>
              <w:rPr>
                <w:sz w:val="10"/>
                <w:szCs w:val="10"/>
                <w:color w:val="auto"/>
              </w:rPr>
            </w:pPr>
          </w:p>
        </w:tc>
        <w:tc>
          <w:tcPr>
            <w:tcW w:w="11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1,600,000</w:t>
            </w:r>
          </w:p>
        </w:tc>
        <w:tc>
          <w:tcPr>
            <w:tcW w:w="20" w:type="dxa"/>
            <w:vAlign w:val="bottom"/>
          </w:tcPr>
          <w:p>
            <w:pPr>
              <w:spacing w:after="0"/>
              <w:rPr>
                <w:sz w:val="10"/>
                <w:szCs w:val="10"/>
                <w:color w:val="auto"/>
              </w:rPr>
            </w:pPr>
          </w:p>
        </w:tc>
        <w:tc>
          <w:tcPr>
            <w:tcW w:w="13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$ 14.88</w:t>
            </w:r>
          </w:p>
        </w:tc>
        <w:tc>
          <w:tcPr>
            <w:tcW w:w="20" w:type="dxa"/>
            <w:vAlign w:val="bottom"/>
          </w:tcPr>
          <w:p>
            <w:pPr>
              <w:spacing w:after="0"/>
              <w:rPr>
                <w:sz w:val="10"/>
                <w:szCs w:val="10"/>
                <w:color w:val="auto"/>
              </w:rPr>
            </w:pPr>
          </w:p>
        </w:tc>
        <w:tc>
          <w:tcPr>
            <w:tcW w:w="1520" w:type="dxa"/>
            <w:vAlign w:val="bottom"/>
            <w:vMerge w:val="continue"/>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0.0001381</w:t>
            </w:r>
          </w:p>
        </w:tc>
        <w:tc>
          <w:tcPr>
            <w:tcW w:w="20" w:type="dxa"/>
            <w:vAlign w:val="bottom"/>
          </w:tcPr>
          <w:p>
            <w:pPr>
              <w:spacing w:after="0"/>
              <w:rPr>
                <w:sz w:val="10"/>
                <w:szCs w:val="10"/>
                <w:color w:val="auto"/>
              </w:rPr>
            </w:pPr>
          </w:p>
        </w:tc>
        <w:tc>
          <w:tcPr>
            <w:tcW w:w="150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$ 3,287.89</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1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vMerge w:val="continue"/>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shd w:val="clear" w:color="auto" w:fill="E7E7E2"/>
          </w:tcPr>
          <w:p>
            <w:pPr>
              <w:jc w:val="right"/>
              <w:spacing w:after="0" w:line="214" w:lineRule="exact"/>
              <w:rPr>
                <w:sz w:val="20"/>
                <w:szCs w:val="20"/>
                <w:color w:val="auto"/>
              </w:rPr>
            </w:pPr>
            <w:r>
              <w:rPr>
                <w:rFonts w:ascii="Arial" w:cs="Arial" w:eastAsia="Arial" w:hAnsi="Arial"/>
                <w:sz w:val="21"/>
                <w:szCs w:val="21"/>
                <w:color w:val="auto"/>
              </w:rPr>
              <w:t>23,808,000.00</w:t>
            </w:r>
          </w:p>
        </w:tc>
        <w:tc>
          <w:tcPr>
            <w:tcW w:w="40" w:type="dxa"/>
            <w:vAlign w:val="bottom"/>
          </w:tcPr>
          <w:p>
            <w:pPr>
              <w:spacing w:after="0"/>
              <w:rPr>
                <w:sz w:val="18"/>
                <w:szCs w:val="18"/>
                <w:color w:val="auto"/>
              </w:rPr>
            </w:pPr>
          </w:p>
        </w:tc>
        <w:tc>
          <w:tcPr>
            <w:tcW w:w="104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vMerge w:val="continue"/>
            <w:shd w:val="clear" w:color="auto" w:fill="E7E7E2"/>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40" w:type="dxa"/>
            <w:vAlign w:val="bottom"/>
            <w:tcBorders>
              <w:left w:val="single" w:sz="8" w:color="auto"/>
            </w:tcBorders>
          </w:tcPr>
          <w:p>
            <w:pPr>
              <w:spacing w:after="0"/>
              <w:rPr>
                <w:sz w:val="12"/>
                <w:szCs w:val="12"/>
                <w:color w:val="auto"/>
              </w:rPr>
            </w:pPr>
          </w:p>
        </w:tc>
        <w:tc>
          <w:tcPr>
            <w:tcW w:w="1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E7E7E2"/>
          </w:tcPr>
          <w:p>
            <w:pPr>
              <w:ind w:left="20"/>
              <w:spacing w:after="0" w:line="147" w:lineRule="exact"/>
              <w:rPr>
                <w:sz w:val="20"/>
                <w:szCs w:val="20"/>
                <w:color w:val="auto"/>
              </w:rPr>
            </w:pPr>
            <w:r>
              <w:rPr>
                <w:rFonts w:ascii="Arial" w:cs="Arial" w:eastAsia="Arial" w:hAnsi="Arial"/>
                <w:sz w:val="17"/>
                <w:szCs w:val="17"/>
                <w:color w:val="auto"/>
              </w:rPr>
              <w:t>value per</w:t>
            </w:r>
          </w:p>
        </w:tc>
        <w:tc>
          <w:tcPr>
            <w:tcW w:w="40" w:type="dxa"/>
            <w:vAlign w:val="bottom"/>
          </w:tcPr>
          <w:p>
            <w:pPr>
              <w:spacing w:after="0"/>
              <w:rPr>
                <w:sz w:val="12"/>
                <w:szCs w:val="12"/>
                <w:color w:val="auto"/>
              </w:rPr>
            </w:pPr>
          </w:p>
        </w:tc>
        <w:tc>
          <w:tcPr>
            <w:tcW w:w="11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shd w:val="clear" w:color="auto" w:fill="E7E7E2"/>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shd w:val="clear" w:color="auto" w:fill="E7E7E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80"/>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ind w:left="20"/>
              <w:spacing w:after="0"/>
              <w:rPr>
                <w:sz w:val="20"/>
                <w:szCs w:val="20"/>
                <w:color w:val="auto"/>
              </w:rPr>
            </w:pPr>
            <w:r>
              <w:rPr>
                <w:rFonts w:ascii="Arial" w:cs="Arial" w:eastAsia="Arial" w:hAnsi="Arial"/>
                <w:sz w:val="21"/>
                <w:szCs w:val="21"/>
                <w:color w:val="auto"/>
              </w:rPr>
              <w:t>share</w:t>
            </w:r>
          </w:p>
        </w:tc>
        <w:tc>
          <w:tcPr>
            <w:tcW w:w="40" w:type="dxa"/>
            <w:vAlign w:val="bottom"/>
          </w:tcPr>
          <w:p>
            <w:pPr>
              <w:spacing w:after="0"/>
              <w:rPr>
                <w:sz w:val="24"/>
                <w:szCs w:val="24"/>
                <w:color w:val="auto"/>
              </w:rPr>
            </w:pPr>
          </w:p>
        </w:tc>
        <w:tc>
          <w:tcPr>
            <w:tcW w:w="118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E7E7E2"/>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Total Offering Amounts:</w:t>
            </w:r>
          </w:p>
        </w:tc>
        <w:tc>
          <w:tcPr>
            <w:tcW w:w="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$ 3,287.89</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23,808,000.00</w:t>
            </w: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Total Fee Offsets:</w:t>
            </w: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$ 0.00</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Net Fee Due:</w:t>
            </w: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$ 3,287.89</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6" w:lineRule="exact"/>
        <w:rPr>
          <w:sz w:val="20"/>
          <w:szCs w:val="20"/>
          <w:color w:val="auto"/>
        </w:rPr>
      </w:pPr>
    </w:p>
    <w:p>
      <w:pPr>
        <w:ind w:left="580"/>
        <w:spacing w:after="0"/>
        <w:rPr>
          <w:sz w:val="20"/>
          <w:szCs w:val="20"/>
          <w:color w:val="auto"/>
        </w:rPr>
      </w:pPr>
      <w:r>
        <w:rPr>
          <w:rFonts w:ascii="Arial" w:cs="Arial" w:eastAsia="Arial" w:hAnsi="Arial"/>
          <w:sz w:val="21"/>
          <w:szCs w:val="21"/>
          <w:b w:val="1"/>
          <w:bCs w:val="1"/>
          <w:color w:val="auto"/>
        </w:rPr>
        <w:t>Offering Note</w:t>
      </w:r>
    </w:p>
    <w:p>
      <w:pPr>
        <w:spacing w:after="0" w:line="148" w:lineRule="exact"/>
        <w:rPr>
          <w:sz w:val="20"/>
          <w:szCs w:val="20"/>
          <w:color w:val="auto"/>
        </w:rPr>
      </w:pPr>
    </w:p>
    <w:p>
      <w:pPr>
        <w:ind w:left="800" w:right="800" w:hanging="225"/>
        <w:spacing w:after="0" w:line="236" w:lineRule="auto"/>
        <w:tabs>
          <w:tab w:leader="none" w:pos="800" w:val="left"/>
        </w:tabs>
        <w:numPr>
          <w:ilvl w:val="0"/>
          <w:numId w:val="4"/>
        </w:numPr>
        <w:rPr>
          <w:rFonts w:ascii="Arial" w:cs="Arial" w:eastAsia="Arial" w:hAnsi="Arial"/>
          <w:sz w:val="27"/>
          <w:szCs w:val="27"/>
          <w:color w:val="auto"/>
          <w:vertAlign w:val="superscript"/>
        </w:rPr>
      </w:pPr>
      <w:r>
        <w:rPr>
          <w:rFonts w:ascii="Arial" w:cs="Arial" w:eastAsia="Arial" w:hAnsi="Arial"/>
          <w:sz w:val="21"/>
          <w:szCs w:val="21"/>
          <w:color w:val="auto"/>
        </w:rPr>
        <w:t>Pursuant to Rule 416(a) under the Securities Act of 1933, as amended (the "Securities Act"), this registration statement on Form S-8 (the "Registration Statement") shall also cover any additional shares of the Registrant's common stock, $0.01 par value per share (the "Common Stock") that become issuable under the Registrant's 2019 Equity Incentive Plan (as amended through March 11, 2026) (the "2019 Plan") by reason of any stock dividend, stock split, recapitalization or other similar transaction effected without the receipt of consideration that increases the number of the Registrant's outstanding shares of Common Stock. The Amount Registered covers 1,600,000 shares of the Registrant's Common Stock, which are issuable pursuant to the 2019 Plan. The Proposed Maximum Offering Price Per Share is estimated in accordance with Rule 457(c) and (h) under the Securities Act solely for the purpose of calculating the registration fee on the basis of $14.88, the average of the high and low prices of the Registrant's common stock as reported on the Nasdaq Global Select Market on May 6, 2026, which date is within five business days prior to the filing of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85725</wp:posOffset>
            </wp:positionV>
            <wp:extent cx="63874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6387465" cy="42545"/>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spacing w:after="0" w:line="242" w:lineRule="exact"/>
        <w:tabs>
          <w:tab w:leader="none" w:pos="9460" w:val="left"/>
        </w:tabs>
        <w:rPr>
          <w:sz w:val="20"/>
          <w:szCs w:val="20"/>
          <w:color w:val="auto"/>
        </w:rPr>
      </w:pPr>
      <w:r>
        <w:rPr>
          <w:rFonts w:ascii="Arial" w:cs="Arial" w:eastAsia="Arial" w:hAnsi="Arial"/>
          <w:sz w:val="21"/>
          <w:szCs w:val="21"/>
          <w:b w:val="1"/>
          <w:bCs w:val="1"/>
          <w:color w:val="auto"/>
        </w:rPr>
        <w:t>Table 2: Fee Offset Claims and Sources</w:t>
      </w:r>
      <w:r>
        <w:rPr>
          <w:sz w:val="20"/>
          <w:szCs w:val="20"/>
          <w:color w:val="auto"/>
        </w:rPr>
        <w:tab/>
      </w:r>
      <w:r>
        <w:rPr>
          <w:rFonts w:ascii="MS PGothic" w:cs="MS PGothic" w:eastAsia="MS PGothic" w:hAnsi="MS PGothic"/>
          <w:sz w:val="20"/>
          <w:szCs w:val="20"/>
          <w:color w:val="auto"/>
          <w:highlight w:val="black"/>
        </w:rPr>
        <w:t>☑</w:t>
      </w:r>
      <w:r>
        <w:rPr>
          <w:rFonts w:ascii="Arial" w:cs="Arial" w:eastAsia="Arial" w:hAnsi="Arial"/>
          <w:sz w:val="20"/>
          <w:szCs w:val="20"/>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70485</wp:posOffset>
            </wp:positionV>
            <wp:extent cx="7198360" cy="24644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7198360" cy="2464435"/>
                    </a:xfrm>
                    <a:prstGeom prst="rect">
                      <a:avLst/>
                    </a:prstGeom>
                    <a:noFill/>
                  </pic:spPr>
                </pic:pic>
              </a:graphicData>
            </a:graphic>
          </wp:anchor>
        </w:drawing>
      </w:r>
    </w:p>
    <w:p>
      <w:pPr>
        <w:sectPr>
          <w:pgSz w:w="11900" w:h="16838" w:orient="portrait"/>
          <w:cols w:equalWidth="0" w:num="1">
            <w:col w:w="11240"/>
          </w:cols>
          <w:pgMar w:left="360" w:top="142"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left="920"/>
        <w:spacing w:after="0" w:line="265" w:lineRule="auto"/>
        <w:rPr>
          <w:sz w:val="20"/>
          <w:szCs w:val="20"/>
          <w:color w:val="auto"/>
        </w:rPr>
      </w:pPr>
      <w:r>
        <w:rPr>
          <w:rFonts w:ascii="Arial" w:cs="Arial" w:eastAsia="Arial" w:hAnsi="Arial"/>
          <w:sz w:val="21"/>
          <w:szCs w:val="21"/>
          <w:b w:val="1"/>
          <w:bCs w:val="1"/>
          <w:color w:val="auto"/>
        </w:rPr>
        <w:t>Registrant or Filer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Claims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Sources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706"/>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Form</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Initial</w:t>
            </w: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or</w:t>
            </w:r>
          </w:p>
        </w:tc>
        <w:tc>
          <w:tcPr>
            <w:tcW w:w="40" w:type="dxa"/>
            <w:vAlign w:val="bottom"/>
          </w:tcPr>
          <w:p>
            <w:pPr>
              <w:spacing w:after="0"/>
              <w:rPr>
                <w:sz w:val="10"/>
                <w:szCs w:val="10"/>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File</w:t>
            </w:r>
          </w:p>
        </w:tc>
        <w:tc>
          <w:tcPr>
            <w:tcW w:w="20" w:type="dxa"/>
            <w:vAlign w:val="bottom"/>
          </w:tcPr>
          <w:p>
            <w:pPr>
              <w:spacing w:after="0"/>
              <w:rPr>
                <w:sz w:val="10"/>
                <w:szCs w:val="10"/>
                <w:color w:val="auto"/>
              </w:rPr>
            </w:pPr>
          </w:p>
        </w:tc>
        <w:tc>
          <w:tcPr>
            <w:tcW w:w="6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Filing</w:t>
            </w:r>
          </w:p>
        </w:tc>
        <w:tc>
          <w:tcPr>
            <w:tcW w:w="0" w:type="dxa"/>
            <w:vAlign w:val="bottom"/>
          </w:tcPr>
          <w:p>
            <w:pPr>
              <w:spacing w:after="0"/>
              <w:rPr>
                <w:sz w:val="1"/>
                <w:szCs w:val="1"/>
                <w:color w:val="auto"/>
              </w:rPr>
            </w:pPr>
          </w:p>
        </w:tc>
      </w:tr>
      <w:tr>
        <w:trPr>
          <w:trHeight w:val="215"/>
        </w:trPr>
        <w:tc>
          <w:tcPr>
            <w:tcW w:w="60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w w:val="99"/>
              </w:rPr>
              <w:t>Filing</w:t>
            </w:r>
          </w:p>
        </w:tc>
        <w:tc>
          <w:tcPr>
            <w:tcW w:w="20" w:type="dxa"/>
            <w:vAlign w:val="bottom"/>
          </w:tcPr>
          <w:p>
            <w:pPr>
              <w:spacing w:after="0"/>
              <w:rPr>
                <w:sz w:val="18"/>
                <w:szCs w:val="18"/>
                <w:color w:val="auto"/>
              </w:rPr>
            </w:pPr>
          </w:p>
        </w:tc>
        <w:tc>
          <w:tcPr>
            <w:tcW w:w="600" w:type="dxa"/>
            <w:vAlign w:val="bottom"/>
            <w:vMerge w:val="continue"/>
            <w:shd w:val="clear" w:color="auto" w:fill="9ADAF6"/>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Filing</w:t>
            </w:r>
          </w:p>
        </w:tc>
        <w:tc>
          <w:tcPr>
            <w:tcW w:w="40" w:type="dxa"/>
            <w:vAlign w:val="bottom"/>
          </w:tcPr>
          <w:p>
            <w:pPr>
              <w:spacing w:after="0"/>
              <w:rPr>
                <w:sz w:val="14"/>
                <w:szCs w:val="14"/>
                <w:color w:val="auto"/>
              </w:rPr>
            </w:pPr>
          </w:p>
        </w:tc>
        <w:tc>
          <w:tcPr>
            <w:tcW w:w="84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Number</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0" w:type="dxa"/>
            <w:vAlign w:val="bottom"/>
          </w:tcPr>
          <w:p>
            <w:pPr>
              <w:spacing w:after="0"/>
              <w:rPr>
                <w:sz w:val="1"/>
                <w:szCs w:val="1"/>
                <w:color w:val="auto"/>
              </w:rPr>
            </w:pPr>
          </w:p>
        </w:tc>
      </w:tr>
      <w:tr>
        <w:trPr>
          <w:trHeight w:val="295"/>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0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760" w:type="dxa"/>
            <w:vAlign w:val="bottom"/>
            <w:shd w:val="clear" w:color="auto" w:fill="9ADAF6"/>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240"/>
        </w:trPr>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Title</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Securities</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Paid</w:t>
            </w:r>
          </w:p>
        </w:tc>
        <w:tc>
          <w:tcPr>
            <w:tcW w:w="0" w:type="dxa"/>
            <w:vAlign w:val="bottom"/>
          </w:tcPr>
          <w:p>
            <w:pPr>
              <w:spacing w:after="0"/>
              <w:rPr>
                <w:sz w:val="1"/>
                <w:szCs w:val="1"/>
                <w:color w:val="auto"/>
              </w:rPr>
            </w:pPr>
          </w:p>
        </w:tc>
      </w:tr>
      <w:tr>
        <w:trPr>
          <w:trHeight w:val="120"/>
        </w:trPr>
        <w:tc>
          <w:tcPr>
            <w:tcW w:w="86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10"/>
                <w:szCs w:val="10"/>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with</w:t>
            </w:r>
          </w:p>
        </w:tc>
        <w:tc>
          <w:tcPr>
            <w:tcW w:w="0" w:type="dxa"/>
            <w:vAlign w:val="bottom"/>
          </w:tcPr>
          <w:p>
            <w:pPr>
              <w:spacing w:after="0"/>
              <w:rPr>
                <w:sz w:val="1"/>
                <w:szCs w:val="1"/>
                <w:color w:val="auto"/>
              </w:rPr>
            </w:pPr>
          </w:p>
        </w:tc>
      </w:tr>
      <w:tr>
        <w:trPr>
          <w:trHeight w:val="142"/>
        </w:trPr>
        <w:tc>
          <w:tcPr>
            <w:tcW w:w="86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vMerge w:val="continue"/>
            <w:shd w:val="clear" w:color="auto" w:fill="9ADAF6"/>
          </w:tcPr>
          <w:p>
            <w:pPr>
              <w:spacing w:after="0"/>
              <w:rPr>
                <w:sz w:val="12"/>
                <w:szCs w:val="12"/>
                <w:color w:val="auto"/>
              </w:rPr>
            </w:pPr>
          </w:p>
        </w:tc>
        <w:tc>
          <w:tcPr>
            <w:tcW w:w="0" w:type="dxa"/>
            <w:vAlign w:val="bottom"/>
          </w:tcPr>
          <w:p>
            <w:pPr>
              <w:spacing w:after="0"/>
              <w:rPr>
                <w:sz w:val="1"/>
                <w:szCs w:val="1"/>
                <w:color w:val="auto"/>
              </w:rPr>
            </w:pPr>
          </w:p>
        </w:tc>
      </w:tr>
      <w:tr>
        <w:trPr>
          <w:trHeight w:val="314"/>
        </w:trPr>
        <w:tc>
          <w:tcPr>
            <w:tcW w:w="8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with Fee</w:t>
            </w: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24"/>
                <w:szCs w:val="24"/>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145"/>
        </w:trPr>
        <w:tc>
          <w:tcPr>
            <w:tcW w:w="86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2"/>
                <w:szCs w:val="12"/>
                <w:color w:val="auto"/>
              </w:rPr>
            </w:pPr>
          </w:p>
        </w:tc>
        <w:tc>
          <w:tcPr>
            <w:tcW w:w="7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Offset</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Source</w:t>
            </w:r>
          </w:p>
        </w:tc>
        <w:tc>
          <w:tcPr>
            <w:tcW w:w="0" w:type="dxa"/>
            <w:vAlign w:val="bottom"/>
          </w:tcPr>
          <w:p>
            <w:pPr>
              <w:spacing w:after="0"/>
              <w:rPr>
                <w:sz w:val="1"/>
                <w:szCs w:val="1"/>
                <w:color w:val="auto"/>
              </w:rPr>
            </w:pPr>
          </w:p>
        </w:tc>
      </w:tr>
      <w:tr>
        <w:trPr>
          <w:trHeight w:val="282"/>
        </w:trPr>
        <w:tc>
          <w:tcPr>
            <w:tcW w:w="8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4"/>
                <w:szCs w:val="24"/>
                <w:color w:val="auto"/>
              </w:rPr>
            </w:pPr>
          </w:p>
        </w:tc>
        <w:tc>
          <w:tcPr>
            <w:tcW w:w="76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Rule 457(p)</w:t>
      </w:r>
    </w:p>
    <w:sectPr>
      <w:pgSz w:w="11900" w:h="16838" w:orient="portrait"/>
      <w:cols w:equalWidth="0" w:num="3">
        <w:col w:w="1980" w:space="40"/>
        <w:col w:w="2720" w:space="40"/>
        <w:col w:w="6460"/>
      </w:cols>
      <w:pgMar w:left="360" w:top="142"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jpe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17" Type="http://schemas.openxmlformats.org/officeDocument/2006/relationships/hyperlink" Target="http://www.sec.gov/Archives/edgar/data/1177648/000156459019018571/enta-s8.htm" TargetMode="External"/><Relationship Id="rId18" Type="http://schemas.openxmlformats.org/officeDocument/2006/relationships/hyperlink" Target="http://www.sec.gov/Archives/edgar/data/1177648/000156459021026049/enta-s8.htm" TargetMode="External"/><Relationship Id="rId19" Type="http://schemas.openxmlformats.org/officeDocument/2006/relationships/hyperlink" Target="http://www.sec.gov/Archives/edgar/data/1177648/000119312522145016/d337268ds8.htm" TargetMode="External"/><Relationship Id="rId20" Type="http://schemas.openxmlformats.org/officeDocument/2006/relationships/hyperlink" Target="http://www.sec.gov/Archives/edgar/data/1177648/000119312523206251/d518606ds8.htm" TargetMode="External"/><Relationship Id="rId21" Type="http://schemas.openxmlformats.org/officeDocument/2006/relationships/hyperlink" Target="http://www.sec.gov/Archives/edgar/data/1177648/000119312524134274/d825189ds8.htm" TargetMode="External"/><Relationship Id="rId22" Type="http://schemas.openxmlformats.org/officeDocument/2006/relationships/hyperlink" Target="http://www.sec.gov/Archives/edgar/data/1177648/000119312525119902/d903268ds8.htm" TargetMode="External"/><Relationship Id="rId23" Type="http://schemas.openxmlformats.org/officeDocument/2006/relationships/hyperlink" Target="http://www.sec.gov/Archives/edgar/data/1177648/000119312513132679/d511662dex31.htm" TargetMode="External"/><Relationship Id="rId24" Type="http://schemas.openxmlformats.org/officeDocument/2006/relationships/hyperlink" Target="http://www.sec.gov/Archives/edgar/data/1177648/000119312515294582/d95810dex32.htm" TargetMode="External"/><Relationship Id="rId25" Type="http://schemas.openxmlformats.org/officeDocument/2006/relationships/hyperlink" Target="http://www.sec.gov/Archives/edgar/data/1177648/000119312513038960/d401292dex41.htm" TargetMode="External"/><Relationship Id="rId26" Type="http://schemas.openxmlformats.org/officeDocument/2006/relationships/hyperlink" Target="http://www.sec.gov/Archives/edgar/data/1177648/000119312526104109/enta-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2026-05-13T06:27:07Z</dcterms:created>
  <dcterms:modified xsi:type="dcterms:W3CDTF">2026-05-13T06:27:07Z</dcterms:modified>
</cp:coreProperties>
</file>