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ind w:left="580" w:right="18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December 31,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9"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2840" w:type="dxa"/>
            <w:vAlign w:val="bottom"/>
          </w:tcPr>
          <w:p>
            <w:pPr>
              <w:jc w:val="center"/>
              <w:ind w:right="862"/>
              <w:spacing w:after="0"/>
              <w:rPr>
                <w:sz w:val="20"/>
                <w:szCs w:val="20"/>
                <w:color w:val="auto"/>
              </w:rPr>
            </w:pPr>
            <w:r>
              <w:rPr>
                <w:rFonts w:ascii="Arial" w:cs="Arial" w:eastAsia="Arial" w:hAnsi="Arial"/>
                <w:sz w:val="18"/>
                <w:szCs w:val="18"/>
                <w:b w:val="1"/>
                <w:bCs w:val="1"/>
                <w:color w:val="auto"/>
                <w:w w:val="98"/>
              </w:rPr>
              <w:t>DELAWARE</w:t>
            </w:r>
          </w:p>
        </w:tc>
        <w:tc>
          <w:tcPr>
            <w:tcW w:w="386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2834</w:t>
            </w:r>
          </w:p>
        </w:tc>
        <w:tc>
          <w:tcPr>
            <w:tcW w:w="248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04-3205099</w:t>
            </w:r>
          </w:p>
        </w:tc>
      </w:tr>
      <w:tr>
        <w:trPr>
          <w:trHeight w:val="149"/>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8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Classification Code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196"/>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0"/>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ENTA</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01"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2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January 31, 2021, the registrant had 20,171,852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8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8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008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80" w:type="dxa"/>
            <w:vAlign w:val="bottom"/>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Consolidated Balance Sheets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8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Consolidated Statements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8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Statements of Comprehensive Income (Loss)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80" w:type="dxa"/>
            <w:vAlign w:val="bottom"/>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Stockholders’ Equity</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80" w:type="dxa"/>
            <w:vAlign w:val="bottom"/>
          </w:tcPr>
          <w:p>
            <w:pPr>
              <w:ind w:lef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Cash Flows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08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Notes to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10080" w:type="dxa"/>
            <w:vAlign w:val="bottom"/>
          </w:tcPr>
          <w:p>
            <w:pPr>
              <w:ind w:left="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10080" w:type="dxa"/>
            <w:vAlign w:val="bottom"/>
          </w:tcPr>
          <w:p>
            <w:pPr>
              <w:ind w:left="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2"/>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0080" w:type="dxa"/>
            <w:vAlign w:val="bottom"/>
          </w:tcPr>
          <w:p>
            <w:pPr>
              <w:ind w:left="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0"/>
        </w:trPr>
        <w:tc>
          <w:tcPr>
            <w:tcW w:w="10880" w:type="dxa"/>
            <w:vAlign w:val="bottom"/>
            <w:gridSpan w:val="2"/>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PART II—OTHER INFORMATION</w:t>
              </w:r>
            </w:hyperlink>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10080" w:type="dxa"/>
            <w:vAlign w:val="bottom"/>
          </w:tcPr>
          <w:p>
            <w:pPr>
              <w:ind w:left="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10080" w:type="dxa"/>
            <w:vAlign w:val="bottom"/>
          </w:tcPr>
          <w:p>
            <w:pPr>
              <w:ind w:left="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800" w:type="dxa"/>
            <w:vAlign w:val="bottom"/>
          </w:tcPr>
          <w:p>
            <w:pPr>
              <w:spacing w:after="0"/>
              <w:rPr>
                <w:rFonts w:ascii="Arial" w:cs="Arial" w:eastAsia="Arial" w:hAnsi="Arial"/>
                <w:sz w:val="18"/>
                <w:szCs w:val="18"/>
                <w:u w:val="single" w:color="auto"/>
                <w:color w:val="0000EE"/>
                <w:w w:val="90"/>
              </w:rPr>
            </w:pPr>
            <w:hyperlink w:anchor="page52">
              <w:r>
                <w:rPr>
                  <w:rFonts w:ascii="Arial" w:cs="Arial" w:eastAsia="Arial" w:hAnsi="Arial"/>
                  <w:sz w:val="18"/>
                  <w:szCs w:val="18"/>
                  <w:u w:val="single" w:color="auto"/>
                  <w:color w:val="0000EE"/>
                  <w:w w:val="90"/>
                </w:rPr>
                <w:t>Signatures</w:t>
              </w:r>
            </w:hyperlink>
          </w:p>
        </w:tc>
        <w:tc>
          <w:tcPr>
            <w:tcW w:w="10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Form 10-Q.</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6620" w:type="dxa"/>
            <w:vAlign w:val="bottom"/>
          </w:tcPr>
          <w:p>
            <w:pPr>
              <w:jc w:val="center"/>
              <w:ind w:left="2250"/>
              <w:spacing w:after="0"/>
              <w:rPr>
                <w:sz w:val="20"/>
                <w:szCs w:val="20"/>
                <w:color w:val="auto"/>
              </w:rPr>
            </w:pPr>
            <w:r>
              <w:rPr>
                <w:rFonts w:ascii="Arial" w:cs="Arial" w:eastAsia="Arial" w:hAnsi="Arial"/>
                <w:sz w:val="18"/>
                <w:szCs w:val="18"/>
                <w:b w:val="1"/>
                <w:bCs w:val="1"/>
                <w:color w:val="auto"/>
              </w:rPr>
              <w:t>ENANTA PHARMACEUTICALS, INC.</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62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620" w:type="dxa"/>
            <w:vAlign w:val="bottom"/>
          </w:tcPr>
          <w:p>
            <w:pPr>
              <w:jc w:val="center"/>
              <w:ind w:left="227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620" w:type="dxa"/>
            <w:vAlign w:val="bottom"/>
          </w:tcPr>
          <w:p>
            <w:pPr>
              <w:jc w:val="center"/>
              <w:ind w:left="227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1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140" w:type="dxa"/>
            <w:vAlign w:val="bottom"/>
            <w:tcBorders>
              <w:bottom w:val="single" w:sz="8" w:color="CFF0FC"/>
            </w:tcBorders>
          </w:tcPr>
          <w:p>
            <w:pPr>
              <w:spacing w:after="0"/>
              <w:rPr>
                <w:sz w:val="14"/>
                <w:szCs w:val="14"/>
                <w:color w:val="auto"/>
              </w:rPr>
            </w:pPr>
          </w:p>
        </w:tc>
        <w:tc>
          <w:tcPr>
            <w:tcW w:w="66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55,095</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87,131</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ind w:left="140"/>
              <w:spacing w:after="0"/>
              <w:rPr>
                <w:sz w:val="20"/>
                <w:szCs w:val="20"/>
                <w:color w:val="auto"/>
              </w:rPr>
            </w:pPr>
            <w:r>
              <w:rPr>
                <w:rFonts w:ascii="Arial" w:cs="Arial" w:eastAsia="Arial" w:hAnsi="Arial"/>
                <w:sz w:val="18"/>
                <w:szCs w:val="18"/>
                <w:color w:val="auto"/>
              </w:rPr>
              <w:t>Short-term marketable securities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331,101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299,518</w:t>
            </w: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23,492</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26,696</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436,837</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32,634</w:t>
            </w: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8,596</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7,020</w:t>
            </w:r>
          </w:p>
        </w:tc>
        <w:tc>
          <w:tcPr>
            <w:tcW w:w="10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w w:val="90"/>
              </w:rPr>
              <w:t>Restricted cash</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9"/>
                <w:szCs w:val="19"/>
                <w:color w:val="auto"/>
              </w:rPr>
            </w:pPr>
          </w:p>
        </w:tc>
      </w:tr>
      <w:tr>
        <w:trPr>
          <w:trHeight w:val="263"/>
        </w:trPr>
        <w:tc>
          <w:tcPr>
            <w:tcW w:w="114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w w:val="86"/>
              </w:rPr>
              <w:t>Total assets</w:t>
            </w:r>
          </w:p>
        </w:tc>
        <w:tc>
          <w:tcPr>
            <w:tcW w:w="66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481,012</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486,132</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14,159</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24,157</w:t>
            </w: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3,838</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30,552</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 $0.01 par value per share, 100,000 shares authorized; 20,142 and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20,077 shares issued and outstanding at December 31, 2020 and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September 30, 2020, respectively</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20"/>
                <w:szCs w:val="20"/>
                <w:color w:val="auto"/>
              </w:rPr>
            </w:pPr>
          </w:p>
        </w:tc>
      </w:tr>
      <w:tr>
        <w:trPr>
          <w:trHeight w:val="230"/>
        </w:trPr>
        <w:tc>
          <w:tcPr>
            <w:tcW w:w="77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332,145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326,963</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119,244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127,572</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451,995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455,580</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481,012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486,132</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1"/>
        </w:trPr>
        <w:tc>
          <w:tcPr>
            <w:tcW w:w="75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56"/>
        </w:trPr>
        <w:tc>
          <w:tcPr>
            <w:tcW w:w="75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3"/>
                <w:szCs w:val="13"/>
                <w:color w:val="auto"/>
              </w:rPr>
            </w:pPr>
          </w:p>
        </w:tc>
      </w:tr>
      <w:tr>
        <w:trPr>
          <w:trHeight w:val="223"/>
        </w:trPr>
        <w:tc>
          <w:tcPr>
            <w:tcW w:w="7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31,743</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52,570</w:t>
            </w:r>
          </w:p>
        </w:tc>
        <w:tc>
          <w:tcPr>
            <w:tcW w:w="400" w:type="dxa"/>
            <w:vAlign w:val="bottom"/>
            <w:shd w:val="clear" w:color="auto" w:fill="CFF0FC"/>
          </w:tcPr>
          <w:p>
            <w:pPr>
              <w:spacing w:after="0"/>
              <w:rPr>
                <w:sz w:val="19"/>
                <w:szCs w:val="19"/>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32,778</w:t>
            </w:r>
          </w:p>
        </w:tc>
        <w:tc>
          <w:tcPr>
            <w:tcW w:w="400" w:type="dxa"/>
            <w:vAlign w:val="bottom"/>
            <w:shd w:val="clear" w:color="auto" w:fill="CFF0FC"/>
          </w:tcPr>
          <w:p>
            <w:pPr>
              <w:spacing w:after="0"/>
              <w:rPr>
                <w:sz w:val="19"/>
                <w:szCs w:val="19"/>
                <w:color w:val="auto"/>
              </w:rPr>
            </w:pPr>
          </w:p>
        </w:tc>
      </w:tr>
      <w:tr>
        <w:trPr>
          <w:trHeight w:val="229"/>
        </w:trPr>
        <w:tc>
          <w:tcPr>
            <w:tcW w:w="75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400" w:type="dxa"/>
            <w:vAlign w:val="bottom"/>
            <w:tcBorders>
              <w:bottom w:val="single" w:sz="8" w:color="CFF0FC"/>
            </w:tcBorders>
          </w:tcPr>
          <w:p>
            <w:pPr>
              <w:spacing w:after="0"/>
              <w:rPr>
                <w:sz w:val="19"/>
                <w:szCs w:val="19"/>
                <w:color w:val="auto"/>
              </w:rPr>
            </w:pPr>
          </w:p>
        </w:tc>
      </w:tr>
      <w:tr>
        <w:trPr>
          <w:trHeight w:val="223"/>
        </w:trPr>
        <w:tc>
          <w:tcPr>
            <w:tcW w:w="7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44,042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39,699</w:t>
            </w:r>
          </w:p>
        </w:tc>
        <w:tc>
          <w:tcPr>
            <w:tcW w:w="400" w:type="dxa"/>
            <w:vAlign w:val="bottom"/>
            <w:shd w:val="clear" w:color="auto" w:fill="CFF0FC"/>
          </w:tcPr>
          <w:p>
            <w:pPr>
              <w:spacing w:after="0"/>
              <w:rPr>
                <w:sz w:val="19"/>
                <w:szCs w:val="19"/>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(12,299)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12,871</w:t>
            </w:r>
          </w:p>
        </w:tc>
        <w:tc>
          <w:tcPr>
            <w:tcW w:w="40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29"/>
        </w:trPr>
        <w:tc>
          <w:tcPr>
            <w:tcW w:w="75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income (expense), net</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400" w:type="dxa"/>
            <w:vAlign w:val="bottom"/>
            <w:tcBorders>
              <w:bottom w:val="single" w:sz="8" w:color="CFF0FC"/>
            </w:tcBorders>
          </w:tcPr>
          <w:p>
            <w:pPr>
              <w:spacing w:after="0"/>
              <w:rPr>
                <w:sz w:val="19"/>
                <w:szCs w:val="19"/>
                <w:color w:val="auto"/>
              </w:rPr>
            </w:pPr>
          </w:p>
        </w:tc>
      </w:tr>
      <w:tr>
        <w:trPr>
          <w:trHeight w:val="223"/>
        </w:trPr>
        <w:tc>
          <w:tcPr>
            <w:tcW w:w="7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other income (expense), net</w:t>
            </w: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400" w:type="dxa"/>
            <w:vAlign w:val="bottom"/>
            <w:shd w:val="clear" w:color="auto" w:fill="CFF0FC"/>
          </w:tcPr>
          <w:p>
            <w:pPr>
              <w:spacing w:after="0"/>
              <w:rPr>
                <w:sz w:val="19"/>
                <w:szCs w:val="19"/>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(11,622)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14,947</w:t>
            </w:r>
          </w:p>
        </w:tc>
        <w:tc>
          <w:tcPr>
            <w:tcW w:w="400" w:type="dxa"/>
            <w:vAlign w:val="bottom"/>
          </w:tcPr>
          <w:p>
            <w:pPr>
              <w:spacing w:after="0"/>
              <w:rPr>
                <w:sz w:val="19"/>
                <w:szCs w:val="19"/>
                <w:color w:val="auto"/>
              </w:rPr>
            </w:pPr>
          </w:p>
        </w:tc>
      </w:tr>
      <w:tr>
        <w:trPr>
          <w:trHeight w:val="230"/>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 benefit</w:t>
            </w: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(1,504)</w:t>
            </w:r>
          </w:p>
        </w:tc>
      </w:tr>
      <w:tr>
        <w:trPr>
          <w:trHeight w:val="263"/>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(8,328)</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13,443</w:t>
            </w:r>
          </w:p>
        </w:tc>
        <w:tc>
          <w:tcPr>
            <w:tcW w:w="400" w:type="dxa"/>
            <w:vAlign w:val="bottom"/>
            <w:tcBorders>
              <w:bottom w:val="single" w:sz="8" w:color="CFF0FC"/>
            </w:tcBorders>
          </w:tcPr>
          <w:p>
            <w:pPr>
              <w:spacing w:after="0"/>
              <w:rPr>
                <w:sz w:val="22"/>
                <w:szCs w:val="22"/>
                <w:color w:val="auto"/>
              </w:rPr>
            </w:pPr>
          </w:p>
        </w:tc>
      </w:tr>
      <w:tr>
        <w:trPr>
          <w:trHeight w:val="210"/>
        </w:trPr>
        <w:tc>
          <w:tcPr>
            <w:tcW w:w="75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7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(0.41)</w:t>
            </w:r>
          </w:p>
        </w:tc>
        <w:tc>
          <w:tcPr>
            <w:tcW w:w="70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400" w:type="dxa"/>
            <w:vAlign w:val="bottom"/>
            <w:shd w:val="clear" w:color="auto" w:fill="CFF0FC"/>
          </w:tcPr>
          <w:p>
            <w:pPr>
              <w:spacing w:after="0"/>
              <w:rPr>
                <w:sz w:val="19"/>
                <w:szCs w:val="19"/>
                <w:color w:val="auto"/>
              </w:rPr>
            </w:pPr>
          </w:p>
        </w:tc>
      </w:tr>
      <w:tr>
        <w:trPr>
          <w:trHeight w:val="229"/>
        </w:trPr>
        <w:tc>
          <w:tcPr>
            <w:tcW w:w="7520" w:type="dxa"/>
            <w:vAlign w:val="bottom"/>
          </w:tcPr>
          <w:p>
            <w:pPr>
              <w:ind w:left="280"/>
              <w:spacing w:after="0"/>
              <w:rPr>
                <w:sz w:val="20"/>
                <w:szCs w:val="20"/>
                <w:color w:val="auto"/>
              </w:rPr>
            </w:pPr>
            <w:r>
              <w:rPr>
                <w:rFonts w:ascii="Arial" w:cs="Arial" w:eastAsia="Arial" w:hAnsi="Arial"/>
                <w:sz w:val="18"/>
                <w:szCs w:val="18"/>
                <w:color w:val="auto"/>
              </w:rPr>
              <w:t>Diluted</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7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0.65</w:t>
            </w:r>
          </w:p>
        </w:tc>
        <w:tc>
          <w:tcPr>
            <w:tcW w:w="40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7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19,751</w:t>
            </w:r>
          </w:p>
        </w:tc>
        <w:tc>
          <w:tcPr>
            <w:tcW w:w="400" w:type="dxa"/>
            <w:vAlign w:val="bottom"/>
            <w:shd w:val="clear" w:color="auto" w:fill="CFF0FC"/>
          </w:tcPr>
          <w:p>
            <w:pPr>
              <w:spacing w:after="0"/>
              <w:rPr>
                <w:sz w:val="19"/>
                <w:szCs w:val="19"/>
                <w:color w:val="auto"/>
              </w:rPr>
            </w:pPr>
          </w:p>
        </w:tc>
      </w:tr>
      <w:tr>
        <w:trPr>
          <w:trHeight w:val="230"/>
        </w:trPr>
        <w:tc>
          <w:tcPr>
            <w:tcW w:w="7520" w:type="dxa"/>
            <w:vAlign w:val="bottom"/>
          </w:tcPr>
          <w:p>
            <w:pPr>
              <w:ind w:left="28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20,773</w:t>
            </w:r>
          </w:p>
        </w:tc>
        <w:tc>
          <w:tcPr>
            <w:tcW w:w="40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w w:val="99"/>
              </w:rPr>
              <w:t>Three Months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4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6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13,443</w:t>
            </w:r>
          </w:p>
        </w:tc>
        <w:tc>
          <w:tcPr>
            <w:tcW w:w="120" w:type="dxa"/>
            <w:vAlign w:val="bottom"/>
            <w:shd w:val="clear" w:color="auto" w:fill="CFF0FC"/>
          </w:tcPr>
          <w:p>
            <w:pPr>
              <w:spacing w:after="0"/>
              <w:rPr>
                <w:sz w:val="19"/>
                <w:szCs w:val="19"/>
                <w:color w:val="auto"/>
              </w:rPr>
            </w:pP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(losses) on marketable securities, net of</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of $0 and ($28)</w:t>
            </w:r>
          </w:p>
        </w:tc>
        <w:tc>
          <w:tcPr>
            <w:tcW w:w="10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(439)</w:t>
            </w:r>
          </w:p>
        </w:tc>
        <w:tc>
          <w:tcPr>
            <w:tcW w:w="6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20"/>
                <w:szCs w:val="20"/>
                <w:color w:val="auto"/>
              </w:rPr>
            </w:pPr>
          </w:p>
        </w:tc>
      </w:tr>
      <w:tr>
        <w:trPr>
          <w:trHeight w:val="223"/>
        </w:trPr>
        <w:tc>
          <w:tcPr>
            <w:tcW w:w="7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 net of tax</w:t>
            </w:r>
          </w:p>
        </w:tc>
        <w:tc>
          <w:tcPr>
            <w:tcW w:w="10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30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FF0FC"/>
            </w:tcBorders>
          </w:tcPr>
          <w:p>
            <w:pPr>
              <w:spacing w:after="0"/>
              <w:rPr>
                <w:sz w:val="19"/>
                <w:szCs w:val="19"/>
                <w:color w:val="auto"/>
              </w:rPr>
            </w:pPr>
          </w:p>
        </w:tc>
      </w:tr>
      <w:tr>
        <w:trPr>
          <w:trHeight w:val="223"/>
        </w:trPr>
        <w:tc>
          <w:tcPr>
            <w:tcW w:w="7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(8,767)</w:t>
            </w:r>
          </w:p>
        </w:tc>
        <w:tc>
          <w:tcPr>
            <w:tcW w:w="3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3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r>
      <w:tr>
        <w:trPr>
          <w:trHeight w:val="228"/>
        </w:trPr>
        <w:tc>
          <w:tcPr>
            <w:tcW w:w="3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2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9"/>
                <w:szCs w:val="19"/>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r>
      <w:tr>
        <w:trPr>
          <w:trHeight w:val="155"/>
        </w:trPr>
        <w:tc>
          <w:tcPr>
            <w:tcW w:w="3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10"/>
        </w:trPr>
        <w:tc>
          <w:tcPr>
            <w:tcW w:w="4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2019</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19,703</w:t>
            </w: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197</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298,409</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146</w:t>
            </w: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163,740</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462,492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02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18"/>
                <w:szCs w:val="18"/>
                <w:color w:val="auto"/>
              </w:rPr>
            </w:pPr>
          </w:p>
        </w:tc>
      </w:tr>
      <w:tr>
        <w:trPr>
          <w:trHeight w:val="209"/>
        </w:trPr>
        <w:tc>
          <w:tcPr>
            <w:tcW w:w="4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0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(1,140)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(1,140)</w:t>
            </w:r>
          </w:p>
        </w:tc>
      </w:tr>
      <w:tr>
        <w:trPr>
          <w:trHeight w:val="213"/>
        </w:trPr>
        <w:tc>
          <w:tcPr>
            <w:tcW w:w="40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5,098</w:t>
            </w:r>
          </w:p>
        </w:tc>
        <w:tc>
          <w:tcPr>
            <w:tcW w:w="100" w:type="dxa"/>
            <w:vAlign w:val="bottom"/>
          </w:tcPr>
          <w:p>
            <w:pPr>
              <w:spacing w:after="0"/>
              <w:rPr>
                <w:sz w:val="18"/>
                <w:szCs w:val="18"/>
                <w:color w:val="auto"/>
              </w:rPr>
            </w:pPr>
          </w:p>
        </w:tc>
      </w:tr>
      <w:tr>
        <w:trPr>
          <w:trHeight w:val="219"/>
        </w:trPr>
        <w:tc>
          <w:tcPr>
            <w:tcW w:w="4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9"/>
                <w:szCs w:val="19"/>
                <w:color w:val="auto"/>
              </w:rPr>
            </w:pPr>
          </w:p>
        </w:tc>
      </w:tr>
      <w:tr>
        <w:trPr>
          <w:trHeight w:val="213"/>
        </w:trPr>
        <w:tc>
          <w:tcPr>
            <w:tcW w:w="40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13,443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13,443</w:t>
            </w:r>
          </w:p>
        </w:tc>
        <w:tc>
          <w:tcPr>
            <w:tcW w:w="100" w:type="dxa"/>
            <w:vAlign w:val="bottom"/>
          </w:tcPr>
          <w:p>
            <w:pPr>
              <w:spacing w:after="0"/>
              <w:rPr>
                <w:sz w:val="18"/>
                <w:szCs w:val="18"/>
                <w:color w:val="auto"/>
              </w:rPr>
            </w:pPr>
          </w:p>
        </w:tc>
      </w:tr>
      <w:tr>
        <w:trPr>
          <w:trHeight w:val="210"/>
        </w:trPr>
        <w:tc>
          <w:tcPr>
            <w:tcW w:w="40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2019</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19,810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198</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304,672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234</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177,183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482,287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3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228"/>
        </w:trPr>
        <w:tc>
          <w:tcPr>
            <w:tcW w:w="3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9"/>
                <w:szCs w:val="19"/>
                <w:color w:val="auto"/>
              </w:rPr>
            </w:pPr>
          </w:p>
        </w:tc>
        <w:tc>
          <w:tcPr>
            <w:tcW w:w="11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9"/>
                <w:szCs w:val="19"/>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39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3"/>
                <w:szCs w:val="13"/>
                <w:color w:val="auto"/>
              </w:rPr>
            </w:pPr>
          </w:p>
        </w:tc>
        <w:tc>
          <w:tcPr>
            <w:tcW w:w="1140" w:type="dxa"/>
            <w:vAlign w:val="bottom"/>
            <w:gridSpan w:val="4"/>
          </w:tcPr>
          <w:p>
            <w:pPr>
              <w:jc w:val="center"/>
              <w:ind w:right="16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09"/>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2020</w:t>
            </w:r>
          </w:p>
        </w:tc>
        <w:tc>
          <w:tcPr>
            <w:tcW w:w="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20,077</w:t>
            </w: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gridSpan w:val="2"/>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201</w:t>
            </w: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326,963</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844</w:t>
            </w: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127,572</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455,580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02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r>
      <w:tr>
        <w:trPr>
          <w:trHeight w:val="209"/>
        </w:trPr>
        <w:tc>
          <w:tcPr>
            <w:tcW w:w="4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0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(534)</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(534)</w:t>
            </w:r>
          </w:p>
        </w:tc>
      </w:tr>
      <w:tr>
        <w:trPr>
          <w:trHeight w:val="213"/>
        </w:trPr>
        <w:tc>
          <w:tcPr>
            <w:tcW w:w="40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4,883</w:t>
            </w:r>
          </w:p>
        </w:tc>
        <w:tc>
          <w:tcPr>
            <w:tcW w:w="100" w:type="dxa"/>
            <w:vAlign w:val="bottom"/>
          </w:tcPr>
          <w:p>
            <w:pPr>
              <w:spacing w:after="0"/>
              <w:rPr>
                <w:sz w:val="18"/>
                <w:szCs w:val="18"/>
                <w:color w:val="auto"/>
              </w:rPr>
            </w:pPr>
          </w:p>
        </w:tc>
      </w:tr>
      <w:tr>
        <w:trPr>
          <w:trHeight w:val="219"/>
        </w:trPr>
        <w:tc>
          <w:tcPr>
            <w:tcW w:w="4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(439)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(439)</w:t>
            </w:r>
          </w:p>
        </w:tc>
      </w:tr>
      <w:tr>
        <w:trPr>
          <w:trHeight w:val="213"/>
        </w:trPr>
        <w:tc>
          <w:tcPr>
            <w:tcW w:w="40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(8,328)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(8,328)</w:t>
            </w:r>
          </w:p>
        </w:tc>
      </w:tr>
      <w:tr>
        <w:trPr>
          <w:trHeight w:val="210"/>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2020</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20,142</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201</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332,145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405</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119,244</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451,995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8"/>
        </w:trPr>
        <w:tc>
          <w:tcPr>
            <w:tcW w:w="7760" w:type="dxa"/>
            <w:vAlign w:val="bottom"/>
          </w:tcPr>
          <w:p>
            <w:pPr>
              <w:ind w:left="260"/>
              <w:spacing w:after="0"/>
              <w:rPr>
                <w:sz w:val="20"/>
                <w:szCs w:val="20"/>
                <w:color w:val="auto"/>
              </w:rPr>
            </w:pPr>
            <w:r>
              <w:rPr>
                <w:rFonts w:ascii="Arial" w:cs="Arial" w:eastAsia="Arial" w:hAnsi="Arial"/>
                <w:sz w:val="17"/>
                <w:szCs w:val="17"/>
                <w:color w:val="auto"/>
              </w:rPr>
              <w:t>Net income (loss)</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(8,328)</w:t>
            </w:r>
          </w:p>
        </w:tc>
        <w:tc>
          <w:tcPr>
            <w:tcW w:w="6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13,443</w:t>
            </w:r>
          </w:p>
        </w:tc>
        <w:tc>
          <w:tcPr>
            <w:tcW w:w="100" w:type="dxa"/>
            <w:vAlign w:val="bottom"/>
          </w:tcPr>
          <w:p>
            <w:pPr>
              <w:spacing w:after="0"/>
              <w:rPr>
                <w:sz w:val="19"/>
                <w:szCs w:val="19"/>
                <w:color w:val="auto"/>
              </w:rPr>
            </w:pPr>
          </w:p>
        </w:tc>
      </w:tr>
      <w:tr>
        <w:trPr>
          <w:trHeight w:val="200"/>
        </w:trPr>
        <w:tc>
          <w:tcPr>
            <w:tcW w:w="7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income to net cash provided by</w:t>
            </w:r>
          </w:p>
        </w:tc>
        <w:tc>
          <w:tcPr>
            <w:tcW w:w="9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77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operating activities:</w:t>
            </w:r>
          </w:p>
        </w:tc>
        <w:tc>
          <w:tcPr>
            <w:tcW w:w="9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776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5,098</w:t>
            </w:r>
          </w:p>
        </w:tc>
        <w:tc>
          <w:tcPr>
            <w:tcW w:w="100" w:type="dxa"/>
            <w:vAlign w:val="bottom"/>
          </w:tcPr>
          <w:p>
            <w:pPr>
              <w:spacing w:after="0"/>
              <w:rPr>
                <w:sz w:val="19"/>
                <w:szCs w:val="19"/>
                <w:color w:val="auto"/>
              </w:rPr>
            </w:pPr>
          </w:p>
        </w:tc>
      </w:tr>
      <w:tr>
        <w:trPr>
          <w:trHeight w:val="232"/>
        </w:trPr>
        <w:tc>
          <w:tcPr>
            <w:tcW w:w="77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Depreciation and amortization expense</w:t>
            </w:r>
          </w:p>
        </w:tc>
        <w:tc>
          <w:tcPr>
            <w:tcW w:w="9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904</w:t>
            </w:r>
          </w:p>
        </w:tc>
        <w:tc>
          <w:tcPr>
            <w:tcW w:w="100" w:type="dxa"/>
            <w:vAlign w:val="bottom"/>
            <w:shd w:val="clear" w:color="auto" w:fill="CFF0FC"/>
          </w:tcPr>
          <w:p>
            <w:pPr>
              <w:spacing w:after="0"/>
              <w:rPr>
                <w:sz w:val="20"/>
                <w:szCs w:val="20"/>
                <w:color w:val="auto"/>
              </w:rPr>
            </w:pPr>
          </w:p>
        </w:tc>
      </w:tr>
      <w:tr>
        <w:trPr>
          <w:trHeight w:val="228"/>
        </w:trPr>
        <w:tc>
          <w:tcPr>
            <w:tcW w:w="7760" w:type="dxa"/>
            <w:vAlign w:val="bottom"/>
          </w:tcPr>
          <w:p>
            <w:pPr>
              <w:ind w:left="500"/>
              <w:spacing w:after="0"/>
              <w:rPr>
                <w:sz w:val="20"/>
                <w:szCs w:val="20"/>
                <w:color w:val="auto"/>
              </w:rPr>
            </w:pPr>
            <w:r>
              <w:rPr>
                <w:rFonts w:ascii="Arial" w:cs="Arial" w:eastAsia="Arial" w:hAnsi="Arial"/>
                <w:sz w:val="17"/>
                <w:szCs w:val="17"/>
                <w:color w:val="auto"/>
              </w:rPr>
              <w:t>Deferred income taxes</w:t>
            </w:r>
          </w:p>
        </w:tc>
        <w:tc>
          <w:tcPr>
            <w:tcW w:w="9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657</w:t>
            </w:r>
          </w:p>
        </w:tc>
        <w:tc>
          <w:tcPr>
            <w:tcW w:w="100" w:type="dxa"/>
            <w:vAlign w:val="bottom"/>
          </w:tcPr>
          <w:p>
            <w:pPr>
              <w:spacing w:after="0"/>
              <w:rPr>
                <w:sz w:val="19"/>
                <w:szCs w:val="19"/>
                <w:color w:val="auto"/>
              </w:rPr>
            </w:pPr>
          </w:p>
        </w:tc>
      </w:tr>
      <w:tr>
        <w:trPr>
          <w:trHeight w:val="231"/>
        </w:trPr>
        <w:tc>
          <w:tcPr>
            <w:tcW w:w="77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Premium paid on marketable securities</w:t>
            </w:r>
          </w:p>
        </w:tc>
        <w:tc>
          <w:tcPr>
            <w:tcW w:w="9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(1,025)</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(988)</w:t>
            </w:r>
          </w:p>
        </w:tc>
      </w:tr>
      <w:tr>
        <w:trPr>
          <w:trHeight w:val="228"/>
        </w:trPr>
        <w:tc>
          <w:tcPr>
            <w:tcW w:w="7760" w:type="dxa"/>
            <w:vAlign w:val="bottom"/>
          </w:tcPr>
          <w:p>
            <w:pPr>
              <w:ind w:left="500"/>
              <w:spacing w:after="0"/>
              <w:rPr>
                <w:sz w:val="20"/>
                <w:szCs w:val="20"/>
                <w:color w:val="auto"/>
              </w:rPr>
            </w:pPr>
            <w:r>
              <w:rPr>
                <w:rFonts w:ascii="Arial" w:cs="Arial" w:eastAsia="Arial" w:hAnsi="Arial"/>
                <w:sz w:val="17"/>
                <w:szCs w:val="17"/>
                <w:color w:val="auto"/>
              </w:rPr>
              <w:t>(Accretion) amortization of (discount) premium on marketable securities</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(330)</w:t>
            </w:r>
          </w:p>
        </w:tc>
      </w:tr>
      <w:tr>
        <w:trPr>
          <w:trHeight w:val="232"/>
        </w:trPr>
        <w:tc>
          <w:tcPr>
            <w:tcW w:w="77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non-cash items</w:t>
            </w:r>
          </w:p>
        </w:tc>
        <w:tc>
          <w:tcPr>
            <w:tcW w:w="9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r>
      <w:tr>
        <w:trPr>
          <w:trHeight w:val="227"/>
        </w:trPr>
        <w:tc>
          <w:tcPr>
            <w:tcW w:w="7760" w:type="dxa"/>
            <w:vAlign w:val="bottom"/>
          </w:tcPr>
          <w:p>
            <w:pPr>
              <w:ind w:left="500"/>
              <w:spacing w:after="0"/>
              <w:rPr>
                <w:sz w:val="20"/>
                <w:szCs w:val="20"/>
                <w:color w:val="auto"/>
              </w:rPr>
            </w:pPr>
            <w:r>
              <w:rPr>
                <w:rFonts w:ascii="Arial" w:cs="Arial" w:eastAsia="Arial" w:hAnsi="Arial"/>
                <w:sz w:val="17"/>
                <w:szCs w:val="17"/>
                <w:color w:val="auto"/>
              </w:rPr>
              <w:t>Change in operating assets and liabilities:</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77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receivable</w:t>
            </w:r>
          </w:p>
        </w:tc>
        <w:tc>
          <w:tcPr>
            <w:tcW w:w="9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(8,251)</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(1,257)</w:t>
            </w:r>
          </w:p>
        </w:tc>
      </w:tr>
      <w:tr>
        <w:trPr>
          <w:trHeight w:val="228"/>
        </w:trPr>
        <w:tc>
          <w:tcPr>
            <w:tcW w:w="7760" w:type="dxa"/>
            <w:vAlign w:val="bottom"/>
          </w:tcPr>
          <w:p>
            <w:pPr>
              <w:ind w:left="740"/>
              <w:spacing w:after="0"/>
              <w:rPr>
                <w:sz w:val="20"/>
                <w:szCs w:val="20"/>
                <w:color w:val="auto"/>
              </w:rPr>
            </w:pPr>
            <w:r>
              <w:rPr>
                <w:rFonts w:ascii="Arial" w:cs="Arial" w:eastAsia="Arial" w:hAnsi="Arial"/>
                <w:sz w:val="17"/>
                <w:szCs w:val="17"/>
                <w:color w:val="auto"/>
              </w:rPr>
              <w:t>Prepaid expenses and other current assets</w:t>
            </w:r>
          </w:p>
        </w:tc>
        <w:tc>
          <w:tcPr>
            <w:tcW w:w="9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(1,307)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1,146</w:t>
            </w:r>
          </w:p>
        </w:tc>
        <w:tc>
          <w:tcPr>
            <w:tcW w:w="100" w:type="dxa"/>
            <w:vAlign w:val="bottom"/>
          </w:tcPr>
          <w:p>
            <w:pPr>
              <w:spacing w:after="0"/>
              <w:rPr>
                <w:sz w:val="19"/>
                <w:szCs w:val="19"/>
                <w:color w:val="auto"/>
              </w:rPr>
            </w:pPr>
          </w:p>
        </w:tc>
      </w:tr>
      <w:tr>
        <w:trPr>
          <w:trHeight w:val="231"/>
        </w:trPr>
        <w:tc>
          <w:tcPr>
            <w:tcW w:w="77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Operating lease, right-of-use assets</w:t>
            </w:r>
          </w:p>
        </w:tc>
        <w:tc>
          <w:tcPr>
            <w:tcW w:w="9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CFF0FC"/>
          </w:tcPr>
          <w:p>
            <w:pPr>
              <w:spacing w:after="0"/>
              <w:rPr>
                <w:sz w:val="20"/>
                <w:szCs w:val="20"/>
                <w:color w:val="auto"/>
              </w:rPr>
            </w:pPr>
          </w:p>
        </w:tc>
      </w:tr>
      <w:tr>
        <w:trPr>
          <w:trHeight w:val="228"/>
        </w:trPr>
        <w:tc>
          <w:tcPr>
            <w:tcW w:w="7760" w:type="dxa"/>
            <w:vAlign w:val="bottom"/>
          </w:tcPr>
          <w:p>
            <w:pPr>
              <w:ind w:left="740"/>
              <w:spacing w:after="0"/>
              <w:rPr>
                <w:sz w:val="20"/>
                <w:szCs w:val="20"/>
                <w:color w:val="auto"/>
              </w:rPr>
            </w:pPr>
            <w:r>
              <w:rPr>
                <w:rFonts w:ascii="Arial" w:cs="Arial" w:eastAsia="Arial" w:hAnsi="Arial"/>
                <w:sz w:val="17"/>
                <w:szCs w:val="17"/>
                <w:color w:val="auto"/>
              </w:rPr>
              <w:t>Accounts payable</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(179)</w:t>
            </w:r>
          </w:p>
        </w:tc>
      </w:tr>
      <w:tr>
        <w:trPr>
          <w:trHeight w:val="232"/>
        </w:trPr>
        <w:tc>
          <w:tcPr>
            <w:tcW w:w="77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Accrued expenses</w:t>
            </w:r>
          </w:p>
        </w:tc>
        <w:tc>
          <w:tcPr>
            <w:tcW w:w="9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(2,498)</w:t>
            </w: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(5,989)</w:t>
            </w:r>
          </w:p>
        </w:tc>
      </w:tr>
      <w:tr>
        <w:trPr>
          <w:trHeight w:val="228"/>
        </w:trPr>
        <w:tc>
          <w:tcPr>
            <w:tcW w:w="7760" w:type="dxa"/>
            <w:vAlign w:val="bottom"/>
          </w:tcPr>
          <w:p>
            <w:pPr>
              <w:ind w:left="740"/>
              <w:spacing w:after="0"/>
              <w:rPr>
                <w:sz w:val="20"/>
                <w:szCs w:val="20"/>
                <w:color w:val="auto"/>
              </w:rPr>
            </w:pPr>
            <w:r>
              <w:rPr>
                <w:rFonts w:ascii="Arial" w:cs="Arial" w:eastAsia="Arial" w:hAnsi="Arial"/>
                <w:sz w:val="17"/>
                <w:szCs w:val="17"/>
                <w:color w:val="auto"/>
              </w:rPr>
              <w:t>Operating lease liabilities</w:t>
            </w:r>
          </w:p>
        </w:tc>
        <w:tc>
          <w:tcPr>
            <w:tcW w:w="9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(1,289)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(593)</w:t>
            </w:r>
          </w:p>
        </w:tc>
      </w:tr>
      <w:tr>
        <w:trPr>
          <w:trHeight w:val="229"/>
        </w:trPr>
        <w:tc>
          <w:tcPr>
            <w:tcW w:w="77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Other long-term liabilities</w:t>
            </w:r>
          </w:p>
        </w:tc>
        <w:tc>
          <w:tcPr>
            <w:tcW w:w="9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(67)</w:t>
            </w:r>
          </w:p>
        </w:tc>
      </w:tr>
      <w:tr>
        <w:trPr>
          <w:trHeight w:val="20"/>
        </w:trPr>
        <w:tc>
          <w:tcPr>
            <w:tcW w:w="7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7"/>
                <w:szCs w:val="17"/>
                <w:color w:val="auto"/>
              </w:rPr>
              <w:t>Net cash provided by (used in) operating activities</w:t>
            </w:r>
          </w:p>
        </w:tc>
        <w:tc>
          <w:tcPr>
            <w:tcW w:w="9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(14,890)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12,363</w:t>
            </w:r>
          </w:p>
        </w:tc>
        <w:tc>
          <w:tcPr>
            <w:tcW w:w="100" w:type="dxa"/>
            <w:vAlign w:val="bottom"/>
          </w:tcPr>
          <w:p>
            <w:pPr>
              <w:spacing w:after="0"/>
              <w:rPr>
                <w:sz w:val="19"/>
                <w:szCs w:val="19"/>
                <w:color w:val="auto"/>
              </w:rPr>
            </w:pPr>
          </w:p>
        </w:tc>
      </w:tr>
      <w:tr>
        <w:trPr>
          <w:trHeight w:val="232"/>
        </w:trPr>
        <w:tc>
          <w:tcPr>
            <w:tcW w:w="77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9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8"/>
        </w:trPr>
        <w:tc>
          <w:tcPr>
            <w:tcW w:w="7760" w:type="dxa"/>
            <w:vAlign w:val="bottom"/>
          </w:tcPr>
          <w:p>
            <w:pPr>
              <w:ind w:left="260"/>
              <w:spacing w:after="0"/>
              <w:rPr>
                <w:sz w:val="20"/>
                <w:szCs w:val="20"/>
                <w:color w:val="auto"/>
              </w:rPr>
            </w:pPr>
            <w:r>
              <w:rPr>
                <w:rFonts w:ascii="Arial" w:cs="Arial" w:eastAsia="Arial" w:hAnsi="Arial"/>
                <w:sz w:val="17"/>
                <w:szCs w:val="17"/>
                <w:color w:val="auto"/>
              </w:rPr>
              <w:t>Purchase of marketable securities</w:t>
            </w:r>
          </w:p>
        </w:tc>
        <w:tc>
          <w:tcPr>
            <w:tcW w:w="9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w w:val="93"/>
              </w:rPr>
              <w:t>(104,674)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(117,461)</w:t>
            </w:r>
          </w:p>
        </w:tc>
      </w:tr>
      <w:tr>
        <w:trPr>
          <w:trHeight w:val="231"/>
        </w:trPr>
        <w:tc>
          <w:tcPr>
            <w:tcW w:w="7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maturities and sale of marketable securities</w:t>
            </w:r>
          </w:p>
        </w:tc>
        <w:tc>
          <w:tcPr>
            <w:tcW w:w="9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87,417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80,748</w:t>
            </w:r>
          </w:p>
        </w:tc>
        <w:tc>
          <w:tcPr>
            <w:tcW w:w="100" w:type="dxa"/>
            <w:vAlign w:val="bottom"/>
            <w:shd w:val="clear" w:color="auto" w:fill="CFF0FC"/>
          </w:tcPr>
          <w:p>
            <w:pPr>
              <w:spacing w:after="0"/>
              <w:rPr>
                <w:sz w:val="20"/>
                <w:szCs w:val="20"/>
                <w:color w:val="auto"/>
              </w:rPr>
            </w:pPr>
          </w:p>
        </w:tc>
      </w:tr>
      <w:tr>
        <w:trPr>
          <w:trHeight w:val="228"/>
        </w:trPr>
        <w:tc>
          <w:tcPr>
            <w:tcW w:w="7760" w:type="dxa"/>
            <w:vAlign w:val="bottom"/>
          </w:tcPr>
          <w:p>
            <w:pPr>
              <w:ind w:left="260"/>
              <w:spacing w:after="0"/>
              <w:rPr>
                <w:sz w:val="20"/>
                <w:szCs w:val="20"/>
                <w:color w:val="auto"/>
              </w:rPr>
            </w:pPr>
            <w:r>
              <w:rPr>
                <w:rFonts w:ascii="Arial" w:cs="Arial" w:eastAsia="Arial" w:hAnsi="Arial"/>
                <w:sz w:val="17"/>
                <w:szCs w:val="17"/>
                <w:color w:val="auto"/>
              </w:rPr>
              <w:t>Purchase of property and equipment</w:t>
            </w:r>
          </w:p>
        </w:tc>
        <w:tc>
          <w:tcPr>
            <w:tcW w:w="9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(488)</w:t>
            </w:r>
          </w:p>
        </w:tc>
      </w:tr>
      <w:tr>
        <w:trPr>
          <w:trHeight w:val="20"/>
        </w:trPr>
        <w:tc>
          <w:tcPr>
            <w:tcW w:w="77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5"/>
        </w:trPr>
        <w:tc>
          <w:tcPr>
            <w:tcW w:w="776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9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(17,445)</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(37,201)</w:t>
            </w:r>
          </w:p>
        </w:tc>
      </w:tr>
      <w:tr>
        <w:trPr>
          <w:trHeight w:val="228"/>
        </w:trPr>
        <w:tc>
          <w:tcPr>
            <w:tcW w:w="77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7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w:t>
            </w:r>
          </w:p>
        </w:tc>
        <w:tc>
          <w:tcPr>
            <w:tcW w:w="9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2,306</w:t>
            </w:r>
          </w:p>
        </w:tc>
        <w:tc>
          <w:tcPr>
            <w:tcW w:w="100" w:type="dxa"/>
            <w:vAlign w:val="bottom"/>
            <w:shd w:val="clear" w:color="auto" w:fill="CFF0FC"/>
          </w:tcPr>
          <w:p>
            <w:pPr>
              <w:spacing w:after="0"/>
              <w:rPr>
                <w:sz w:val="20"/>
                <w:szCs w:val="20"/>
                <w:color w:val="auto"/>
              </w:rPr>
            </w:pPr>
          </w:p>
        </w:tc>
      </w:tr>
      <w:tr>
        <w:trPr>
          <w:trHeight w:val="227"/>
        </w:trPr>
        <w:tc>
          <w:tcPr>
            <w:tcW w:w="7760" w:type="dxa"/>
            <w:vAlign w:val="bottom"/>
          </w:tcPr>
          <w:p>
            <w:pPr>
              <w:ind w:left="260"/>
              <w:spacing w:after="0"/>
              <w:rPr>
                <w:sz w:val="20"/>
                <w:szCs w:val="20"/>
                <w:color w:val="auto"/>
              </w:rPr>
            </w:pPr>
            <w:r>
              <w:rPr>
                <w:rFonts w:ascii="Arial" w:cs="Arial" w:eastAsia="Arial" w:hAnsi="Arial"/>
                <w:sz w:val="17"/>
                <w:szCs w:val="17"/>
                <w:color w:val="auto"/>
              </w:rPr>
              <w:t>Payments for settlement of share-based awards</w:t>
            </w:r>
          </w:p>
        </w:tc>
        <w:tc>
          <w:tcPr>
            <w:tcW w:w="9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(534)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(1,140)</w:t>
            </w:r>
          </w:p>
        </w:tc>
      </w:tr>
      <w:tr>
        <w:trPr>
          <w:trHeight w:val="225"/>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1"/>
        </w:trPr>
        <w:tc>
          <w:tcPr>
            <w:tcW w:w="7760" w:type="dxa"/>
            <w:vAlign w:val="bottom"/>
          </w:tcPr>
          <w:p>
            <w:pPr>
              <w:spacing w:after="0"/>
              <w:rPr>
                <w:sz w:val="20"/>
                <w:szCs w:val="20"/>
                <w:color w:val="auto"/>
              </w:rPr>
            </w:pPr>
            <w:r>
              <w:rPr>
                <w:rFonts w:ascii="Arial" w:cs="Arial" w:eastAsia="Arial" w:hAnsi="Arial"/>
                <w:sz w:val="17"/>
                <w:szCs w:val="17"/>
                <w:b w:val="1"/>
                <w:bCs w:val="1"/>
                <w:color w:val="auto"/>
              </w:rPr>
              <w:t>Net decrease in cash, cash equivalents and restricted cash</w:t>
            </w:r>
          </w:p>
        </w:tc>
        <w:tc>
          <w:tcPr>
            <w:tcW w:w="9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(32,036)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(23,672)</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9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87,739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51,838</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55,703</w:t>
            </w:r>
          </w:p>
        </w:tc>
        <w:tc>
          <w:tcPr>
            <w:tcW w:w="160" w:type="dxa"/>
            <w:vAlign w:val="bottom"/>
          </w:tcPr>
          <w:p>
            <w:pPr>
              <w:spacing w:after="0"/>
              <w:rPr>
                <w:sz w:val="22"/>
                <w:szCs w:val="22"/>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28,166</w:t>
            </w:r>
          </w:p>
        </w:tc>
        <w:tc>
          <w:tcPr>
            <w:tcW w:w="100" w:type="dxa"/>
            <w:vAlign w:val="bottom"/>
          </w:tcPr>
          <w:p>
            <w:pPr>
              <w:spacing w:after="0"/>
              <w:rPr>
                <w:sz w:val="22"/>
                <w:szCs w:val="22"/>
                <w:color w:val="auto"/>
              </w:rPr>
            </w:pPr>
          </w:p>
        </w:tc>
      </w:tr>
      <w:tr>
        <w:trPr>
          <w:trHeight w:val="212"/>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operating and investing information:</w:t>
            </w:r>
          </w:p>
        </w:tc>
        <w:tc>
          <w:tcPr>
            <w:tcW w:w="9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760" w:type="dxa"/>
            <w:vAlign w:val="bottom"/>
          </w:tcPr>
          <w:p>
            <w:pPr>
              <w:ind w:left="260"/>
              <w:spacing w:after="0"/>
              <w:rPr>
                <w:sz w:val="20"/>
                <w:szCs w:val="20"/>
                <w:color w:val="auto"/>
              </w:rPr>
            </w:pPr>
            <w:r>
              <w:rPr>
                <w:rFonts w:ascii="Arial" w:cs="Arial" w:eastAsia="Arial" w:hAnsi="Arial"/>
                <w:sz w:val="17"/>
                <w:szCs w:val="17"/>
                <w:color w:val="auto"/>
              </w:rPr>
              <w:t>Purchases of fixed assets included in accounts payable and accrued expenses</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62</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900" w:type="dxa"/>
            <w:vAlign w:val="bottom"/>
            <w:shd w:val="clear" w:color="auto" w:fill="CFF0FC"/>
          </w:tcPr>
          <w:p>
            <w:pPr>
              <w:jc w:val="right"/>
              <w:ind w:right="74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1,907</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1,131</w:t>
            </w:r>
          </w:p>
        </w:tc>
        <w:tc>
          <w:tcPr>
            <w:tcW w:w="100" w:type="dxa"/>
            <w:vAlign w:val="bottom"/>
            <w:shd w:val="clear" w:color="auto" w:fill="CFF0FC"/>
          </w:tcPr>
          <w:p>
            <w:pPr>
              <w:spacing w:after="0"/>
              <w:rPr>
                <w:sz w:val="18"/>
                <w:szCs w:val="18"/>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Enanta Pharmaceuticals, Inc. (the “Company”), incorporated in Delaware in 1995, is a biotechnology company that uses its robust, chemistry-driven approach and drug discovery capabilities to become a leader in the discovery and development of small molecule drugs for the treatment of viral infections and liver diseases. The Company discovered glecaprevir, the second of two protease inhibitors discovered and developed through its collaboration</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with AbbVie for the treatment of chronic hepatitis C virus, or HCV. Glecaprevir is co-formulated as part of AbbVie’s leading direct-acting antiviral, or DAA, combination treatment for HCV, which is marketed under the tradenames MAVYRET</w:t>
      </w:r>
      <w:r>
        <w:rPr>
          <w:rFonts w:ascii="Arial" w:cs="Arial" w:eastAsia="Arial" w:hAnsi="Arial"/>
          <w:sz w:val="14"/>
          <w:szCs w:val="14"/>
          <w:color w:val="auto"/>
        </w:rPr>
        <w:t>®</w:t>
      </w:r>
      <w:r>
        <w:rPr>
          <w:rFonts w:ascii="Arial" w:cs="Arial" w:eastAsia="Arial" w:hAnsi="Arial"/>
          <w:sz w:val="17"/>
          <w:szCs w:val="17"/>
          <w:color w:val="auto"/>
        </w:rPr>
        <w:t xml:space="preserve"> (U.S.) and MAVIRET</w:t>
      </w:r>
      <w:r>
        <w:rPr>
          <w:rFonts w:ascii="Arial" w:cs="Arial" w:eastAsia="Arial" w:hAnsi="Arial"/>
          <w:sz w:val="14"/>
          <w:szCs w:val="14"/>
          <w:color w:val="auto"/>
        </w:rPr>
        <w:t>®</w:t>
      </w:r>
      <w:r>
        <w:rPr>
          <w:rFonts w:ascii="Arial" w:cs="Arial" w:eastAsia="Arial" w:hAnsi="Arial"/>
          <w:sz w:val="17"/>
          <w:szCs w:val="17"/>
          <w:color w:val="auto"/>
        </w:rPr>
        <w:t xml:space="preserve"> (ex-U.S.)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hepatitis B virus (“HBV”), SARS-CoV-2, human metapneumovirus (“hMPV”) and non-alcoholic steatohepatitis (“NASH”).</w:t>
      </w:r>
    </w:p>
    <w:p>
      <w:pPr>
        <w:spacing w:after="0" w:line="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March 2020, the World Health Organization declared COVID-19 a global pandemic and countries worldwide implemented various measures to contain the spread of the virus. National, state and local governments in affected regions have implemented and may continue to implement safety precautions, including quarantines, border closures, increased border controls, travel restrictions, shelter-in-place orders and shutdowns, business closures, cancellations of public gatherings and other measures. The extent and severity of the impact on the Company’s business and clinical trials will be determined largely by the extent to which there are disruptions in the supply chains for its research and product candidates, delays in the conduct of ongoing and future clinical trials, or reductions in the number of patients accessing AbbVie’s HCV regimens, or any combination of those events. During the second half of fiscal 2020 and into fiscal 2021, AbbVie experienced a decline in HCV sales compared to prior years as a result of a decline in patients accessing AbbVie’s HCV regimens due to the COVID-19 pandemic.</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full extent to which the COVID-19 pandemic will continue to directly or indirectly impact the Company’s business, results of operations and financial condition will depend on future developments that are highly uncertain and cannot be accurately predicted, including new information that may emerge concerning COVID-19 and its variants, public health actions taken to contain the pandemic and mitigate its economic effects and to roll out vaccinations worldwide, as well as the cumulative economic impact of all of these factors</w:t>
      </w:r>
      <w:r>
        <w:rPr>
          <w:rFonts w:ascii="Arial" w:cs="Arial" w:eastAsia="Arial" w:hAnsi="Arial"/>
          <w:sz w:val="18"/>
          <w:szCs w:val="18"/>
          <w:b w:val="1"/>
          <w:bCs w:val="1"/>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consolidated balance sheet at September 30, 2020 was derived from audited financial statements but does not include all disclosures required by accounting principles generally accepted in the United States of America (“GAAP”). The accompanying unaudited consolidated financial statements as of December 31, 2020 and for the three months ended December 31, 2020 and 2019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2020.</w:t>
      </w:r>
    </w:p>
    <w:p>
      <w:pPr>
        <w:spacing w:after="0" w:line="8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In the opinion of management, all adjustments, consisting of normal recurring adjustments necessary for a fair statement of the Company’s financial position as of December 31, 2020 and results of operations for the three months ended December 31, 2020 and 2019 and cash flows for the three months ended December 31, 2020 and 2019, have been made. The results of operations for the three months ended December 31, 2020 are not necessarily indicative of the results of operations that may be expected for subsequent quarters or the year ending September 30, 2021.</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200"/>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25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2020. Any reference in these notes to applicable guidance is meant to refer to the authoritative GAAP as found in the Accounting Standards Codification (“ASC”) and Accounting Standards Update (“ASU”) of the Financial Accounting Standards Board (“FASB”).</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Series 1 nonconvertible preferred stock and stock-based awards; the accrual of research and development expenses, and the accounting for income taxes, including uncertain tax positions and the valuation of net deferred tax assets. Estimates are periodically reviewed in light of changes in circumstances and other facts. The future developments of the COVID-19 pandemic which may directly or indirectly impact the Company’s business include quarantines, border closures, increased border controls, travel restrictions, shelter-in-place orders and shutdowns, business closures, cancellations of public gatherings and other measures. The Company has made estimates of the impact of COVID-19 in the Company’s consolidated financial statements as of December 31, 2020. Actual results could differ from the Company’s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The Company adopted ASU 2016-13 during the three months ended December 31, 2020. For available-for-sale debt securities with unrealized losses, the Company measures credit losses in a manner similar to previous U.S. GAAP, except that losses will be recognized as allowances instead of reductions in the amortized cost of the debt securities. The adoption of ASU 2016-13 did not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standard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amendment is effective for the Company in the fiscal year beginning October 1, 2021; however, early adoption is permitted. The Company is currently in the process of evaluating the impact that ASU 2019-12 may have on its consolidated financial statements.</w:t>
      </w:r>
    </w:p>
    <w:p>
      <w:pPr>
        <w:spacing w:after="0" w:line="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December 31, 2020 and September 30, 2020, and indicate the fair value hierarchy of the valuation inputs utilized to determine such fair value:</w:t>
      </w:r>
    </w:p>
    <w:p>
      <w:pPr>
        <w:spacing w:after="0" w:line="8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10"/>
          </w:tcPr>
          <w:p>
            <w:pPr>
              <w:jc w:val="right"/>
              <w:ind w:right="154"/>
              <w:spacing w:after="0"/>
              <w:rPr>
                <w:sz w:val="20"/>
                <w:szCs w:val="20"/>
                <w:color w:val="auto"/>
              </w:rPr>
            </w:pPr>
            <w:r>
              <w:rPr>
                <w:rFonts w:ascii="Arial" w:cs="Arial" w:eastAsia="Arial" w:hAnsi="Arial"/>
                <w:sz w:val="14"/>
                <w:szCs w:val="14"/>
                <w:b w:val="1"/>
                <w:bCs w:val="1"/>
                <w:color w:val="auto"/>
              </w:rPr>
              <w:t>Fair Value Measurements at December 31, 2020 Using:</w:t>
            </w:r>
          </w:p>
        </w:tc>
        <w:tc>
          <w:tcPr>
            <w:tcW w:w="10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jc w:val="center"/>
              <w:ind w:left="49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44,817</w:t>
            </w:r>
          </w:p>
        </w:tc>
        <w:tc>
          <w:tcPr>
            <w:tcW w:w="4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98"/>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44,817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91,851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91,851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138,415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138,415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119,297</w:t>
            </w: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119,297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2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136,668</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257,712</w:t>
            </w:r>
          </w:p>
        </w:tc>
        <w:tc>
          <w:tcPr>
            <w:tcW w:w="2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394,380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98"/>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9"/>
                <w:szCs w:val="19"/>
                <w:color w:val="auto"/>
              </w:rPr>
            </w:pPr>
          </w:p>
        </w:tc>
        <w:tc>
          <w:tcPr>
            <w:tcW w:w="400" w:type="dxa"/>
            <w:vAlign w:val="bottom"/>
            <w:gridSpan w:val="2"/>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424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98"/>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FF0FC"/>
          </w:tcPr>
          <w:p>
            <w:pPr>
              <w:spacing w:after="0"/>
              <w:rPr>
                <w:sz w:val="24"/>
                <w:szCs w:val="24"/>
                <w:color w:val="auto"/>
              </w:rPr>
            </w:pPr>
          </w:p>
        </w:tc>
        <w:tc>
          <w:tcPr>
            <w:tcW w:w="400" w:type="dxa"/>
            <w:vAlign w:val="bottom"/>
            <w:gridSpan w:val="2"/>
            <w:shd w:val="clear" w:color="auto" w:fill="CFF0FC"/>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10"/>
          </w:tcPr>
          <w:p>
            <w:pPr>
              <w:jc w:val="center"/>
              <w:ind w:left="634"/>
              <w:spacing w:after="0"/>
              <w:rPr>
                <w:sz w:val="20"/>
                <w:szCs w:val="20"/>
                <w:color w:val="auto"/>
              </w:rPr>
            </w:pPr>
            <w:r>
              <w:rPr>
                <w:rFonts w:ascii="Arial" w:cs="Arial" w:eastAsia="Arial" w:hAnsi="Arial"/>
                <w:sz w:val="14"/>
                <w:szCs w:val="14"/>
                <w:b w:val="1"/>
                <w:bCs w:val="1"/>
                <w:color w:val="auto"/>
                <w:w w:val="92"/>
              </w:rPr>
              <w:t>Fair Value Measurements at September 30, 2020 Using:</w:t>
            </w: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CFF2FC"/>
            </w:tcBorders>
          </w:tcPr>
          <w:p>
            <w:pPr>
              <w:spacing w:after="0"/>
              <w:rPr>
                <w:sz w:val="13"/>
                <w:szCs w:val="13"/>
                <w:color w:val="auto"/>
              </w:rPr>
            </w:pPr>
          </w:p>
        </w:tc>
        <w:tc>
          <w:tcPr>
            <w:tcW w:w="4240" w:type="dxa"/>
            <w:vAlign w:val="bottom"/>
            <w:tcBorders>
              <w:top w:val="single" w:sz="8" w:color="CFF2FC"/>
            </w:tcBorders>
            <w:shd w:val="clear" w:color="auto" w:fill="CFF2FC"/>
          </w:tcPr>
          <w:p>
            <w:pPr>
              <w:spacing w:after="0"/>
              <w:rPr>
                <w:sz w:val="13"/>
                <w:szCs w:val="13"/>
                <w:color w:val="auto"/>
              </w:rPr>
            </w:pPr>
          </w:p>
        </w:tc>
        <w:tc>
          <w:tcPr>
            <w:tcW w:w="140" w:type="dxa"/>
            <w:vAlign w:val="bottom"/>
            <w:tcBorders>
              <w:top w:val="single" w:sz="8" w:color="CFF2FC"/>
            </w:tcBorders>
            <w:shd w:val="clear" w:color="auto" w:fill="CFF2FC"/>
          </w:tcPr>
          <w:p>
            <w:pPr>
              <w:spacing w:after="0"/>
              <w:rPr>
                <w:sz w:val="13"/>
                <w:szCs w:val="13"/>
                <w:color w:val="auto"/>
              </w:rPr>
            </w:pPr>
          </w:p>
        </w:tc>
        <w:tc>
          <w:tcPr>
            <w:tcW w:w="240" w:type="dxa"/>
            <w:vAlign w:val="bottom"/>
            <w:tcBorders>
              <w:top w:val="single" w:sz="8" w:color="auto"/>
            </w:tcBorders>
            <w:shd w:val="clear" w:color="auto" w:fill="CFF2FC"/>
          </w:tcPr>
          <w:p>
            <w:pPr>
              <w:spacing w:after="0"/>
              <w:rPr>
                <w:sz w:val="13"/>
                <w:szCs w:val="13"/>
                <w:color w:val="auto"/>
              </w:rPr>
            </w:pPr>
          </w:p>
        </w:tc>
        <w:tc>
          <w:tcPr>
            <w:tcW w:w="1020" w:type="dxa"/>
            <w:vAlign w:val="bottom"/>
            <w:tcBorders>
              <w:top w:val="single" w:sz="8" w:color="auto"/>
            </w:tcBorders>
            <w:shd w:val="clear" w:color="auto" w:fill="CFF2FC"/>
          </w:tcPr>
          <w:p>
            <w:pPr>
              <w:spacing w:after="0"/>
              <w:rPr>
                <w:sz w:val="13"/>
                <w:szCs w:val="13"/>
                <w:color w:val="auto"/>
              </w:rPr>
            </w:pPr>
          </w:p>
        </w:tc>
        <w:tc>
          <w:tcPr>
            <w:tcW w:w="240" w:type="dxa"/>
            <w:vAlign w:val="bottom"/>
            <w:tcBorders>
              <w:top w:val="single" w:sz="8" w:color="auto"/>
            </w:tcBorders>
            <w:shd w:val="clear" w:color="auto" w:fill="CFF2FC"/>
          </w:tcPr>
          <w:p>
            <w:pPr>
              <w:spacing w:after="0"/>
              <w:rPr>
                <w:sz w:val="13"/>
                <w:szCs w:val="13"/>
                <w:color w:val="auto"/>
              </w:rPr>
            </w:pPr>
          </w:p>
        </w:tc>
        <w:tc>
          <w:tcPr>
            <w:tcW w:w="240" w:type="dxa"/>
            <w:vAlign w:val="bottom"/>
            <w:tcBorders>
              <w:top w:val="single" w:sz="8" w:color="auto"/>
            </w:tcBorders>
            <w:shd w:val="clear" w:color="auto" w:fill="CFF2FC"/>
          </w:tcPr>
          <w:p>
            <w:pPr>
              <w:spacing w:after="0"/>
              <w:rPr>
                <w:sz w:val="13"/>
                <w:szCs w:val="13"/>
                <w:color w:val="auto"/>
              </w:rPr>
            </w:pPr>
          </w:p>
        </w:tc>
        <w:tc>
          <w:tcPr>
            <w:tcW w:w="1580" w:type="dxa"/>
            <w:vAlign w:val="bottom"/>
            <w:tcBorders>
              <w:top w:val="single" w:sz="8" w:color="auto"/>
            </w:tcBorders>
            <w:gridSpan w:val="3"/>
            <w:shd w:val="clear" w:color="auto" w:fill="CFF2FC"/>
          </w:tcPr>
          <w:p>
            <w:pPr>
              <w:jc w:val="center"/>
              <w:ind w:left="53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920" w:type="dxa"/>
            <w:vAlign w:val="bottom"/>
            <w:tcBorders>
              <w:top w:val="single" w:sz="8" w:color="auto"/>
              <w:right w:val="single" w:sz="8" w:color="CFF2FC"/>
            </w:tcBorders>
            <w:shd w:val="clear" w:color="auto" w:fill="CFF2FC"/>
          </w:tcPr>
          <w:p>
            <w:pPr>
              <w:spacing w:after="0"/>
              <w:rPr>
                <w:sz w:val="13"/>
                <w:szCs w:val="13"/>
                <w:color w:val="auto"/>
              </w:rPr>
            </w:pPr>
          </w:p>
        </w:tc>
        <w:tc>
          <w:tcPr>
            <w:tcW w:w="80" w:type="dxa"/>
            <w:vAlign w:val="bottom"/>
            <w:tcBorders>
              <w:top w:val="single" w:sz="8" w:color="auto"/>
            </w:tcBorders>
            <w:shd w:val="clear" w:color="auto" w:fill="CFF2FC"/>
          </w:tcPr>
          <w:p>
            <w:pPr>
              <w:spacing w:after="0"/>
              <w:rPr>
                <w:sz w:val="13"/>
                <w:szCs w:val="13"/>
                <w:color w:val="auto"/>
              </w:rPr>
            </w:pPr>
          </w:p>
        </w:tc>
        <w:tc>
          <w:tcPr>
            <w:tcW w:w="140" w:type="dxa"/>
            <w:vAlign w:val="bottom"/>
            <w:tcBorders>
              <w:top w:val="single" w:sz="8" w:color="auto"/>
              <w:right w:val="single" w:sz="8" w:color="CFF2FC"/>
            </w:tcBorders>
            <w:shd w:val="clear" w:color="auto" w:fill="CFF2FC"/>
          </w:tcPr>
          <w:p>
            <w:pPr>
              <w:spacing w:after="0"/>
              <w:rPr>
                <w:sz w:val="13"/>
                <w:szCs w:val="13"/>
                <w:color w:val="auto"/>
              </w:rPr>
            </w:pPr>
          </w:p>
        </w:tc>
        <w:tc>
          <w:tcPr>
            <w:tcW w:w="260" w:type="dxa"/>
            <w:vAlign w:val="bottom"/>
            <w:tcBorders>
              <w:top w:val="single" w:sz="8" w:color="auto"/>
            </w:tcBorders>
            <w:shd w:val="clear" w:color="auto" w:fill="CFF2FC"/>
          </w:tcPr>
          <w:p>
            <w:pPr>
              <w:spacing w:after="0"/>
              <w:rPr>
                <w:sz w:val="13"/>
                <w:szCs w:val="13"/>
                <w:color w:val="auto"/>
              </w:rPr>
            </w:pPr>
          </w:p>
        </w:tc>
        <w:tc>
          <w:tcPr>
            <w:tcW w:w="1020" w:type="dxa"/>
            <w:vAlign w:val="bottom"/>
            <w:tcBorders>
              <w:top w:val="single" w:sz="8" w:color="auto"/>
              <w:right w:val="single" w:sz="8" w:color="CFF2FC"/>
            </w:tcBorders>
            <w:shd w:val="clear" w:color="auto" w:fill="CFF2FC"/>
          </w:tcPr>
          <w:p>
            <w:pPr>
              <w:spacing w:after="0"/>
              <w:rPr>
                <w:sz w:val="13"/>
                <w:szCs w:val="13"/>
                <w:color w:val="auto"/>
              </w:rPr>
            </w:pPr>
          </w:p>
        </w:tc>
        <w:tc>
          <w:tcPr>
            <w:tcW w:w="40" w:type="dxa"/>
            <w:vAlign w:val="bottom"/>
            <w:tcBorders>
              <w:top w:val="single" w:sz="8" w:color="CFF2FC"/>
            </w:tcBorders>
            <w:shd w:val="clear" w:color="auto" w:fill="CFF2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FF2FC"/>
            </w:tcBorders>
          </w:tcPr>
          <w:p>
            <w:pPr>
              <w:spacing w:after="0"/>
              <w:rPr>
                <w:sz w:val="21"/>
                <w:szCs w:val="21"/>
                <w:color w:val="auto"/>
              </w:rPr>
            </w:pPr>
          </w:p>
        </w:tc>
        <w:tc>
          <w:tcPr>
            <w:tcW w:w="4240" w:type="dxa"/>
            <w:vAlign w:val="bottom"/>
            <w:shd w:val="clear" w:color="auto" w:fill="CFF2FC"/>
          </w:tcPr>
          <w:p>
            <w:pPr>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FF2FC"/>
          </w:tcPr>
          <w:p>
            <w:pPr>
              <w:spacing w:after="0"/>
              <w:rPr>
                <w:sz w:val="21"/>
                <w:szCs w:val="21"/>
                <w:color w:val="auto"/>
              </w:rPr>
            </w:pPr>
          </w:p>
        </w:tc>
        <w:tc>
          <w:tcPr>
            <w:tcW w:w="240" w:type="dxa"/>
            <w:vAlign w:val="bottom"/>
            <w:shd w:val="clear" w:color="auto" w:fill="CFF2FC"/>
          </w:tcPr>
          <w:p>
            <w:pPr>
              <w:spacing w:after="0"/>
              <w:rPr>
                <w:sz w:val="21"/>
                <w:szCs w:val="21"/>
                <w:color w:val="auto"/>
              </w:rPr>
            </w:pPr>
          </w:p>
        </w:tc>
        <w:tc>
          <w:tcPr>
            <w:tcW w:w="1020" w:type="dxa"/>
            <w:vAlign w:val="bottom"/>
            <w:shd w:val="clear" w:color="auto" w:fill="CFF2FC"/>
          </w:tcPr>
          <w:p>
            <w:pPr>
              <w:spacing w:after="0"/>
              <w:rPr>
                <w:sz w:val="21"/>
                <w:szCs w:val="21"/>
                <w:color w:val="auto"/>
              </w:rPr>
            </w:pPr>
          </w:p>
        </w:tc>
        <w:tc>
          <w:tcPr>
            <w:tcW w:w="240" w:type="dxa"/>
            <w:vAlign w:val="bottom"/>
            <w:shd w:val="clear" w:color="auto" w:fill="CFF2FC"/>
          </w:tcPr>
          <w:p>
            <w:pPr>
              <w:spacing w:after="0"/>
              <w:rPr>
                <w:sz w:val="21"/>
                <w:szCs w:val="21"/>
                <w:color w:val="auto"/>
              </w:rPr>
            </w:pPr>
          </w:p>
        </w:tc>
        <w:tc>
          <w:tcPr>
            <w:tcW w:w="240" w:type="dxa"/>
            <w:vAlign w:val="bottom"/>
            <w:shd w:val="clear" w:color="auto" w:fill="CFF2FC"/>
          </w:tcPr>
          <w:p>
            <w:pPr>
              <w:spacing w:after="0"/>
              <w:rPr>
                <w:sz w:val="21"/>
                <w:szCs w:val="21"/>
                <w:color w:val="auto"/>
              </w:rPr>
            </w:pPr>
          </w:p>
        </w:tc>
        <w:tc>
          <w:tcPr>
            <w:tcW w:w="1040" w:type="dxa"/>
            <w:vAlign w:val="bottom"/>
            <w:tcBorders>
              <w:right w:val="single" w:sz="8" w:color="CFF2FC"/>
            </w:tcBorders>
            <w:shd w:val="clear" w:color="auto" w:fill="CFF2FC"/>
          </w:tcPr>
          <w:p>
            <w:pPr>
              <w:spacing w:after="0"/>
              <w:rPr>
                <w:sz w:val="21"/>
                <w:szCs w:val="21"/>
                <w:color w:val="auto"/>
              </w:rPr>
            </w:pPr>
          </w:p>
        </w:tc>
        <w:tc>
          <w:tcPr>
            <w:tcW w:w="220" w:type="dxa"/>
            <w:vAlign w:val="bottom"/>
            <w:tcBorders>
              <w:right w:val="single" w:sz="8" w:color="CFF2FC"/>
            </w:tcBorders>
            <w:shd w:val="clear" w:color="auto" w:fill="CFF2FC"/>
          </w:tcPr>
          <w:p>
            <w:pPr>
              <w:spacing w:after="0"/>
              <w:rPr>
                <w:sz w:val="21"/>
                <w:szCs w:val="21"/>
                <w:color w:val="auto"/>
              </w:rPr>
            </w:pPr>
          </w:p>
        </w:tc>
        <w:tc>
          <w:tcPr>
            <w:tcW w:w="320" w:type="dxa"/>
            <w:vAlign w:val="bottom"/>
            <w:shd w:val="clear" w:color="auto" w:fill="CFF2FC"/>
          </w:tcPr>
          <w:p>
            <w:pPr>
              <w:spacing w:after="0"/>
              <w:rPr>
                <w:sz w:val="21"/>
                <w:szCs w:val="21"/>
                <w:color w:val="auto"/>
              </w:rPr>
            </w:pPr>
          </w:p>
        </w:tc>
        <w:tc>
          <w:tcPr>
            <w:tcW w:w="920" w:type="dxa"/>
            <w:vAlign w:val="bottom"/>
            <w:tcBorders>
              <w:right w:val="single" w:sz="8" w:color="CFF2FC"/>
            </w:tcBorders>
            <w:shd w:val="clear" w:color="auto" w:fill="CFF2FC"/>
          </w:tcPr>
          <w:p>
            <w:pPr>
              <w:spacing w:after="0"/>
              <w:rPr>
                <w:sz w:val="21"/>
                <w:szCs w:val="21"/>
                <w:color w:val="auto"/>
              </w:rPr>
            </w:pPr>
          </w:p>
        </w:tc>
        <w:tc>
          <w:tcPr>
            <w:tcW w:w="80" w:type="dxa"/>
            <w:vAlign w:val="bottom"/>
            <w:shd w:val="clear" w:color="auto" w:fill="CFF2FC"/>
          </w:tcPr>
          <w:p>
            <w:pPr>
              <w:spacing w:after="0"/>
              <w:rPr>
                <w:sz w:val="21"/>
                <w:szCs w:val="21"/>
                <w:color w:val="auto"/>
              </w:rPr>
            </w:pPr>
          </w:p>
        </w:tc>
        <w:tc>
          <w:tcPr>
            <w:tcW w:w="140" w:type="dxa"/>
            <w:vAlign w:val="bottom"/>
            <w:tcBorders>
              <w:right w:val="single" w:sz="8" w:color="CFF2FC"/>
            </w:tcBorders>
            <w:shd w:val="clear" w:color="auto" w:fill="CFF2FC"/>
          </w:tcPr>
          <w:p>
            <w:pPr>
              <w:spacing w:after="0"/>
              <w:rPr>
                <w:sz w:val="21"/>
                <w:szCs w:val="21"/>
                <w:color w:val="auto"/>
              </w:rPr>
            </w:pPr>
          </w:p>
        </w:tc>
        <w:tc>
          <w:tcPr>
            <w:tcW w:w="260" w:type="dxa"/>
            <w:vAlign w:val="bottom"/>
            <w:shd w:val="clear" w:color="auto" w:fill="CFF2FC"/>
          </w:tcPr>
          <w:p>
            <w:pPr>
              <w:spacing w:after="0"/>
              <w:rPr>
                <w:sz w:val="21"/>
                <w:szCs w:val="21"/>
                <w:color w:val="auto"/>
              </w:rPr>
            </w:pPr>
          </w:p>
        </w:tc>
        <w:tc>
          <w:tcPr>
            <w:tcW w:w="1020" w:type="dxa"/>
            <w:vAlign w:val="bottom"/>
            <w:tcBorders>
              <w:right w:val="single" w:sz="8" w:color="CFF2FC"/>
            </w:tcBorders>
            <w:shd w:val="clear" w:color="auto" w:fill="CFF2FC"/>
          </w:tcPr>
          <w:p>
            <w:pPr>
              <w:spacing w:after="0"/>
              <w:rPr>
                <w:sz w:val="21"/>
                <w:szCs w:val="21"/>
                <w:color w:val="auto"/>
              </w:rPr>
            </w:pPr>
          </w:p>
        </w:tc>
        <w:tc>
          <w:tcPr>
            <w:tcW w:w="40" w:type="dxa"/>
            <w:vAlign w:val="bottom"/>
            <w:shd w:val="clear" w:color="auto" w:fill="CFF2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81,502</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78"/>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81,502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FF2FC"/>
            </w:tcBorders>
          </w:tcPr>
          <w:p>
            <w:pPr>
              <w:spacing w:after="0"/>
              <w:rPr>
                <w:sz w:val="19"/>
                <w:szCs w:val="19"/>
                <w:color w:val="auto"/>
              </w:rPr>
            </w:pPr>
          </w:p>
        </w:tc>
        <w:tc>
          <w:tcPr>
            <w:tcW w:w="4240" w:type="dxa"/>
            <w:vAlign w:val="bottom"/>
            <w:shd w:val="clear" w:color="auto" w:fill="CFF2FC"/>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40" w:type="dxa"/>
            <w:vAlign w:val="bottom"/>
            <w:tcBorders>
              <w:right w:val="single" w:sz="8" w:color="CFF2FC"/>
            </w:tcBorders>
            <w:shd w:val="clear" w:color="auto" w:fill="CFF2FC"/>
          </w:tcPr>
          <w:p>
            <w:pPr>
              <w:spacing w:after="0"/>
              <w:rPr>
                <w:sz w:val="19"/>
                <w:szCs w:val="19"/>
                <w:color w:val="auto"/>
              </w:rPr>
            </w:pPr>
          </w:p>
        </w:tc>
        <w:tc>
          <w:tcPr>
            <w:tcW w:w="220" w:type="dxa"/>
            <w:vAlign w:val="bottom"/>
            <w:tcBorders>
              <w:right w:val="single" w:sz="8" w:color="CFF2FC"/>
            </w:tcBorders>
            <w:shd w:val="clear" w:color="auto" w:fill="CFF2FC"/>
          </w:tcPr>
          <w:p>
            <w:pPr>
              <w:spacing w:after="0"/>
              <w:rPr>
                <w:sz w:val="19"/>
                <w:szCs w:val="19"/>
                <w:color w:val="auto"/>
              </w:rPr>
            </w:pPr>
          </w:p>
        </w:tc>
        <w:tc>
          <w:tcPr>
            <w:tcW w:w="320" w:type="dxa"/>
            <w:vAlign w:val="bottom"/>
            <w:shd w:val="clear" w:color="auto" w:fill="CFF2FC"/>
          </w:tcPr>
          <w:p>
            <w:pPr>
              <w:spacing w:after="0"/>
              <w:rPr>
                <w:sz w:val="19"/>
                <w:szCs w:val="19"/>
                <w:color w:val="auto"/>
              </w:rPr>
            </w:pPr>
          </w:p>
        </w:tc>
        <w:tc>
          <w:tcPr>
            <w:tcW w:w="920" w:type="dxa"/>
            <w:vAlign w:val="bottom"/>
            <w:tcBorders>
              <w:right w:val="single" w:sz="8" w:color="CFF2FC"/>
            </w:tcBorders>
            <w:shd w:val="clear" w:color="auto" w:fill="CFF2FC"/>
          </w:tcPr>
          <w:p>
            <w:pPr>
              <w:spacing w:after="0"/>
              <w:rPr>
                <w:sz w:val="19"/>
                <w:szCs w:val="19"/>
                <w:color w:val="auto"/>
              </w:rPr>
            </w:pPr>
          </w:p>
        </w:tc>
        <w:tc>
          <w:tcPr>
            <w:tcW w:w="80" w:type="dxa"/>
            <w:vAlign w:val="bottom"/>
            <w:shd w:val="clear" w:color="auto" w:fill="CFF2FC"/>
          </w:tcPr>
          <w:p>
            <w:pPr>
              <w:spacing w:after="0"/>
              <w:rPr>
                <w:sz w:val="19"/>
                <w:szCs w:val="19"/>
                <w:color w:val="auto"/>
              </w:rPr>
            </w:pPr>
          </w:p>
        </w:tc>
        <w:tc>
          <w:tcPr>
            <w:tcW w:w="140" w:type="dxa"/>
            <w:vAlign w:val="bottom"/>
            <w:tcBorders>
              <w:right w:val="single" w:sz="8" w:color="CFF2FC"/>
            </w:tcBorders>
            <w:shd w:val="clear" w:color="auto" w:fill="CFF2FC"/>
          </w:tcPr>
          <w:p>
            <w:pPr>
              <w:spacing w:after="0"/>
              <w:rPr>
                <w:sz w:val="19"/>
                <w:szCs w:val="19"/>
                <w:color w:val="auto"/>
              </w:rPr>
            </w:pPr>
          </w:p>
        </w:tc>
        <w:tc>
          <w:tcPr>
            <w:tcW w:w="260" w:type="dxa"/>
            <w:vAlign w:val="bottom"/>
            <w:shd w:val="clear" w:color="auto" w:fill="CFF2FC"/>
          </w:tcPr>
          <w:p>
            <w:pPr>
              <w:spacing w:after="0"/>
              <w:rPr>
                <w:sz w:val="19"/>
                <w:szCs w:val="19"/>
                <w:color w:val="auto"/>
              </w:rPr>
            </w:pPr>
          </w:p>
        </w:tc>
        <w:tc>
          <w:tcPr>
            <w:tcW w:w="1020" w:type="dxa"/>
            <w:vAlign w:val="bottom"/>
            <w:tcBorders>
              <w:right w:val="single" w:sz="8" w:color="CFF2FC"/>
            </w:tcBorders>
            <w:shd w:val="clear" w:color="auto" w:fill="CFF2FC"/>
          </w:tcPr>
          <w:p>
            <w:pPr>
              <w:spacing w:after="0"/>
              <w:rPr>
                <w:sz w:val="19"/>
                <w:szCs w:val="19"/>
                <w:color w:val="auto"/>
              </w:rPr>
            </w:pPr>
          </w:p>
        </w:tc>
        <w:tc>
          <w:tcPr>
            <w:tcW w:w="4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U.S. Treasury notes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94,208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FF2FC"/>
            </w:tcBorders>
          </w:tcPr>
          <w:p>
            <w:pPr>
              <w:spacing w:after="0"/>
              <w:rPr>
                <w:sz w:val="19"/>
                <w:szCs w:val="19"/>
                <w:color w:val="auto"/>
              </w:rPr>
            </w:pPr>
          </w:p>
        </w:tc>
        <w:tc>
          <w:tcPr>
            <w:tcW w:w="4240" w:type="dxa"/>
            <w:vAlign w:val="bottom"/>
            <w:shd w:val="clear" w:color="auto" w:fill="CFF2FC"/>
          </w:tcPr>
          <w:p>
            <w:pPr>
              <w:ind w:left="10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40" w:type="dxa"/>
            <w:vAlign w:val="bottom"/>
            <w:tcBorders>
              <w:right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93,909</w:t>
            </w:r>
          </w:p>
        </w:tc>
        <w:tc>
          <w:tcPr>
            <w:tcW w:w="220" w:type="dxa"/>
            <w:vAlign w:val="bottom"/>
            <w:tcBorders>
              <w:right w:val="single" w:sz="8" w:color="CFF2FC"/>
            </w:tcBorders>
            <w:shd w:val="clear" w:color="auto" w:fill="CFF2FC"/>
          </w:tcPr>
          <w:p>
            <w:pPr>
              <w:spacing w:after="0"/>
              <w:rPr>
                <w:sz w:val="19"/>
                <w:szCs w:val="19"/>
                <w:color w:val="auto"/>
              </w:rPr>
            </w:pPr>
          </w:p>
        </w:tc>
        <w:tc>
          <w:tcPr>
            <w:tcW w:w="320" w:type="dxa"/>
            <w:vAlign w:val="bottom"/>
            <w:shd w:val="clear" w:color="auto" w:fill="CFF2FC"/>
          </w:tcPr>
          <w:p>
            <w:pPr>
              <w:spacing w:after="0"/>
              <w:rPr>
                <w:sz w:val="19"/>
                <w:szCs w:val="19"/>
                <w:color w:val="auto"/>
              </w:rPr>
            </w:pPr>
          </w:p>
        </w:tc>
        <w:tc>
          <w:tcPr>
            <w:tcW w:w="1000" w:type="dxa"/>
            <w:vAlign w:val="bottom"/>
            <w:gridSpan w:val="2"/>
            <w:shd w:val="clear" w:color="auto" w:fill="CFF2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FF2FC"/>
            </w:tcBorders>
            <w:shd w:val="clear" w:color="auto" w:fill="CFF2FC"/>
          </w:tcPr>
          <w:p>
            <w:pPr>
              <w:spacing w:after="0"/>
              <w:rPr>
                <w:sz w:val="19"/>
                <w:szCs w:val="19"/>
                <w:color w:val="auto"/>
              </w:rPr>
            </w:pPr>
          </w:p>
        </w:tc>
        <w:tc>
          <w:tcPr>
            <w:tcW w:w="260" w:type="dxa"/>
            <w:vAlign w:val="bottom"/>
            <w:shd w:val="clear" w:color="auto" w:fill="CFF2FC"/>
          </w:tcPr>
          <w:p>
            <w:pPr>
              <w:spacing w:after="0"/>
              <w:rPr>
                <w:sz w:val="19"/>
                <w:szCs w:val="19"/>
                <w:color w:val="auto"/>
              </w:rPr>
            </w:pPr>
          </w:p>
        </w:tc>
        <w:tc>
          <w:tcPr>
            <w:tcW w:w="1020" w:type="dxa"/>
            <w:vAlign w:val="bottom"/>
            <w:tcBorders>
              <w:right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93,909</w:t>
            </w:r>
          </w:p>
        </w:tc>
        <w:tc>
          <w:tcPr>
            <w:tcW w:w="4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144,035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FF2FC"/>
            </w:tcBorders>
          </w:tcPr>
          <w:p>
            <w:pPr>
              <w:spacing w:after="0"/>
              <w:rPr>
                <w:sz w:val="19"/>
                <w:szCs w:val="19"/>
                <w:color w:val="auto"/>
              </w:rPr>
            </w:pPr>
          </w:p>
        </w:tc>
        <w:tc>
          <w:tcPr>
            <w:tcW w:w="4240" w:type="dxa"/>
            <w:vAlign w:val="bottom"/>
            <w:tcBorders>
              <w:top w:val="single" w:sz="8" w:color="CFF2FC"/>
              <w:bottom w:val="single" w:sz="8" w:color="CFF2FC"/>
            </w:tcBorders>
            <w:shd w:val="clear" w:color="auto" w:fill="CFF2FC"/>
          </w:tcPr>
          <w:p>
            <w:pPr>
              <w:spacing w:after="0"/>
              <w:rPr>
                <w:sz w:val="19"/>
                <w:szCs w:val="19"/>
                <w:color w:val="auto"/>
              </w:rPr>
            </w:pPr>
          </w:p>
        </w:tc>
        <w:tc>
          <w:tcPr>
            <w:tcW w:w="140" w:type="dxa"/>
            <w:vAlign w:val="bottom"/>
            <w:tcBorders>
              <w:top w:val="single" w:sz="8" w:color="CFF2FC"/>
              <w:bottom w:val="single" w:sz="8" w:color="CFF2FC"/>
            </w:tcBorders>
            <w:shd w:val="clear" w:color="auto" w:fill="CFF2FC"/>
          </w:tcPr>
          <w:p>
            <w:pPr>
              <w:spacing w:after="0"/>
              <w:rPr>
                <w:sz w:val="19"/>
                <w:szCs w:val="19"/>
                <w:color w:val="auto"/>
              </w:rPr>
            </w:pPr>
          </w:p>
        </w:tc>
        <w:tc>
          <w:tcPr>
            <w:tcW w:w="240" w:type="dxa"/>
            <w:vAlign w:val="bottom"/>
            <w:tcBorders>
              <w:top w:val="single" w:sz="8" w:color="auto"/>
              <w:bottom w:val="single" w:sz="8" w:color="auto"/>
            </w:tcBorders>
            <w:shd w:val="clear" w:color="auto" w:fill="CFF2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175,710</w:t>
            </w:r>
          </w:p>
        </w:tc>
        <w:tc>
          <w:tcPr>
            <w:tcW w:w="240" w:type="dxa"/>
            <w:vAlign w:val="bottom"/>
            <w:tcBorders>
              <w:top w:val="single" w:sz="8" w:color="CFF2FC"/>
              <w:bottom w:val="single" w:sz="8" w:color="CFF2FC"/>
            </w:tcBorders>
            <w:shd w:val="clear" w:color="auto" w:fill="CFF2FC"/>
          </w:tcPr>
          <w:p>
            <w:pPr>
              <w:spacing w:after="0"/>
              <w:rPr>
                <w:sz w:val="19"/>
                <w:szCs w:val="19"/>
                <w:color w:val="auto"/>
              </w:rPr>
            </w:pPr>
          </w:p>
        </w:tc>
        <w:tc>
          <w:tcPr>
            <w:tcW w:w="240" w:type="dxa"/>
            <w:vAlign w:val="bottom"/>
            <w:tcBorders>
              <w:top w:val="single" w:sz="8" w:color="auto"/>
              <w:bottom w:val="single" w:sz="8" w:color="auto"/>
            </w:tcBorders>
            <w:shd w:val="clear" w:color="auto" w:fill="CFF2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237,944</w:t>
            </w:r>
          </w:p>
        </w:tc>
        <w:tc>
          <w:tcPr>
            <w:tcW w:w="220" w:type="dxa"/>
            <w:vAlign w:val="bottom"/>
            <w:tcBorders>
              <w:top w:val="single" w:sz="8" w:color="CFF2FC"/>
              <w:bottom w:val="single" w:sz="8" w:color="CFF2FC"/>
              <w:right w:val="single" w:sz="8" w:color="CFF2FC"/>
            </w:tcBorders>
            <w:shd w:val="clear" w:color="auto" w:fill="CFF2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7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2FC"/>
              <w:bottom w:val="single" w:sz="8" w:color="CFF2FC"/>
              <w:right w:val="single" w:sz="8" w:color="CFF2FC"/>
            </w:tcBorders>
            <w:shd w:val="clear" w:color="auto" w:fill="CFF2FC"/>
          </w:tcPr>
          <w:p>
            <w:pPr>
              <w:spacing w:after="0"/>
              <w:rPr>
                <w:sz w:val="19"/>
                <w:szCs w:val="19"/>
                <w:color w:val="auto"/>
              </w:rPr>
            </w:pPr>
          </w:p>
        </w:tc>
        <w:tc>
          <w:tcPr>
            <w:tcW w:w="260" w:type="dxa"/>
            <w:vAlign w:val="bottom"/>
            <w:tcBorders>
              <w:top w:val="single" w:sz="8" w:color="auto"/>
              <w:bottom w:val="single" w:sz="8" w:color="auto"/>
            </w:tcBorders>
            <w:shd w:val="clear" w:color="auto" w:fill="CFF2FC"/>
          </w:tcPr>
          <w:p>
            <w:pPr>
              <w:jc w:val="right"/>
              <w:ind w:right="11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413,654</w:t>
            </w:r>
          </w:p>
        </w:tc>
        <w:tc>
          <w:tcPr>
            <w:tcW w:w="40" w:type="dxa"/>
            <w:vAlign w:val="bottom"/>
            <w:tcBorders>
              <w:top w:val="single" w:sz="8" w:color="CFF2FC"/>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FF2FC"/>
            </w:tcBorders>
          </w:tcPr>
          <w:p>
            <w:pPr>
              <w:spacing w:after="0"/>
              <w:rPr>
                <w:sz w:val="21"/>
                <w:szCs w:val="21"/>
                <w:color w:val="auto"/>
              </w:rPr>
            </w:pPr>
          </w:p>
        </w:tc>
        <w:tc>
          <w:tcPr>
            <w:tcW w:w="4240" w:type="dxa"/>
            <w:vAlign w:val="bottom"/>
            <w:shd w:val="clear" w:color="auto" w:fill="CFF2FC"/>
          </w:tcPr>
          <w:p>
            <w:pPr>
              <w:spacing w:after="0"/>
              <w:rPr>
                <w:sz w:val="20"/>
                <w:szCs w:val="20"/>
                <w:color w:val="auto"/>
              </w:rPr>
            </w:pPr>
            <w:r>
              <w:rPr>
                <w:rFonts w:ascii="Arial" w:cs="Arial" w:eastAsia="Arial" w:hAnsi="Arial"/>
                <w:sz w:val="18"/>
                <w:szCs w:val="18"/>
                <w:color w:val="auto"/>
              </w:rPr>
              <w:t>Series 1 nonconvertible preferred stock</w:t>
            </w:r>
          </w:p>
        </w:tc>
        <w:tc>
          <w:tcPr>
            <w:tcW w:w="380" w:type="dxa"/>
            <w:vAlign w:val="bottom"/>
            <w:gridSpan w:val="2"/>
            <w:shd w:val="clear" w:color="auto" w:fill="CFF2FC"/>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2FC"/>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2FC"/>
            </w:tcBorders>
            <w:gridSpan w:val="2"/>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2FC"/>
          </w:tcPr>
          <w:p>
            <w:pPr>
              <w:jc w:val="right"/>
              <w:ind w:right="178"/>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FF2FC"/>
          </w:tcPr>
          <w:p>
            <w:pPr>
              <w:spacing w:after="0"/>
              <w:rPr>
                <w:sz w:val="21"/>
                <w:szCs w:val="21"/>
                <w:color w:val="auto"/>
              </w:rPr>
            </w:pPr>
          </w:p>
        </w:tc>
        <w:tc>
          <w:tcPr>
            <w:tcW w:w="140" w:type="dxa"/>
            <w:vAlign w:val="bottom"/>
            <w:tcBorders>
              <w:right w:val="single" w:sz="8" w:color="CFF2FC"/>
            </w:tcBorders>
            <w:shd w:val="clear" w:color="auto" w:fill="CFF2FC"/>
          </w:tcPr>
          <w:p>
            <w:pPr>
              <w:spacing w:after="0"/>
              <w:rPr>
                <w:sz w:val="21"/>
                <w:szCs w:val="21"/>
                <w:color w:val="auto"/>
              </w:rPr>
            </w:pPr>
          </w:p>
        </w:tc>
        <w:tc>
          <w:tcPr>
            <w:tcW w:w="260" w:type="dxa"/>
            <w:vAlign w:val="bottom"/>
            <w:shd w:val="clear" w:color="auto" w:fill="CFF2FC"/>
          </w:tcPr>
          <w:p>
            <w:pPr>
              <w:spacing w:after="0"/>
              <w:rPr>
                <w:sz w:val="21"/>
                <w:szCs w:val="21"/>
                <w:color w:val="auto"/>
              </w:rPr>
            </w:pPr>
          </w:p>
        </w:tc>
        <w:tc>
          <w:tcPr>
            <w:tcW w:w="1020" w:type="dxa"/>
            <w:vAlign w:val="bottom"/>
            <w:tcBorders>
              <w:right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1,479</w:t>
            </w:r>
          </w:p>
        </w:tc>
        <w:tc>
          <w:tcPr>
            <w:tcW w:w="40" w:type="dxa"/>
            <w:vAlign w:val="bottom"/>
            <w:shd w:val="clear" w:color="auto" w:fill="CFF2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11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2020 and 2019, there were no transfers between Level 1, Level 2 and Level 3.</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Series 1 nonconvertible preferred stock are recognized in other income (expense), net in the consolidated statements of operations.</w:t>
      </w:r>
    </w:p>
    <w:p>
      <w:pPr>
        <w:spacing w:after="0" w:line="4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Range</w:t>
            </w:r>
          </w:p>
        </w:tc>
        <w:tc>
          <w:tcPr>
            <w:tcW w:w="1120" w:type="dxa"/>
            <w:vAlign w:val="bottom"/>
          </w:tcPr>
          <w:p>
            <w:pPr>
              <w:spacing w:after="0"/>
              <w:rPr>
                <w:sz w:val="14"/>
                <w:szCs w:val="14"/>
                <w:color w:val="auto"/>
              </w:rPr>
            </w:pPr>
          </w:p>
        </w:tc>
      </w:tr>
      <w:tr>
        <w:trPr>
          <w:trHeight w:val="146"/>
        </w:trPr>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ind w:left="620"/>
              <w:spacing w:after="0" w:line="147" w:lineRule="exact"/>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September 30,</w:t>
            </w:r>
          </w:p>
        </w:tc>
        <w:tc>
          <w:tcPr>
            <w:tcW w:w="1120" w:type="dxa"/>
            <w:vAlign w:val="bottom"/>
          </w:tcPr>
          <w:p>
            <w:pPr>
              <w:spacing w:after="0"/>
              <w:rPr>
                <w:sz w:val="12"/>
                <w:szCs w:val="12"/>
                <w:color w:val="auto"/>
              </w:rPr>
            </w:pPr>
          </w:p>
        </w:tc>
      </w:tr>
      <w:tr>
        <w:trPr>
          <w:trHeight w:val="171"/>
        </w:trPr>
        <w:tc>
          <w:tcPr>
            <w:tcW w:w="1140" w:type="dxa"/>
            <w:vAlign w:val="bottom"/>
          </w:tcPr>
          <w:p>
            <w:pPr>
              <w:spacing w:after="0"/>
              <w:rPr>
                <w:sz w:val="14"/>
                <w:szCs w:val="14"/>
                <w:color w:val="auto"/>
              </w:rPr>
            </w:pPr>
          </w:p>
        </w:tc>
        <w:tc>
          <w:tcPr>
            <w:tcW w:w="3660" w:type="dxa"/>
            <w:vAlign w:val="bottom"/>
          </w:tcPr>
          <w:p>
            <w:pPr>
              <w:ind w:left="1700"/>
              <w:spacing w:after="0"/>
              <w:rPr>
                <w:sz w:val="20"/>
                <w:szCs w:val="20"/>
                <w:color w:val="auto"/>
              </w:rPr>
            </w:pPr>
            <w:r>
              <w:rPr>
                <w:rFonts w:ascii="Arial" w:cs="Arial" w:eastAsia="Arial" w:hAnsi="Arial"/>
                <w:sz w:val="14"/>
                <w:szCs w:val="14"/>
                <w:b w:val="1"/>
                <w:bCs w:val="1"/>
                <w:color w:val="auto"/>
              </w:rPr>
              <w:t>Unobservable Input</w:t>
            </w:r>
          </w:p>
        </w:tc>
        <w:tc>
          <w:tcPr>
            <w:tcW w:w="2880" w:type="dxa"/>
            <w:vAlign w:val="bottom"/>
            <w:gridSpan w:val="3"/>
          </w:tcPr>
          <w:p>
            <w:pPr>
              <w:jc w:val="center"/>
              <w:ind w:left="1556"/>
              <w:spacing w:after="0"/>
              <w:rPr>
                <w:sz w:val="20"/>
                <w:szCs w:val="20"/>
                <w:color w:val="auto"/>
              </w:rPr>
            </w:pPr>
            <w:r>
              <w:rPr>
                <w:rFonts w:ascii="Arial" w:cs="Arial" w:eastAsia="Arial" w:hAnsi="Arial"/>
                <w:sz w:val="14"/>
                <w:szCs w:val="14"/>
                <w:b w:val="1"/>
                <w:bCs w:val="1"/>
                <w:color w:val="auto"/>
                <w:w w:val="89"/>
              </w:rPr>
              <w:t>2020</w:t>
            </w:r>
          </w:p>
        </w:tc>
        <w:tc>
          <w:tcPr>
            <w:tcW w:w="244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89"/>
              </w:rPr>
              <w:t>2020</w:t>
            </w:r>
          </w:p>
        </w:tc>
        <w:tc>
          <w:tcPr>
            <w:tcW w:w="112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Probabilities of payout</w:t>
            </w: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center"/>
              <w:ind w:left="339"/>
              <w:spacing w:after="0"/>
              <w:rPr>
                <w:sz w:val="20"/>
                <w:szCs w:val="20"/>
                <w:color w:val="auto"/>
              </w:rPr>
            </w:pPr>
            <w:r>
              <w:rPr>
                <w:rFonts w:ascii="Arial" w:cs="Arial" w:eastAsia="Arial" w:hAnsi="Arial"/>
                <w:sz w:val="18"/>
                <w:szCs w:val="18"/>
                <w:color w:val="auto"/>
                <w:w w:val="94"/>
              </w:rPr>
              <w:t>0%-60%</w:t>
            </w:r>
          </w:p>
        </w:tc>
        <w:tc>
          <w:tcPr>
            <w:tcW w:w="4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0%-60%</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Discount rate</w:t>
            </w:r>
          </w:p>
        </w:tc>
        <w:tc>
          <w:tcPr>
            <w:tcW w:w="2880" w:type="dxa"/>
            <w:vAlign w:val="bottom"/>
            <w:gridSpan w:val="3"/>
          </w:tcPr>
          <w:p>
            <w:pPr>
              <w:jc w:val="center"/>
              <w:ind w:left="1556"/>
              <w:spacing w:after="0"/>
              <w:rPr>
                <w:sz w:val="20"/>
                <w:szCs w:val="20"/>
                <w:color w:val="auto"/>
              </w:rPr>
            </w:pPr>
            <w:r>
              <w:rPr>
                <w:rFonts w:ascii="Arial" w:cs="Arial" w:eastAsia="Arial" w:hAnsi="Arial"/>
                <w:sz w:val="18"/>
                <w:szCs w:val="18"/>
                <w:color w:val="auto"/>
                <w:w w:val="93"/>
              </w:rPr>
              <w:t>4.25%</w:t>
            </w:r>
          </w:p>
        </w:tc>
        <w:tc>
          <w:tcPr>
            <w:tcW w:w="2440" w:type="dxa"/>
            <w:vAlign w:val="bottom"/>
            <w:gridSpan w:val="3"/>
          </w:tcPr>
          <w:p>
            <w:pPr>
              <w:jc w:val="center"/>
              <w:ind w:left="562"/>
              <w:spacing w:after="0"/>
              <w:rPr>
                <w:sz w:val="20"/>
                <w:szCs w:val="20"/>
                <w:color w:val="auto"/>
              </w:rPr>
            </w:pPr>
            <w:r>
              <w:rPr>
                <w:rFonts w:ascii="Arial" w:cs="Arial" w:eastAsia="Arial" w:hAnsi="Arial"/>
                <w:sz w:val="18"/>
                <w:szCs w:val="18"/>
                <w:color w:val="auto"/>
                <w:w w:val="93"/>
              </w:rPr>
              <w:t>4.25%</w:t>
            </w:r>
          </w:p>
        </w:tc>
        <w:tc>
          <w:tcPr>
            <w:tcW w:w="1120" w:type="dxa"/>
            <w:vAlign w:val="bottom"/>
          </w:tcPr>
          <w:p>
            <w:pPr>
              <w:spacing w:after="0"/>
              <w:rPr>
                <w:sz w:val="20"/>
                <w:szCs w:val="20"/>
                <w:color w:val="auto"/>
              </w:rPr>
            </w:pPr>
          </w:p>
        </w:tc>
      </w:tr>
      <w:tr>
        <w:trPr>
          <w:trHeight w:val="431"/>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outstanding Series 1 nonconvertible preferred stock for which fair value is determined by Level 3 inputs: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Series 1</w:t>
            </w:r>
          </w:p>
        </w:tc>
      </w:tr>
      <w:tr>
        <w:trPr>
          <w:trHeight w:val="148"/>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Nonconvertible</w:t>
            </w:r>
          </w:p>
        </w:tc>
      </w:tr>
      <w:tr>
        <w:trPr>
          <w:trHeight w:val="148"/>
        </w:trPr>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Preferred</w:t>
            </w:r>
          </w:p>
        </w:tc>
      </w:tr>
      <w:tr>
        <w:trPr>
          <w:trHeight w:val="171"/>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Stock</w:t>
            </w: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2020</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000" w:type="dxa"/>
            <w:vAlign w:val="bottom"/>
          </w:tcPr>
          <w:p>
            <w:pPr>
              <w:ind w:left="120"/>
              <w:spacing w:after="0"/>
              <w:rPr>
                <w:sz w:val="20"/>
                <w:szCs w:val="20"/>
                <w:color w:val="auto"/>
              </w:rPr>
            </w:pPr>
            <w:r>
              <w:rPr>
                <w:rFonts w:ascii="Arial" w:cs="Arial" w:eastAsia="Arial" w:hAnsi="Arial"/>
                <w:sz w:val="18"/>
                <w:szCs w:val="18"/>
                <w:color w:val="auto"/>
              </w:rPr>
              <w:t>Change in fair value of nonconvertible preferred stock</w:t>
            </w:r>
          </w:p>
        </w:tc>
        <w:tc>
          <w:tcPr>
            <w:tcW w:w="26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December 31, 2020</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and September 30, 2020, the fair value of available-for-sale marketable securities, by type of security, was as follows:</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1"/>
              </w:rPr>
              <w:t>December 31, 2020</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Credit Losses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118,765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Commercial Paper</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138,415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91,593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348,773</w:t>
            </w:r>
          </w:p>
        </w:tc>
        <w:tc>
          <w:tcPr>
            <w:tcW w:w="2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798</w:t>
            </w: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1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349,563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1"/>
              </w:rPr>
              <w:t>September 30, 2020</w:t>
            </w: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Credit Losses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143,274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Commercial Paper</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93,909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93,740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ind w:left="3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330,923</w:t>
            </w: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440" w:type="dxa"/>
            <w:vAlign w:val="bottom"/>
            <w:tcBorders>
              <w:top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December 31, 2020 and September 30, 2020 marketable securities consisted of investments that mature within one year, with the exception of certain corporate bonds and U.S. Treasury notes, which have maturities between one and three years and an aggregate fair value of $18,462 and $32,634,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11" w:name="page12"/>
    <w:bookmarkEnd w:id="11"/>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Accrued expenses and other current liabilities, as well as other long-term liabilities, consisted of the following as of December 31, 2020 and September 30, 2020:</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40" w:type="dxa"/>
            <w:vAlign w:val="bottom"/>
            <w:gridSpan w:val="5"/>
          </w:tcPr>
          <w:p>
            <w:pPr>
              <w:jc w:val="right"/>
              <w:ind w:right="99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4,168</w:t>
            </w:r>
          </w:p>
        </w:tc>
        <w:tc>
          <w:tcPr>
            <w:tcW w:w="2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Accrued pharmaceutical drug manufacturing</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11,542</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$1,045,000 through December 31, 2020. Since the Company satisfied all of its performance obligations under the AbbVie Agreement by the end of fiscal 2011, all milestone payments received since then have been recognized as revenue when the milestones were achieved by AbbVie.</w:t>
      </w:r>
    </w:p>
    <w:p>
      <w:pPr>
        <w:spacing w:after="0" w:line="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9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1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2020, 1,930 shares of Series 1 nonconvertible preferred stock were issued and outstanding. Since these shares qualify as a derivative, the outstanding shares are carried at fair value as a liability on the Company’s consolidated balance sheet.</w:t>
      </w:r>
    </w:p>
    <w:p>
      <w:pPr>
        <w:spacing w:after="0" w:line="27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grants stock-based awards, including stock options and unit awards under its 2019 Equity Incentive Plan (the “2019 Plan”), which was approved by its stockholders on February 28, 2019. The Company also has outstanding unit awards, stock options and restricted stock unit awards under its 2012 Equity Incentive Plan (the “2012 Plan”) and its amended and restated 1995 Equity Incentive Plan (the “1995 Plan”), but is no longer granting awards under these plans.</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The following table summarizes stock option activity, including performance-based options, for the year-to-date period ending December 31, 2020:</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Under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43.45</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69.62</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 as of</w:t>
            </w: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32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December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140" w:type="dxa"/>
            <w:vAlign w:val="bottom"/>
            <w:tcBorders>
              <w:bottom w:val="single" w:sz="8" w:color="CFF0FC"/>
            </w:tcBorders>
          </w:tcPr>
          <w:p>
            <w:pPr>
              <w:spacing w:after="0"/>
              <w:rPr>
                <w:sz w:val="23"/>
                <w:szCs w:val="23"/>
                <w:color w:val="auto"/>
              </w:rPr>
            </w:pPr>
          </w:p>
        </w:tc>
        <w:tc>
          <w:tcPr>
            <w:tcW w:w="3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48.69</w:t>
            </w:r>
          </w:p>
        </w:tc>
        <w:tc>
          <w:tcPr>
            <w:tcW w:w="220" w:type="dxa"/>
            <w:vAlign w:val="bottom"/>
            <w:tcBorders>
              <w:bottom w:val="single" w:sz="8" w:color="CFF0FC"/>
            </w:tcBorders>
          </w:tcPr>
          <w:p>
            <w:pPr>
              <w:spacing w:after="0"/>
              <w:rPr>
                <w:sz w:val="23"/>
                <w:szCs w:val="23"/>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16,235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December 31, 2020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43.39</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b w:val="1"/>
                <w:bCs w:val="1"/>
                <w:color w:val="auto"/>
                <w:w w:val="81"/>
              </w:rPr>
              <w:t>PSUs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4"/>
          </w:tcPr>
          <w:p>
            <w:pPr>
              <w:ind w:left="1080"/>
              <w:spacing w:after="0"/>
              <w:rPr>
                <w:sz w:val="20"/>
                <w:szCs w:val="20"/>
                <w:color w:val="auto"/>
              </w:rPr>
            </w:pPr>
            <w:r>
              <w:rPr>
                <w:rFonts w:ascii="Arial" w:cs="Arial" w:eastAsia="Arial" w:hAnsi="Arial"/>
                <w:sz w:val="14"/>
                <w:szCs w:val="14"/>
                <w:b w:val="1"/>
                <w:bCs w:val="1"/>
                <w:color w:val="auto"/>
              </w:rPr>
              <w:t>rTSRUs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38"/>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2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3"/>
          </w:tcPr>
          <w:p>
            <w:pPr>
              <w:jc w:val="right"/>
              <w:ind w:right="175"/>
              <w:spacing w:after="0" w:line="155" w:lineRule="exact"/>
              <w:rPr>
                <w:sz w:val="20"/>
                <w:szCs w:val="20"/>
                <w:color w:val="auto"/>
              </w:rPr>
            </w:pPr>
            <w:r>
              <w:rPr>
                <w:rFonts w:ascii="Arial" w:cs="Arial" w:eastAsia="Arial" w:hAnsi="Arial"/>
                <w:sz w:val="14"/>
                <w:szCs w:val="14"/>
                <w:b w:val="1"/>
                <w:bCs w:val="1"/>
                <w:color w:val="auto"/>
                <w:w w:val="92"/>
              </w:rPr>
              <w:t>(in thousands, except per share data)</w:t>
            </w: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2020</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65.23</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80" w:type="dxa"/>
            <w:vAlign w:val="bottom"/>
            <w:gridSpan w:val="2"/>
          </w:tcPr>
          <w:p>
            <w:pPr>
              <w:ind w:left="120"/>
              <w:spacing w:after="0"/>
              <w:rPr>
                <w:sz w:val="20"/>
                <w:szCs w:val="20"/>
                <w:color w:val="auto"/>
              </w:rPr>
            </w:pPr>
            <w:r>
              <w:rPr>
                <w:rFonts w:ascii="Arial" w:cs="Arial" w:eastAsia="Arial" w:hAnsi="Arial"/>
                <w:sz w:val="18"/>
                <w:szCs w:val="18"/>
                <w:color w:val="auto"/>
              </w:rPr>
              <w:t>Cancelled</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December 31, 2020</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5280" w:type="dxa"/>
            <w:vAlign w:val="bottom"/>
            <w:gridSpan w:val="2"/>
          </w:tcPr>
          <w:p>
            <w:pPr>
              <w:ind w:left="496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three months ended December 31, 2016, the Company awarded restricted stock units to its employees, which vest 50% in three years and 50% in four years, provided the employee remains employed with the Company at the time of vesting. The fair value per share of these awards was determined based on the intrinsic value of the stock on the date of grant and is being recognized as stock-based compensation expense over the requisite service period. These units became fully vested during the three months ended December 31, 2020. In November 2020, the Company awarded additional restricted stock units to its employees, which vest in equal annual installments over four years, provided the employee remains employed with the Company at the time of vesting. The fair value per share of these awards was determined based on the intrinsic value of the stock on the date of grant and is being recognized as stock-based compensation expense over the requisite service period. The following table summarizes the restricted stock unit activity for the year-to-date period ending December 31, 2020:</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Restricted Stock</w:t>
            </w: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3080" w:type="dxa"/>
            <w:vAlign w:val="bottom"/>
            <w:tcBorders>
              <w:top w:val="single" w:sz="8" w:color="auto"/>
            </w:tcBorders>
            <w:gridSpan w:val="4"/>
          </w:tcPr>
          <w:p>
            <w:pPr>
              <w:jc w:val="right"/>
              <w:ind w:right="338"/>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2020</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December 31, 2020</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2020 and 2019, the Company recognized the following stock-based compensation expense:</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1"/>
        </w:trPr>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4000" w:type="dxa"/>
            <w:vAlign w:val="bottom"/>
          </w:tcPr>
          <w:p>
            <w:pPr>
              <w:spacing w:after="0"/>
              <w:rPr>
                <w:sz w:val="14"/>
                <w:szCs w:val="14"/>
                <w:color w:val="auto"/>
              </w:rPr>
            </w:pPr>
          </w:p>
        </w:tc>
        <w:tc>
          <w:tcPr>
            <w:tcW w:w="326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6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5"/>
        </w:trPr>
        <w:tc>
          <w:tcPr>
            <w:tcW w:w="40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260" w:type="dxa"/>
            <w:vAlign w:val="bottom"/>
            <w:gridSpan w:val="2"/>
            <w:shd w:val="clear" w:color="auto" w:fill="CFF0FC"/>
          </w:tcPr>
          <w:p>
            <w:pPr>
              <w:jc w:val="right"/>
              <w:ind w:right="10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w:t>
            </w:r>
          </w:p>
        </w:tc>
        <w:tc>
          <w:tcPr>
            <w:tcW w:w="86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FF0FC"/>
          </w:tcPr>
          <w:p>
            <w:pPr>
              <w:spacing w:after="0"/>
              <w:rPr>
                <w:sz w:val="19"/>
                <w:szCs w:val="19"/>
                <w:color w:val="auto"/>
              </w:rPr>
            </w:pPr>
          </w:p>
        </w:tc>
      </w:tr>
      <w:tr>
        <w:trPr>
          <w:trHeight w:val="229"/>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6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4,883</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6"/>
        </w:trPr>
        <w:tc>
          <w:tcPr>
            <w:tcW w:w="4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4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4000" w:type="dxa"/>
            <w:vAlign w:val="bottom"/>
          </w:tcPr>
          <w:p>
            <w:pPr>
              <w:spacing w:after="0"/>
              <w:rPr>
                <w:sz w:val="14"/>
                <w:szCs w:val="14"/>
                <w:color w:val="auto"/>
              </w:rPr>
            </w:pPr>
          </w:p>
        </w:tc>
        <w:tc>
          <w:tcPr>
            <w:tcW w:w="326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6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5"/>
        </w:trPr>
        <w:tc>
          <w:tcPr>
            <w:tcW w:w="40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3260" w:type="dxa"/>
            <w:vAlign w:val="bottom"/>
            <w:gridSpan w:val="2"/>
            <w:shd w:val="clear" w:color="auto" w:fill="CFF0FC"/>
          </w:tcPr>
          <w:p>
            <w:pPr>
              <w:jc w:val="right"/>
              <w:ind w:right="10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4,349</w:t>
            </w:r>
          </w:p>
        </w:tc>
        <w:tc>
          <w:tcPr>
            <w:tcW w:w="86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4,335</w:t>
            </w:r>
          </w:p>
        </w:tc>
        <w:tc>
          <w:tcPr>
            <w:tcW w:w="12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2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20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FF0FC"/>
          </w:tcPr>
          <w:p>
            <w:pPr>
              <w:spacing w:after="0"/>
              <w:rPr>
                <w:sz w:val="19"/>
                <w:szCs w:val="19"/>
                <w:color w:val="auto"/>
              </w:rPr>
            </w:pPr>
          </w:p>
        </w:tc>
      </w:tr>
      <w:tr>
        <w:trPr>
          <w:trHeight w:val="230"/>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206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4,883</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During the three months ended December 31, 2019, the Company recognized stock-based compensation expense for performance-based stock units for which vesting became probable upon achievement of performance-based targets that occurred during the performance period. During the three months ended December 31, 2020 no such units vested.</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2020, the Company had an aggregate of $56,373 of unrecognized stock-based compensation cost, which is expected to be recognized over a weighted average period of 2.6 years.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14" w:name="page15"/>
    <w:bookmarkEnd w:id="14"/>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the three months ended December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20" w:type="dxa"/>
            <w:vAlign w:val="bottom"/>
            <w:gridSpan w:val="3"/>
          </w:tcPr>
          <w:p>
            <w:pPr>
              <w:jc w:val="center"/>
              <w:ind w:right="414"/>
              <w:spacing w:after="0"/>
              <w:rPr>
                <w:sz w:val="20"/>
                <w:szCs w:val="20"/>
                <w:color w:val="auto"/>
              </w:rPr>
            </w:pPr>
            <w:r>
              <w:rPr>
                <w:rFonts w:ascii="Arial" w:cs="Arial" w:eastAsia="Arial" w:hAnsi="Arial"/>
                <w:sz w:val="14"/>
                <w:szCs w:val="14"/>
                <w:b w:val="1"/>
                <w:bCs w:val="1"/>
                <w:color w:val="auto"/>
                <w:w w:val="93"/>
              </w:rPr>
              <w:t>Three Months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220" w:type="dxa"/>
            <w:vAlign w:val="bottom"/>
            <w:gridSpan w:val="4"/>
          </w:tcPr>
          <w:p>
            <w:pPr>
              <w:jc w:val="center"/>
              <w:ind w:left="519"/>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16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Numerator:</w:t>
            </w:r>
          </w:p>
        </w:tc>
        <w:tc>
          <w:tcPr>
            <w:tcW w:w="1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income (loss)</w:t>
            </w:r>
          </w:p>
        </w:tc>
        <w:tc>
          <w:tcPr>
            <w:tcW w:w="2780" w:type="dxa"/>
            <w:vAlign w:val="bottom"/>
            <w:gridSpan w:val="2"/>
            <w:shd w:val="clear" w:color="auto" w:fill="CFF0FC"/>
          </w:tcPr>
          <w:p>
            <w:pPr>
              <w:jc w:val="right"/>
              <w:ind w:right="91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(8,328)</w:t>
            </w:r>
          </w:p>
        </w:tc>
        <w:tc>
          <w:tcPr>
            <w:tcW w:w="1100" w:type="dxa"/>
            <w:vAlign w:val="bottom"/>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Denominator:</w:t>
            </w:r>
          </w:p>
        </w:tc>
        <w:tc>
          <w:tcPr>
            <w:tcW w:w="16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16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—basic</w:t>
            </w:r>
          </w:p>
        </w:tc>
        <w:tc>
          <w:tcPr>
            <w:tcW w:w="16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20,093</w:t>
            </w:r>
          </w:p>
        </w:tc>
        <w:tc>
          <w:tcPr>
            <w:tcW w:w="4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40"/>
              <w:spacing w:after="0"/>
              <w:rPr>
                <w:sz w:val="20"/>
                <w:szCs w:val="20"/>
                <w:color w:val="auto"/>
              </w:rPr>
            </w:pPr>
            <w:r>
              <w:rPr>
                <w:rFonts w:ascii="Arial" w:cs="Arial" w:eastAsia="Arial" w:hAnsi="Arial"/>
                <w:sz w:val="18"/>
                <w:szCs w:val="18"/>
                <w:color w:val="auto"/>
              </w:rPr>
              <w:t>Net income (loss) per share common share—basic</w:t>
            </w:r>
          </w:p>
        </w:tc>
        <w:tc>
          <w:tcPr>
            <w:tcW w:w="27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FF0FC"/>
            </w:tcBorders>
            <w:vMerge w:val="continue"/>
          </w:tcPr>
          <w:p>
            <w:pPr>
              <w:spacing w:after="0"/>
              <w:rPr>
                <w:sz w:val="21"/>
                <w:szCs w:val="21"/>
                <w:color w:val="auto"/>
              </w:rPr>
            </w:pPr>
          </w:p>
        </w:tc>
        <w:tc>
          <w:tcPr>
            <w:tcW w:w="168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4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16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Numerator:</w:t>
            </w:r>
          </w:p>
        </w:tc>
        <w:tc>
          <w:tcPr>
            <w:tcW w:w="1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income (loss)</w:t>
            </w:r>
          </w:p>
        </w:tc>
        <w:tc>
          <w:tcPr>
            <w:tcW w:w="2780" w:type="dxa"/>
            <w:vAlign w:val="bottom"/>
            <w:gridSpan w:val="2"/>
            <w:shd w:val="clear" w:color="auto" w:fill="CFF0FC"/>
          </w:tcPr>
          <w:p>
            <w:pPr>
              <w:jc w:val="right"/>
              <w:ind w:right="91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(8,328)</w:t>
            </w:r>
          </w:p>
        </w:tc>
        <w:tc>
          <w:tcPr>
            <w:tcW w:w="1100" w:type="dxa"/>
            <w:vAlign w:val="bottom"/>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Denominator:</w:t>
            </w:r>
          </w:p>
        </w:tc>
        <w:tc>
          <w:tcPr>
            <w:tcW w:w="16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16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—basic</w:t>
            </w:r>
          </w:p>
        </w:tc>
        <w:tc>
          <w:tcPr>
            <w:tcW w:w="16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20,093</w:t>
            </w:r>
          </w:p>
        </w:tc>
        <w:tc>
          <w:tcPr>
            <w:tcW w:w="4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80"/>
              <w:spacing w:after="0"/>
              <w:rPr>
                <w:sz w:val="20"/>
                <w:szCs w:val="20"/>
                <w:color w:val="auto"/>
              </w:rPr>
            </w:pPr>
            <w:r>
              <w:rPr>
                <w:rFonts w:ascii="Arial" w:cs="Arial" w:eastAsia="Arial" w:hAnsi="Arial"/>
                <w:sz w:val="18"/>
                <w:szCs w:val="18"/>
                <w:color w:val="auto"/>
              </w:rPr>
              <w:t>Dilutive effect of common stock equivalents</w:t>
            </w:r>
          </w:p>
        </w:tc>
        <w:tc>
          <w:tcPr>
            <w:tcW w:w="1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168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—diluted</w:t>
            </w:r>
          </w:p>
        </w:tc>
        <w:tc>
          <w:tcPr>
            <w:tcW w:w="16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20,093</w:t>
            </w:r>
          </w:p>
        </w:tc>
        <w:tc>
          <w:tcPr>
            <w:tcW w:w="4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40"/>
              <w:spacing w:after="0"/>
              <w:rPr>
                <w:sz w:val="20"/>
                <w:szCs w:val="20"/>
                <w:color w:val="auto"/>
              </w:rPr>
            </w:pPr>
            <w:r>
              <w:rPr>
                <w:rFonts w:ascii="Arial" w:cs="Arial" w:eastAsia="Arial" w:hAnsi="Arial"/>
                <w:sz w:val="18"/>
                <w:szCs w:val="18"/>
                <w:color w:val="auto"/>
              </w:rPr>
              <w:t>Net income (loss) per share common share—diluted</w:t>
            </w:r>
          </w:p>
        </w:tc>
        <w:tc>
          <w:tcPr>
            <w:tcW w:w="27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FF0FC"/>
            </w:tcBorders>
            <w:vMerge w:val="continue"/>
          </w:tcPr>
          <w:p>
            <w:pPr>
              <w:spacing w:after="0"/>
              <w:rPr>
                <w:sz w:val="21"/>
                <w:szCs w:val="21"/>
                <w:color w:val="auto"/>
              </w:rPr>
            </w:pPr>
          </w:p>
        </w:tc>
        <w:tc>
          <w:tcPr>
            <w:tcW w:w="168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4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FF0FC"/>
          </w:tcPr>
          <w:p>
            <w:pPr>
              <w:ind w:left="140"/>
              <w:spacing w:after="0" w:line="195" w:lineRule="exact"/>
              <w:rPr>
                <w:sz w:val="20"/>
                <w:szCs w:val="20"/>
                <w:color w:val="auto"/>
              </w:rPr>
            </w:pPr>
            <w:r>
              <w:rPr>
                <w:rFonts w:ascii="Arial" w:cs="Arial" w:eastAsia="Arial" w:hAnsi="Arial"/>
                <w:sz w:val="18"/>
                <w:szCs w:val="18"/>
                <w:color w:val="auto"/>
              </w:rPr>
              <w:t>Anti-dilutive common stock equivalents excluded</w:t>
            </w:r>
          </w:p>
        </w:tc>
        <w:tc>
          <w:tcPr>
            <w:tcW w:w="16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from above</w:t>
            </w:r>
          </w:p>
        </w:tc>
        <w:tc>
          <w:tcPr>
            <w:tcW w:w="16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4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incurred a net loss since the impact of such common stock equivalents would have been anti-dilutive.</w:t>
      </w:r>
    </w:p>
    <w:p>
      <w:pPr>
        <w:spacing w:after="0" w:line="27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4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the three months ended December 31, 2020 and 2019, the Company recorded an income tax benefit of $3,294 and income tax (expense) of $(1,504) respectively, both of which were attributable to the Company’s domestic operations. The Company recorded an income tax benefit during the three months ended December 31, 2020 due to the Company’s ability and intent to carryback its current year tax loss under the Coronavirus Aid, Relief and Economic Security Act (the “CARES Act”). For the three months ended December 31, 2019, the Company determined the use of the discrete method was more appropriate than the annual effective tax rate method due to the sensitivity of the Company’s tax rate in the prior period to small changes in projected pre-tax earnings, which resulted in significant variations in the customary relationship between income tax expense and pretax income. Therefore, the Company utilized the discrete method to calculate the tax provision based on pre-tax results for the three months ended December 31, 2019.</w:t>
      </w:r>
    </w:p>
    <w:p>
      <w:pPr>
        <w:spacing w:after="0" w:line="58"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for the year ended September 30, 2017 to the present. Earlier years may be examined to the extent that tax credit or net operating loss carryforwards are used in future or prior periods. The Company is not currently under examination by any jurisdiction for any tax year open under statute.</w:t>
      </w:r>
    </w:p>
    <w:p>
      <w:pPr>
        <w:spacing w:after="0" w:line="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had unrecognized tax benefits totaling $675 and $788 as of December 31, 2020, and September 30, 2020, respectively. Unrecognized tax benefits represent tax positions for which reserves have been established. The Company’s policy is to record interest and penalties related to uncertain tax positions as part of its income tax provision.</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response to the COVID-19 pandemic, the CARES Act was signed into law in March 2020. The CARES Act lifts certain deduction limitations originally imposed by the Tax Cuts and Jobs Act of 2017 (the “2017 Tax Act”). Under the CARES Act, the Company is permitted to carry back net operating losses originating beginning in fiscal 2018 through fiscal 2021 for up to five years. Net operating loss carrybacks were previously prohibited under the 2017 Tax Act. The CARES Act also eliminates the 80% of taxable income limitations by allowing corporate entities to fully utilize net operating losses to offset taxable income in those prior years. In addition, the CARES Act makes qualified improvement property eligible for 15-year cost-recovery and 100% bonus depreciation. The impact of the CARES Act has been incorporated into the consolidated financial statements during the three months ended December 31, 2020.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As of December 31, 2020, the Company recorded a valuation allowance against the majority of its net deferred tax assets. The Company continues to believe it more likely that it will not have sufficient taxable income in the future that will allow it to realize all of its existing deferred tax assets. This is due to the fact the Company continues to progress its wholly-owned research and development programs and its declining royalty revenues from its Collaboration Agreement with AbbVie.</w:t>
      </w:r>
    </w:p>
    <w:p>
      <w:pPr>
        <w:spacing w:after="0" w:line="33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2020.</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2020 included in our Annual Report on Form 10-K for that fiscal year which is referred to as our 2020 Form 10-K. Please refer to our note regarding forward-looking statements on page 2 of this Form 10-Q, which is incorporated herein by this reference.</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a biotechnology company that uses our robust, chemistry-driven approach and drug discovery capabilities to become a leader in the discovery and development of small molecule drugs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brand of direct-acting antiviral, or DAA, combination treatment for HCV, which is marketed under the tradenames MAVYRET</w:t>
      </w:r>
      <w:r>
        <w:rPr>
          <w:rFonts w:ascii="Arial" w:cs="Arial" w:eastAsia="Arial" w:hAnsi="Arial"/>
          <w:sz w:val="14"/>
          <w:szCs w:val="14"/>
          <w:color w:val="auto"/>
        </w:rPr>
        <w:t>®</w:t>
      </w:r>
      <w:r>
        <w:rPr>
          <w:rFonts w:ascii="Arial" w:cs="Arial" w:eastAsia="Arial" w:hAnsi="Arial"/>
          <w:sz w:val="17"/>
          <w:szCs w:val="17"/>
          <w:color w:val="auto"/>
        </w:rPr>
        <w:t xml:space="preserve"> (U.S.) and MAVIRET</w:t>
      </w:r>
      <w:r>
        <w:rPr>
          <w:rFonts w:ascii="Arial" w:cs="Arial" w:eastAsia="Arial" w:hAnsi="Arial"/>
          <w:sz w:val="14"/>
          <w:szCs w:val="14"/>
          <w:color w:val="auto"/>
        </w:rPr>
        <w:t>®</w:t>
      </w:r>
      <w:r>
        <w:rPr>
          <w:rFonts w:ascii="Arial" w:cs="Arial" w:eastAsia="Arial" w:hAnsi="Arial"/>
          <w:sz w:val="17"/>
          <w:szCs w:val="17"/>
          <w:color w:val="auto"/>
        </w:rPr>
        <w:t xml:space="preserve"> (ex-U.S.) (glecaprevir/pibrentasvir). Our royalties from our AbbVie collaboration provide us funding to support our wholly-owned research and development programs, which are primarily focused on the following disease targets:</w:t>
      </w:r>
    </w:p>
    <w:p>
      <w:pPr>
        <w:spacing w:after="0" w:line="70" w:lineRule="exact"/>
        <w:rPr>
          <w:sz w:val="20"/>
          <w:szCs w:val="20"/>
          <w:color w:val="auto"/>
        </w:rPr>
      </w:pPr>
    </w:p>
    <w:p>
      <w:pPr>
        <w:ind w:left="1000" w:right="120" w:hanging="493"/>
        <w:spacing w:after="0" w:line="31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Respiratory syncytial virus, or RSV, the most common cause of bronchiolitis and pneumonia in young children and a significant cause of respiratory illness in older adults, with estimates suggesting that approximately 200,000 hospitalizations in the U.S. and EU occur each year in children under the age of two and approximately 170,000 hospitalizations in these regions occur each year in adults over the age of 65;</w:t>
      </w:r>
    </w:p>
    <w:p>
      <w:pPr>
        <w:spacing w:after="0" w:line="40" w:lineRule="exact"/>
        <w:rPr>
          <w:rFonts w:ascii="Arial" w:cs="Arial" w:eastAsia="Arial" w:hAnsi="Arial"/>
          <w:sz w:val="16"/>
          <w:szCs w:val="16"/>
          <w:color w:val="auto"/>
        </w:rPr>
      </w:pPr>
    </w:p>
    <w:p>
      <w:pPr>
        <w:ind w:left="1000" w:right="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Hepatitis B virus, or HBV, the most prevalent chronic hepatitis, which is estimated by the World Health Organization to affect more than 250 million individuals worldwide;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SARS-CoV-2, the virus that causes COVID-19;</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Human metapneumovirus, or hMPV, a virus that causes respiratory infection with symptoms similar to RSV; and</w:t>
      </w:r>
    </w:p>
    <w:p>
      <w:pPr>
        <w:spacing w:after="0" w:line="144"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1.5% to 6.5% of the population in the developed world (which translates to approximately 5 to 20 million individuals in the U.S. alone).</w:t>
      </w:r>
    </w:p>
    <w:p>
      <w:pPr>
        <w:spacing w:after="0" w:line="6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had $404.7 million in cash, cash equivalents and short-term and long-term marketable securities at December 31, 2020. In fiscal 2020, we earned $122.5 million in product royalties on AbbVie’s net sales of its HCV regimens. We expect cash flows from our continuing HCV royalties and our existing financial resources will allow us to continue to fund our wholly-owned research and development programs for the foreseeable future.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wholly-owned research and development programs are in virology, namely RSV, HBV, SARS-CoV-2 and hMPV, and in NASH, a non-viral liver disease:</w:t>
      </w:r>
    </w:p>
    <w:p>
      <w:pPr>
        <w:spacing w:after="0" w:line="62"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a clinical stage program for RSV, for which the lead asset is EDP-938.</w:t>
      </w:r>
    </w:p>
    <w:p>
      <w:pPr>
        <w:spacing w:after="0" w:line="144" w:lineRule="exact"/>
        <w:rPr>
          <w:rFonts w:ascii="Arial" w:cs="Arial" w:eastAsia="Arial" w:hAnsi="Arial"/>
          <w:sz w:val="18"/>
          <w:szCs w:val="18"/>
          <w:color w:val="auto"/>
        </w:rPr>
      </w:pPr>
    </w:p>
    <w:p>
      <w:pPr>
        <w:ind w:left="1520" w:right="60" w:hanging="500"/>
        <w:spacing w:after="0" w:line="296"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 xml:space="preserve">In June 2019, we announced positive topline results from our Phase 2a human challenge study of EDP-938 in healthy adults infected with a specific strain of RSV. Data from this study demonstrated that EDP-938 achieved highly statistically significant reductions (p= &lt;0.001) in RSV viral load (by both qRT-PCR and plaque assays), total symptom scores and mucus weights compared to placebo. In addition, the study showed that mean trough levels of drug achieved in study subjects were 20-40x higher than the amount of EDP-938 that has been shown in previously reported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to reduce 90% of the viral RNA in RSV-infected human cells.</w:t>
      </w:r>
    </w:p>
    <w:p>
      <w:pPr>
        <w:spacing w:after="0" w:line="53" w:lineRule="exact"/>
        <w:rPr>
          <w:rFonts w:ascii="Arial" w:cs="Arial" w:eastAsia="Arial" w:hAnsi="Arial"/>
          <w:sz w:val="18"/>
          <w:szCs w:val="18"/>
          <w:color w:val="auto"/>
        </w:rPr>
      </w:pPr>
    </w:p>
    <w:p>
      <w:pPr>
        <w:ind w:left="1520" w:right="160" w:hanging="500"/>
        <w:spacing w:after="0" w:line="255"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Based on the results of the challenge study, we now have an ongoing Phase 2b study of EDP-938, which is in adult outpatients with community-acquired RSV infection. This study, named RSVP, is designed to help us better understand the feasibility of this direct-acting antiviral therapy. While many of the sites for the Northern Hemisphere missed an unusually early RSV season in 2019-2020 and COVID-19 delayed or prevented activation of some trial sites in the Southern Hemisphere, the mitigation steps to manage the COVID-19 pandemic significantly reduced the incidence of respiratory illnesses (other than COVID-19) at the activated sites in that region’s RSV</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7" w:name="page18"/>
    <w:bookmarkEnd w:id="17"/>
    <w:p>
      <w:pPr>
        <w:ind w:left="1060" w:right="360"/>
        <w:spacing w:after="0" w:line="277" w:lineRule="auto"/>
        <w:rPr>
          <w:sz w:val="20"/>
          <w:szCs w:val="20"/>
          <w:color w:val="auto"/>
        </w:rPr>
      </w:pPr>
      <w:r>
        <w:rPr>
          <w:rFonts w:ascii="Arial" w:cs="Arial" w:eastAsia="Arial" w:hAnsi="Arial"/>
          <w:sz w:val="18"/>
          <w:szCs w:val="18"/>
          <w:color w:val="auto"/>
        </w:rPr>
        <w:t>season. We reactivated sites in North America and added sites in several countries in Europe and Asia in preparation for the 2020-2021 winter RSV season, which has yet to begin due to COVID-19 mitigation measures.</w:t>
      </w:r>
    </w:p>
    <w:p>
      <w:pPr>
        <w:spacing w:after="0" w:line="62" w:lineRule="exact"/>
        <w:rPr>
          <w:sz w:val="20"/>
          <w:szCs w:val="20"/>
          <w:color w:val="auto"/>
        </w:rPr>
      </w:pPr>
    </w:p>
    <w:p>
      <w:pPr>
        <w:ind w:left="1060" w:right="100" w:hanging="500"/>
        <w:spacing w:after="0" w:line="251" w:lineRule="auto"/>
        <w:tabs>
          <w:tab w:leader="none" w:pos="106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We also have planned to initiate two additional Phase 2 studies of EDP-938, the first of which is a Phase 2b study called RSVTx in adult hematopoietic cell transplant recipients with acute RSV infection and symptoms of upper respiratory tract infection, which we initiated in December 2020. We plan to enroll, within 72 hours of symptom onset, approximately 200 adult subjects 18 to 75 years of age, who will receive EDP-938 or placebo for 21 days. The primary endpoint is the incidence of lower respiratory tract complications within 28 days of enrollment, while secondary endpoints include change from baseline in RSV RNA viral load, safety and pharmacokinetics. In addition, we plan to initiate a Phase 2 RSV study called RSVPEDs in pediatric patients. The double-blind, placebo-controlled study in hospitalized and non-hospitalized pediatric RSV patients age 28 days to 24 months, is expected to initiate in the first calendar quarter of 2021.</w:t>
      </w:r>
    </w:p>
    <w:p>
      <w:pPr>
        <w:spacing w:after="0" w:line="87" w:lineRule="exact"/>
        <w:rPr>
          <w:rFonts w:ascii="Courier New" w:cs="Courier New" w:eastAsia="Courier New" w:hAnsi="Courier New"/>
          <w:sz w:val="18"/>
          <w:szCs w:val="18"/>
          <w:color w:val="auto"/>
        </w:rPr>
      </w:pPr>
    </w:p>
    <w:p>
      <w:pPr>
        <w:ind w:left="1060" w:right="140" w:hanging="500"/>
        <w:spacing w:after="0" w:line="259" w:lineRule="auto"/>
        <w:tabs>
          <w:tab w:leader="none" w:pos="106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It is not possible to know when RSV will be prevalent again, but we have established trial sites in many regions of the world in order to be ready when it re-emerges.</w:t>
      </w:r>
    </w:p>
    <w:p>
      <w:pPr>
        <w:spacing w:after="0" w:line="76" w:lineRule="exact"/>
        <w:rPr>
          <w:rFonts w:ascii="Courier New" w:cs="Courier New" w:eastAsia="Courier New" w:hAnsi="Courier New"/>
          <w:sz w:val="18"/>
          <w:szCs w:val="18"/>
          <w:color w:val="auto"/>
        </w:rPr>
      </w:pPr>
    </w:p>
    <w:p>
      <w:pPr>
        <w:jc w:val="both"/>
        <w:ind w:left="1060" w:right="60" w:hanging="500"/>
        <w:spacing w:after="0" w:line="254" w:lineRule="auto"/>
        <w:tabs>
          <w:tab w:leader="none" w:pos="106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We also have initiated an RSV L-protein inhibitor discovery effort centered around potent nanomolar leads active against both RSV-A and RSV-B, for potential use alone or in combination with agents targeting other RSV mechanisms, such as our lead RSV asset, EDP-938.</w:t>
      </w:r>
    </w:p>
    <w:p>
      <w:pPr>
        <w:spacing w:after="0" w:line="81" w:lineRule="exact"/>
        <w:rPr>
          <w:rFonts w:ascii="Courier New" w:cs="Courier New" w:eastAsia="Courier New" w:hAnsi="Courier New"/>
          <w:sz w:val="18"/>
          <w:szCs w:val="18"/>
          <w:color w:val="auto"/>
        </w:rPr>
      </w:pPr>
    </w:p>
    <w:p>
      <w:pPr>
        <w:jc w:val="both"/>
        <w:ind w:left="560" w:right="320" w:hanging="553"/>
        <w:spacing w:after="0" w:line="263"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We have two candidates for the treatment of chronic infection with hepatitis B virus, or HBV: EDP-514, a novel core inhibitor that displays potent anti-HBV activity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at multiple points in the HBV lifecycle, and EDP-721, our newest clinical candidate, which is a potent and selective oral HBV RNA destabilizer.</w:t>
      </w:r>
    </w:p>
    <w:p>
      <w:pPr>
        <w:spacing w:after="0" w:line="75" w:lineRule="exact"/>
        <w:rPr>
          <w:rFonts w:ascii="Arial" w:cs="Arial" w:eastAsia="Arial" w:hAnsi="Arial"/>
          <w:sz w:val="18"/>
          <w:szCs w:val="18"/>
          <w:color w:val="auto"/>
        </w:rPr>
      </w:pPr>
    </w:p>
    <w:p>
      <w:pPr>
        <w:ind w:left="1060" w:right="20" w:hanging="500"/>
        <w:spacing w:after="0" w:line="287" w:lineRule="auto"/>
        <w:tabs>
          <w:tab w:leader="none" w:pos="1060" w:val="left"/>
        </w:tabs>
        <w:numPr>
          <w:ilvl w:val="1"/>
          <w:numId w:val="16"/>
        </w:numPr>
        <w:rPr>
          <w:rFonts w:ascii="Courier New" w:cs="Courier New" w:eastAsia="Courier New" w:hAnsi="Courier New"/>
          <w:sz w:val="16"/>
          <w:szCs w:val="16"/>
          <w:color w:val="auto"/>
        </w:rPr>
      </w:pPr>
      <w:r>
        <w:rPr>
          <w:rFonts w:ascii="Arial" w:cs="Arial" w:eastAsia="Arial" w:hAnsi="Arial"/>
          <w:sz w:val="16"/>
          <w:szCs w:val="16"/>
          <w:color w:val="auto"/>
        </w:rPr>
        <w:t>Our initial study of EDP-514 was a randomized, double-blind, placebo-controlled Phase 1a/1b study designed in two parts. In February 2020, we announced positive results from Part 1 of the Phase 1a/b clinical study in healthy subjects, which demonstrated that EDP-514 was well-tolerated with a favorable safety profile, and demonstrated a pharmacokinetic profile supportive of once daily dosing. These data enabled us to move on to Part 2 of the study, where we are studying EDP-514 in chronic HBV patients already being treated with a marketed nucleoside reverse transcriptase inhibitor, which we refer to as NUC-suppressed patients. In addition, we have a second Phase 1b study, which we initiated in July 2020, to evaluate EDP 514 in chronic HBV patients with high viral load not currently on treatment, which we refer to as viremic patients. Subject to any future adverse impact of the COVID-19 pandemic, we expect to have topline results for both of these studies in the second calendar quarter of 2021.</w:t>
      </w:r>
    </w:p>
    <w:p>
      <w:pPr>
        <w:spacing w:after="0" w:line="59" w:lineRule="exact"/>
        <w:rPr>
          <w:sz w:val="20"/>
          <w:szCs w:val="20"/>
          <w:color w:val="auto"/>
        </w:rPr>
      </w:pPr>
    </w:p>
    <w:p>
      <w:pPr>
        <w:ind w:left="1040" w:right="20" w:hanging="466"/>
        <w:spacing w:after="0" w:line="251" w:lineRule="auto"/>
        <w:tabs>
          <w:tab w:leader="none" w:pos="10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EDP-721 is a potent and selective oral HBV RNA destabilizer, which has demonstrated a robust reduction of viral transcripts in preclinical models, leading to reduced production of multiple HBV proteins, including HBV surface antigen (HBsAg) and e-antigen (HBeAg). EDP-721 is expected to reduce HBsAg derived from both integrated and covalently-closed circular DNA (cccDNA). Since high levels of HBsAg suppress immune responses through multiple mechanisms, a sustained reduction of HBsAg is regarded as a key component of a functional cure for HBV. We plan to develop EDP-721 for use alone or in combination with other mechanisms, such as EDP-514, with the ultimate goal of achieving a functional cure for chronic HBV infection. We expect to initiate a Phase 1 clinical study of EDP-721 in mid calendar 2021.</w:t>
      </w:r>
    </w:p>
    <w:p>
      <w:pPr>
        <w:spacing w:after="0" w:line="88" w:lineRule="exact"/>
        <w:rPr>
          <w:rFonts w:ascii="Courier New" w:cs="Courier New" w:eastAsia="Courier New" w:hAnsi="Courier New"/>
          <w:sz w:val="18"/>
          <w:szCs w:val="18"/>
          <w:color w:val="auto"/>
        </w:rPr>
      </w:pPr>
    </w:p>
    <w:p>
      <w:pPr>
        <w:ind w:left="540" w:right="240" w:hanging="493"/>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COVID-19</w:t>
      </w:r>
      <w:r>
        <w:rPr>
          <w:rFonts w:ascii="Arial" w:cs="Arial" w:eastAsia="Arial" w:hAnsi="Arial"/>
          <w:sz w:val="18"/>
          <w:szCs w:val="18"/>
          <w:color w:val="auto"/>
        </w:rPr>
        <w:t>: Since we announced our newest discovery program for the treatment of COVID-19, we have been leveraging our expertise in direct-acting antiviral mechanisms to discover new compounds to treat COVID-19, using a combination of screening and targeted drug design.</w:t>
      </w:r>
    </w:p>
    <w:p>
      <w:pPr>
        <w:spacing w:after="0" w:line="75" w:lineRule="exact"/>
        <w:rPr>
          <w:rFonts w:ascii="Arial" w:cs="Arial" w:eastAsia="Arial" w:hAnsi="Arial"/>
          <w:sz w:val="18"/>
          <w:szCs w:val="18"/>
          <w:color w:val="auto"/>
        </w:rPr>
      </w:pPr>
    </w:p>
    <w:p>
      <w:pPr>
        <w:ind w:left="540" w:right="380" w:hanging="493"/>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hMPV</w:t>
      </w:r>
      <w:r>
        <w:rPr>
          <w:rFonts w:ascii="Arial" w:cs="Arial" w:eastAsia="Arial" w:hAnsi="Arial"/>
          <w:sz w:val="18"/>
          <w:szCs w:val="18"/>
          <w:color w:val="auto"/>
        </w:rPr>
        <w:t>: Since announcing our new drug discovery effort for hMPV in January 2020, we have been optimizing nanomolar inhibitor leads against this virus and are working toward identifying our first clinical candidate for this indication.</w:t>
      </w:r>
    </w:p>
    <w:p>
      <w:pPr>
        <w:spacing w:after="0" w:line="62" w:lineRule="exact"/>
        <w:rPr>
          <w:rFonts w:ascii="Arial" w:cs="Arial" w:eastAsia="Arial" w:hAnsi="Arial"/>
          <w:sz w:val="18"/>
          <w:szCs w:val="18"/>
          <w:color w:val="auto"/>
        </w:rPr>
      </w:pPr>
    </w:p>
    <w:p>
      <w:pPr>
        <w:ind w:left="540" w:right="240" w:hanging="493"/>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NASH:</w:t>
      </w:r>
      <w:r>
        <w:rPr>
          <w:rFonts w:ascii="Arial" w:cs="Arial" w:eastAsia="Arial" w:hAnsi="Arial"/>
          <w:sz w:val="18"/>
          <w:szCs w:val="18"/>
          <w:color w:val="auto"/>
        </w:rPr>
        <w:t xml:space="preserve"> We currently have two compounds in clinical development for NASH: EDP-305 and EDP-297, referred to as FXR agonists. These compounds, which selectively bind to and activate the Farnesoid X receptor, or FXR, represent a class of FXR agonists designed to take advantage of increased binding interactions with this receptor.</w:t>
      </w:r>
    </w:p>
    <w:p>
      <w:pPr>
        <w:spacing w:after="0" w:line="75" w:lineRule="exact"/>
        <w:rPr>
          <w:rFonts w:ascii="Arial" w:cs="Arial" w:eastAsia="Arial" w:hAnsi="Arial"/>
          <w:sz w:val="18"/>
          <w:szCs w:val="18"/>
          <w:color w:val="auto"/>
        </w:rPr>
      </w:pPr>
    </w:p>
    <w:p>
      <w:pPr>
        <w:ind w:left="1060" w:right="100" w:hanging="500"/>
        <w:spacing w:after="0" w:line="286"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7"/>
          <w:szCs w:val="17"/>
          <w:color w:val="auto"/>
        </w:rPr>
        <w:t>In July 2020 we initiated ARGON-2, a 72-week, Phase 2b, randomized, double-blind, placebo-controlled study, with histological endpoints, including fibrosis in 340 biopsy-confirmed NASH patients treated with EDP-305 or placebo. We are using EDP-305 doses of 1.5 mg and 2.0 mg, which we believe will favorably balance strong, efficacious target engagement with tolerability.</w:t>
      </w:r>
    </w:p>
    <w:p>
      <w:pPr>
        <w:spacing w:after="0" w:line="57" w:lineRule="exact"/>
        <w:rPr>
          <w:rFonts w:ascii="Arial" w:cs="Arial" w:eastAsia="Arial" w:hAnsi="Arial"/>
          <w:sz w:val="18"/>
          <w:szCs w:val="18"/>
          <w:color w:val="auto"/>
        </w:rPr>
      </w:pPr>
    </w:p>
    <w:p>
      <w:pPr>
        <w:ind w:left="1060" w:hanging="500"/>
        <w:spacing w:after="0" w:line="25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September 2020, we initiated a Phase 1 clinical study of EDP-297, a highly potent and targeted follow-on FXR agonist, being developed for the treatment of NASH. The Phase 1, randomized, double-blind, placebo-controlled, first-in-human study is designed to assess the safety, tolerability, and pharmacokinetics, including the effect of food intake, of orally administered EDP-297 in approximately 74 healthy adult subjects. Two phases are planned: a single ascending dose phase enrolling six cohorts, including a two-part food effect cohort, and a multiple ascending</w:t>
      </w:r>
    </w:p>
    <w:p>
      <w:pPr>
        <w:spacing w:after="0" w:line="18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449" w:right="339" w:bottom="1440" w:gutter="0" w:footer="0" w:header="0"/>
        </w:sectPr>
      </w:pPr>
    </w:p>
    <w:bookmarkStart w:id="18" w:name="page19"/>
    <w:bookmarkEnd w:id="18"/>
    <w:p>
      <w:pPr>
        <w:ind w:left="1520" w:right="200"/>
        <w:spacing w:after="0" w:line="277" w:lineRule="auto"/>
        <w:rPr>
          <w:sz w:val="20"/>
          <w:szCs w:val="20"/>
          <w:color w:val="auto"/>
        </w:rPr>
      </w:pPr>
      <w:r>
        <w:rPr>
          <w:rFonts w:ascii="Arial" w:cs="Arial" w:eastAsia="Arial" w:hAnsi="Arial"/>
          <w:sz w:val="18"/>
          <w:szCs w:val="18"/>
          <w:color w:val="auto"/>
        </w:rPr>
        <w:t>dose phase enrolling three cohorts. Subject to any future adverse impact of the COVID-19 pandemic, we expect to have preliminary data from this study in mid-2021.</w:t>
      </w:r>
    </w:p>
    <w:p>
      <w:pPr>
        <w:spacing w:after="0" w:line="62" w:lineRule="exact"/>
        <w:rPr>
          <w:sz w:val="20"/>
          <w:szCs w:val="20"/>
          <w:color w:val="auto"/>
        </w:rPr>
      </w:pPr>
    </w:p>
    <w:p>
      <w:pPr>
        <w:ind w:left="1520" w:right="100" w:hanging="500"/>
        <w:spacing w:after="0" w:line="254" w:lineRule="auto"/>
        <w:tabs>
          <w:tab w:leader="none" w:pos="152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In mid-2021 we also expect that ARGON-2 will provide us an internal interim analysis at 12 weeks of treatment on a subset of patients, at which point we expect to have more information to enhance our ability to determine what dose or doses we move forward through partnering for potential combinations with other mechanisms for NASH with fibrosis.</w:t>
      </w:r>
    </w:p>
    <w:p>
      <w:pPr>
        <w:spacing w:after="0" w:line="81" w:lineRule="exact"/>
        <w:rPr>
          <w:rFonts w:ascii="Courier New" w:cs="Courier New" w:eastAsia="Courier New" w:hAnsi="Courier New"/>
          <w:sz w:val="18"/>
          <w:szCs w:val="18"/>
          <w:color w:val="auto"/>
        </w:rPr>
      </w:pPr>
    </w:p>
    <w:p>
      <w:pPr>
        <w:ind w:left="1520" w:right="600" w:hanging="500"/>
        <w:spacing w:after="0" w:line="259" w:lineRule="auto"/>
        <w:tabs>
          <w:tab w:leader="none" w:pos="152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Accordingly, in mid-2021 we expect to be positioned to prioritize our NASH clinical assets and define our optimal go-forward strategy.</w:t>
      </w:r>
    </w:p>
    <w:p>
      <w:pPr>
        <w:spacing w:after="0" w:line="76" w:lineRule="exact"/>
        <w:rPr>
          <w:rFonts w:ascii="Courier New" w:cs="Courier New" w:eastAsia="Courier New" w:hAnsi="Courier New"/>
          <w:sz w:val="18"/>
          <w:szCs w:val="18"/>
          <w:color w:val="auto"/>
        </w:rPr>
      </w:pPr>
    </w:p>
    <w:p>
      <w:pPr>
        <w:ind w:left="1520" w:right="120" w:hanging="500"/>
        <w:spacing w:after="0" w:line="259" w:lineRule="auto"/>
        <w:tabs>
          <w:tab w:leader="none" w:pos="152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In addition, we have been pursuing research in other mechanisms that may provide therapeutic benefit in NASH, any of which might be used in combination with an FXR agonist or other therapies for NASH.</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172200" cy="2794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Royalty Revenue Collaboration</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Glecaprevir is the protease inhibitor we discovered that was developed by AbbVie in a fixed-dose combination with its NS5A inhibitor, pibrentasvir, for the treatment of HCV. This patented combination, currently marketed under the brand names MAVYRET</w:t>
      </w:r>
      <w:r>
        <w:rPr>
          <w:rFonts w:ascii="Arial" w:cs="Arial" w:eastAsia="Arial" w:hAnsi="Arial"/>
          <w:sz w:val="15"/>
          <w:szCs w:val="15"/>
          <w:color w:val="auto"/>
        </w:rPr>
        <w:t>®</w:t>
      </w:r>
      <w:r>
        <w:rPr>
          <w:rFonts w:ascii="Arial" w:cs="Arial" w:eastAsia="Arial" w:hAnsi="Arial"/>
          <w:sz w:val="18"/>
          <w:szCs w:val="18"/>
          <w:color w:val="auto"/>
        </w:rPr>
        <w:t xml:space="preserve"> (U.S.) and MAVIRET</w:t>
      </w:r>
      <w:r>
        <w:rPr>
          <w:rFonts w:ascii="Arial" w:cs="Arial" w:eastAsia="Arial" w:hAnsi="Arial"/>
          <w:sz w:val="15"/>
          <w:szCs w:val="15"/>
          <w:color w:val="auto"/>
        </w:rPr>
        <w:t>®</w:t>
      </w:r>
      <w:r>
        <w:rPr>
          <w:rFonts w:ascii="Arial" w:cs="Arial" w:eastAsia="Arial" w:hAnsi="Arial"/>
          <w:sz w:val="18"/>
          <w:szCs w:val="18"/>
          <w:color w:val="auto"/>
        </w:rPr>
        <w:t xml:space="preserve"> (ex-U.S.), is referred to in this report as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current COVID-19 pandemic has presented substantial challenges for public health and economies around the world, and it is affecting our clinical trials, our royalty revenues received from AbbVie, and our business operations. The full extent to which the COVID-19 pandemic will directly or indirectly impact our business, results of operations and financial condition will depend 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right="160"/>
        <w:spacing w:after="0" w:line="311" w:lineRule="auto"/>
        <w:rPr>
          <w:sz w:val="20"/>
          <w:szCs w:val="20"/>
          <w:color w:val="auto"/>
        </w:rPr>
      </w:pPr>
      <w:r>
        <w:rPr>
          <w:rFonts w:ascii="Arial" w:cs="Arial" w:eastAsia="Arial" w:hAnsi="Arial"/>
          <w:sz w:val="16"/>
          <w:szCs w:val="16"/>
          <w:color w:val="auto"/>
        </w:rPr>
        <w:t>future developments that are highly uncertain and cannot be accurately predicted, including new information that may emerge concerning COVID-19 and public health actions taken to contain it, the roll out of vaccinations worldwide, as well as the cumulative economic impact of all of these factors. Additionally, as new, more infectious variants emerge, it is possible that the impact of the pandemic on our business may increase or lengthen in duration.</w:t>
      </w:r>
    </w:p>
    <w:p>
      <w:pPr>
        <w:spacing w:after="0" w:line="4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are continuing to assess the potential impact of the COVID-19 pandemic on our business and operations, including our expenses, clinical trials and royalty revenues. The majority of our employees have continued to work from home since March 2020, while scientific personnel have been working in our laboratories, on a shift basis, since May 2020.</w:t>
      </w:r>
    </w:p>
    <w:p>
      <w:pPr>
        <w:spacing w:after="0" w:line="7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third-party contract manufacturing partners continue to operate at or near normal levels producing drug substance and drug product for our research and clinical development programs, so we currently do not anticipate any material interruptions in our supply chain, but it is possible that may change. We paused enrollment in two of our ongoing clinical trials, ARGON-2 and our HBV nuc-suppressed study, in March 2020 and resumed recruiting in these studies in July 2020. Also, there has been no RSV season yet in the Northern Hemisphere this winter due to continuing COVID-19 mitigation measures, which has adversely affected enrollment in our RSVP study, and we continue to experience a variety of more minor interruptions and complications in our other clinical trials, such as limitations in clinical trial supplies other than drug product, as well as local changes in COVID-19 impacts at individual trial sites. While our ongoing trials are proceeding and we are continuing with plans to initiate additional clinical trials in calendar 2021, it is unclear what impact, if any, the COVID-19 pandemic may have on the timeline for initiation and/or completion of all or any of our clinical trials.</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With regard to our royalty revenue, we continued to report lower royalty revenue reported during calendar 2020 as compared to the prior year due to the worldwide impact of COVID-19 on HCV sales driven by a decline in patient volumes, HCV diagnoses and HCV prescriptions of MAVYRET/MAVIRET. While the evolving impact of COVID-19 will likely continue to affect aspects of our business, including those described above, we remain capable of funding our research and development programs for the foreseeable future with the current level of royalty revenue and our existing cash and short-term and long-term investments, which totaled $404.7 million at December 31, 2020.</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Please see Item 1A “Risk Factors” in this quarterly report for additional discussion of risks and potential risks of the COVID-19 pandemic on our business,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currently funding all research and development for our wholly-owned programs, which are targeted toward the discovery and development of novel compounds for the treatment of viral infections and liver diseases. We have three Phase 2 studies ongoing for our wholly-owned programs in RSV and NASH and three Phase 1 studies in our HBV and NASH programs. We also plan to initiate clinical investigation of our new HBV RNA destabilizer compound, EDP-721, by mid-calendar 2021. In addition, we are also progressing other compounds in preclinical development, with the goal of having two new clinical candidates identified out of our three respiratory discovery efforts by the end of calendar 2021.</w:t>
      </w:r>
    </w:p>
    <w:p>
      <w:pPr>
        <w:spacing w:after="0" w:line="6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During 2021, we experienced disruptions in our business due to the spread of COVID-19. Specifically, the rate of RSV infection in both the Northern and Southern Hemispheres has been suppressed due to COVID-19 mitigation measures. In order to offset this as the RSV season swings back to the Northern Hemisphere, we reactivated sites in North America and are adding sites in several countries in Europe and Asia in preparation for the re-emergence of RSV. The Northern Hemisphere RSV season has yet to begin due to these COVID-19 mitigation measures and the timing of its return is currently unknown.</w:t>
      </w:r>
    </w:p>
    <w:p>
      <w:pPr>
        <w:spacing w:after="0" w:line="4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As a result of our clinical development programs, as well as efforts to advance other compounds into preclinical development, we expect to incur greater expenses in fiscal 2021 than in 2020 as we continue to advance our RSV, NASH, HBV, hMPV, and SARS CoV-2 programs. However, if the COVID-19 pandemic slows down our research and development programs, it will reduce our spending in those areas in the near term.</w:t>
      </w:r>
    </w:p>
    <w:p>
      <w:pPr>
        <w:spacing w:after="0" w:line="5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funding our operations primarily through royalty payments received under our collaboration agreement with AbbVie and our existing cash, cash equivalents, and short-term and long-term marketable securities. Our revenue is currently dependent on royalty payments we receive from AbbVie on its sales of MAVYRET/MAVIRET. During 2020 and into 2021, royalty revenues declined as compared to the prior year due primarily to the worldwide impact of COVID-19 on treated patient volumes as well as competitive pricing pressures in select markets. Given the uncertainty regarding the level of AbbVie’s future MAVYRET/MAVIRET sales that will generate our royalty revenue as well as increases in our future expenditures for the advancement of our internally developed compounds, we expect our expenses will exceed our revenues in fiscal 2021.</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months ended December 31, 2020 and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5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r>
      <w:tr>
        <w:trPr>
          <w:trHeight w:val="156"/>
        </w:trPr>
        <w:tc>
          <w:tcPr>
            <w:tcW w:w="45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4520" w:type="dxa"/>
            <w:vAlign w:val="bottom"/>
            <w:shd w:val="clear" w:color="auto" w:fill="CFF0FC"/>
          </w:tcPr>
          <w:p>
            <w:pPr>
              <w:jc w:val="right"/>
              <w:ind w:right="2330"/>
              <w:spacing w:after="0"/>
              <w:rPr>
                <w:sz w:val="20"/>
                <w:szCs w:val="20"/>
                <w:color w:val="auto"/>
              </w:rPr>
            </w:pPr>
            <w:r>
              <w:rPr>
                <w:rFonts w:ascii="Arial" w:cs="Arial" w:eastAsia="Arial" w:hAnsi="Arial"/>
                <w:sz w:val="18"/>
                <w:szCs w:val="18"/>
                <w:color w:val="auto"/>
                <w:w w:val="94"/>
              </w:rPr>
              <w:t>Research and development</w:t>
            </w:r>
          </w:p>
        </w:tc>
        <w:tc>
          <w:tcPr>
            <w:tcW w:w="326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36,665</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32,778</w:t>
            </w:r>
          </w:p>
        </w:tc>
        <w:tc>
          <w:tcPr>
            <w:tcW w:w="120" w:type="dxa"/>
            <w:vAlign w:val="bottom"/>
            <w:shd w:val="clear" w:color="auto" w:fill="CFF0FC"/>
          </w:tcPr>
          <w:p>
            <w:pPr>
              <w:spacing w:after="0"/>
              <w:rPr>
                <w:sz w:val="19"/>
                <w:szCs w:val="19"/>
                <w:color w:val="auto"/>
              </w:rPr>
            </w:pPr>
          </w:p>
        </w:tc>
      </w:tr>
      <w:tr>
        <w:trPr>
          <w:trHeight w:val="229"/>
        </w:trPr>
        <w:tc>
          <w:tcPr>
            <w:tcW w:w="4520" w:type="dxa"/>
            <w:vAlign w:val="bottom"/>
            <w:tcBorders>
              <w:bottom w:val="single" w:sz="8" w:color="CFF0FC"/>
            </w:tcBorders>
          </w:tcPr>
          <w:p>
            <w:pPr>
              <w:jc w:val="right"/>
              <w:ind w:right="2330"/>
              <w:spacing w:after="0"/>
              <w:rPr>
                <w:sz w:val="20"/>
                <w:szCs w:val="20"/>
                <w:color w:val="auto"/>
              </w:rPr>
            </w:pPr>
            <w:r>
              <w:rPr>
                <w:rFonts w:ascii="Arial" w:cs="Arial" w:eastAsia="Arial" w:hAnsi="Arial"/>
                <w:sz w:val="18"/>
                <w:szCs w:val="18"/>
                <w:color w:val="auto"/>
                <w:w w:val="96"/>
              </w:rPr>
              <w:t>General and administrative</w:t>
            </w:r>
          </w:p>
        </w:tc>
        <w:tc>
          <w:tcPr>
            <w:tcW w:w="24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120" w:type="dxa"/>
            <w:vAlign w:val="bottom"/>
            <w:tcBorders>
              <w:bottom w:val="single" w:sz="8" w:color="CFF0FC"/>
            </w:tcBorders>
          </w:tcPr>
          <w:p>
            <w:pPr>
              <w:spacing w:after="0"/>
              <w:rPr>
                <w:sz w:val="19"/>
                <w:szCs w:val="19"/>
                <w:color w:val="auto"/>
              </w:rPr>
            </w:pPr>
          </w:p>
        </w:tc>
      </w:tr>
      <w:tr>
        <w:trPr>
          <w:trHeight w:val="223"/>
        </w:trPr>
        <w:tc>
          <w:tcPr>
            <w:tcW w:w="4520" w:type="dxa"/>
            <w:vAlign w:val="bottom"/>
            <w:tcBorders>
              <w:bottom w:val="single" w:sz="8" w:color="CFF0FC"/>
            </w:tcBorders>
            <w:shd w:val="clear" w:color="auto" w:fill="CFF0FC"/>
          </w:tcPr>
          <w:p>
            <w:pPr>
              <w:jc w:val="right"/>
              <w:ind w:right="2310"/>
              <w:spacing w:after="0"/>
              <w:rPr>
                <w:sz w:val="20"/>
                <w:szCs w:val="20"/>
                <w:color w:val="auto"/>
              </w:rPr>
            </w:pPr>
            <w:r>
              <w:rPr>
                <w:rFonts w:ascii="Arial" w:cs="Arial" w:eastAsia="Arial" w:hAnsi="Arial"/>
                <w:sz w:val="18"/>
                <w:szCs w:val="18"/>
                <w:color w:val="auto"/>
              </w:rPr>
              <w:t>Total operating expenses</w:t>
            </w:r>
          </w:p>
        </w:tc>
        <w:tc>
          <w:tcPr>
            <w:tcW w:w="24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44,042</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6" w:lineRule="exact"/>
        <w:rPr>
          <w:sz w:val="20"/>
          <w:szCs w:val="20"/>
          <w:color w:val="auto"/>
        </w:rPr>
      </w:pPr>
    </w:p>
    <w:p>
      <w:pPr>
        <w:ind w:left="1000" w:right="7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212529"/>
        </w:rPr>
        <w:t>personnel costs, including salaries, related benefits and stock-based compensation for employees engaged in scientific research and development functions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laboratory consumables;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allocated facility-related costs;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research and development programs.</w:t>
      </w:r>
    </w:p>
    <w:p>
      <w:pPr>
        <w:spacing w:after="0" w:line="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particularly in the context of the COVID-19 pandemic,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right="80"/>
        <w:spacing w:after="0" w:line="342" w:lineRule="auto"/>
        <w:rPr>
          <w:sz w:val="20"/>
          <w:szCs w:val="20"/>
          <w:color w:val="auto"/>
        </w:rPr>
      </w:pPr>
      <w:r>
        <w:rPr>
          <w:rFonts w:ascii="Arial" w:cs="Arial" w:eastAsia="Arial" w:hAnsi="Arial"/>
          <w:sz w:val="16"/>
          <w:szCs w:val="16"/>
          <w:color w:val="auto"/>
        </w:rPr>
        <w:t>We expect that general and administrative expenses will increase in the future primarily due to the ongoing expansion of our operating activities in support of our own research and development programs, as well as potential additional costs associated with operating a growing publicly traded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Other income (expense), net consists of interest income, interest expense and the change in fair value of our outstanding Series 1 nonconvertible preferred stock. Interest income consists of interest earned on our cash equivalents and short-term and long-term marketable securities balances as well as interest earned for any refunds received from tax authorities.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Income tax (expense) benefit is based on our best estimate of applicable income tax rates, net research and development tax credits, net operating loss carryforwards and deferred income taxes, for the entire fiscal year applied to pre-tax profit or loss reported for the year-to-date period, except when a reliable estimate of the annual effective tax rate cannot be made and we instead use the year-to-date effective tax rate.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December 31, 2020 and 2019</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31,743</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52,570</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36,665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32,778</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7,377</w:t>
            </w: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6,921</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FF2FC"/>
          </w:tcPr>
          <w:p>
            <w:pPr>
              <w:spacing w:after="0"/>
              <w:rPr>
                <w:sz w:val="19"/>
                <w:szCs w:val="19"/>
                <w:color w:val="auto"/>
              </w:rPr>
            </w:pPr>
          </w:p>
        </w:tc>
        <w:tc>
          <w:tcPr>
            <w:tcW w:w="9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3,294</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Our revenue consists of royalties received under our collaboration agreement with AbbVie, substantially all of which are now derived from sales of MAVYRET/MAVIRET. We are entitled to annually tiered, double-digit, per-product royalties on 50% of all net sales of MAVYRET/MAVIRET. Our royalty revenues eligible to be earned in the future will potentially fluctuate depending on AbbVie’s HCV market share, the pricing of the MAVYRET/MAVIRET regimen and the number of patients treated with that regimen. Beginning with each January 1, the cumulative net sales of each royalty-bearing product start at zero for purposes of calculating the tiered royalties on a product-by-product basis.</w:t>
      </w:r>
    </w:p>
    <w:p>
      <w:pPr>
        <w:spacing w:after="0" w:line="6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recognized royalty revenue of $31.7 million during the three months ended December 31, 2020 as compared to $52.6 million during the three months ended December 31, 2019. Royalty revenue for the three months ended December 31, 2020 decreased by $20.8 million compared to the comparable period in 2019 due to lower patient volumes as a result of COVID-19 impacting new patient starts. AbbVie reported worldwide net sales of $481 million for MAVRYET/MAVIRET during the three months ended December 31, 2020 compared to $628 million in the prior year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center"/>
              <w:ind w:left="37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1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Virology</w:t>
            </w:r>
          </w:p>
        </w:tc>
        <w:tc>
          <w:tcPr>
            <w:tcW w:w="2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24,588</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19,236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Liver disease (non-viral)</w:t>
            </w:r>
          </w:p>
        </w:tc>
        <w:tc>
          <w:tcPr>
            <w:tcW w:w="1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48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4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w w:val="96"/>
              </w:rPr>
              <w:t>Total research and development expenses</w:t>
            </w:r>
          </w:p>
        </w:tc>
        <w:tc>
          <w:tcPr>
            <w:tcW w:w="18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36,665</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32,778</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80" w:type="dxa"/>
            <w:vAlign w:val="bottom"/>
            <w:vMerge w:val="restart"/>
          </w:tcPr>
          <w:p>
            <w:pPr>
              <w:jc w:val="right"/>
              <w:ind w:right="125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100"/>
        <w:spacing w:after="0" w:line="272" w:lineRule="auto"/>
        <w:rPr>
          <w:sz w:val="20"/>
          <w:szCs w:val="20"/>
          <w:color w:val="auto"/>
        </w:rPr>
      </w:pPr>
      <w:r>
        <w:rPr>
          <w:rFonts w:ascii="Arial" w:cs="Arial" w:eastAsia="Arial" w:hAnsi="Arial"/>
          <w:sz w:val="17"/>
          <w:szCs w:val="17"/>
          <w:color w:val="auto"/>
        </w:rPr>
        <w:t>The level of research and development expenses for the three months ended December 31, 2020 increased by $3.9 million compared to the same period in 2019. The increase was primarily driven by timing of our clinical studies in our virology programs and offset by a decrease in clinical trial expenses in our liver disease program. For our virology program, we had two Phase 1 studies of EDP-514 and two ongoing Phase 2 studies of EDP-938 in our RSV program during the three months ended December 31, 2020. In the prior year, we had initiated our Phase 1a/1b clinical study of EDP-514 and had our ongoing Phase 2 RSVP study of EDP-938 ongoing in 2019. For our liver disease program during the three months ended December 31, 2020, we had one Phase 2 study (ARGON-2) ongoing and our Phase 1 study of our FXR follow-on candidate, EDP-297, whereas in 2019 we had one Phase 2 study of EDP-305 ongoing (ARGON-1) and were in the process of concluding our Phase 2 INTREPID study.</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near term, our clinical trial expenses could fluctuate if the impact of the COVID-19 pandemic continues through calendar 2021 and negatively impacts patient recruitment and monitoring. Furthermore, COVID-19 could also cause delays in our other studies we plan to initiate later in 2021. In the coming years, we expect our research and development expenses to increase as our wholly-owned programs advance, subject to any long-term impact of the COVID-19 pandemic.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General and administrative expenses increased slightly by $0.5 million for the three months ended December 31, 2020 compared to the same period in the prior year due to increases in headcount and compensation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Other income (expense), net, decreased $1.4 million for the three months ended December 31, 2020 as compared to the same period in 2019 due to a net decrease in investment income primarily driven by lower interest rates year over year and purchases of marketable securities at a premium.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For the three months ended December 31, 2020 and 2019, we recorded an income tax benefit of $3.3 million and income tax expense of ($1.5) million, respectively. The income tax benefit for the three months ended December 31, 2020 was driven primarily by our pre-tax loss and a federal net operating loss carryback under the CARES Act. We continue to record a valuation allowance against the majority of our deferred tax assets as it is more likely than not that those tax benefits will not be realized in the future. The income tax expense for the three months ended December 31, 2019 was driven by our pre-tax income which was partially offset by research and development tax credits and the federal income tax benefit from foreign-derived royalty income.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At December 31, 2020, our principal sources of liquidity were cash, cash equivalents and short-term and long-term marketable securities totaling $404.7 million. We believe, despite the ongoing global impact of COVID-19, that our principal sources of liquidity will be sufficient to meet our anticipated cash requirements for the foreseeable future.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three months ended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Cash provided by (used in):</w:t>
            </w:r>
          </w:p>
        </w:tc>
        <w:tc>
          <w:tcPr>
            <w:tcW w:w="20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Operating activities</w:t>
            </w:r>
          </w:p>
        </w:tc>
        <w:tc>
          <w:tcPr>
            <w:tcW w:w="298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(14,890)</w:t>
            </w:r>
          </w:p>
        </w:tc>
        <w:tc>
          <w:tcPr>
            <w:tcW w:w="64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12,363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Investing activities</w:t>
            </w:r>
          </w:p>
        </w:tc>
        <w:tc>
          <w:tcPr>
            <w:tcW w:w="20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5"/>
              </w:rPr>
              <w:t>(17,445)</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(37,201)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tcBorders>
              <w:bottom w:val="single" w:sz="8" w:color="CFF0FC"/>
            </w:tcBorders>
          </w:tcPr>
          <w:p>
            <w:pPr>
              <w:ind w:left="320"/>
              <w:spacing w:after="0"/>
              <w:rPr>
                <w:sz w:val="20"/>
                <w:szCs w:val="20"/>
                <w:color w:val="auto"/>
              </w:rPr>
            </w:pPr>
            <w:r>
              <w:rPr>
                <w:rFonts w:ascii="Arial" w:cs="Arial" w:eastAsia="Arial" w:hAnsi="Arial"/>
                <w:sz w:val="18"/>
                <w:szCs w:val="18"/>
                <w:color w:val="auto"/>
              </w:rPr>
              <w:t>Financing activities</w:t>
            </w:r>
          </w:p>
        </w:tc>
        <w:tc>
          <w:tcPr>
            <w:tcW w:w="20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w w:val="92"/>
              </w:rPr>
              <w:t>Net decrease in cash, cash equivalents and restricted cash</w:t>
            </w:r>
          </w:p>
        </w:tc>
        <w:tc>
          <w:tcPr>
            <w:tcW w:w="20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(32,036)</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(23,672)</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80" w:type="dxa"/>
            <w:vAlign w:val="bottom"/>
            <w:vMerge w:val="restart"/>
          </w:tcPr>
          <w:p>
            <w:pPr>
              <w:jc w:val="right"/>
              <w:ind w:right="1550"/>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decrease in cash used in operating activities of $27.3 million for the three months ended December 31, 2020 as compared to the same period in 2019 was primarily driven by a decrease in net income year-over-year and net cash used by changes in our operating assets and liabilities of $11.7 million in the three months ended December 31, 2020 as compared to net cash used by changes in our operating assets and liabilities of $6.4 million for the same period in 2019. Changes in our operating assets and liabilities in both periods were generally due to a decrease in payments received under our collaboration with AbbVie, the advancement of our research programs and the timing of vendor invoicing and payments.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decrease of $19.8 million in cash used in investing activities for the three months ended December 31, 2020 as compared to the same period in 2019 was the result of reduced investment in debt securities, as well as timing of purchases, sales and maturities of marketable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decrease of $0.9 million in net cash provided by financing activities for the three months ended December 31, 2020 as compared to the same period in 2019 was driven by a decrease in proceeds from exercises of stock options of $1.5 million and offset by a decrease in withholding tax payments for the settlement of share-based awards of $0.6 million driven by a decline in our stock price year over year at the time of vesting of certain share-based awards.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2020, we had $404.7 million in cash, cash equivalents and short-term and long-term marketable securities. We believe that our existing cash, cash equivalents and marketable securities as of December 31, 2020 will be sufficient to meet our anticipated cash requirements for the foreseeable future. However, our forecast of the period for which our financial resources will be adequate to support our operations is a forward-looking statement that involves risks and uncertainties, and actual results could vary materially.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royalties generated from our existing collaboration with AbbVie;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44"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58"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of our product candidates as a result of the COVID-19 pandemic</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212529"/>
        </w:rPr>
        <w:t>the cost of manufacturing our product candidates for clinical development and any products we successfully commercialize independently</w:t>
      </w:r>
      <w:r>
        <w:rPr>
          <w:rFonts w:ascii="Arial" w:cs="Arial" w:eastAsia="Arial" w:hAnsi="Arial"/>
          <w:sz w:val="16"/>
          <w:szCs w:val="16"/>
          <w:color w:val="000000"/>
        </w:rPr>
        <w:t>;</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timing of, </w:t>
      </w:r>
      <w:r>
        <w:rPr>
          <w:rFonts w:ascii="Arial" w:cs="Arial" w:eastAsia="Arial" w:hAnsi="Arial"/>
          <w:sz w:val="18"/>
          <w:szCs w:val="18"/>
          <w:color w:val="212529"/>
        </w:rPr>
        <w:t>and the costs involved in, obtaining regulatory approvals for any product candidates we develop independently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the cost of commercialization activities, if any, of any product candidates we develop independently that are approved for sale, including marketing, sales and distribution costs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our ability to establish new collaborations, licensing or other arrangements, if any, and the financial terms of such arrangements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 our 2020 Form 10-K Part II, Item 7, Management’s Discussion and Analysis of Financial Conditions and Results of Operations, under the heading “Contractual Obligations and Commitments”, we have described our commitments and contingencies. There were no material changes to our total contractual commitments and obligations during the three months ended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Annual Report on Form 10-K for the fiscal year ended September 30, 2020 (referred to as our 2020 Form 10-K) for </w:t>
      </w:r>
      <w:r>
        <w:rPr>
          <w:rFonts w:ascii="Arial" w:cs="Arial" w:eastAsia="Arial" w:hAnsi="Arial"/>
          <w:sz w:val="18"/>
          <w:szCs w:val="18"/>
          <w:color w:val="212529"/>
        </w:rPr>
        <w:t>information about critical accounting policies as well as a description of our other significant</w:t>
      </w:r>
      <w:r>
        <w:rPr>
          <w:rFonts w:ascii="Arial" w:cs="Arial" w:eastAsia="Arial" w:hAnsi="Arial"/>
          <w:sz w:val="18"/>
          <w:szCs w:val="18"/>
          <w:color w:val="auto"/>
        </w:rPr>
        <w:t xml:space="preserve"> </w:t>
      </w:r>
      <w:r>
        <w:rPr>
          <w:rFonts w:ascii="Arial" w:cs="Arial" w:eastAsia="Arial" w:hAnsi="Arial"/>
          <w:sz w:val="18"/>
          <w:szCs w:val="18"/>
          <w:color w:val="212529"/>
        </w:rPr>
        <w:t>accounting policies</w:t>
      </w:r>
      <w:r>
        <w:rPr>
          <w:rFonts w:ascii="Arial" w:cs="Arial" w:eastAsia="Arial" w:hAnsi="Arial"/>
          <w:sz w:val="18"/>
          <w:szCs w:val="18"/>
          <w:color w:val="000000"/>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had cash, cash equivalents and short-term and long-term marketable securities of $404.7 million at December 31, 2020 consisting of cash, money market funds, agency securities,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As we continue to progress our wholly-owned programs into clinical development we will conduct clinical trials outside of the U.S. and thus will face exposure to movements in foreign currency exchange rates, primarily the British Pound and Euro, against the U.S. Dollar, arising from our accounts payable and accrued expenses. During the three months ended December 31, 2020, the impact of foreign currency exposure was immaterial and thus did not have a significant impact on our consolidated financial statements. Our operations may become subject to more significant fluctuations in foreign currency exchange rates in the future if we continue to contract with vendors outside of the U.S.</w:t>
      </w:r>
    </w:p>
    <w:p>
      <w:pPr>
        <w:spacing w:after="0" w:line="2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9"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three months ended December 31, 2020 that has materially affected, or is reasonably likely to materially affect, our internal control over financial reporting.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ectPr>
          <w:pgSz w:w="11900" w:h="16838" w:orient="portrait"/>
          <w:cols w:equalWidth="0" w:num="1">
            <w:col w:w="11220"/>
          </w:cols>
          <w:pgMar w:left="320" w:top="337" w:right="3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457" w:lineRule="exact"/>
        <w:rPr>
          <w:sz w:val="20"/>
          <w:szCs w:val="20"/>
          <w:color w:val="auto"/>
        </w:rPr>
      </w:pPr>
    </w:p>
    <w:p>
      <w:pPr>
        <w:sectPr>
          <w:pgSz w:w="11900" w:h="16838" w:orient="portrait"/>
          <w:cols w:equalWidth="0" w:num="2">
            <w:col w:w="1340" w:space="100"/>
            <w:col w:w="9780"/>
          </w:cols>
          <w:pgMar w:left="320" w:top="337" w:right="359" w:bottom="1440" w:gutter="0" w:footer="0" w:header="0"/>
          <w:type w:val="continuous"/>
        </w:sectPr>
      </w:pPr>
    </w:p>
    <w:p>
      <w:pPr>
        <w:ind w:right="160"/>
        <w:spacing w:after="0" w:line="275" w:lineRule="auto"/>
        <w:rPr>
          <w:sz w:val="20"/>
          <w:szCs w:val="20"/>
          <w:color w:val="auto"/>
        </w:rPr>
      </w:pPr>
      <w:r>
        <w:rPr>
          <w:rFonts w:ascii="Arial" w:cs="Arial" w:eastAsia="Arial" w:hAnsi="Arial"/>
          <w:sz w:val="17"/>
          <w:szCs w:val="17"/>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AbbVie’s success selling MAVYRET/MAVIRET, which includes our protease inhibitor, glecaprevir, for the treatment of HCV. AbbVie may continue to experience lower sales volume in future quarters due to a reduction in diagnoses and treatment of HCV, which could adversely affect our business.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rely on AbbVie to commercialize its regimen containing glecaprevir (our second protease inhibitor, which is one of the two DAAs in AbbVie’s MAVYRET/MAVIRET treatment), over which we have granted AbbVie complete control. Our ability to continue to generate revenue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68" w:lineRule="exact"/>
        <w:rPr>
          <w:sz w:val="20"/>
          <w:szCs w:val="20"/>
          <w:color w:val="auto"/>
        </w:rPr>
      </w:pPr>
    </w:p>
    <w:p>
      <w:pPr>
        <w:ind w:left="1000" w:right="2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continue to experience lower sales volume in future quarters due to a reduction in diagnoses and treatment of HCV if doctor visits and other routine healthcare activities remain at below normal levels as a result of the COVID-19 pandemic;</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maintain satisfactory levels of prescriptions by physicians and reimbursement by third-party payors for the MAVYRET/MAVIRET regimen in the various markets of the world where it is being sold;</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 including competition for exclusive arrangements with third-party payors and governmental entities as well as price competition;</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obtain all commercially necessary reimbursement approvals;</w:t>
      </w:r>
    </w:p>
    <w:p>
      <w:pPr>
        <w:spacing w:after="0" w:line="144"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may unilaterally terminate our collaboration agreement on specified prior notice without any reason and without any further commitment.</w:t>
      </w:r>
    </w:p>
    <w:p>
      <w:pPr>
        <w:spacing w:after="0" w:line="1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do not have access to all information regarding AbbVie’s MAVYRET/MAVIRET, including certain information about spontaneous safety reports for any marketed product, regulatory affairs, process development, manufacturing, marketing, sales and other areas known by AbbVie. Thus, our ability to keep our stockholders informed about the status of the marketed products licensed under our collaboration is limited by the degree to which AbbVie keeps us informed. If AbbVie does not perform in the manner we expect or fulfill its responsibilities in a timely manner, or at all, the global commercialization of MAVYRET/MAVIRET could be terminated in selected jurisdictions or be commercially unsuccessful. In addition, AbbVie has the right to make decisions regarding the commercialization of licensed products without consulting us. For example, in 2018 AbbVie entered into a royalty-free licensing agreement with the Medicines Patent Pool to accelerate access to generic versions of MAVYRET/MAVIRET in 99 low- and middle-income countries and territories. AbbVie may also make decisions with which we do not agree. If AbbVie acts in a manner that is not in our best interest, then it could adversely affect our business and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6" w:name="page27"/>
    <w:bookmarkEnd w:id="26"/>
    <w:p>
      <w:pPr>
        <w:ind w:right="340"/>
        <w:spacing w:after="0" w:line="277" w:lineRule="auto"/>
        <w:rPr>
          <w:sz w:val="20"/>
          <w:szCs w:val="20"/>
          <w:color w:val="auto"/>
        </w:rPr>
      </w:pPr>
      <w:r>
        <w:rPr>
          <w:rFonts w:ascii="Arial" w:cs="Arial" w:eastAsia="Arial" w:hAnsi="Arial"/>
          <w:sz w:val="18"/>
          <w:szCs w:val="18"/>
          <w:b w:val="1"/>
          <w:bCs w:val="1"/>
          <w:i w:val="1"/>
          <w:iCs w:val="1"/>
          <w:color w:val="auto"/>
        </w:rPr>
        <w:t>Our royalty revenues are primarily derived from AbbVie’s net sales of its MAVYRET/MAVIRET regimen for HCV. If AbbVie is unable to maintain sales of this regimen at or above current levels of sales, our royalty revenues will be adversely affected.</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AbbVie’s MAVYRET/MAVIRET regimen continues to be the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 competitive market dynamics. For example, the states of Louisiana and Washington have each announced efforts to negotiate a blanket price for one of the HCV drug companies to treat all patients in one or more state programs (e.g. Medicaid). Gilead was awarded the contract in Louisiana and AbbVie was awarded the contract in Washington. In addition, Gilead has been able to access the Medicaid market at a lower price point to build its market share by using an authorized generic version of its HCV regimen branded as Epclusa</w:t>
      </w:r>
      <w:r>
        <w:rPr>
          <w:rFonts w:ascii="Arial" w:cs="Arial" w:eastAsia="Arial" w:hAnsi="Arial"/>
          <w:sz w:val="13"/>
          <w:szCs w:val="13"/>
          <w:color w:val="auto"/>
        </w:rPr>
        <w:t>®</w:t>
      </w:r>
      <w:r>
        <w:rPr>
          <w:rFonts w:ascii="Arial" w:cs="Arial" w:eastAsia="Arial" w:hAnsi="Arial"/>
          <w:sz w:val="16"/>
          <w:szCs w:val="16"/>
          <w:color w:val="auto"/>
        </w:rPr>
        <w:t>.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5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MAVYRET/MAVIRET regimen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Furthermore, we expect that the COVID-19 pandemic will continue to adversely affect AbbVie’s sales of MAVYRET/MAVIRET in the United States and the rest of the world if healthcare systems continue to experience varying levels of shut-down and diagnoses and treatment rates of HCV infections remain at below-normal levels. At this point in time we do not know the extent and duration of this adverse effect. We note, however, that the HCV patient pool will continue to carry the viral infection until treated.</w:t>
      </w:r>
    </w:p>
    <w:p>
      <w:pPr>
        <w:spacing w:after="0" w:line="29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RSV, HBV, NASH, hMPV and SARS-CoV-2, which may result in others discovering, developing or commercializing products before we do or doing so more successfully than we do.</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RSV, HBV, NASH, hMPV and SARS-CoV-2 and other viral infections or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expect AbbVie’s MAVYRET/MAVIRET to continue to face intense competition due to existing approved products in the HCV market. AbbVie’s MAVYRET/MAVIRET regimen currently faces competition in various world markets and subpopulations of HCV from Gilead’s Epclusa</w:t>
      </w:r>
      <w:r>
        <w:rPr>
          <w:rFonts w:ascii="Arial" w:cs="Arial" w:eastAsia="Arial" w:hAnsi="Arial"/>
          <w:sz w:val="13"/>
          <w:szCs w:val="13"/>
          <w:color w:val="auto"/>
        </w:rPr>
        <w:t>®</w:t>
      </w:r>
      <w:r>
        <w:rPr>
          <w:rFonts w:ascii="Arial" w:cs="Arial" w:eastAsia="Arial" w:hAnsi="Arial"/>
          <w:sz w:val="16"/>
          <w:szCs w:val="16"/>
          <w:color w:val="auto"/>
        </w:rPr>
        <w:t xml:space="preserve"> (a fixed dose combination of sofosbuvir and velpatasvir), Vosevi</w:t>
      </w:r>
      <w:r>
        <w:rPr>
          <w:rFonts w:ascii="Arial" w:cs="Arial" w:eastAsia="Arial" w:hAnsi="Arial"/>
          <w:sz w:val="13"/>
          <w:szCs w:val="13"/>
          <w:color w:val="auto"/>
        </w:rPr>
        <w:t>®</w:t>
      </w:r>
      <w:r>
        <w:rPr>
          <w:rFonts w:ascii="Arial" w:cs="Arial" w:eastAsia="Arial" w:hAnsi="Arial"/>
          <w:sz w:val="16"/>
          <w:szCs w:val="16"/>
          <w:color w:val="auto"/>
        </w:rPr>
        <w:t xml:space="preserve"> (a triple combination therapy of sofosbuvir, velpatasvir and voxilaprevir approved by the FDA in July 2017 for specified sofosbuvir -treatment failures and NS5A-inhibitor treatment failures) and Harvoni</w:t>
      </w:r>
      <w:r>
        <w:rPr>
          <w:rFonts w:ascii="Arial" w:cs="Arial" w:eastAsia="Arial" w:hAnsi="Arial"/>
          <w:sz w:val="13"/>
          <w:szCs w:val="13"/>
          <w:color w:val="auto"/>
        </w:rPr>
        <w:t>®</w:t>
      </w:r>
      <w:r>
        <w:rPr>
          <w:rFonts w:ascii="Arial" w:cs="Arial" w:eastAsia="Arial" w:hAnsi="Arial"/>
          <w:sz w:val="16"/>
          <w:szCs w:val="16"/>
          <w:color w:val="auto"/>
        </w:rPr>
        <w:t xml:space="preserve"> (a fixed-dose combination of sofosbuvir and ledipasvir); and to a lesser extent - Merck’s Zepatier</w:t>
      </w:r>
      <w:r>
        <w:rPr>
          <w:rFonts w:ascii="Arial" w:cs="Arial" w:eastAsia="Arial" w:hAnsi="Arial"/>
          <w:sz w:val="13"/>
          <w:szCs w:val="13"/>
          <w:color w:val="auto"/>
        </w:rPr>
        <w:t>®</w:t>
      </w:r>
      <w:r>
        <w:rPr>
          <w:rFonts w:ascii="Arial" w:cs="Arial" w:eastAsia="Arial" w:hAnsi="Arial"/>
          <w:sz w:val="16"/>
          <w:szCs w:val="16"/>
          <w:color w:val="auto"/>
        </w:rPr>
        <w:t xml:space="preserve"> (a fixed-dose combination of grazoprevir and elbasvir). Gilead launched authorized generic versions of Epclusa and Harvoni in January 2019 through a newly created subsidiary, Asegua Therapeutics, LLC, which has had an impact on the competitive landscape. For example, in March 2019, the state of Louisiana announced the selection of Asegua Therapeutics as their HCV subscription model pharmaceutical partner to provide the state with unrestricted access to its direct-acting antiviral medication. 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We also expect our other product candidates to face intense and increasing competition. RSV and HBV represent competitive therapeutic areas.</w:t>
      </w:r>
    </w:p>
    <w:p>
      <w:pPr>
        <w:spacing w:after="0" w:line="1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new antiviral treatments for RSV infection in adult and pediatric patients. Ark Biosciences, Johnson &amp; Johnson and ReViral each have compounds in clinical development. A prophylactic, monoclonal-antibody-based treatment from MedImmune, which is commercialized by AbbVie outside the U.S., is approved for infants considered at high risk for RSV infection; however, studies have found that most young children with RSV infection were previously healthy, and thus would not normally be prescribed prophylactic treatment. AstraZeneca/Sanofi and Merck are developing long-acting versions of the monoclonal antibody for prophylaxis use in infants. In addition, a number of companies have RSV vaccines in development, primarily directed at prevention of RSV infection, and some companies are also evaluating vaccines in a therapeutic mode for treatment of established RSV infection.</w:t>
      </w:r>
    </w:p>
    <w:p>
      <w:pPr>
        <w:spacing w:after="0" w:line="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While there are effective antiviral medications prescribed for HBV, they generally have low true cure rates. Many companies are seeking to develop new HBV drugs that alone or in combination with other mechanisms could lead to a functional cure of HBV. Assembly, Ascletis Pharma, Gilead, Green Cross, GSK/Ionis, HEC, Johnson &amp; Johnson, MYR, Replicor, Roche and Vir Biotechnology have Phase 2 programs in progress, with many of these companies conducting earlier stage programs as well. In addition, a number of companies have Phase 1 or earlier stage HBV programs, including Aligos, Arbutus, ENYO, Fujian Cosunter, Sichuan Kelon, Qilu and Zhimeng Biopharma.</w:t>
      </w:r>
    </w:p>
    <w:p>
      <w:pPr>
        <w:spacing w:after="0" w:line="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Though there is currently no approved treatment for NASH, we expect significant competition from other companies in the development of new treatments for NASH and related conditions. In February 2019, Intercept Pharmaceuticals announced positive Phase 3 trial results for OCA (brand name Ocaliva</w:t>
      </w:r>
      <w:r>
        <w:rPr>
          <w:rFonts w:ascii="Arial" w:cs="Arial" w:eastAsia="Arial" w:hAnsi="Arial"/>
          <w:sz w:val="13"/>
          <w:szCs w:val="13"/>
          <w:color w:val="auto"/>
        </w:rPr>
        <w:t>®</w:t>
      </w:r>
      <w:r>
        <w:rPr>
          <w:rFonts w:ascii="Arial" w:cs="Arial" w:eastAsia="Arial" w:hAnsi="Arial"/>
          <w:sz w:val="16"/>
          <w:szCs w:val="16"/>
          <w:color w:val="auto"/>
        </w:rPr>
        <w:t>) in NASH and submitted U.S. and European regulatory filings in the second half of calendar 2019 for approvals in this indication. In June 2020 Intercept received a complete response letter from the FDA and has announced that it is currently in ongoing discussions with the FDA and expects to refile an NDA for OCA in 2021 with additional safety and efficacy data. In addition to Intercept, we are aware of several other companies with NASH programs that are significantly more advanced than ours, including companies with compounds in Phase 3 clinical trials in NASH, namely AbbVie, Akero, CymaBay, Galmed, and Madrigal. In addition, a number of companies have NASH or related programs with compounds in Phase 2 clinical trials. These companies include 89bio, Afimmune, Akcea, AstraZeneca, BMS, Can-Fite BioPharma, Cirius, Corcept Therapeutics, Eli Lilly and Company, Enyo, Galectin, Gilead, Hanmi Pharma, HighTide Biopharma, Immuron, Inventiva, Kowa Company, Lipocine, Medicinova, Metacrine, Mitsubishi Tanabe Pharma, NGM Biopharmaceuticals, Northsea Therapeutics, Novartis, Novo Nordisk, NuSirt Biopharma, Oramed, Pfizer, Poxel SA, PharmaKing, Roche, Sagimet Biosciences, TaiwanJ Pharmaceuticals, Terns, Theratechnologies, Viking Therapeutics, and Zydus. A significant number of other companies are conducting earlier stage clinical trials that may be applicable in NASH. There are also additional companies conducting preclinical studies in these disease areas.</w:t>
      </w:r>
    </w:p>
    <w:p>
      <w:pPr>
        <w:spacing w:after="0" w:line="6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ongoing COVID-19 pandemic has had an impact on our business operations and clinical trials and could continue, directly or indirectly, to adversely affect our business, results of operations and financial condition and our stock price.</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COVID-19 pandemic has had an impact on our business operations and we continue to monitor applicable government recommendations. We have made modifications to our normal operations because of the COVID-19 pandemic, including allowing certain of our employees to work remotely and conducting our laboratory operations at reduced capacity. Notwithstanding these measures, the COVID-19 pandemic could affect the health and availability of our workforce as well as those of the third parties whom we are relying on to take similar measures. In addition, we have experienced and will continue to experience disruptions to our business operations resulting from shelter-in-place policies and other restrictions on the ability of our employees to perform their jobs.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business could continue to be materially adversely affected, directly or indirectly, by the ongoing COVID-19 pandemic, which has spread to the countries in which we, our contract manufacturers, our clinical research contractors and our collaborators in clinical research do business. National, state and local governments in affected regions have implemented and may continue to implement safety precautions, including quarantines, border closures, increased border controls, travel restrictions, shelter-in-place orders and shutdowns, business closures, cancellations of public gatherings and other measures. Organizations and individuals are taking additional steps to avoid or reduce infection, including limiting travel and staying home from work. These measures are disrupting normal business operations both inside and outside of affected areas and have had significant negative impacts on businesses and financial markets worldwide.</w:t>
      </w:r>
    </w:p>
    <w:p>
      <w:pPr>
        <w:spacing w:after="0" w:line="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extent and severity of the impact on our business and clinical trials will be determined largely by the extent of disruptions in the supply chains for our research and clinical trial materials, delays in the conduct and recruitment of current and future clinical trials and reductions in the number of patients accessing AbbVie’s HCV regimens. For example, we paused recruitment for our Phase 2b ARGON-2 study of EDP-305 in NASH patients and Part 2 of our Phase 1a/1b study of EDP-514 in nuc-suppressed HBV patients in March 2020, but we were able to resume recruitment of these studies in July 2020. In addition, the public health response to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line="254" w:lineRule="auto"/>
        <w:rPr>
          <w:sz w:val="20"/>
          <w:szCs w:val="20"/>
          <w:color w:val="auto"/>
        </w:rPr>
      </w:pPr>
      <w:r>
        <w:rPr>
          <w:rFonts w:ascii="Arial" w:cs="Arial" w:eastAsia="Arial" w:hAnsi="Arial"/>
          <w:sz w:val="18"/>
          <w:szCs w:val="18"/>
          <w:color w:val="auto"/>
        </w:rPr>
        <w:t>COVID-19 pandemic, including lock-downs, mask mandates and social distancing, began just before the start of the winter RSV season in the Southern Hemisphere which delayed or prevented activation of some trial sites in that region. Similarly, the mitigation steps to manage the COVID-19 pandemic significantly reduced the incidence of RSV and other respiratory illnesses at the activated sites in the Southern Hemisphere’s RSV season and the recruitment in our RSVP study. To date the 2021 RSV season in the Northern Hemisphere has not yet begun due to COVID-19 mitigation measures. We have made extensive efforts to expand our clinical sites beyond North America, including sites across Europe and Asia, to be ready when RSV infection re-emerges, but we cannot predict when that may occur. These impacts of COVID-19 could affect the future course of this study and our other ongoing clinical trials and delay their timelines.</w:t>
      </w:r>
    </w:p>
    <w:p>
      <w:pPr>
        <w:spacing w:after="0" w:line="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During 2020 and 2021, COVID-19 has also impacted new HCV patient starts in both the United States and the rest of the world, resulting in a decline in sales of HCV treatments. While new HCV infections are continuing, at this time it is uncertain when and the extent to which treatment of new HCV patients and revenues will return to pre-COVID-19 levels.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the impact of the COVID-19 pandemic on the operations of the FDA and other health authorities may delay potential approvals of our clinical trial protocols.</w:t>
      </w:r>
    </w:p>
    <w:p>
      <w:pPr>
        <w:spacing w:after="0" w:line="17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Although it is not possible at this time to estimate the entirety of the impact that the COVID-19 pandemic will have on our business, operations and employees, our contract manufacturers, our clinical research contractors, and our collaborators in clinical research, any continued spread of COVID-19, measures taken by governments, actions taken to protect employees from this disease, and the broad impact of the pandemic on all business activities and financial markets, may materially and adversely affect our business, results of operations and financial condition and our stock price. Additionally, as new, more infectious variants emerge, it is possible that the impact of the pandemic on our business may increase or lengthen in duration.</w:t>
      </w:r>
    </w:p>
    <w:p>
      <w:pPr>
        <w:spacing w:after="0" w:line="2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RSV, NASH, and HBV programs, we will need to successfully:</w:t>
      </w:r>
    </w:p>
    <w:p>
      <w:pPr>
        <w:spacing w:after="0" w:line="79" w:lineRule="exact"/>
        <w:rPr>
          <w:sz w:val="20"/>
          <w:szCs w:val="20"/>
          <w:color w:val="auto"/>
        </w:rPr>
      </w:pPr>
    </w:p>
    <w:p>
      <w:pPr>
        <w:ind w:left="1000" w:right="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and maintain patent protection for our product candidates and freedom from infringement of intellectual property of others;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payors and patients;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not successful in developing EDP-938, EDP-514, EDP-721, EDP-305, and/or EDP-297 or in discovering further product candidates, our ability to expand our business and achieve our strategic objectives will be impaired.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9"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44" w:lineRule="exact"/>
        <w:rPr>
          <w:rFonts w:ascii="Arial" w:cs="Arial" w:eastAsia="Arial" w:hAnsi="Arial"/>
          <w:sz w:val="18"/>
          <w:szCs w:val="18"/>
          <w:color w:val="auto"/>
        </w:rPr>
      </w:pPr>
    </w:p>
    <w:p>
      <w:pPr>
        <w:ind w:left="1000" w:right="520" w:hanging="493"/>
        <w:spacing w:after="0" w:line="308"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b w:val="1"/>
          <w:bCs w:val="1"/>
          <w:i w:val="1"/>
          <w:iCs w:val="1"/>
          <w:color w:val="auto"/>
        </w:rPr>
        <w:t>We reported a net loss for the fiscal year ended September 30, 2020 and the three months ended December 31, 2020 primarily due to the impact of COVID-19 on our royalty revenues. Continued changes in royalty revenue earned under our AbbVie agreement or changes in the level of expenses associated with development of our product candidates, or both, may cause our results of operations to fluctuate from period to period. Any continuation of the recent trend of reducing royalty revenue, combined with increasing research and development expenses in support of our advancing programs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would likely result in continued operating losses in the coming year and in future periods unless we develop other sources of revenue.</w:t>
      </w:r>
    </w:p>
    <w:p>
      <w:pPr>
        <w:spacing w:after="0" w:line="8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the varying rates of reimbursement in different countries and the impact of the COVID-19 pandemic on HCV sales.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8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Additionally, many of the preclinical and clinical development activities required for our product candidates must be contracted out to contract research organizations, or CROs, at significant expense. We expect these expenses to increase substantially in the coming years as we advance compounds and conduct more clinical studies. However, the global impact of the COVID-19 shut-down has had, and is likely to continue to have, an adverse effect on the ability of our CROs to conduct preclinical and clinical studies. At this point in time we do not know to what extent these studies will be impacted by the pandemic. Therefore, now more than ever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If combined with any continuation of the recent trend of reduced royalty revenue, such a trend would likely result in operating losses in the coming year and in future periods, unless we develop other sources of revenue.</w:t>
      </w:r>
    </w:p>
    <w:p>
      <w:pPr>
        <w:spacing w:after="0" w:line="2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and Chief Medical Officer, as well as other employees and consultants. Although</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0" w:name="page31"/>
    <w:bookmarkEnd w:id="30"/>
    <w:p>
      <w:pPr>
        <w:ind w:right="460"/>
        <w:spacing w:after="0" w:line="342" w:lineRule="auto"/>
        <w:rPr>
          <w:sz w:val="20"/>
          <w:szCs w:val="20"/>
          <w:color w:val="auto"/>
        </w:rPr>
      </w:pPr>
      <w:r>
        <w:rPr>
          <w:rFonts w:ascii="Arial" w:cs="Arial" w:eastAsia="Arial" w:hAnsi="Arial"/>
          <w:sz w:val="16"/>
          <w:szCs w:val="16"/>
          <w:color w:val="auto"/>
        </w:rPr>
        <w:t>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obtain these capabilities.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74" w:lineRule="exact"/>
        <w:rPr>
          <w:sz w:val="20"/>
          <w:szCs w:val="20"/>
          <w:color w:val="auto"/>
        </w:rPr>
      </w:pPr>
    </w:p>
    <w:p>
      <w:pPr>
        <w:jc w:val="both"/>
        <w:ind w:right="180"/>
        <w:spacing w:after="0" w:line="375"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continuing impact of the COVID-19 pandemic on the numbers of treated HCV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44"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212529"/>
        </w:rPr>
        <w:t>the cost of manufacturing our product candidates for clinical development and any products we successfully commercialize independently</w:t>
      </w:r>
      <w:r>
        <w:rPr>
          <w:rFonts w:ascii="Arial" w:cs="Arial" w:eastAsia="Arial" w:hAnsi="Arial"/>
          <w:sz w:val="16"/>
          <w:szCs w:val="16"/>
          <w:color w:val="000000"/>
        </w:rPr>
        <w:t>;</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timing of, </w:t>
      </w:r>
      <w:r>
        <w:rPr>
          <w:rFonts w:ascii="Arial" w:cs="Arial" w:eastAsia="Arial" w:hAnsi="Arial"/>
          <w:sz w:val="18"/>
          <w:szCs w:val="18"/>
          <w:color w:val="212529"/>
        </w:rPr>
        <w:t>and the costs involved in, obtaining regulatory approvals for any product candidates we develop independently</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the cost of commercialization activities, if any, of any product candidates we develop independently that are approved for sale, including marketing, sales and distribution costs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our ability to establish new collaborations, licensing or other arrangements, if any, and the financial terms of such arrangements</w:t>
      </w:r>
      <w:r>
        <w:rPr>
          <w:rFonts w:ascii="Arial" w:cs="Arial" w:eastAsia="Arial" w:hAnsi="Arial"/>
          <w:sz w:val="18"/>
          <w:szCs w:val="18"/>
          <w:color w:val="000000"/>
        </w:rPr>
        <w:t>;</w:t>
      </w:r>
    </w:p>
    <w:p>
      <w:pPr>
        <w:spacing w:after="0" w:line="144"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Any ongoing or future clinical trials of our product candidates may fail to demonstrate sufficient safety and efficacy. If clinical trials of any of our proprietary product candidates are prolonged or delayed or fail, we may be unable to commercialize our product candidates on a timely basis or ever.</w:t>
      </w:r>
    </w:p>
    <w:p>
      <w:pPr>
        <w:spacing w:after="0" w:line="4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were clinically developed by AbbVie, has yet to advance beyond completion of Phase 2 clinical trials. Any ongoing or future clinical trials of our product candidates may fail to demonstrate sufficient safety and efficacy. Moreover, regulatory and administrative delays, including those caused by the COVID-19 pandemic,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00" w:right="260" w:hanging="493"/>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44" w:lineRule="exact"/>
        <w:rPr>
          <w:rFonts w:ascii="Arial" w:cs="Arial" w:eastAsia="Arial" w:hAnsi="Arial"/>
          <w:sz w:val="18"/>
          <w:szCs w:val="18"/>
          <w:color w:val="auto"/>
        </w:rPr>
      </w:pPr>
    </w:p>
    <w:p>
      <w:pPr>
        <w:ind w:left="1000" w:right="520" w:hanging="493"/>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44"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COVID-19 pandemic on the ability of CROs to conduct their own operations, resulting in, among other things, delays in recruitment or dosing of our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seasonality and variations in incidents of infection year to year (e.g. RSV) affecting enrollment in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44"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governmental or regulatory administration, including, for example, administrative delays due to the planned relocation of the EMA to the Netherlands;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policy and guidelines, including guidelines specifically addressing requirements for the development of treatments for RSV, NASH, or HBV;</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obtaining and maintaining adequate insurance coverage;</w:t>
      </w:r>
    </w:p>
    <w:p>
      <w:pPr>
        <w:spacing w:after="0" w:line="144" w:lineRule="exact"/>
        <w:rPr>
          <w:rFonts w:ascii="Arial" w:cs="Arial" w:eastAsia="Arial" w:hAnsi="Arial"/>
          <w:sz w:val="18"/>
          <w:szCs w:val="18"/>
          <w:color w:val="auto"/>
        </w:rPr>
      </w:pPr>
    </w:p>
    <w:p>
      <w:pPr>
        <w:ind w:left="1000" w:right="120" w:hanging="493"/>
        <w:spacing w:after="0" w:line="34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32" w:name="page33"/>
    <w:bookmarkEnd w:id="32"/>
    <w:p>
      <w:pPr>
        <w:ind w:right="20"/>
        <w:spacing w:after="0" w:line="269" w:lineRule="auto"/>
        <w:rPr>
          <w:sz w:val="20"/>
          <w:szCs w:val="20"/>
          <w:color w:val="auto"/>
        </w:rPr>
      </w:pPr>
      <w:r>
        <w:rPr>
          <w:rFonts w:ascii="Arial" w:cs="Arial" w:eastAsia="Arial" w:hAnsi="Arial"/>
          <w:sz w:val="17"/>
          <w:szCs w:val="17"/>
          <w:color w:val="auto"/>
        </w:rPr>
        <w:t>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9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that the further development of successful therapies in our principal disease areas of NASH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30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b w:val="1"/>
          <w:bCs w:val="1"/>
          <w:i w:val="1"/>
          <w:iCs w:val="1"/>
          <w:color w:val="auto"/>
        </w:rPr>
        <w:t>EDP-938, EDP-514, EDP-721, EDP-305, EDP-297 or any other product candidate emerging from our current RSV, HBV, hMPV, SARS-Cov-2 and NASH programs may have undesirable side effects which may delay or prevent marketing approval, or, if approval is received, require our product candidate to be taken off the market, require us to include safety warnings or otherwise limit sales.</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in RSV the principal target populations, namely infants, the elderly, and the immunocompromised, represent sensitive patient populations that could be more prone to adverse effects of therapy.</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12121"/>
        </w:rPr>
        <w:t>In our HBV program, we are developing modulators of capsid assembly, also known as core inhibitors. This is a newer mechanism of action for potential HBV treatment, and no capsid assembly modulators have advanced beyond Phase 2 clinical studies. Thus, we are not able to predict what adverse effects may arise in longer term studies conducted in larger populations. In addition,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8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our NASH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 approved in May 2016 for PBC, and an older drug not commonly used but approved to treat cholesterol gallstones (by dissolving them) and a rare lipid storage disease. In the case of Ocaliva, which is also in development for NASH, the FDA issued a Complete Response Letter, or CRL, in June 2020, due at least in part to some still undisclosed safety signal identified by the FDA.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5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In addition, our drug candidates for NASH are being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w:t>
      </w:r>
      <w:r>
        <w:rPr>
          <w:rFonts w:ascii="Arial" w:cs="Arial" w:eastAsia="Arial" w:hAnsi="Arial"/>
          <w:sz w:val="17"/>
          <w:szCs w:val="17"/>
          <w:color w:val="212121"/>
        </w:rPr>
        <w:t>development programs being negatively</w:t>
      </w:r>
      <w:r>
        <w:rPr>
          <w:rFonts w:ascii="Arial" w:cs="Arial" w:eastAsia="Arial" w:hAnsi="Arial"/>
          <w:sz w:val="17"/>
          <w:szCs w:val="17"/>
          <w:color w:val="auto"/>
        </w:rPr>
        <w:t xml:space="preserve"> </w:t>
      </w:r>
      <w:r>
        <w:rPr>
          <w:rFonts w:ascii="Arial" w:cs="Arial" w:eastAsia="Arial" w:hAnsi="Arial"/>
          <w:sz w:val="17"/>
          <w:szCs w:val="17"/>
          <w:color w:val="212121"/>
        </w:rPr>
        <w:t>affected even if such events or symptoms are ultimately determined to be unlikely related to our drug candidates.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580"/>
        <w:spacing w:after="0" w:line="277" w:lineRule="auto"/>
        <w:rPr>
          <w:sz w:val="20"/>
          <w:szCs w:val="20"/>
          <w:color w:val="auto"/>
        </w:rPr>
      </w:pPr>
      <w:r>
        <w:rPr>
          <w:rFonts w:ascii="Arial" w:cs="Arial" w:eastAsia="Arial" w:hAnsi="Arial"/>
          <w:sz w:val="18"/>
          <w:szCs w:val="18"/>
          <w:color w:val="212121"/>
        </w:rPr>
        <w:t>If any of our product candidates receives marketing approval and we or others later identify undesirable or unacceptable side effects caused by such products:</w:t>
      </w:r>
    </w:p>
    <w:p>
      <w:pPr>
        <w:spacing w:after="0" w:line="62" w:lineRule="exact"/>
        <w:rPr>
          <w:sz w:val="20"/>
          <w:szCs w:val="20"/>
          <w:color w:val="auto"/>
        </w:rPr>
      </w:pPr>
    </w:p>
    <w:p>
      <w:pPr>
        <w:ind w:left="1000" w:right="2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144"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date we have only tested our product candidates through initial Phase 2 studies. The results of preclinical studies and these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For example, several companies engaged in clinical development in the disease areas we are also engaged in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167" w:lineRule="exact"/>
        <w:rPr>
          <w:rFonts w:ascii="Arial" w:cs="Arial" w:eastAsia="Arial" w:hAnsi="Arial"/>
          <w:sz w:val="16"/>
          <w:szCs w:val="16"/>
          <w:color w:val="auto"/>
        </w:rPr>
      </w:pPr>
    </w:p>
    <w:p>
      <w:pPr>
        <w:ind w:left="1000" w:right="2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00" w:right="82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00" w:right="960" w:hanging="493"/>
        <w:spacing w:after="0" w:line="308"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62"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29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ind w:right="28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00" w:right="1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44"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pricing regulations, third-party reimbursement practices or healthcare reform initiatives in the United States could harm our business.</w:t>
      </w:r>
    </w:p>
    <w:p>
      <w:pPr>
        <w:spacing w:after="0" w:line="14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several states have not implemented certain sections of the ACA, including 14 that have rejected the expansion of Medicaid eligibility for low income citizens, and some members of the</w:t>
      </w:r>
    </w:p>
    <w:p>
      <w:pPr>
        <w:spacing w:after="0" w:line="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U.S. Congress are still working to repeal the ACA.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on December 18, 2019, the Fifth Circuit U.S. Court of Appeals held that the individual mandate is unconstitutional and remanded the case to the District Court to reconsider its earlier invalidation of the entire ACA. This decision is currently on appeal in the United States Supreme Court, where briefs were argued in November 2020. Pending the decision on this appeal, it is unclear how this case will impact the ACA. We cannot predict what impact this case, or any legislation to replace the ACA if it is invalidated, may have on us or on AbbVie’s sales of MAVYRET/MAVIRET.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spacing w:after="0" w:line="254" w:lineRule="auto"/>
        <w:rPr>
          <w:sz w:val="20"/>
          <w:szCs w:val="20"/>
          <w:color w:val="auto"/>
        </w:rPr>
      </w:pPr>
      <w:r>
        <w:rPr>
          <w:rFonts w:ascii="Arial" w:cs="Arial" w:eastAsia="Arial" w:hAnsi="Arial"/>
          <w:sz w:val="18"/>
          <w:szCs w:val="18"/>
          <w:color w:val="auto"/>
        </w:rPr>
        <w:t>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which could seriously harm our future revenues, and the price of our common stock could be materially adversely affected.</w:t>
      </w:r>
    </w:p>
    <w:p>
      <w:pPr>
        <w:spacing w:after="0" w:line="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we may not be able to successfully commercialize any product candidate for which we may seek marketing approval.</w:t>
      </w:r>
    </w:p>
    <w:p>
      <w:pPr>
        <w:spacing w:after="0" w:line="6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6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16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55" w:lineRule="exact"/>
        <w:rPr>
          <w:rFonts w:ascii="Arial" w:cs="Arial" w:eastAsia="Arial" w:hAnsi="Arial"/>
          <w:sz w:val="17"/>
          <w:szCs w:val="17"/>
          <w:color w:val="auto"/>
        </w:rPr>
      </w:pPr>
    </w:p>
    <w:p>
      <w:pPr>
        <w:ind w:left="1000" w:right="14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MAVYRET/MAVIRET, as well as EDP-938, EDP-514, EDP-721, EDP-305, EDP-297 and any other product candidate that we may develop in the future, whether as part of a combination therapy or as a monotherapy, are subject to market acceptance among physicians, healthcare payors, patients and the medical community. The degree of market acceptance of any product candidate for which we obtain approval for commercial sale, will depend on a number of factors, including:</w:t>
      </w:r>
    </w:p>
    <w:p>
      <w:pPr>
        <w:spacing w:after="0" w:line="79" w:lineRule="exact"/>
        <w:rPr>
          <w:sz w:val="20"/>
          <w:szCs w:val="20"/>
          <w:color w:val="auto"/>
        </w:rPr>
      </w:pPr>
    </w:p>
    <w:p>
      <w:pPr>
        <w:ind w:left="1000" w:right="200" w:hanging="493"/>
        <w:spacing w:after="0" w:line="308"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44"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44" w:lineRule="exact"/>
        <w:rPr>
          <w:rFonts w:ascii="Arial" w:cs="Arial" w:eastAsia="Arial" w:hAnsi="Arial"/>
          <w:sz w:val="18"/>
          <w:szCs w:val="18"/>
          <w:color w:val="auto"/>
        </w:rPr>
      </w:pPr>
    </w:p>
    <w:p>
      <w:pPr>
        <w:jc w:val="both"/>
        <w:ind w:left="1000" w:right="220" w:hanging="493"/>
        <w:spacing w:after="0" w:line="286"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continued longevity of any market for which we develop a drug;</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38" w:name="page39"/>
    <w:bookmarkEnd w:id="38"/>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treatment of any disease for which we develop a drug;</w:t>
      </w:r>
    </w:p>
    <w:p>
      <w:pPr>
        <w:spacing w:after="0" w:line="144"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4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experience a delay in entering into, or fail to maintain, such collaborations:</w:t>
      </w:r>
    </w:p>
    <w:p>
      <w:pPr>
        <w:spacing w:after="0" w:line="62"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as a result of the COVID-19 pandemic,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9" w:name="page40"/>
    <w:bookmarkEnd w:id="39"/>
    <w:p>
      <w:pPr>
        <w:spacing w:after="0" w:line="254" w:lineRule="auto"/>
        <w:rPr>
          <w:sz w:val="20"/>
          <w:szCs w:val="20"/>
          <w:color w:val="auto"/>
        </w:rPr>
      </w:pPr>
      <w:r>
        <w:rPr>
          <w:rFonts w:ascii="Arial" w:cs="Arial" w:eastAsia="Arial" w:hAnsi="Arial"/>
          <w:sz w:val="18"/>
          <w:szCs w:val="18"/>
          <w:color w:val="auto"/>
        </w:rPr>
        <w:t>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27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political unrest or an epidemic in China, such as the COVID-19 pandemic, could materially adversely affect our business, financial condition and results of operations.</w:t>
      </w:r>
    </w:p>
    <w:p>
      <w:pPr>
        <w:spacing w:after="0" w:line="6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pandemics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outbreak of COVID-19 in the Wuhan region of China. To date our contract manufacturer in China, which is not located in the Wuhan region, has not had any material delays in its ability to deliver API and other services.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100"/>
        <w:spacing w:after="0" w:line="301"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In the case of our ongoing studies, we paused recruitment and dosing of the ARGON-2 Phase 2b NASH study and Part 2 of our Phase 1a/1b study of EDP-514 in nuc-suppressed HBV patients as a result of the COVID-19 pandemic in March 2020, but we were able to resume these studies in July 2020. The pause in these studies is expected to delay their completion, and it is uncertain whether they or any of our other ongoing studies may be subject to further disruptions due to the ongoing pandemic.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competing to develop intellectual property in areas of small-molecule drug development that are highly competitive. We could be unsuccessful in obtaining or maintaining adequate patent protection for one or more of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right="140"/>
        <w:spacing w:after="0" w:line="301" w:lineRule="auto"/>
        <w:rPr>
          <w:sz w:val="20"/>
          <w:szCs w:val="20"/>
          <w:color w:val="auto"/>
        </w:rPr>
      </w:pPr>
      <w:r>
        <w:rPr>
          <w:rFonts w:ascii="Arial" w:cs="Arial" w:eastAsia="Arial" w:hAnsi="Arial"/>
          <w:sz w:val="16"/>
          <w:szCs w:val="16"/>
          <w:color w:val="auto"/>
        </w:rPr>
        <w:t>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certain of our activities in the past have been funded, and others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7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100"/>
        <w:spacing w:after="0" w:line="259" w:lineRule="auto"/>
        <w:rPr>
          <w:sz w:val="20"/>
          <w:szCs w:val="20"/>
          <w:color w:val="auto"/>
        </w:rPr>
      </w:pPr>
      <w:r>
        <w:rPr>
          <w:rFonts w:ascii="Arial" w:cs="Arial" w:eastAsia="Arial" w:hAnsi="Arial"/>
          <w:sz w:val="18"/>
          <w:szCs w:val="18"/>
          <w:color w:val="auto"/>
        </w:rPr>
        <w:t>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9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patents, we rely on trade secrets, technical know-how and proprietary information concerning our business strategy and product candidates in order to protect our competitive position in the field of each of our antivirals and our NASH product candidates.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6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4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and during the COVID-19 pandemic in part due to the proliferation of new technologies, the increased sophistication and activities of organized crime, hackers, terrorists and other external parties, including foreign state actors as well as remote working for many businesses. As cyber threats continue to evolve, we may be required to expend significant additional resources to continue to modify or enhance our protective measures or to investigate and remediate any information security breaches.</w:t>
      </w:r>
    </w:p>
    <w:p>
      <w:pPr>
        <w:spacing w:after="0" w:line="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is even more restrictive with respect to all personal information, including information masked by a coding system. In addition to HIPAA and GDPR,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2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00" w:hanging="493"/>
        <w:spacing w:after="0" w:line="259"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00" w:right="320" w:hanging="493"/>
        <w:spacing w:after="0" w:line="286"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ind w:left="1000" w:right="260" w:hanging="493"/>
        <w:spacing w:after="0" w:line="259"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00" w:right="400" w:hanging="493"/>
        <w:spacing w:after="0" w:line="308"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0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5" w:lineRule="exact"/>
        <w:rPr>
          <w:rFonts w:ascii="Arial" w:cs="Arial" w:eastAsia="Arial" w:hAnsi="Arial"/>
          <w:sz w:val="18"/>
          <w:szCs w:val="18"/>
          <w:color w:val="auto"/>
        </w:rPr>
      </w:pPr>
    </w:p>
    <w:p>
      <w:pPr>
        <w:ind w:left="1000" w:right="80" w:hanging="493"/>
        <w:spacing w:after="0" w:line="275"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8" w:lineRule="exact"/>
        <w:rPr>
          <w:rFonts w:ascii="Arial" w:cs="Arial" w:eastAsia="Arial" w:hAnsi="Arial"/>
          <w:sz w:val="17"/>
          <w:szCs w:val="17"/>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From September 30, 2014 through December 31, 2020, the daily closing price of our common stock on the NASDAQ Global Select Market has ranged from $21.00 to $126.37.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which in some cases has been exacerbated by the COVID-19 pandemic. As a result of this volatility, you may not be able to sell your holdings of our common stock at or above your purchase price, if at all. The market price for our common stock may be influenced by many factors, including:</w:t>
      </w:r>
    </w:p>
    <w:p>
      <w:pPr>
        <w:spacing w:after="0" w:line="56" w:lineRule="exact"/>
        <w:rPr>
          <w:sz w:val="20"/>
          <w:szCs w:val="20"/>
          <w:color w:val="auto"/>
        </w:rPr>
      </w:pPr>
    </w:p>
    <w:p>
      <w:pPr>
        <w:ind w:left="1000" w:right="48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00" w:right="9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actions by AbbVie regarding the MAVYRET/MAVIRET regimen, including announcements regarding regulatory or commercial developments;</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AbbVie’s MAVYRET/MAVIRET regimen to maintain its sales levels;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5" w:name="page46"/>
    <w:bookmarkEnd w:id="45"/>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44"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3"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44"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00" w:right="480" w:hanging="493"/>
        <w:spacing w:after="0" w:line="286"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00" w:right="4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 premium for their shares of our common stock, and could also affect the price that some investors are willing to pay for our common stock.</w:t>
      </w:r>
    </w:p>
    <w:p>
      <w:pPr>
        <w:spacing w:after="0" w:line="3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$5.0 million for severance and other non-equity-based benefits in the event of a termination of employment in connection with a change of control of our company. In addition, based on the closing price of our common stock of $42.10 per common share as of December 31, 2020, the aggregate intrinsic value of unvested stock options and other equity awards subject to accelerated vesting upon these events was $10.9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2020 we had 20.1 million shares of common stock outstanding. In addition, as of December 31, 2020, 3.8 million and 0.4 million shares of common stock that are subject to outstanding options or restricted stock unit awards, respectively, under our outstanding equity plans are eligible for sale in the public market to the extent permitted by the provisions of various vesting schedules, and Rule 144 under the Securities Act. If these additional shares of common stock are sold, or it is perceived that they will be sold, in the public market, the trading price of our common stock could decline.</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100"/>
        <w:spacing w:after="0" w:line="254" w:lineRule="auto"/>
        <w:rPr>
          <w:sz w:val="20"/>
          <w:szCs w:val="20"/>
          <w:color w:val="auto"/>
        </w:rPr>
      </w:pPr>
      <w:r>
        <w:rPr>
          <w:rFonts w:ascii="Arial" w:cs="Arial" w:eastAsia="Arial" w:hAnsi="Arial"/>
          <w:sz w:val="18"/>
          <w:szCs w:val="18"/>
          <w:color w:val="auto"/>
        </w:rPr>
        <w:t>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00" w:right="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left="1000" w:right="2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44"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8" w:lineRule="exact"/>
        <w:rPr>
          <w:rFonts w:ascii="Arial" w:cs="Arial" w:eastAsia="Arial" w:hAnsi="Arial"/>
          <w:sz w:val="18"/>
          <w:szCs w:val="18"/>
          <w:color w:val="auto"/>
        </w:rPr>
      </w:pPr>
    </w:p>
    <w:p>
      <w:pPr>
        <w:ind w:left="1000" w:right="740" w:hanging="493"/>
        <w:spacing w:after="0" w:line="308"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ind w:left="1000" w:right="80" w:hanging="493"/>
        <w:spacing w:after="0" w:line="308"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30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failure to maintain effective internal control as a result of shutdowns during the global COVID-19 pandemic could result in deficiencies in internal control.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320" w:type="dxa"/>
            <w:vAlign w:val="bottom"/>
            <w:gridSpan w:val="17"/>
          </w:tcPr>
          <w:p>
            <w:pPr>
              <w:ind w:left="160"/>
              <w:spacing w:after="0"/>
              <w:rPr>
                <w:sz w:val="20"/>
                <w:szCs w:val="20"/>
                <w:color w:val="auto"/>
              </w:rPr>
            </w:pPr>
            <w:r>
              <w:rPr>
                <w:rFonts w:ascii="Arial" w:cs="Arial" w:eastAsia="Arial" w:hAnsi="Arial"/>
                <w:sz w:val="18"/>
                <w:szCs w:val="18"/>
                <w:b w:val="1"/>
                <w:bCs w:val="1"/>
                <w:color w:val="auto"/>
              </w:rPr>
              <w:t>EXHIBITS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1000" w:type="dxa"/>
            <w:vAlign w:val="bottom"/>
            <w:gridSpan w:val="2"/>
            <w:vMerge w:val="continue"/>
          </w:tcPr>
          <w:p>
            <w:pPr>
              <w:spacing w:after="0"/>
              <w:rPr>
                <w:sz w:val="10"/>
                <w:szCs w:val="10"/>
                <w:color w:val="auto"/>
              </w:rPr>
            </w:pPr>
          </w:p>
        </w:tc>
        <w:tc>
          <w:tcPr>
            <w:tcW w:w="5220" w:type="dxa"/>
            <w:vAlign w:val="bottom"/>
            <w:gridSpan w:val="16"/>
            <w:vMerge w:val="restart"/>
          </w:tcPr>
          <w:p>
            <w:pPr>
              <w:ind w:left="20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0"/>
                <w:szCs w:val="10"/>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5220" w:type="dxa"/>
            <w:vAlign w:val="bottom"/>
            <w:tcBorders>
              <w:bottom w:val="single" w:sz="8" w:color="auto"/>
            </w:tcBorders>
            <w:gridSpan w:val="16"/>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5320" w:type="dxa"/>
            <w:vAlign w:val="bottom"/>
            <w:gridSpan w:val="17"/>
          </w:tcPr>
          <w:p>
            <w:pPr>
              <w:spacing w:after="0"/>
              <w:rPr>
                <w:rFonts w:ascii="Arial" w:cs="Arial" w:eastAsia="Arial" w:hAnsi="Arial"/>
                <w:sz w:val="18"/>
                <w:szCs w:val="18"/>
                <w:u w:val="single" w:color="auto"/>
                <w:color w:val="0000EE"/>
                <w:w w:val="96"/>
              </w:rPr>
            </w:pPr>
            <w:hyperlink r:id="rId76">
              <w:r>
                <w:rPr>
                  <w:rFonts w:ascii="Arial" w:cs="Arial" w:eastAsia="Arial" w:hAnsi="Arial"/>
                  <w:sz w:val="18"/>
                  <w:szCs w:val="18"/>
                  <w:u w:val="single" w:color="auto"/>
                  <w:color w:val="0000EE"/>
                  <w:w w:val="96"/>
                </w:rPr>
                <w:t>Restated Certificate of Incorporation of Enanta Pharmaceuticals, Inc.</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03/28/2013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5320" w:type="dxa"/>
            <w:vAlign w:val="bottom"/>
            <w:gridSpan w:val="17"/>
          </w:tcPr>
          <w:p>
            <w:pPr>
              <w:spacing w:after="0"/>
              <w:rPr>
                <w:rFonts w:ascii="Arial" w:cs="Arial" w:eastAsia="Arial" w:hAnsi="Arial"/>
                <w:sz w:val="18"/>
                <w:szCs w:val="18"/>
                <w:color w:val="0000EE"/>
                <w:w w:val="98"/>
              </w:rPr>
            </w:pPr>
            <w:hyperlink r:id="rId77">
              <w:r>
                <w:rPr>
                  <w:rFonts w:ascii="Arial" w:cs="Arial" w:eastAsia="Arial" w:hAnsi="Arial"/>
                  <w:sz w:val="18"/>
                  <w:szCs w:val="18"/>
                  <w:color w:val="0000EE"/>
                  <w:w w:val="98"/>
                </w:rPr>
                <w:t>Amended and Restated Bylaws of Enanta Pharmaceuticals, Inc. (as</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amended and restated in August 2015)</w:t>
              </w:r>
            </w:hyperlink>
          </w:p>
        </w:tc>
        <w:tc>
          <w:tcPr>
            <w:tcW w:w="48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Borders>
              <w:bottom w:val="single" w:sz="8" w:color="0000EE"/>
            </w:tcBorders>
            <w:gridSpan w:val="6"/>
          </w:tcPr>
          <w:p>
            <w:pPr>
              <w:spacing w:after="0"/>
              <w:rPr>
                <w:rFonts w:ascii="Arial" w:cs="Arial" w:eastAsia="Arial" w:hAnsi="Arial"/>
                <w:sz w:val="18"/>
                <w:szCs w:val="18"/>
                <w:color w:val="0000EE"/>
                <w:w w:val="88"/>
              </w:rPr>
            </w:pPr>
            <w:hyperlink r:id="rId78">
              <w:r>
                <w:rPr>
                  <w:rFonts w:ascii="Arial" w:cs="Arial" w:eastAsia="Arial" w:hAnsi="Arial"/>
                  <w:sz w:val="18"/>
                  <w:szCs w:val="18"/>
                  <w:color w:val="0000EE"/>
                  <w:w w:val="88"/>
                </w:rPr>
                <w:t>Collaborative Development and License Agreement between the</w:t>
              </w:r>
            </w:hyperlink>
          </w:p>
        </w:tc>
        <w:tc>
          <w:tcPr>
            <w:tcW w:w="76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w:t>
            </w:r>
          </w:p>
        </w:tc>
        <w:tc>
          <w:tcPr>
            <w:tcW w:w="5320" w:type="dxa"/>
            <w:vAlign w:val="bottom"/>
            <w:gridSpan w:val="17"/>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Company and Abbott Laboratories, dated November 27, 2006; as</w:t>
              </w:r>
            </w:hyperlink>
          </w:p>
        </w:tc>
        <w:tc>
          <w:tcPr>
            <w:tcW w:w="9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02/05/2021</w:t>
            </w: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78">
              <w:r>
                <w:rPr>
                  <w:rFonts w:ascii="Arial" w:cs="Arial" w:eastAsia="Arial" w:hAnsi="Arial"/>
                  <w:sz w:val="18"/>
                  <w:szCs w:val="18"/>
                  <w:color w:val="0000EE"/>
                  <w:w w:val="88"/>
                </w:rPr>
                <w:t>amended by a First Amendment to Collaborative Development and</w:t>
              </w:r>
            </w:hyperlink>
          </w:p>
        </w:tc>
        <w:tc>
          <w:tcPr>
            <w:tcW w:w="5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r:id="rId78">
              <w:r>
                <w:rPr>
                  <w:rFonts w:ascii="Arial" w:cs="Arial" w:eastAsia="Arial" w:hAnsi="Arial"/>
                  <w:sz w:val="18"/>
                  <w:szCs w:val="18"/>
                  <w:color w:val="0000EE"/>
                  <w:w w:val="87"/>
                </w:rPr>
                <w:t>License Agreement dated January 27, 2009 and a Second Amendment to</w:t>
              </w:r>
            </w:hyperlink>
          </w:p>
        </w:tc>
        <w:tc>
          <w:tcPr>
            <w:tcW w:w="18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20" w:type="dxa"/>
            <w:vAlign w:val="bottom"/>
            <w:gridSpan w:val="17"/>
          </w:tcPr>
          <w:p>
            <w:pPr>
              <w:spacing w:after="0"/>
              <w:rPr>
                <w:rFonts w:ascii="Arial" w:cs="Arial" w:eastAsia="Arial" w:hAnsi="Arial"/>
                <w:sz w:val="18"/>
                <w:szCs w:val="18"/>
                <w:u w:val="single" w:color="auto"/>
                <w:color w:val="0000EE"/>
                <w:w w:val="93"/>
              </w:rPr>
            </w:pPr>
            <w:hyperlink r:id="rId78">
              <w:r>
                <w:rPr>
                  <w:rFonts w:ascii="Arial" w:cs="Arial" w:eastAsia="Arial" w:hAnsi="Arial"/>
                  <w:sz w:val="18"/>
                  <w:szCs w:val="18"/>
                  <w:u w:val="single" w:color="auto"/>
                  <w:color w:val="0000EE"/>
                  <w:w w:val="93"/>
                </w:rPr>
                <w:t>Collaborative Development and License Agreement dated December 9,</w:t>
              </w:r>
            </w:hyperlink>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17"/>
          </w:tcPr>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2009 (assigned to AbbVie Inc. as of January 1, 2013).</w:t>
              </w:r>
            </w:hyperlink>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gridSpan w:val="17"/>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Third Amendment to Collaborative Development and License Agreement</w:t>
              </w:r>
            </w:hyperlink>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5"/>
                <w:szCs w:val="15"/>
                <w:color w:val="auto"/>
              </w:rPr>
              <w:t>†</w:t>
            </w:r>
          </w:p>
        </w:tc>
        <w:tc>
          <w:tcPr>
            <w:tcW w:w="5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between the Company and AbbVie dated October 20, 2014.</w:t>
              </w:r>
            </w:hyperlink>
          </w:p>
        </w:tc>
        <w:tc>
          <w:tcPr>
            <w:tcW w:w="240" w:type="dxa"/>
            <w:vAlign w:val="bottom"/>
            <w:gridSpan w:val="6"/>
          </w:tcPr>
          <w:p>
            <w:pPr>
              <w:spacing w:after="0"/>
              <w:rPr>
                <w:sz w:val="17"/>
                <w:szCs w:val="17"/>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02/05/2021</w:t>
            </w:r>
          </w:p>
        </w:tc>
        <w:tc>
          <w:tcPr>
            <w:tcW w:w="10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00" w:type="dxa"/>
            <w:vAlign w:val="bottom"/>
            <w:gridSpan w:val="2"/>
            <w:vMerge w:val="continue"/>
          </w:tcPr>
          <w:p>
            <w:pPr>
              <w:spacing w:after="0"/>
              <w:rPr>
                <w:sz w:val="20"/>
                <w:szCs w:val="20"/>
                <w:color w:val="auto"/>
              </w:rPr>
            </w:pPr>
          </w:p>
        </w:tc>
        <w:tc>
          <w:tcPr>
            <w:tcW w:w="25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5320" w:type="dxa"/>
            <w:vAlign w:val="bottom"/>
            <w:gridSpan w:val="17"/>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Certification of the Chief Executive Officer pursuant to Rule 13a-14(a)</w:t>
              </w:r>
            </w:hyperlink>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or 15d-14(a) of the Securities Exchange Act of 1934.</w:t>
              </w:r>
            </w:hyperlink>
          </w:p>
        </w:tc>
        <w:tc>
          <w:tcPr>
            <w:tcW w:w="20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5320" w:type="dxa"/>
            <w:vAlign w:val="bottom"/>
            <w:gridSpan w:val="17"/>
          </w:tcPr>
          <w:p>
            <w:pPr>
              <w:spacing w:after="0"/>
              <w:rPr>
                <w:rFonts w:ascii="Arial" w:cs="Arial" w:eastAsia="Arial" w:hAnsi="Arial"/>
                <w:sz w:val="18"/>
                <w:szCs w:val="18"/>
                <w:color w:val="0000EE"/>
                <w:w w:val="98"/>
              </w:rPr>
            </w:pPr>
            <w:hyperlink w:anchor="page54">
              <w:r>
                <w:rPr>
                  <w:rFonts w:ascii="Arial" w:cs="Arial" w:eastAsia="Arial" w:hAnsi="Arial"/>
                  <w:sz w:val="18"/>
                  <w:szCs w:val="18"/>
                  <w:color w:val="0000EE"/>
                  <w:w w:val="98"/>
                </w:rPr>
                <w:t>Certification of Chief Financial Officer pursuant to Rule 13a-14(a) or</w:t>
              </w:r>
            </w:hyperlink>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15d-14(a) of the Securities Exchange Act of 1934.</w:t>
              </w:r>
            </w:hyperlink>
          </w:p>
        </w:tc>
        <w:tc>
          <w:tcPr>
            <w:tcW w:w="1360" w:type="dxa"/>
            <w:vAlign w:val="bottom"/>
            <w:tcBorders>
              <w:top w:val="single" w:sz="8" w:color="0000EE"/>
            </w:tcBorders>
            <w:gridSpan w:val="7"/>
          </w:tcPr>
          <w:p>
            <w:pPr>
              <w:spacing w:after="0"/>
              <w:rPr>
                <w:sz w:val="17"/>
                <w:szCs w:val="17"/>
                <w:color w:val="auto"/>
              </w:rPr>
            </w:pPr>
          </w:p>
        </w:tc>
        <w:tc>
          <w:tcPr>
            <w:tcW w:w="32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518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Certification of the Chief Executive Officer and Chief Financial Officer</w:t>
              </w:r>
            </w:hyperlink>
          </w:p>
        </w:tc>
        <w:tc>
          <w:tcPr>
            <w:tcW w:w="140" w:type="dxa"/>
            <w:vAlign w:val="bottom"/>
            <w:gridSpan w:val="2"/>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pursuant to 18 U.S.C. Section 1350, as adopted pursuant to Section 906</w:t>
              </w:r>
            </w:hyperlink>
          </w:p>
        </w:tc>
        <w:tc>
          <w:tcPr>
            <w:tcW w:w="1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1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of the Sarbanes-Oxley Act of 2002.</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76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5320" w:type="dxa"/>
            <w:vAlign w:val="bottom"/>
            <w:gridSpan w:val="17"/>
          </w:tcPr>
          <w:p>
            <w:pPr>
              <w:spacing w:after="0"/>
              <w:rPr>
                <w:sz w:val="20"/>
                <w:szCs w:val="20"/>
                <w:color w:val="auto"/>
              </w:rPr>
            </w:pPr>
            <w:r>
              <w:rPr>
                <w:rFonts w:ascii="Arial" w:cs="Arial" w:eastAsia="Arial" w:hAnsi="Arial"/>
                <w:sz w:val="18"/>
                <w:szCs w:val="18"/>
                <w:color w:val="auto"/>
                <w:w w:val="94"/>
              </w:rPr>
              <w:t>The following financial statements from the Quarterly Report of Enanta</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320" w:type="dxa"/>
            <w:vAlign w:val="bottom"/>
            <w:gridSpan w:val="17"/>
          </w:tcPr>
          <w:p>
            <w:pPr>
              <w:spacing w:after="0"/>
              <w:rPr>
                <w:sz w:val="20"/>
                <w:szCs w:val="20"/>
                <w:color w:val="auto"/>
              </w:rPr>
            </w:pPr>
            <w:r>
              <w:rPr>
                <w:rFonts w:ascii="Arial" w:cs="Arial" w:eastAsia="Arial" w:hAnsi="Arial"/>
                <w:sz w:val="18"/>
                <w:szCs w:val="18"/>
                <w:color w:val="auto"/>
                <w:w w:val="96"/>
              </w:rPr>
              <w:t>Pharmaceuticals, Inc. on Form 10-Q for the quarter ended December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20" w:type="dxa"/>
            <w:vAlign w:val="bottom"/>
            <w:gridSpan w:val="17"/>
          </w:tcPr>
          <w:p>
            <w:pPr>
              <w:spacing w:after="0"/>
              <w:rPr>
                <w:sz w:val="20"/>
                <w:szCs w:val="20"/>
                <w:color w:val="auto"/>
              </w:rPr>
            </w:pPr>
            <w:r>
              <w:rPr>
                <w:rFonts w:ascii="Arial" w:cs="Arial" w:eastAsia="Arial" w:hAnsi="Arial"/>
                <w:sz w:val="18"/>
                <w:szCs w:val="18"/>
                <w:color w:val="auto"/>
                <w:w w:val="96"/>
              </w:rPr>
              <w:t>31, 2020, formatted in Inline XBRL: (i) Consolidated Balance Sheets,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00" w:right="5120" w:firstLine="7"/>
        <w:spacing w:after="0" w:line="271" w:lineRule="auto"/>
        <w:tabs>
          <w:tab w:leader="none" w:pos="1265"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Consolidated Statements of Operations, (iii) Consolidated Statements of Comprehensive Income, (iv) Consolidated Statements of Stockholders’ Equity, (v) Consolidated Statements of Cash Flows, (vi) and Notes to Consolidated Financial Statements, tagged as blocks of text and including detailed tags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270"/>
              <w:spacing w:after="0"/>
              <w:rPr>
                <w:sz w:val="20"/>
                <w:szCs w:val="20"/>
                <w:color w:val="auto"/>
              </w:rPr>
            </w:pPr>
            <w:r>
              <w:rPr>
                <w:rFonts w:ascii="Arial" w:cs="Arial" w:eastAsia="Arial" w:hAnsi="Arial"/>
                <w:sz w:val="18"/>
                <w:szCs w:val="18"/>
                <w:color w:val="auto"/>
                <w:w w:val="86"/>
              </w:rPr>
              <w:t>104</w:t>
            </w:r>
          </w:p>
        </w:tc>
        <w:tc>
          <w:tcPr>
            <w:tcW w:w="7560" w:type="dxa"/>
            <w:vAlign w:val="bottom"/>
          </w:tcPr>
          <w:p>
            <w:pPr>
              <w:ind w:left="360"/>
              <w:spacing w:after="0"/>
              <w:rPr>
                <w:sz w:val="20"/>
                <w:szCs w:val="20"/>
                <w:color w:val="auto"/>
              </w:rPr>
            </w:pPr>
            <w:r>
              <w:rPr>
                <w:rFonts w:ascii="Arial" w:cs="Arial" w:eastAsia="Arial" w:hAnsi="Arial"/>
                <w:sz w:val="18"/>
                <w:szCs w:val="18"/>
                <w:color w:val="212529"/>
              </w:rPr>
              <w:t>Cover Page Interactive Data File (formatted as Inline XBRL and</w:t>
            </w:r>
          </w:p>
        </w:tc>
        <w:tc>
          <w:tcPr>
            <w:tcW w:w="2660" w:type="dxa"/>
            <w:vAlign w:val="bottom"/>
          </w:tcPr>
          <w:p>
            <w:pPr>
              <w:ind w:left="2520"/>
              <w:spacing w:after="0"/>
              <w:rPr>
                <w:sz w:val="20"/>
                <w:szCs w:val="20"/>
                <w:color w:val="auto"/>
              </w:rPr>
            </w:pPr>
            <w:r>
              <w:rPr>
                <w:rFonts w:ascii="Arial" w:cs="Arial" w:eastAsia="Arial" w:hAnsi="Arial"/>
                <w:sz w:val="18"/>
                <w:szCs w:val="18"/>
                <w:color w:val="auto"/>
                <w:w w:val="99"/>
              </w:rPr>
              <w:t>X</w:t>
            </w:r>
          </w:p>
        </w:tc>
      </w:tr>
      <w:tr>
        <w:trPr>
          <w:trHeight w:val="230"/>
        </w:trPr>
        <w:tc>
          <w:tcPr>
            <w:tcW w:w="640" w:type="dxa"/>
            <w:vAlign w:val="bottom"/>
          </w:tcPr>
          <w:p>
            <w:pPr>
              <w:spacing w:after="0"/>
              <w:rPr>
                <w:sz w:val="20"/>
                <w:szCs w:val="20"/>
                <w:color w:val="auto"/>
              </w:rPr>
            </w:pPr>
          </w:p>
        </w:tc>
        <w:tc>
          <w:tcPr>
            <w:tcW w:w="7560" w:type="dxa"/>
            <w:vAlign w:val="bottom"/>
          </w:tcPr>
          <w:p>
            <w:pPr>
              <w:ind w:left="360"/>
              <w:spacing w:after="0"/>
              <w:rPr>
                <w:sz w:val="20"/>
                <w:szCs w:val="20"/>
                <w:color w:val="auto"/>
              </w:rPr>
            </w:pPr>
            <w:r>
              <w:rPr>
                <w:rFonts w:ascii="Arial" w:cs="Arial" w:eastAsia="Arial" w:hAnsi="Arial"/>
                <w:sz w:val="18"/>
                <w:szCs w:val="18"/>
                <w:color w:val="212529"/>
              </w:rPr>
              <w:t>contained in Exhibit 101).</w:t>
            </w:r>
          </w:p>
        </w:tc>
        <w:tc>
          <w:tcPr>
            <w:tcW w:w="2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40" w:firstLine="8"/>
        <w:spacing w:after="0" w:line="277" w:lineRule="auto"/>
        <w:tabs>
          <w:tab w:leader="none" w:pos="1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601(b)(10(iv) of Regulation s-K. The Company has determined that such omitted information is (i) not material and (ii) would likely cause competitive harm to the Company if publicly disclosed.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2021</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553" w:right="3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December 31, 2020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Dated: February 9, 2021</w:t>
            </w:r>
          </w:p>
        </w:tc>
        <w:tc>
          <w:tcPr>
            <w:tcW w:w="2940" w:type="dxa"/>
            <w:vAlign w:val="bottom"/>
          </w:tcPr>
          <w:p>
            <w:pPr>
              <w:ind w:left="250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2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2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260" w:type="dxa"/>
            <w:vAlign w:val="bottom"/>
          </w:tcPr>
          <w:p>
            <w:pPr>
              <w:spacing w:after="0"/>
              <w:rPr>
                <w:sz w:val="20"/>
                <w:szCs w:val="20"/>
                <w:color w:val="auto"/>
              </w:rPr>
            </w:pPr>
            <w:r>
              <w:rPr>
                <w:rFonts w:ascii="Arial" w:cs="Arial" w:eastAsia="Arial" w:hAnsi="Arial"/>
                <w:sz w:val="18"/>
                <w:szCs w:val="18"/>
                <w:color w:val="auto"/>
              </w:rPr>
              <w:t>Dated: February 9, 2021</w:t>
            </w:r>
          </w:p>
        </w:tc>
        <w:tc>
          <w:tcPr>
            <w:tcW w:w="2940" w:type="dxa"/>
            <w:vAlign w:val="bottom"/>
          </w:tcPr>
          <w:p>
            <w:pPr>
              <w:ind w:left="250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2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2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1."/>
      <w:numFmt w:val="decimal"/>
      <w:start w:val="4"/>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7"/>
    </w:lvl>
  </w:abstractNum>
  <w:abstractNum w:abstractNumId="9">
    <w:nsid w:val="836C40E"/>
    <w:multiLevelType w:val="hybridMultilevel"/>
    <w:lvl w:ilvl="0">
      <w:lvlJc w:val="left"/>
      <w:lvlText w:val="%1."/>
      <w:numFmt w:val="decimal"/>
      <w:start w:val="8"/>
    </w:lvl>
  </w:abstractNum>
  <w:abstractNum w:abstractNumId="10">
    <w:nsid w:val="2901D82"/>
    <w:multiLevelType w:val="hybridMultilevel"/>
    <w:lvl w:ilvl="0">
      <w:lvlJc w:val="left"/>
      <w:lvlText w:val="%1."/>
      <w:numFmt w:val="decimal"/>
      <w:start w:val="9"/>
    </w:lvl>
  </w:abstractNum>
  <w:abstractNum w:abstractNumId="11">
    <w:nsid w:val="3A95F874"/>
    <w:multiLevelType w:val="hybridMultilevel"/>
    <w:lvl w:ilvl="0">
      <w:lvlJc w:val="left"/>
      <w:lvlText w:val="%1."/>
      <w:numFmt w:val="decimal"/>
      <w:start w:val="10"/>
    </w:lvl>
  </w:abstractNum>
  <w:abstractNum w:abstractNumId="12">
    <w:nsid w:val="8138641"/>
    <w:multiLevelType w:val="hybridMultilevel"/>
    <w:lvl w:ilvl="0">
      <w:lvlJc w:val="left"/>
      <w:lvlText w:val="%1."/>
      <w:numFmt w:val="decimal"/>
      <w:start w:val="1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lvl w:ilvl="1">
      <w:lvlJc w:val="left"/>
      <w:lvlText w:val="o"/>
      <w:numFmt w:val="bullet"/>
      <w:start w:val="1"/>
    </w:lvl>
  </w:abstractNum>
  <w:abstractNum w:abstractNumId="16">
    <w:nsid w:val="6CEAF087"/>
    <w:multiLevelType w:val="hybridMultilevel"/>
    <w:lvl w:ilvl="0">
      <w:lvlJc w:val="left"/>
      <w:lvlText w:val="•"/>
      <w:numFmt w:val="bullet"/>
      <w:start w:val="1"/>
    </w:lvl>
    <w:lvl w:ilvl="1">
      <w:lvlJc w:val="left"/>
      <w:lvlText w:val="o"/>
      <w:numFmt w:val="bullet"/>
      <w:start w:val="1"/>
    </w:lvl>
  </w:abstractNum>
  <w:abstractNum w:abstractNumId="17">
    <w:nsid w:val="22221A70"/>
    <w:multiLevelType w:val="hybridMultilevel"/>
    <w:lvl w:ilvl="0">
      <w:lvlJc w:val="left"/>
      <w:lvlText w:val="o"/>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lowerLetter"/>
      <w:start w:val="2"/>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lowerRoman"/>
      <w:start w:val="2"/>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76" Type="http://schemas.openxmlformats.org/officeDocument/2006/relationships/hyperlink" Target="http://www.sec.gov/Archives/edgar/data/1177648/000119312513132679/d511662dex31.htm" TargetMode="External"/><Relationship Id="rId77" Type="http://schemas.openxmlformats.org/officeDocument/2006/relationships/hyperlink" Target="http://www.sec.gov/Archives/edgar/data/1177648/000119312515294582/d95810dex32.htm" TargetMode="External"/><Relationship Id="rId78" Type="http://schemas.openxmlformats.org/officeDocument/2006/relationships/hyperlink" Target="http://www.sec.gov/Archives/edgar/data/0001177648/000156459021004518/enta-ex101_25.htm" TargetMode="External"/><Relationship Id="rId79" Type="http://schemas.openxmlformats.org/officeDocument/2006/relationships/hyperlink" Target="http://www.sec.gov/Archives/edgar/data/0001177648/000156459021004518/enta-ex102_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2021-02-09T15:10:55Z</dcterms:created>
  <dcterms:modified xsi:type="dcterms:W3CDTF">2021-02-09T15:10:55Z</dcterms:modified>
</cp:coreProperties>
</file>