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571" w:right="27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2160" w:space="720"/>
            <w:col w:w="4760" w:space="720"/>
            <w:col w:w="2120" w:space="720"/>
            <w:col w:w="180"/>
          </w:cols>
          <w:pgMar w:left="240" w:top="571"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2160" w:space="720"/>
            <w:col w:w="160" w:space="80"/>
            <w:col w:w="4520" w:space="720"/>
            <w:col w:w="2120" w:space="720"/>
            <w:col w:w="180"/>
          </w:cols>
          <w:pgMar w:left="240" w:top="571" w:right="27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7" w:lineRule="exact"/>
        <w:rPr>
          <w:sz w:val="24"/>
          <w:szCs w:val="24"/>
          <w:color w:val="auto"/>
        </w:rPr>
      </w:pPr>
    </w:p>
    <w:p>
      <w:pPr>
        <w:sectPr>
          <w:pgSz w:w="11900" w:h="16838" w:orient="portrait"/>
          <w:cols w:equalWidth="0" w:num="5">
            <w:col w:w="8700" w:space="180"/>
            <w:col w:w="260" w:space="100"/>
            <w:col w:w="160" w:space="180"/>
            <w:col w:w="220" w:space="80"/>
            <w:col w:w="1500"/>
          </w:cols>
          <w:pgMar w:left="240" w:top="571" w:right="27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The number of shares of the registrant’s Common Stock, $0.01 par value, outstanding as of February 1, 2017, was 19,041,267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6"/>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Financial Statements</w:t>
              </w:r>
            </w:hyperlink>
          </w:p>
        </w:tc>
        <w:tc>
          <w:tcPr>
            <w:tcW w:w="760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Balance Sheets</w:t>
              </w:r>
            </w:hyperlink>
          </w:p>
        </w:tc>
        <w:tc>
          <w:tcPr>
            <w:tcW w:w="72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06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Consolidated Statements of Cash Flows</w:t>
              </w:r>
            </w:hyperlink>
          </w:p>
        </w:tc>
        <w:tc>
          <w:tcPr>
            <w:tcW w:w="644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Notes to Consolidated Financial Statements</w:t>
              </w:r>
            </w:hyperlink>
          </w:p>
        </w:tc>
        <w:tc>
          <w:tcPr>
            <w:tcW w:w="616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0" w:type="dxa"/>
            <w:vAlign w:val="bottom"/>
          </w:tcPr>
          <w:p>
            <w:pPr>
              <w:spacing w:after="0"/>
              <w:rPr>
                <w:sz w:val="17"/>
                <w:szCs w:val="17"/>
                <w:color w:val="auto"/>
              </w:rPr>
            </w:pPr>
          </w:p>
        </w:tc>
        <w:tc>
          <w:tcPr>
            <w:tcW w:w="6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0" w:type="dxa"/>
            <w:vAlign w:val="bottom"/>
          </w:tcPr>
          <w:p>
            <w:pPr>
              <w:spacing w:after="0"/>
              <w:rPr>
                <w:sz w:val="17"/>
                <w:szCs w:val="17"/>
                <w:color w:val="auto"/>
              </w:rPr>
            </w:pPr>
          </w:p>
        </w:tc>
        <w:tc>
          <w:tcPr>
            <w:tcW w:w="10060" w:type="dxa"/>
            <w:vAlign w:val="bottom"/>
            <w:gridSpan w:val="1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60" w:type="dxa"/>
            <w:vAlign w:val="bottom"/>
          </w:tcPr>
          <w:p>
            <w:pPr>
              <w:spacing w:after="0"/>
              <w:rPr>
                <w:sz w:val="17"/>
                <w:szCs w:val="17"/>
                <w:color w:val="auto"/>
              </w:rPr>
            </w:pPr>
          </w:p>
        </w:tc>
        <w:tc>
          <w:tcPr>
            <w:tcW w:w="4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34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60" w:type="dxa"/>
            <w:vAlign w:val="bottom"/>
            <w:gridSpan w:val="16"/>
          </w:tcPr>
          <w:p>
            <w:pPr>
              <w:spacing w:after="0"/>
              <w:rPr>
                <w:sz w:val="20"/>
                <w:szCs w:val="20"/>
                <w:color w:val="auto"/>
              </w:rPr>
            </w:pPr>
            <w:r>
              <w:rPr>
                <w:rFonts w:ascii="Arial" w:cs="Arial" w:eastAsia="Arial" w:hAnsi="Arial"/>
                <w:sz w:val="18"/>
                <w:szCs w:val="18"/>
                <w:b w:val="1"/>
                <w:bCs w:val="1"/>
                <w:color w:val="auto"/>
              </w:rPr>
              <w:t>PART II—OTHER INFORMATION</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40" w:type="dxa"/>
            <w:vAlign w:val="bottom"/>
            <w:gridSpan w:val="2"/>
          </w:tcPr>
          <w:p>
            <w:pPr>
              <w:spacing w:after="0" w:line="190"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0"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9200" w:type="dxa"/>
            <w:vAlign w:val="bottom"/>
            <w:gridSpan w:val="11"/>
          </w:tcPr>
          <w:p>
            <w:pPr>
              <w:spacing w:after="0"/>
              <w:rPr>
                <w:sz w:val="16"/>
                <w:szCs w:val="16"/>
                <w:color w:val="auto"/>
              </w:rPr>
            </w:pPr>
          </w:p>
        </w:tc>
        <w:tc>
          <w:tcPr>
            <w:tcW w:w="3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60" w:type="dxa"/>
            <w:vAlign w:val="bottom"/>
            <w:gridSpan w:val="1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Exhibit Index</w:t>
              </w:r>
            </w:hyperlink>
          </w:p>
        </w:tc>
        <w:tc>
          <w:tcPr>
            <w:tcW w:w="100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69"/>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12"/>
          </w:tcPr>
          <w:p>
            <w:pPr>
              <w:jc w:val="right"/>
              <w:ind w:right="240"/>
              <w:spacing w:after="0"/>
              <w:rPr>
                <w:sz w:val="20"/>
                <w:szCs w:val="20"/>
                <w:color w:val="auto"/>
              </w:rPr>
            </w:pPr>
            <w:r>
              <w:rPr>
                <w:rFonts w:ascii="Arial" w:cs="Arial" w:eastAsia="Arial" w:hAnsi="Arial"/>
                <w:sz w:val="18"/>
                <w:szCs w:val="18"/>
                <w:color w:val="auto"/>
              </w:rPr>
              <w:t>2</w:t>
            </w:r>
          </w:p>
        </w:tc>
        <w:tc>
          <w:tcPr>
            <w:tcW w:w="1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960" w:type="dxa"/>
            <w:vAlign w:val="bottom"/>
            <w:gridSpan w:val="3"/>
          </w:tcPr>
          <w:p>
            <w:pPr>
              <w:jc w:val="right"/>
              <w:ind w:right="3070"/>
              <w:spacing w:after="0"/>
              <w:rPr>
                <w:sz w:val="20"/>
                <w:szCs w:val="20"/>
                <w:color w:val="auto"/>
              </w:rPr>
            </w:pPr>
            <w:r>
              <w:rPr>
                <w:rFonts w:ascii="Arial" w:cs="Arial" w:eastAsia="Arial" w:hAnsi="Arial"/>
                <w:sz w:val="18"/>
                <w:szCs w:val="18"/>
                <w:b w:val="1"/>
                <w:bCs w:val="1"/>
                <w:color w:val="auto"/>
              </w:rPr>
              <w:t>CONSOLIDATED FINANCIAL STATEMENTS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960" w:type="dxa"/>
            <w:vAlign w:val="bottom"/>
            <w:gridSpan w:val="3"/>
          </w:tcPr>
          <w:p>
            <w:pPr>
              <w:jc w:val="center"/>
              <w:ind w:left="2110"/>
              <w:spacing w:after="0"/>
              <w:rPr>
                <w:sz w:val="20"/>
                <w:szCs w:val="20"/>
                <w:color w:val="auto"/>
              </w:rPr>
            </w:pPr>
            <w:r>
              <w:rPr>
                <w:rFonts w:ascii="Arial" w:cs="Arial" w:eastAsia="Arial" w:hAnsi="Arial"/>
                <w:sz w:val="18"/>
                <w:szCs w:val="18"/>
                <w:b w:val="1"/>
                <w:bCs w:val="1"/>
                <w:color w:val="auto"/>
              </w:rPr>
              <w:t>ENANTA PHARMACEUTICALS, INC.</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960" w:type="dxa"/>
            <w:vAlign w:val="bottom"/>
            <w:gridSpan w:val="3"/>
          </w:tcPr>
          <w:p>
            <w:pPr>
              <w:jc w:val="center"/>
              <w:ind w:left="2110"/>
              <w:spacing w:after="0"/>
              <w:rPr>
                <w:sz w:val="20"/>
                <w:szCs w:val="20"/>
                <w:color w:val="auto"/>
              </w:rPr>
            </w:pPr>
            <w:r>
              <w:rPr>
                <w:rFonts w:ascii="Arial" w:cs="Arial" w:eastAsia="Arial" w:hAnsi="Arial"/>
                <w:sz w:val="18"/>
                <w:szCs w:val="18"/>
                <w:b w:val="1"/>
                <w:bCs w:val="1"/>
                <w:color w:val="auto"/>
                <w:w w:val="99"/>
              </w:rPr>
              <w:t>CONSOLIDATED BALANCE SHEETS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480" w:type="dxa"/>
            <w:vAlign w:val="bottom"/>
            <w:gridSpan w:val="2"/>
          </w:tcPr>
          <w:p>
            <w:pPr>
              <w:jc w:val="center"/>
              <w:ind w:right="1210"/>
              <w:spacing w:after="0"/>
              <w:rPr>
                <w:sz w:val="20"/>
                <w:szCs w:val="20"/>
                <w:color w:val="auto"/>
              </w:rPr>
            </w:pPr>
            <w:r>
              <w:rPr>
                <w:rFonts w:ascii="Arial" w:cs="Arial" w:eastAsia="Arial" w:hAnsi="Arial"/>
                <w:sz w:val="18"/>
                <w:szCs w:val="18"/>
                <w:b w:val="1"/>
                <w:bCs w:val="1"/>
                <w:color w:val="auto"/>
                <w:w w:val="91"/>
              </w:rPr>
              <w:t>(unaudited)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960" w:type="dxa"/>
            <w:vAlign w:val="bottom"/>
            <w:gridSpan w:val="3"/>
          </w:tcPr>
          <w:p>
            <w:pPr>
              <w:jc w:val="center"/>
              <w:ind w:left="209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3480" w:type="dxa"/>
            <w:vAlign w:val="bottom"/>
            <w:tcBorders>
              <w:bottom w:val="single" w:sz="8" w:color="CFF0FC"/>
            </w:tcBorders>
          </w:tcPr>
          <w:p>
            <w:pPr>
              <w:spacing w:after="0"/>
              <w:rPr>
                <w:sz w:val="14"/>
                <w:szCs w:val="14"/>
                <w:color w:val="auto"/>
              </w:rPr>
            </w:pPr>
          </w:p>
        </w:tc>
        <w:tc>
          <w:tcPr>
            <w:tcW w:w="3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8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34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188,740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193,507</w:t>
            </w: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12,841</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120" w:type="dxa"/>
            <w:vAlign w:val="bottom"/>
            <w:tcBorders>
              <w:bottom w:val="single" w:sz="8" w:color="CFF0FC"/>
            </w:tcBorders>
          </w:tcPr>
          <w:p>
            <w:pPr>
              <w:spacing w:after="0"/>
              <w:rPr>
                <w:sz w:val="19"/>
                <w:szCs w:val="19"/>
                <w:color w:val="auto"/>
              </w:rPr>
            </w:pPr>
          </w:p>
        </w:tc>
      </w:tr>
      <w:tr>
        <w:trPr>
          <w:trHeight w:val="223"/>
        </w:trPr>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232,156</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32,119</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8,390</w:t>
            </w:r>
          </w:p>
        </w:tc>
        <w:tc>
          <w:tcPr>
            <w:tcW w:w="120" w:type="dxa"/>
            <w:vAlign w:val="bottom"/>
          </w:tcPr>
          <w:p>
            <w:pPr>
              <w:spacing w:after="0"/>
              <w:rPr>
                <w:sz w:val="19"/>
                <w:szCs w:val="19"/>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3480" w:type="dxa"/>
            <w:vAlign w:val="bottom"/>
            <w:shd w:val="clear" w:color="auto" w:fill="CFF0FC"/>
          </w:tcPr>
          <w:p>
            <w:pPr>
              <w:spacing w:after="0"/>
              <w:rPr>
                <w:sz w:val="19"/>
                <w:szCs w:val="19"/>
                <w:color w:val="auto"/>
              </w:rPr>
            </w:pPr>
          </w:p>
        </w:tc>
        <w:tc>
          <w:tcPr>
            <w:tcW w:w="3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46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3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278,379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tcPr>
          <w:p>
            <w:pPr>
              <w:spacing w:after="0"/>
              <w:rPr>
                <w:sz w:val="22"/>
                <w:szCs w:val="22"/>
                <w:color w:val="auto"/>
              </w:rPr>
            </w:pPr>
          </w:p>
        </w:tc>
      </w:tr>
      <w:tr>
        <w:trPr>
          <w:trHeight w:val="21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1 nonconvertible preferred stock</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3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Borders>
              <w:bottom w:val="single" w:sz="8" w:color="CFF0FC"/>
            </w:tcBorders>
          </w:tcPr>
          <w:p>
            <w:pPr>
              <w:spacing w:after="0"/>
              <w:rPr>
                <w:sz w:val="19"/>
                <w:szCs w:val="19"/>
                <w:color w:val="auto"/>
              </w:rPr>
            </w:pPr>
          </w:p>
        </w:tc>
      </w:tr>
      <w:tr>
        <w:trPr>
          <w:trHeight w:val="223"/>
        </w:trPr>
        <w:tc>
          <w:tcPr>
            <w:tcW w:w="46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4620" w:type="dxa"/>
            <w:vAlign w:val="bottom"/>
            <w:gridSpan w:val="2"/>
          </w:tcPr>
          <w:p>
            <w:pPr>
              <w:ind w:left="260"/>
              <w:spacing w:after="0"/>
              <w:rPr>
                <w:sz w:val="20"/>
                <w:szCs w:val="20"/>
                <w:color w:val="auto"/>
              </w:rPr>
            </w:pPr>
            <w:r>
              <w:rPr>
                <w:rFonts w:ascii="Arial" w:cs="Arial" w:eastAsia="Arial" w:hAnsi="Arial"/>
                <w:sz w:val="18"/>
                <w:szCs w:val="18"/>
                <w:color w:val="auto"/>
                <w:w w:val="89"/>
              </w:rPr>
              <w:t>Common stock; $0.01 par value, 100,000 shares authorized;</w:t>
            </w:r>
          </w:p>
        </w:tc>
        <w:tc>
          <w:tcPr>
            <w:tcW w:w="3480" w:type="dxa"/>
            <w:vAlign w:val="bottom"/>
            <w:gridSpan w:val="2"/>
          </w:tcPr>
          <w:p>
            <w:pPr>
              <w:jc w:val="right"/>
              <w:ind w:right="2530"/>
              <w:spacing w:after="0"/>
              <w:rPr>
                <w:sz w:val="20"/>
                <w:szCs w:val="20"/>
                <w:color w:val="auto"/>
              </w:rPr>
            </w:pPr>
            <w:r>
              <w:rPr>
                <w:rFonts w:ascii="Arial" w:cs="Arial" w:eastAsia="Arial" w:hAnsi="Arial"/>
                <w:sz w:val="18"/>
                <w:szCs w:val="18"/>
                <w:color w:val="auto"/>
                <w:w w:val="93"/>
              </w:rPr>
              <w:t>19,040 and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00" w:type="dxa"/>
            <w:vAlign w:val="bottom"/>
            <w:gridSpan w:val="4"/>
          </w:tcPr>
          <w:p>
            <w:pPr>
              <w:ind w:left="380"/>
              <w:spacing w:after="0"/>
              <w:rPr>
                <w:sz w:val="20"/>
                <w:szCs w:val="20"/>
                <w:color w:val="auto"/>
              </w:rPr>
            </w:pPr>
            <w:r>
              <w:rPr>
                <w:rFonts w:ascii="Arial" w:cs="Arial" w:eastAsia="Arial" w:hAnsi="Arial"/>
                <w:sz w:val="18"/>
                <w:szCs w:val="18"/>
                <w:color w:val="auto"/>
              </w:rPr>
              <w:t>19,036 shares issued and outstanding at December 31, 2016 and</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September 30, 2016, respectively</w:t>
            </w:r>
          </w:p>
        </w:tc>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242,081</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r>
      <w:tr>
        <w:trPr>
          <w:trHeight w:val="230"/>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27,646</w:t>
            </w:r>
          </w:p>
        </w:tc>
        <w:tc>
          <w:tcPr>
            <w:tcW w:w="120" w:type="dxa"/>
            <w:vAlign w:val="bottom"/>
            <w:shd w:val="clear" w:color="auto" w:fill="CFF0FC"/>
          </w:tcPr>
          <w:p>
            <w:pPr>
              <w:spacing w:after="0"/>
              <w:rPr>
                <w:sz w:val="19"/>
                <w:szCs w:val="19"/>
                <w:color w:val="auto"/>
              </w:rPr>
            </w:pPr>
          </w:p>
        </w:tc>
      </w:tr>
      <w:tr>
        <w:trPr>
          <w:trHeight w:val="223"/>
        </w:trPr>
        <w:tc>
          <w:tcPr>
            <w:tcW w:w="46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268,168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269,936</w:t>
            </w:r>
          </w:p>
        </w:tc>
        <w:tc>
          <w:tcPr>
            <w:tcW w:w="120" w:type="dxa"/>
            <w:vAlign w:val="bottom"/>
            <w:tcBorders>
              <w:bottom w:val="single" w:sz="8" w:color="CFF0FC"/>
            </w:tcBorders>
          </w:tcPr>
          <w:p>
            <w:pPr>
              <w:spacing w:after="0"/>
              <w:rPr>
                <w:sz w:val="19"/>
                <w:szCs w:val="19"/>
                <w:color w:val="auto"/>
              </w:rPr>
            </w:pPr>
          </w:p>
        </w:tc>
      </w:tr>
      <w:tr>
        <w:trPr>
          <w:trHeight w:val="223"/>
        </w:trPr>
        <w:tc>
          <w:tcPr>
            <w:tcW w:w="46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278,379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Royalties</w:t>
            </w:r>
          </w:p>
        </w:tc>
        <w:tc>
          <w:tcPr>
            <w:tcW w:w="17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10,417</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17,869</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Milestones</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19"/>
                <w:szCs w:val="19"/>
                <w:color w:val="auto"/>
              </w:rPr>
            </w:pPr>
          </w:p>
        </w:tc>
      </w:tr>
      <w:tr>
        <w:trPr>
          <w:trHeight w:val="223"/>
        </w:trPr>
        <w:tc>
          <w:tcPr>
            <w:tcW w:w="7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7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10,417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12,526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17,463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w:t>
            </w:r>
          </w:p>
        </w:tc>
        <w:tc>
          <w:tcPr>
            <w:tcW w:w="120" w:type="dxa"/>
            <w:vAlign w:val="bottom"/>
            <w:shd w:val="clear" w:color="auto" w:fill="CFF0FC"/>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(7,046)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35,594</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r>
      <w:tr>
        <w:trPr>
          <w:trHeight w:val="230"/>
        </w:trPr>
        <w:tc>
          <w:tcPr>
            <w:tcW w:w="708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70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7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(6,522)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35,923</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(9,734)</w:t>
            </w:r>
          </w:p>
        </w:tc>
      </w:tr>
      <w:tr>
        <w:trPr>
          <w:trHeight w:val="26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78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(4,980)</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26,189</w:t>
            </w:r>
          </w:p>
        </w:tc>
        <w:tc>
          <w:tcPr>
            <w:tcW w:w="120" w:type="dxa"/>
            <w:vAlign w:val="bottom"/>
            <w:tcBorders>
              <w:bottom w:val="single" w:sz="8" w:color="CFF0FC"/>
            </w:tcBorders>
          </w:tcPr>
          <w:p>
            <w:pPr>
              <w:spacing w:after="0"/>
              <w:rPr>
                <w:sz w:val="22"/>
                <w:szCs w:val="22"/>
                <w:color w:val="auto"/>
              </w:rPr>
            </w:pPr>
          </w:p>
        </w:tc>
      </w:tr>
      <w:tr>
        <w:trPr>
          <w:trHeight w:val="21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7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78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(0.26)</w:t>
            </w: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19,038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18,776</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19,038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19,269</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5"/>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1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(4,980)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26,189</w:t>
            </w:r>
          </w:p>
        </w:tc>
        <w:tc>
          <w:tcPr>
            <w:tcW w:w="120" w:type="dxa"/>
            <w:vAlign w:val="bottom"/>
            <w:shd w:val="clear" w:color="auto" w:fill="CFF0FC"/>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(losses) on marketable securities, net of tax of ($63) and ($135)</w:t>
            </w:r>
          </w:p>
        </w:tc>
        <w:tc>
          <w:tcPr>
            <w:tcW w:w="7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w:t>
            </w:r>
          </w:p>
        </w:tc>
      </w:tr>
      <w:tr>
        <w:trPr>
          <w:trHeight w:val="223"/>
        </w:trPr>
        <w:tc>
          <w:tcPr>
            <w:tcW w:w="71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7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r>
      <w:tr>
        <w:trPr>
          <w:trHeight w:val="223"/>
        </w:trPr>
        <w:tc>
          <w:tcPr>
            <w:tcW w:w="7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(5,084)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185"/>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20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(4,980)</w:t>
            </w: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26,189</w:t>
            </w:r>
          </w:p>
        </w:tc>
        <w:tc>
          <w:tcPr>
            <w:tcW w:w="120" w:type="dxa"/>
            <w:vAlign w:val="bottom"/>
          </w:tcPr>
          <w:p>
            <w:pPr>
              <w:spacing w:after="0"/>
              <w:rPr>
                <w:sz w:val="19"/>
                <w:szCs w:val="19"/>
                <w:color w:val="auto"/>
              </w:rPr>
            </w:pPr>
          </w:p>
        </w:tc>
      </w:tr>
      <w:tr>
        <w:trPr>
          <w:trHeight w:val="215"/>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activities:</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Premium on marketable securities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w:t>
            </w: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Amortization of premium on marketable securities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r>
      <w:tr>
        <w:trPr>
          <w:trHeight w:val="215"/>
        </w:trPr>
        <w:tc>
          <w:tcPr>
            <w:tcW w:w="6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preferred stock</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(2,580)</w:t>
            </w:r>
          </w:p>
        </w:tc>
      </w:tr>
      <w:tr>
        <w:trPr>
          <w:trHeight w:val="230"/>
        </w:trPr>
        <w:tc>
          <w:tcPr>
            <w:tcW w:w="6820" w:type="dxa"/>
            <w:vAlign w:val="bottom"/>
          </w:tcPr>
          <w:p>
            <w:pPr>
              <w:ind w:left="740"/>
              <w:spacing w:after="0"/>
              <w:rPr>
                <w:sz w:val="20"/>
                <w:szCs w:val="20"/>
                <w:color w:val="auto"/>
              </w:rPr>
            </w:pPr>
            <w:r>
              <w:rPr>
                <w:rFonts w:ascii="Arial" w:cs="Arial" w:eastAsia="Arial" w:hAnsi="Arial"/>
                <w:sz w:val="18"/>
                <w:szCs w:val="18"/>
                <w:color w:val="auto"/>
              </w:rPr>
              <w:t>Unbilled receivables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w:t>
            </w:r>
          </w:p>
        </w:tc>
      </w:tr>
      <w:tr>
        <w:trPr>
          <w:trHeight w:val="230"/>
        </w:trPr>
        <w:tc>
          <w:tcPr>
            <w:tcW w:w="68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740"/>
              <w:spacing w:after="0"/>
              <w:rPr>
                <w:sz w:val="20"/>
                <w:szCs w:val="20"/>
                <w:color w:val="auto"/>
              </w:rPr>
            </w:pPr>
            <w:r>
              <w:rPr>
                <w:rFonts w:ascii="Arial" w:cs="Arial" w:eastAsia="Arial" w:hAnsi="Arial"/>
                <w:sz w:val="18"/>
                <w:szCs w:val="18"/>
                <w:color w:val="auto"/>
              </w:rPr>
              <w:t>Income taxes payable</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10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29,993</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Purchase of property and equipment</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(2,197)</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marketable securities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(73,671)</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(34,622)</w:t>
            </w:r>
          </w:p>
        </w:tc>
      </w:tr>
      <w:tr>
        <w:trPr>
          <w:trHeight w:val="230"/>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marketable securities</w:t>
            </w:r>
          </w:p>
        </w:tc>
        <w:tc>
          <w:tcPr>
            <w:tcW w:w="10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31,187</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Payments of capital lease obligations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24,507</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21,726</w:t>
            </w:r>
          </w:p>
        </w:tc>
        <w:tc>
          <w:tcPr>
            <w:tcW w:w="12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46,233</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200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1,018</w:t>
            </w:r>
          </w:p>
        </w:tc>
        <w:tc>
          <w:tcPr>
            <w:tcW w:w="160" w:type="dxa"/>
            <w:vAlign w:val="bottom"/>
          </w:tcPr>
          <w:p>
            <w:pPr>
              <w:spacing w:after="0"/>
              <w:rPr>
                <w:sz w:val="20"/>
                <w:szCs w:val="20"/>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5,707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Company’s success to date has been built on protease inhibitors discovered for the treatment of hepatitis C virus, or (“HCV”), which are licensed to AbbVie Inc. (“AbbVie”) and included in its HCV treatment regimens. The Company’s new research and development programs are currently focused primarily on the following disease areas: hepatitis B virus (“HBV”); non-alcoholic steatohepatitis (“NASH”); primary biliary cholangitis (“PBC”); and respiratory syncytial virus (“RSV”).</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balance sheet at September 30, 2016 was derived from audited financial statements, but does not include all disclosures required by accounting principles generally accepted in the United States of America (“GAAP”). The accompanying unaudited consolidated financial statements as of December 31, 2016 and for the three months ended December 31, 2016 and 2015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2016.</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December 31, 2016 and results of operations for the three months ended December 31, 2016 and 2015 and cash flows for the three months ended December 31, 2016 and 2015, have been made. The results of operations for the three months ended December 31, 2016 are not necessarily indicative of the results of operations that may be expected for subsequent quarters or the year ending September 30, 2017.</w:t>
      </w:r>
    </w:p>
    <w:p>
      <w:pPr>
        <w:spacing w:after="0" w:line="171" w:lineRule="exact"/>
        <w:rPr>
          <w:sz w:val="20"/>
          <w:szCs w:val="20"/>
          <w:color w:val="auto"/>
        </w:rPr>
      </w:pPr>
    </w:p>
    <w:p>
      <w:pPr>
        <w:jc w:val="both"/>
        <w:ind w:right="70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0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2016. There were no significant changes to the Company’s Significant Accounting Policies during the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August 2014, the Financial Accounting Standards Board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205-40) </w:t>
      </w:r>
      <w:r>
        <w:rPr>
          <w:rFonts w:ascii="Arial" w:cs="Arial" w:eastAsia="Arial" w:hAnsi="Arial"/>
          <w:sz w:val="17"/>
          <w:szCs w:val="17"/>
          <w:color w:val="auto"/>
        </w:rPr>
        <w:t>(“ASU 2014-15”), which requires management to assess a company’s ability to continue as a going concern and to provide related footnote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in certain circumstances. This amendment will be effective for the Company for fiscal year ended September 30, 2016. The Company does not expect the adoption of ASU 2014-15 to have an impact on the Company’s consolidated financial statements.</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will be effective for the Company in the fiscal year beginning October 1, 2017. The Company is currently evaluating the potential impact that ASU 2016-09 may have on its financial position and results of operations.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an 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These new standards will be effective for the Company beginning October 1, 2018. The Company is currently evaluating the potential impact that Topic 606 may have on its financial position and results of operations.</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The Company is currently evaluating the potential impact that ASU 2016-18 may have on its financial position and statement of cash flows.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2019. The Company is currently evaluating the potential impact that ASU 2016-13 may have on its financial position and results of operations.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financial statements upon adoption.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December 31, 2016 and September 30, 2016 and indicate the fair value hierarchy of the valuation inputs utilized to determine such fair value:</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December 31, 2016 Using:</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83,011</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Agency bonds</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100,274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140,766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at September 30, 2016 Using:</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69,608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Corporate bonds</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U.S. Agency bonds</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84,903</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5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1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2016 and September 30, 2016 consist primarily of money market funds.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2016 and 2015, there were no transfers between Level 1, Level 2 and Level 3.</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of December 31, 2016 and September 30, 2016, the Company’s warrant liability was comprised of the value of warrants for the purchase of its Series 1 nonconvertible preferred stock. These warrants are financial instruments that may require a transfer of assets because of the liquidation features and are therefore recorded as liabilities and measured at fair value. The outstanding Series 1 nonconvertible preferred stock was also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other income (expense), net in the consolidated statements of operations.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9" w:name="page10"/>
    <w:bookmarkEnd w:id="9"/>
    <w:p>
      <w:pPr>
        <w:ind w:right="26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4"/>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Unobservable Input</w:t>
            </w:r>
          </w:p>
        </w:tc>
        <w:tc>
          <w:tcPr>
            <w:tcW w:w="160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December 31,</w:t>
            </w:r>
          </w:p>
        </w:tc>
        <w:tc>
          <w:tcPr>
            <w:tcW w:w="1160" w:type="dxa"/>
            <w:vAlign w:val="bottom"/>
            <w:tcBorders>
              <w:top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20" w:type="dxa"/>
            <w:vAlign w:val="bottom"/>
            <w:gridSpan w:val="2"/>
            <w:vMerge w:val="continue"/>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3"/>
                <w:szCs w:val="13"/>
                <w:color w:val="auto"/>
              </w:rPr>
            </w:pPr>
          </w:p>
        </w:tc>
        <w:tc>
          <w:tcPr>
            <w:tcW w:w="11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5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Warrant liability and Series 1</w:t>
            </w:r>
          </w:p>
        </w:tc>
        <w:tc>
          <w:tcPr>
            <w:tcW w:w="30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color w:val="auto"/>
              </w:rPr>
              <w:t>Probabilities of payout</w:t>
            </w:r>
          </w:p>
        </w:tc>
        <w:tc>
          <w:tcPr>
            <w:tcW w:w="1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0%-60%</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0%-60%</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nonconvertible preferred</w:t>
            </w:r>
          </w:p>
        </w:tc>
        <w:tc>
          <w:tcPr>
            <w:tcW w:w="30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stock</w:t>
            </w:r>
          </w:p>
        </w:tc>
        <w:tc>
          <w:tcPr>
            <w:tcW w:w="30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720" w:type="dxa"/>
            <w:vAlign w:val="bottom"/>
            <w:gridSpan w:val="3"/>
          </w:tcPr>
          <w:p>
            <w:pPr>
              <w:ind w:left="300"/>
              <w:spacing w:after="0"/>
              <w:rPr>
                <w:sz w:val="20"/>
                <w:szCs w:val="20"/>
                <w:color w:val="auto"/>
              </w:rPr>
            </w:pPr>
            <w:r>
              <w:rPr>
                <w:rFonts w:ascii="Arial" w:cs="Arial" w:eastAsia="Arial" w:hAnsi="Arial"/>
                <w:sz w:val="18"/>
                <w:szCs w:val="18"/>
                <w:color w:val="auto"/>
                <w:w w:val="95"/>
              </w:rPr>
              <w:t>Periods in which payout is expected to occur</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2017-2018</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2017-2018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37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Discount rate</w:t>
            </w:r>
          </w:p>
        </w:tc>
        <w:tc>
          <w:tcPr>
            <w:tcW w:w="136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Warrant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2016</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in fair value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December 31, 2016</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2016 and September 30, 2016, the fair value of available-for-sale marketable securities, by type of security, was as follows:</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91,259</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Treasury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83,080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Agency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20,025</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September 30, 2016</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7"/>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7"/>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9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76,077</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Treasury notes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69,579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U.S. Agency bonds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30,040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2016, marketable securities consisted of investments that mature within one year, with the exception of certain U.S. Treasury notes and corporate bonds, which have maturities within three years and an aggregate fair value of $35,037.</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0" w:name="page11"/>
    <w:bookmarkEnd w:id="10"/>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December 31, 2016 and September 30, 2016:</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fixed assets</w:t>
            </w: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8120" w:firstLine="8"/>
        <w:spacing w:after="0" w:line="378" w:lineRule="auto"/>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253" w:lineRule="auto"/>
        <w:rPr>
          <w:sz w:val="20"/>
          <w:szCs w:val="20"/>
          <w:color w:val="auto"/>
        </w:rPr>
      </w:pPr>
      <w:r>
        <w:rPr>
          <w:rFonts w:ascii="Arial" w:cs="Arial" w:eastAsia="Arial" w:hAnsi="Arial"/>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(ABT-493), under which the Company has received license payments, proceeds from a sale of preferred stock, research funding payments, milestone payments and royalties totaling $407,000 through December 31, 2016. As of December 31, 2016, the Company is eligible to receive additional milestone payments of up to $80,000 upon AbbVie’s achievement of commercialization regulatory approval milestones in the U.S. and other major world markets for its glecaprevir/pibrentasvir (“G/P”) combination regimen for HCV. Since the Company completed all its performance obligations under the AbbVie Agreement by the end of fiscal 2011, any milestone payments received since then have been and will be recognized as revenue when the milestones are achieved by AbbVie. The Company is also receiving annually tiered royalties per Company protease product ranging from the low double digits up to twenty percent, or on a blended basis from the low double digits up to the high teens, on AbbVie’s calendar year net sales of its HCV regimens that are allocated to the collaboration’s protease inhibitor in the regimen. Beginning with each January 1, the cumulative net sales of a given royalty-bearing product start at zero for purposes of calculating the tiered royalties.</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During the three months ended December 31, 2015, the Company earned and recognized milestone revenue of $30,000 upon AbbVie’s achievement of commercialization regulatory approval of a paritaprevir-containing regimen in Japan in November 2015.</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October and November 2010, the Company issued warrants to purchase up to a total of 1,999,989 shares of Series 1 nonconvertible preferred stock, which expire on October 4, 2017. As these warrants and underlying Series 1 preferred stock are financial instruments that may require the Company to transfer assets, these instruments are classified as liabilities. The Company is required to remeasure the fair value of these instruments at each reporting date, with any adjustments recorded within other income (expense), net, in the consolidated statements of operations.</w:t>
      </w:r>
    </w:p>
    <w:p>
      <w:pPr>
        <w:spacing w:after="0" w:line="27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granted stock-based awards, including stock options and restricted stock units, under its existing 2012 Equity Incentive Plan (the</w:t>
      </w:r>
    </w:p>
    <w:p>
      <w:pPr>
        <w:spacing w:after="0" w:line="3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“2012 Plan”) and Employee Stock Purchase Plan (the “ESPP”). The Company also has outstanding stock-based awards under its 1995 Equity Incentive Plan (the “1995 Plan”), but is no longer granting awards under this plan.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stock option activity for the year to date period ending December 31, 2016:</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1,895,456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484,519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2,373,589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36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December 31, 2016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2,241,827</w:t>
            </w:r>
          </w:p>
        </w:tc>
        <w:tc>
          <w:tcPr>
            <w:tcW w:w="140" w:type="dxa"/>
            <w:vAlign w:val="bottom"/>
            <w:tcBorders>
              <w:bottom w:val="single" w:sz="8" w:color="CFF0FC"/>
            </w:tcBorders>
          </w:tcPr>
          <w:p>
            <w:pPr>
              <w:spacing w:after="0"/>
              <w:rPr>
                <w:sz w:val="23"/>
                <w:szCs w:val="23"/>
                <w:color w:val="auto"/>
              </w:rPr>
            </w:pPr>
          </w:p>
        </w:tc>
        <w:tc>
          <w:tcPr>
            <w:tcW w:w="240" w:type="dxa"/>
            <w:vAlign w:val="bottom"/>
            <w:tcBorders>
              <w:bottom w:val="single" w:sz="8" w:color="CFF0FC"/>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29.72</w:t>
            </w:r>
          </w:p>
        </w:tc>
        <w:tc>
          <w:tcPr>
            <w:tcW w:w="200" w:type="dxa"/>
            <w:vAlign w:val="bottom"/>
            <w:tcBorders>
              <w:bottom w:val="single" w:sz="8" w:color="CFF0FC"/>
            </w:tcBorders>
          </w:tcPr>
          <w:p>
            <w:pPr>
              <w:spacing w:after="0"/>
              <w:rPr>
                <w:sz w:val="23"/>
                <w:szCs w:val="23"/>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13,085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December 31, 2016</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1,044,096</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9,765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for the year to date period ending December 31, 2016:</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Relative Total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Stockholder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Return Units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2016</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380" w:type="dxa"/>
            <w:vAlign w:val="bottom"/>
            <w:tcBorders>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48,525</w:t>
            </w:r>
          </w:p>
        </w:tc>
        <w:tc>
          <w:tcPr>
            <w:tcW w:w="380" w:type="dxa"/>
            <w:vAlign w:val="bottom"/>
            <w:tcBorders>
              <w:bottom w:val="single" w:sz="8" w:color="CFF0FC"/>
            </w:tcBorders>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November 2016, the Company awarded restricted stock units to its employees, which vest 50% in three years and 50% in four years, provided the employee remains employed with the Company at the time of vest. The fair value of these awards is determined based on the intrinsic value of the stock on the date of grant and will be recognized as stock-based compensation expense, net of estimated forfeitures, over the requisite service period. The following table summarizes the restricted stock unit activity for the year to date period ending December 31,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Restricted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00" w:type="dxa"/>
            <w:vAlign w:val="bottom"/>
          </w:tcPr>
          <w:p>
            <w:pPr>
              <w:jc w:val="right"/>
              <w:ind w:right="296"/>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2016</w:t>
            </w:r>
          </w:p>
        </w:tc>
        <w:tc>
          <w:tcPr>
            <w:tcW w:w="2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Granted</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112,460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2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Cancelled</w:t>
            </w:r>
          </w:p>
        </w:tc>
        <w:tc>
          <w:tcPr>
            <w:tcW w:w="2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2016</w:t>
            </w:r>
          </w:p>
        </w:tc>
        <w:tc>
          <w:tcPr>
            <w:tcW w:w="2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112,460</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00" w:type="dxa"/>
            <w:vAlign w:val="bottom"/>
            <w:vMerge w:val="restart"/>
          </w:tcPr>
          <w:p>
            <w:pPr>
              <w:jc w:val="right"/>
              <w:ind w:right="1310"/>
              <w:spacing w:after="0"/>
              <w:rPr>
                <w:sz w:val="20"/>
                <w:szCs w:val="20"/>
                <w:color w:val="auto"/>
              </w:rPr>
            </w:pPr>
            <w:r>
              <w:rPr>
                <w:rFonts w:ascii="Arial" w:cs="Arial" w:eastAsia="Arial" w:hAnsi="Arial"/>
                <w:sz w:val="18"/>
                <w:szCs w:val="18"/>
                <w:color w:val="auto"/>
              </w:rPr>
              <w:t>12</w:t>
            </w: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December 31, 2016 and 2015, the Company recognized the following stock-based compensation expense: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5460" w:type="dxa"/>
            <w:vAlign w:val="bottom"/>
          </w:tcPr>
          <w:p>
            <w:pPr>
              <w:spacing w:after="0"/>
              <w:rPr>
                <w:sz w:val="15"/>
                <w:szCs w:val="15"/>
                <w:color w:val="auto"/>
              </w:rPr>
            </w:pPr>
          </w:p>
        </w:tc>
        <w:tc>
          <w:tcPr>
            <w:tcW w:w="2040" w:type="dxa"/>
            <w:vAlign w:val="bottom"/>
            <w:gridSpan w:val="5"/>
          </w:tcPr>
          <w:p>
            <w:pPr>
              <w:jc w:val="center"/>
              <w:ind w:left="327"/>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1"/>
        </w:trPr>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2,303</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3,267</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1,992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5460" w:type="dxa"/>
            <w:vAlign w:val="bottom"/>
          </w:tcPr>
          <w:p>
            <w:pPr>
              <w:spacing w:after="0"/>
              <w:rPr>
                <w:sz w:val="24"/>
                <w:szCs w:val="24"/>
                <w:color w:val="auto"/>
              </w:rPr>
            </w:pPr>
          </w:p>
        </w:tc>
        <w:tc>
          <w:tcPr>
            <w:tcW w:w="2040" w:type="dxa"/>
            <w:vAlign w:val="bottom"/>
            <w:gridSpan w:val="5"/>
          </w:tcPr>
          <w:p>
            <w:pPr>
              <w:jc w:val="center"/>
              <w:ind w:left="327"/>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2,346</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1,917</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3,267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1,992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December 31, 2016, the Company recognized stock-based compensation expense for PSUs upon achievement of performance-based targets that occurred during the quarter.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2016, the Company had an aggregate of $31,192 unrecognized stock-based compensation cost, which is expected to be recognized over a weighted average period of 2.8 years.</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three months ended December 31, 2016 and 2015 (shares in thousands):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(4,980)</w:t>
            </w:r>
          </w:p>
        </w:tc>
        <w:tc>
          <w:tcPr>
            <w:tcW w:w="4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Denominator:</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18,776</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240"/>
              <w:spacing w:after="0"/>
              <w:rPr>
                <w:sz w:val="20"/>
                <w:szCs w:val="20"/>
                <w:color w:val="auto"/>
              </w:rPr>
            </w:pPr>
            <w:r>
              <w:rPr>
                <w:rFonts w:ascii="Arial" w:cs="Arial" w:eastAsia="Arial" w:hAnsi="Arial"/>
                <w:sz w:val="18"/>
                <w:szCs w:val="18"/>
                <w:color w:val="auto"/>
              </w:rPr>
              <w:t>Net income (loss) per share common share—basic</w:t>
            </w:r>
          </w:p>
        </w:tc>
        <w:tc>
          <w:tcPr>
            <w:tcW w:w="7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Numerator:</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7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(4,980)</w:t>
            </w:r>
          </w:p>
        </w:tc>
        <w:tc>
          <w:tcPr>
            <w:tcW w:w="4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Denominator:</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5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19,038</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19,269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240"/>
              <w:spacing w:after="0"/>
              <w:rPr>
                <w:sz w:val="20"/>
                <w:szCs w:val="20"/>
                <w:color w:val="auto"/>
              </w:rPr>
            </w:pPr>
            <w:r>
              <w:rPr>
                <w:rFonts w:ascii="Arial" w:cs="Arial" w:eastAsia="Arial" w:hAnsi="Arial"/>
                <w:sz w:val="18"/>
                <w:szCs w:val="18"/>
                <w:color w:val="auto"/>
              </w:rPr>
              <w:t>Net income (loss) per share common share—diluted</w:t>
            </w:r>
          </w:p>
        </w:tc>
        <w:tc>
          <w:tcPr>
            <w:tcW w:w="7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FF0FC"/>
          </w:tcPr>
          <w:p>
            <w:pPr>
              <w:ind w:left="240"/>
              <w:spacing w:after="0" w:line="195" w:lineRule="exact"/>
              <w:rPr>
                <w:sz w:val="20"/>
                <w:szCs w:val="20"/>
                <w:color w:val="auto"/>
              </w:rPr>
            </w:pPr>
            <w:r>
              <w:rPr>
                <w:rFonts w:ascii="Arial" w:cs="Arial" w:eastAsia="Arial" w:hAnsi="Arial"/>
                <w:sz w:val="18"/>
                <w:szCs w:val="18"/>
                <w:color w:val="auto"/>
              </w:rPr>
              <w:t>Anti-dilutive common stock equivalents excluded from</w:t>
            </w: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above</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impact of certain common stock equivalents were excluded from the computation of diluted net loss per share for the three months ended December 31, 2016 because the Company was in a net loss position for the period and the impact of such common stock equivalents would have been anti-dilutive.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jc w:val="both"/>
        <w:ind w:right="120"/>
        <w:spacing w:after="0" w:line="264" w:lineRule="auto"/>
        <w:rPr>
          <w:sz w:val="20"/>
          <w:szCs w:val="20"/>
          <w:color w:val="auto"/>
        </w:rPr>
      </w:pPr>
      <w:r>
        <w:rPr>
          <w:rFonts w:ascii="Arial" w:cs="Arial" w:eastAsia="Arial" w:hAnsi="Arial"/>
          <w:sz w:val="18"/>
          <w:szCs w:val="18"/>
          <w:color w:val="auto"/>
        </w:rPr>
        <w:t>As of December 31, 2016 the Company also excluded 164,608 of unvested stock awards from the calculation of diluted net income (loss) per common share as these awards contain performance or market conditions that would not have been achieved as of December 31, 2016 had the measurement period been as of that date.</w:t>
      </w:r>
    </w:p>
    <w:p>
      <w:pPr>
        <w:spacing w:after="0" w:line="28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December 31, 2016 and 2015, the Company recorded an income tax (expense) benefit of $1,542 and ($9,734), respectively. The income tax (expense) benefit for the three months ended December 31, 2016 and 2015 was attributable to the Company’s domestic operations. During the three months ended December 31, 2016, the Company’s annual effective tax rate of 23.6% differs from the statutory rate of 35.0% due to federal research and development tax credits which reduce taxes payable and are reflected in the Company’s annual effective tax rate. For the three months ended December 31, 2015, the Company’s effective tax rate of 27.1% differs from the statutory rate of 35.0% primarily due to the effect of federal research and development tax credits.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Earlier years may be examined to the extent that tax credits or net operating loss carryforwards are used in future periods.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an unrecognized tax benefit of $1,065 and $745 as of December 31, 2016 and September 30, 2016,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$506 for both the three months ended December 31, 2016 and 2015.</w:t>
      </w:r>
    </w:p>
    <w:p>
      <w:pPr>
        <w:spacing w:after="0" w:line="18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connection with the lease, the Company has outstanding a $608 letter of credit, collateralized by a money market account. As of December 31, 2016 and September 30, 2016, the Company classified the $608 related to the letter of credit as restricted cash. Additionally, the lease, as amended, included a $598 tenant improvement allowance from the landlord, which is accounted for as a capital lease obligation.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(1) annual maintenance fees for each year that the agreement remains in effect, commencing on the first anniversary of the agreement, in order to maintain the right to use the license, and (2) a one-time fee of in each circumstance in which the Company provides the licensed intellectual property to one of its collaborators with the prior consent of the licensor.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4" w:name="page15"/>
    <w:bookmarkEnd w:id="14"/>
    <w:p>
      <w:pPr>
        <w:spacing w:after="0" w:line="255" w:lineRule="auto"/>
        <w:rPr>
          <w:sz w:val="20"/>
          <w:szCs w:val="20"/>
          <w:color w:val="auto"/>
        </w:rPr>
      </w:pPr>
      <w:r>
        <w:rPr>
          <w:rFonts w:ascii="Arial" w:cs="Arial" w:eastAsia="Arial" w:hAnsi="Arial"/>
          <w:sz w:val="18"/>
          <w:szCs w:val="18"/>
          <w:color w:val="auto"/>
        </w:rPr>
        <w:t>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2016.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2016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research and development-focused biotechnology company that uses our robust, chemistry-driven approach and drug discovery capabilities to create small molecule drugs primarily for the treatment of viral infections and liver diseases. Our success to date has been built on protease inhibitors we discovered for the treatment of hepatitis C virus, or HCV, which are licensed to AbbVie and included in its HCV treatment regimens. Our new research and development programs are currently focused primarily on the following disease areas:</w:t>
      </w:r>
    </w:p>
    <w:p>
      <w:pPr>
        <w:spacing w:after="0" w:line="79"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1 year of age in the U.S., resulting in an estimated 75,000 to 125,000 hospitalizations each year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240 million individuals worldwide.</w:t>
      </w:r>
    </w:p>
    <w:p>
      <w:pPr>
        <w:spacing w:after="0" w:line="24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development and licensing collaboration with AbbVie has produced one licensed product and a second product candidate for HCV is currently under regulatory review in the U.S. and E.U. The licensed product, paritaprevir, a protease inhibitor designed for use against HCV, is a key compound in AbbVie’s direct-acting-antiviral, or DAA, regimen VIEKIRA PAK</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its other 3-DAA and 2-DAA treatment regimens currently on the market for HCV. Our second HCV protease inhibitor, glecaprevir (ABT-493), has completed several Phase 3 registrational studies in combination with pibrentasvir, AbbVie’s second NS5A inhibitor. In December 2016, AbbVie submitted a New Drug Application (NDA) to the U.S. Food and Drug Administration (FDA), for its investigational HCV regimen of glecaprevir/pibrentasvir (G/P) for the treatment of patients with any of the major genotypes (GT1-6) of chronic hepatitis C virus. The FDA granted G/P Breakthrough Therapy Designation and priority review status. In the E.U., the Marketing Authorization Application (MAA) for G/P was validated by the European Medicines Agency and the MAA was designated for accelerated assessment. AbbVie plans to submit an NDA in Japan in the first quarter of calendar 2017. AbbVie anticipates regulatory approvals and commercialization starting in calendar 2017.</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had $244.4 million in cash and marketable securities at December 31, 2016. In our first fiscal quarter of 2017, we earned $10.4 million in royalties on the portion of AbbVie’s net sales of its HCV regimens allocated to paritaprevir. We expect our existing financial resources and cash flows will allow us to continue to invest for the foreseeable future in our wholly owned research and development programs.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31" w:lineRule="exact"/>
        <w:rPr>
          <w:sz w:val="20"/>
          <w:szCs w:val="20"/>
          <w:color w:val="auto"/>
        </w:rPr>
      </w:pPr>
    </w:p>
    <w:p>
      <w:pPr>
        <w:ind w:left="1040" w:right="140" w:hanging="519"/>
        <w:spacing w:after="0" w:line="24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NASH and PBC:</w:t>
      </w:r>
      <w:r>
        <w:rPr>
          <w:rFonts w:ascii="Arial" w:cs="Arial" w:eastAsia="Arial" w:hAnsi="Arial"/>
          <w:sz w:val="1"/>
          <w:szCs w:val="1"/>
          <w:color w:val="auto"/>
        </w:rPr>
        <w:drawing>
          <wp:inline distT="0" distB="0" distL="0" distR="0">
            <wp:extent cx="34290" cy="13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133350"/>
                    </a:xfrm>
                    <a:prstGeom prst="rect">
                      <a:avLst/>
                    </a:prstGeom>
                    <a:noFill/>
                    <a:ln>
                      <a:noFill/>
                    </a:ln>
                  </pic:spPr>
                </pic:pic>
              </a:graphicData>
            </a:graphic>
          </wp:inline>
        </w:drawing>
      </w:r>
      <w:r>
        <w:rPr>
          <w:rFonts w:ascii="Arial" w:cs="Arial" w:eastAsia="Arial" w:hAnsi="Arial"/>
          <w:sz w:val="18"/>
          <w:szCs w:val="18"/>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6" w:name="page17"/>
    <w:bookmarkEnd w:id="16"/>
    <w:p>
      <w:pPr>
        <w:ind w:left="1040" w:right="60"/>
        <w:spacing w:after="0" w:line="277" w:lineRule="auto"/>
        <w:rPr>
          <w:sz w:val="20"/>
          <w:szCs w:val="20"/>
          <w:color w:val="auto"/>
        </w:rPr>
      </w:pPr>
      <w:r>
        <w:rPr>
          <w:rFonts w:ascii="Arial" w:cs="Arial" w:eastAsia="Arial" w:hAnsi="Arial"/>
          <w:sz w:val="18"/>
          <w:szCs w:val="18"/>
          <w:color w:val="auto"/>
        </w:rPr>
        <w:t>FXR agonist designed to take advantage of increased binding interactions with the receptor. We believe this class is significantly different from other FXR agonists in clinical development.</w:t>
      </w:r>
    </w:p>
    <w:p>
      <w:pPr>
        <w:spacing w:after="0" w:line="62" w:lineRule="exact"/>
        <w:rPr>
          <w:sz w:val="20"/>
          <w:szCs w:val="20"/>
          <w:color w:val="auto"/>
        </w:rPr>
      </w:pPr>
    </w:p>
    <w:p>
      <w:pPr>
        <w:ind w:left="1540" w:right="300" w:hanging="506"/>
        <w:spacing w:after="0" w:line="289" w:lineRule="auto"/>
        <w:tabs>
          <w:tab w:leader="none" w:pos="1540" w:val="left"/>
        </w:tabs>
        <w:numPr>
          <w:ilvl w:val="1"/>
          <w:numId w:val="16"/>
        </w:numPr>
        <w:rPr>
          <w:rFonts w:ascii="Courier New" w:cs="Courier New" w:eastAsia="Courier New" w:hAnsi="Courier New"/>
          <w:sz w:val="17"/>
          <w:szCs w:val="17"/>
          <w:color w:val="auto"/>
        </w:rPr>
      </w:pPr>
      <w:r>
        <w:rPr>
          <w:rFonts w:ascii="Arial" w:cs="Arial" w:eastAsia="Arial" w:hAnsi="Arial"/>
          <w:sz w:val="17"/>
          <w:szCs w:val="17"/>
          <w:color w:val="auto"/>
        </w:rPr>
        <w:t>In September 2016, we initiated a Phase 1 clinical study of EDP-305, which includes healthy subjects and subjects with presumptive non-alcoholic fatty liver disease, or NAFLD, who are obese and may also have pre-diabetes or type 2 diabetes.</w:t>
      </w:r>
    </w:p>
    <w:p>
      <w:pPr>
        <w:spacing w:after="0" w:line="51" w:lineRule="exact"/>
        <w:rPr>
          <w:rFonts w:ascii="Courier New" w:cs="Courier New" w:eastAsia="Courier New" w:hAnsi="Courier New"/>
          <w:sz w:val="17"/>
          <w:szCs w:val="17"/>
          <w:color w:val="auto"/>
        </w:rPr>
      </w:pPr>
    </w:p>
    <w:p>
      <w:pPr>
        <w:ind w:left="1540" w:right="60" w:hanging="506"/>
        <w:spacing w:after="0" w:line="254"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Since November 2016, we presented data at the AASLD meeting and at the NASH-Tag conference that demonstrated that EDP-305 is a highly selective FXR agonist and shows more potent activity in a variety of in vitro and in vivo NASH models compared to the most advanced NASH candidate in development today, obeticholic acid, or OCA.</w:t>
      </w:r>
    </w:p>
    <w:p>
      <w:pPr>
        <w:spacing w:after="0" w:line="82" w:lineRule="exact"/>
        <w:rPr>
          <w:rFonts w:ascii="Courier New" w:cs="Courier New" w:eastAsia="Courier New" w:hAnsi="Courier New"/>
          <w:sz w:val="18"/>
          <w:szCs w:val="18"/>
          <w:color w:val="auto"/>
        </w:rPr>
      </w:pPr>
    </w:p>
    <w:p>
      <w:pPr>
        <w:ind w:left="1540" w:right="160" w:hanging="506"/>
        <w:spacing w:after="0" w:line="259"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EDP-305 was granted Fast Track designation by the U.S. Food and Drug Administration for the treatment of NASH patients with liver fibrosis.</w:t>
      </w:r>
    </w:p>
    <w:p>
      <w:pPr>
        <w:spacing w:after="0" w:line="76" w:lineRule="exact"/>
        <w:rPr>
          <w:rFonts w:ascii="Courier New" w:cs="Courier New" w:eastAsia="Courier New" w:hAnsi="Courier New"/>
          <w:sz w:val="18"/>
          <w:szCs w:val="18"/>
          <w:color w:val="auto"/>
        </w:rPr>
      </w:pPr>
    </w:p>
    <w:p>
      <w:pPr>
        <w:ind w:left="1540" w:right="160" w:hanging="506"/>
        <w:spacing w:after="0" w:line="259"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We intend to study EDP-305 in PBC patients later in 2017 and to conduct further non-clinical studies to enable us to conduct a clinical study in NASH patients beginning in 2018.</w:t>
      </w:r>
    </w:p>
    <w:p>
      <w:pPr>
        <w:spacing w:after="0" w:line="76" w:lineRule="exact"/>
        <w:rPr>
          <w:rFonts w:ascii="Courier New" w:cs="Courier New" w:eastAsia="Courier New" w:hAnsi="Courier New"/>
          <w:sz w:val="18"/>
          <w:szCs w:val="18"/>
          <w:color w:val="auto"/>
        </w:rPr>
      </w:pPr>
    </w:p>
    <w:p>
      <w:pPr>
        <w:ind w:left="1540" w:right="60" w:hanging="506"/>
        <w:spacing w:after="0" w:line="259" w:lineRule="auto"/>
        <w:tabs>
          <w:tab w:leader="none" w:pos="1540" w:val="left"/>
        </w:tabs>
        <w:numPr>
          <w:ilvl w:val="1"/>
          <w:numId w:val="16"/>
        </w:numPr>
        <w:rPr>
          <w:rFonts w:ascii="Courier New" w:cs="Courier New" w:eastAsia="Courier New" w:hAnsi="Courier New"/>
          <w:sz w:val="18"/>
          <w:szCs w:val="18"/>
          <w:color w:val="auto"/>
        </w:rPr>
      </w:pPr>
      <w:r>
        <w:rPr>
          <w:rFonts w:ascii="Arial" w:cs="Arial" w:eastAsia="Arial" w:hAnsi="Arial"/>
          <w:sz w:val="18"/>
          <w:szCs w:val="18"/>
          <w:color w:val="auto"/>
        </w:rPr>
        <w:t>In addition, we are pursuing research in other classes of FXR agonists as well as other mechanisms that may provide therapeutic benefit in NASH.</w:t>
      </w:r>
    </w:p>
    <w:p>
      <w:pPr>
        <w:spacing w:after="0" w:line="76" w:lineRule="exact"/>
        <w:rPr>
          <w:rFonts w:ascii="Courier New" w:cs="Courier New" w:eastAsia="Courier New" w:hAnsi="Courier New"/>
          <w:sz w:val="18"/>
          <w:szCs w:val="18"/>
          <w:color w:val="auto"/>
        </w:rPr>
      </w:pPr>
    </w:p>
    <w:p>
      <w:pPr>
        <w:ind w:left="1040" w:hanging="519"/>
        <w:spacing w:after="0" w:line="291"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RSV:</w:t>
      </w:r>
      <w:r>
        <w:rPr>
          <w:rFonts w:ascii="Arial" w:cs="Arial" w:eastAsia="Arial" w:hAnsi="Arial"/>
          <w:sz w:val="16"/>
          <w:szCs w:val="16"/>
          <w:color w:val="auto"/>
        </w:rPr>
        <w:t xml:space="preserve"> Our initial efforts in RSV are concentrated on non-fusion inhibitors which we believe will differentiate our compounds from fusion inhibitors currently in development for RSV because non-fusion inhibitors directly target the virus replication process and have demonstrated high barriers to resistance against the virus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develop successful therapies for RSV, we believe that it may be necessary to utilize more than one compound/mechanism and therefore we are pursuing multiple approaches and compounds that provide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evidence of synergistic potential. We have selected EDP-938, a potent non-fusion inhibitor of both RSV-A and RSV-B activity, as our first development candidate for RSV. New pre-clinical data demonstrated a rapid reduction in viral load, below the limits of detection (LOD) in animals treated with EDP-938. We plan to begin a Phase 1 clinical study in the fourth quarter of calendar 2017.</w:t>
      </w:r>
    </w:p>
    <w:p>
      <w:pPr>
        <w:spacing w:after="0" w:line="59" w:lineRule="exact"/>
        <w:rPr>
          <w:rFonts w:ascii="Arial" w:cs="Arial" w:eastAsia="Arial" w:hAnsi="Arial"/>
          <w:sz w:val="16"/>
          <w:szCs w:val="16"/>
          <w:color w:val="auto"/>
        </w:rPr>
      </w:pPr>
    </w:p>
    <w:p>
      <w:pPr>
        <w:ind w:left="1040" w:right="40" w:hanging="519"/>
        <w:spacing w:after="0" w:line="279"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HBV:</w:t>
      </w:r>
      <w:r>
        <w:rPr>
          <w:rFonts w:ascii="Arial" w:cs="Arial" w:eastAsia="Arial" w:hAnsi="Arial"/>
          <w:sz w:val="17"/>
          <w:szCs w:val="17"/>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core inhibitors of HBV with the goal of identifying a development candidate in 2017.</w:t>
      </w:r>
    </w:p>
    <w:p>
      <w:pPr>
        <w:spacing w:after="0" w:line="171"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We have concluded our proof-of-concept study of EDP-494, our cyclophilin inhibitor candidate, in patients with HCV genotypes 1 or 3. Given the high SVR rates in most of the underserved HCV populations demonstrated in Phase 3 studies of treatment with G/P in our partnered HCV program, we believe that G/P has the best and most timely potential for us to participate in the treatment of those HCV patients who have failed on other treatment regimens. Therefore, we decided to stop further development of EDP-494 and to focus our efforts on our other wholly-owned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Product/Candidate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our Collaborative Development and License Agreement with AbbVie, we have developed and licensed to AbbVie:</w:t>
      </w:r>
    </w:p>
    <w:p>
      <w:pPr>
        <w:spacing w:after="0" w:line="127" w:lineRule="exact"/>
        <w:rPr>
          <w:sz w:val="20"/>
          <w:szCs w:val="20"/>
          <w:color w:val="auto"/>
        </w:rPr>
      </w:pPr>
    </w:p>
    <w:p>
      <w:pPr>
        <w:ind w:left="1040" w:right="120" w:hanging="519"/>
        <w:spacing w:after="0" w:line="238"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VIEKIRA PAK</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AbbVie’s other HCV treatment regimens currently marketed in the U.S., E.U., Japan and other countries around the world. First approved and sold in the U.S. in December 2014 for treatment of genotype 1, or GT-1, HCV, AbbVie’s HCV regimens containing paritaprevir are now also approved for GT-4 HCV and are available in most major markets. AbbVie’s net sales of these regimens provided us $57.7 million in royalty revenue in our 2016 fiscal year. We have also received a total of $155.0 million in milestone payments through December 31, 2016 upon the commercialization regulatory approvals of a paritaprevir-containing regimen in major markets.</w:t>
      </w:r>
    </w:p>
    <w:p>
      <w:pPr>
        <w:spacing w:after="0" w:line="98"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Glecaprevir (ABT-493):</w:t>
      </w:r>
      <w:r>
        <w:rPr>
          <w:rFonts w:ascii="Arial" w:cs="Arial" w:eastAsia="Arial" w:hAnsi="Arial"/>
          <w:sz w:val="18"/>
          <w:szCs w:val="18"/>
          <w:color w:val="auto"/>
        </w:rPr>
        <w:t xml:space="preserve"> Our second protease inhibitor, glecaprevir, is being developed by AbbVie with its second NS5A inhibitor, pibrentasvir (ABT-530), as AbbVie’s next treatment regimen for HCV. This combination, which is currently referred to as G/P, is a once daily, all oral, fixed-dose treatment for HCV genotypes 1-6, which is referred to as being pan-genotypic.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left="506" w:right="120" w:hanging="506"/>
        <w:spacing w:after="0" w:line="300" w:lineRule="auto"/>
        <w:tabs>
          <w:tab w:leader="none" w:pos="506" w:val="left"/>
        </w:tabs>
        <w:numPr>
          <w:ilvl w:val="0"/>
          <w:numId w:val="18"/>
        </w:numPr>
        <w:rPr>
          <w:rFonts w:ascii="Courier New" w:cs="Courier New" w:eastAsia="Courier New" w:hAnsi="Courier New"/>
          <w:sz w:val="16"/>
          <w:szCs w:val="16"/>
          <w:color w:val="auto"/>
        </w:rPr>
      </w:pPr>
      <w:r>
        <w:rPr>
          <w:rFonts w:ascii="Arial" w:cs="Arial" w:eastAsia="Arial" w:hAnsi="Arial"/>
          <w:sz w:val="16"/>
          <w:szCs w:val="16"/>
          <w:color w:val="auto"/>
        </w:rPr>
        <w:t>In December 2016, AbbVie filed a New Drug Application, or NDA, with the FDA for the G/P combination, which has Breakthrough Therapy designation. In addition, in January 2017 AbbVie announced that the European Medicines Agency had validated AbbVie’s marketing authorization application, or MAA, for G/P in the European Union and is reviewing it under accelerated assessment.</w:t>
      </w:r>
    </w:p>
    <w:p>
      <w:pPr>
        <w:spacing w:after="0" w:line="48" w:lineRule="exact"/>
        <w:rPr>
          <w:rFonts w:ascii="Courier New" w:cs="Courier New" w:eastAsia="Courier New" w:hAnsi="Courier New"/>
          <w:sz w:val="16"/>
          <w:szCs w:val="16"/>
          <w:color w:val="auto"/>
        </w:rPr>
      </w:pPr>
    </w:p>
    <w:p>
      <w:pPr>
        <w:ind w:left="506" w:right="260" w:hanging="506"/>
        <w:spacing w:after="0" w:line="264" w:lineRule="auto"/>
        <w:tabs>
          <w:tab w:leader="none" w:pos="506"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In November 2016, AbbVie announced results from several Phase 3 studies of this investigational combination demonstrating 97.5 percent of chronic HCV infected patients without cirrhosis and new to treatment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just 8 weeks of G/P treatment.</w:t>
      </w:r>
    </w:p>
    <w:p>
      <w:pPr>
        <w:spacing w:after="0" w:line="55" w:lineRule="exact"/>
        <w:rPr>
          <w:rFonts w:ascii="Courier New" w:cs="Courier New" w:eastAsia="Courier New" w:hAnsi="Courier New"/>
          <w:sz w:val="18"/>
          <w:szCs w:val="18"/>
          <w:color w:val="auto"/>
        </w:rPr>
      </w:pPr>
    </w:p>
    <w:p>
      <w:pPr>
        <w:ind w:left="506" w:right="20" w:hanging="506"/>
        <w:spacing w:after="0" w:line="289" w:lineRule="auto"/>
        <w:tabs>
          <w:tab w:leader="none" w:pos="506"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AbbVie also announced results of its EXPEDITION-4 study in chronic HCV patients with chronic kidney disease (CKD), in which 98 percent of patients (n=102/104) across all major genotypes (GT-1-6) achieved SVR12 with 12 weeks of treatment with G/P.</w:t>
      </w:r>
    </w:p>
    <w:p>
      <w:pPr>
        <w:spacing w:after="0" w:line="51" w:lineRule="exact"/>
        <w:rPr>
          <w:rFonts w:ascii="Courier New" w:cs="Courier New" w:eastAsia="Courier New" w:hAnsi="Courier New"/>
          <w:sz w:val="17"/>
          <w:szCs w:val="17"/>
          <w:color w:val="auto"/>
        </w:rPr>
      </w:pPr>
    </w:p>
    <w:p>
      <w:pPr>
        <w:ind w:left="506" w:hanging="506"/>
        <w:spacing w:after="0" w:line="323" w:lineRule="auto"/>
        <w:tabs>
          <w:tab w:leader="none" w:pos="506" w:val="left"/>
        </w:tabs>
        <w:numPr>
          <w:ilvl w:val="0"/>
          <w:numId w:val="18"/>
        </w:numPr>
        <w:rPr>
          <w:rFonts w:ascii="Courier New" w:cs="Courier New" w:eastAsia="Courier New" w:hAnsi="Courier New"/>
          <w:sz w:val="16"/>
          <w:szCs w:val="16"/>
          <w:color w:val="auto"/>
        </w:rPr>
      </w:pPr>
      <w:r>
        <w:rPr>
          <w:rFonts w:ascii="Arial" w:cs="Arial" w:eastAsia="Arial" w:hAnsi="Arial"/>
          <w:sz w:val="16"/>
          <w:szCs w:val="16"/>
          <w:color w:val="auto"/>
        </w:rPr>
        <w:t>Upon commercialization regulatory approval of G/P in major markets, Enanta would be eligible for up to $80.0 million dollars in milestone payments, as well as annually tiered, double-digit, per-product royalties on 50% of the net sales of this 2-DAA combination.</w:t>
      </w:r>
    </w:p>
    <w:p>
      <w:pPr>
        <w:spacing w:after="0" w:line="134" w:lineRule="exact"/>
        <w:rPr>
          <w:sz w:val="20"/>
          <w:szCs w:val="20"/>
          <w:color w:val="auto"/>
        </w:rPr>
      </w:pPr>
    </w:p>
    <w:p>
      <w:pPr>
        <w:ind w:left="458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6"/>
          </w:cols>
          <w:pgMar w:left="1274" w:top="449" w:right="4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4648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65850"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continuing collaboration agreement with AbbVie. In addition, from September 2011 through August 2015, we had a contract with the National Institute of Allergy and Infectious Diseases, or NIAID, which funded the preclinical and early clinical development of an antibiotic product candidate for potential use in biodefense.</w:t>
      </w:r>
    </w:p>
    <w:p>
      <w:pPr>
        <w:spacing w:after="0" w:line="18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the first quarter of fiscal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 following table is a summary of revenue recognized from our collaboration agreement and our government contract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10,417</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17,869</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NIAID contract: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10,417</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Since all of our research obligations under the AbbVie agreement were concluded by June 30, 2011, all milestone payments received since then have been recognized as revenue upon achievement of each milestone by AbbVie. During the three months ended December 31, 2015, we earned and recognized as revenue the last milestone payment for paritaprevir, which was a $30.0 million milestone payment upon AbbVie’s achievement of commercialization regulatory approval of a paritaprevir-containing regimen in Japan. We did not earn any milestones during the same period in 2016. Our royalty revenue under the AbbVie agreement has declined year over year due to lower sales as a result of increased competition from other HCV products on the market. Under the terms of the AbbVie agreement, we are eligible to receive additional future milestone payments from AbbVie totaling up to $80.0 million related to the successful commercialization regulatory approvals of G/P in major markets.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receive annually tiered, double-digit royalties per product on AbbVie’s net sales allocable to any one of our collaboration’s protease inhibitors. Under the terms of our agreement, as amended in October 2014, 30% of net sales of 3-DAA regimens containing paritaprevir and 45% of net sales of 2-DAA regimens containing paritaprevir are allocated to paritaprevir for purposes of calculating our annually tiered royalties. If G/P, a 2-DAA combination, is approved, we would receive royalties on 50% of its net sales. Beginning with each January 1, the cumulative net sales of a given royalty-bearing product start at zero for purposes of calculating the tiered royalties.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December 31, 2016 and 2015:</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0"/>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4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17,463</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62" w:lineRule="exact"/>
        <w:rPr>
          <w:sz w:val="20"/>
          <w:szCs w:val="20"/>
          <w:color w:val="auto"/>
        </w:rPr>
      </w:pPr>
    </w:p>
    <w:p>
      <w:pPr>
        <w:ind w:left="1040" w:right="9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 We expect that our research and development expenses will continue to increase in the future as we advance our NASH,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of interest expense related to our capital lease obligation.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We record the changes in the fair value of the warrants and Series 1 nonconvertible preferred stock as a component of other income (expense), net.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tax (expense) benefit is based on our best estimate of applicable income tax rates for the entire fiscal year applied to pre-tax profit or loss reported for the year to 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2016 (referred to as our 2016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of warrants and related preferred stock.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2016. For further information, please see the discussion of critical accounting policies included in our 2016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tcPr>
          <w:p>
            <w:pPr>
              <w:jc w:val="center"/>
              <w:ind w:left="37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215"/>
        </w:trPr>
        <w:tc>
          <w:tcPr>
            <w:tcW w:w="1720" w:type="dxa"/>
            <w:vAlign w:val="bottom"/>
          </w:tcPr>
          <w:p>
            <w:pPr>
              <w:spacing w:after="0"/>
              <w:rPr>
                <w:sz w:val="18"/>
                <w:szCs w:val="18"/>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warrant liability and Series 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5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nonconvertible preferred stock, net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(9,734)</w:t>
            </w:r>
          </w:p>
        </w:tc>
      </w:tr>
      <w:tr>
        <w:trPr>
          <w:trHeight w:val="580"/>
        </w:trPr>
        <w:tc>
          <w:tcPr>
            <w:tcW w:w="7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7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17,869</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NIAID contract: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48,445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recognized revenue of $10.4 million during the three months ended December 31, 2016 as compared to $48.4 million during the three months ended December 31, 2015. During the three months ended December 31, 2016, revenue consisted of royalties on the portion of AbbVie’s net sales of its HCV treatment regimens allocable to paritaprevir. During the three months ended December 31, 2015, revenue consisted of a $30.0 million milestone earned upon AbbVie’s achievement of commercialization regulatory approval of a paritaprevir-containing regimen in Japan, royalties on the portion of AbbVie’s net sales of its HCV treatment regimen allocable to paritaprevir, and $0.6 million of revenue earned under our contract with NIAID.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6,524</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4,348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12,526</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Research and development expenses increased $3.5 million for the three months ended December 31, 2016 as compared to the same period in 2015. The increase was primarily due to progression of preclinical and clinical activities in our virology and liver disease programs. Increases were driven by an increase in headcount to support our preclinical activities, expansion of our research facility and an increase in external costs for clinical and preclinical activities.</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$1.1 million for the three months ended December 31, 2016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2015. The increase was primarily due to an increase in stock-based compensation expense of $1.0 million due to additional stock option grants to employees and achievement of milestones under existing performance-based restricted stock unit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The increase in interest income for the three months ended December 31, 2016 as compared to the same period in 2015 was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investment balances for the period ended December 31, 2016 as compared to the same period in 2015.</w:t>
      </w:r>
    </w:p>
    <w:p>
      <w:pPr>
        <w:spacing w:after="0" w:line="17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The expense recorded during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was due to an increase in the fair value of the warrant liability and Series 1 nonconvertible preferred stock as a result of the remeasurement of these instruments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For the three months ended December 31, 2016 and 2015, we recorded an income tax (expense) benefit of $1.5 million and</w:t>
      </w:r>
    </w:p>
    <w:p>
      <w:pPr>
        <w:spacing w:after="0" w:line="4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($9.7) million, respectively. For the three months ended December 31, 2016, we recorded an income tax benefit due to the Company’s net loss before tax for the quarter as well as federal research and development tax credits which reduce taxes payable and are reflected in the Company’s annual effective tax rate. Our estimated annual effective tax rate of 23.6% for the three months ended December 31, 2016 differs from our statutory rate of 35.0% due to federal research and development tax credits which reduce taxes payable and are reflected in the Company’s annual effective tax rate. For the three months ended December 31, 2015, our estimated annual effective tax rate of 27.1% also differed from the statutory rate of 35.0% primarily due to the effect of federal research and development tax credits.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2016, our principal sources of liquidity were cash, cash equivalents and short-term and long-term marketable securities totaling $244.4 million.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From our inception through December 31, 2016, we have financed our operations primarily through contract payments under our collaborations, government research and development contracts and grants, and the net proceeds from our initial public offering of our equity. The following table shows a summary of our cash flows for the three months ended December 31, 2016 and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8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17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68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248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3,145</w:t>
            </w:r>
          </w:p>
        </w:tc>
        <w:tc>
          <w:tcPr>
            <w:tcW w:w="1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29,993</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activities</w:t>
            </w:r>
          </w:p>
        </w:tc>
        <w:tc>
          <w:tcPr>
            <w:tcW w:w="2480" w:type="dxa"/>
            <w:vAlign w:val="bottom"/>
            <w:gridSpan w:val="2"/>
            <w:shd w:val="clear" w:color="auto" w:fill="CFF0FC"/>
          </w:tcPr>
          <w:p>
            <w:pPr>
              <w:jc w:val="right"/>
              <w:ind w:right="54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(5,632)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680" w:type="dxa"/>
            <w:vAlign w:val="bottom"/>
          </w:tcPr>
          <w:p>
            <w:pPr>
              <w:ind w:left="500"/>
              <w:spacing w:after="0"/>
              <w:rPr>
                <w:sz w:val="20"/>
                <w:szCs w:val="20"/>
                <w:color w:val="auto"/>
              </w:rPr>
            </w:pPr>
            <w:r>
              <w:rPr>
                <w:rFonts w:ascii="Arial" w:cs="Arial" w:eastAsia="Arial" w:hAnsi="Arial"/>
                <w:sz w:val="18"/>
                <w:szCs w:val="18"/>
                <w:color w:val="auto"/>
              </w:rPr>
              <w:t>Financing activities</w:t>
            </w:r>
          </w:p>
        </w:tc>
        <w:tc>
          <w:tcPr>
            <w:tcW w:w="248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3"/>
              </w:rPr>
              <w:t>Net increase in cash and cash equivalents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4,041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60" w:type="dxa"/>
            <w:vAlign w:val="bottom"/>
            <w:vMerge w:val="restart"/>
          </w:tcPr>
          <w:p>
            <w:pPr>
              <w:jc w:val="right"/>
              <w:ind w:right="1270"/>
              <w:spacing w:after="0"/>
              <w:rPr>
                <w:sz w:val="20"/>
                <w:szCs w:val="20"/>
                <w:color w:val="auto"/>
              </w:rPr>
            </w:pPr>
            <w:r>
              <w:rPr>
                <w:rFonts w:ascii="Arial" w:cs="Arial" w:eastAsia="Arial" w:hAnsi="Arial"/>
                <w:sz w:val="18"/>
                <w:szCs w:val="18"/>
                <w:color w:val="auto"/>
              </w:rPr>
              <w:t>23</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decrease in cash provided by operating activities of $26.8 million for the three months ended December 31, 2016 as compared to the same period in 2015 is driven primarily by the absence in 2016 of the $30.0 million milestone payment we received from AbbVie in the 2015 period. In addition, we increased cash spending on research and development, which was reflected in our net income, during the three months ended December 31, 2016 compared to the same period in 2015 in order to progress clinical development and preclinical research in our proprietary programs. These decreases to our operating income were partially offset by a decrease in net tax payments (refunds received) as reflected in our income tax expense, based on lower projected income before income tax in the current year compared to the same period in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increase in cash provided by investing activities of $6.5 million for the three months ended December 31, 2016 as compared to the same period in 2015 was driven by timing of purchases and maturities of marketable securities. These increases to cash provided by investing activities were partially offset by a $1.2 million decrease in capital asset outlay due to the expansion of our research facility which occurred and was completed in fiscal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decrease in net cash provided by financing activities of $0.1 million for the three months ended December 31, 2016 as compared to the same period in 2015 was driven by a decrease in exercises of stock options.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2016, we had $244.4 million in cash, cash equivalents and short-term and long-term marketable securities. We believe that our existing cash, cash equivalents and marketable securities as of December 31, 2016,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significant royalties,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royalties on paritaprevir and glecaprevir, if any, and any sales of our product candidates, if any, or royalties thereon;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our 2016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three months ended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had cash, cash equivalents and short-term and long-term marketable securities of $244.4 million at December 31, 2016 consisting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Other than our capital lease obligation, we had no debt outstanding as of December 31, 2016.</w:t>
      </w: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our protease inhibitors paritaprevir or glecaprevir (ABT-493) for the treatment of HCV. AbbVie may act in its best interest rather than in our best interest, which could adversely affect our business.</w:t>
      </w:r>
    </w:p>
    <w:p>
      <w:pPr>
        <w:spacing w:after="0" w:line="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rely on AbbVie to fund and conduct the clinical development and commercialization of regimens containing paritaprevir or glecaprevir (ABT-493) (our second protease inhibitor, currently under regulatory review in the U.S. and the E.U.), over which AbbVie has complete control. Our ability to generate significant revenue in the near term will depend primarily on the success of AbbVie’s continued efforts to commercialize its paritaprevir-containing regimens in markets worldwide, as well as the successful regulatory approval, marketing and commercialization by AbbVie of its investigational combination therapy incorporating glecaprevir. Such successes are subject to significant uncertainty, and we have no control over the resources, time and effort that AbbVie may devote to its regimens containing paritaprevir or glecaprevir. Any of several events or factors could have a material adverse effect on our ability to generate revenue from AbbVie’s commercialization of paritaprevir or potentially glecaprevir in combination therapies. For example, AbbVie:</w:t>
      </w:r>
    </w:p>
    <w:p>
      <w:pPr>
        <w:spacing w:after="0" w:line="59" w:lineRule="exact"/>
        <w:rPr>
          <w:sz w:val="20"/>
          <w:szCs w:val="20"/>
          <w:color w:val="auto"/>
        </w:rPr>
      </w:pPr>
    </w:p>
    <w:p>
      <w:pPr>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inhibitors in the various markets of the world where these therapies are being introduced and sold by AbbVie;</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combination therapies against other products and therapies for HCV, especially as new therapies are introduced into the market over the next few years;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experience different competitive challenges and market opportunity for its paritaprevir-containing regimens as it approaches potential approval and launch of its HCV combination containing glecaprevir;</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glecaprevir;</w:t>
      </w:r>
    </w:p>
    <w:p>
      <w:pPr>
        <w:spacing w:after="0" w:line="62"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not commit sufficient resources to the regulatory approval of regimens containing glecaprevir or to the marketing and distribution of regimens containing paritaprevir or glecaprevir, whether for competitive or strategic reasons or otherwise due to a change in business priorities;</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glecaprevir in the treatment of HCV.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6" w:name="page27"/>
    <w:bookmarkEnd w:id="26"/>
    <w:p>
      <w:pPr>
        <w:ind w:right="20"/>
        <w:spacing w:after="0" w:line="290" w:lineRule="auto"/>
        <w:rPr>
          <w:sz w:val="20"/>
          <w:szCs w:val="20"/>
          <w:color w:val="auto"/>
        </w:rPr>
      </w:pPr>
      <w:r>
        <w:rPr>
          <w:rFonts w:ascii="Arial" w:cs="Arial" w:eastAsia="Arial" w:hAnsi="Arial"/>
          <w:sz w:val="16"/>
          <w:szCs w:val="16"/>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regulatory approval and commercialization efforts related to glecaprevir could be delayed or terminated or be commercially unsuccessful. In addition, AbbVie has the right to make decisions regarding the development and commercialization of product candidates without consulting us, and may make decisions with which we do not agree. If AbbVie acts in a manner that is not in our best interest, then it could adversely affect our business and prospects.</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maintain current levels of sales of these regimens, our royalty revenues and results of operations would be adversely affected.</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quarterly royalty revenue from AbbVie’s net sales of HCV treatment regimens containing paritaprevir has declined since those sales peaked in the first quarter of our fiscal 2016. While commercialization of these regimens is exclusively in AbbVie’s control without any input from us, we believe it is possible that prices will decline further due to payers obtaining additional discounts, a shift in AbbVie’s payer mix toward more deeply discounted segments, particularly outside of the United States, and a decline in AbbVie’s market share due to increased competition.</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healthcare expenditures. AbbVie may experience global pricing pressure for its HCV regimens from such measures. Also, private and public payers may choose to exclude AbbVie’s regimens from their formulary coverage lists or limit the types of patients for whom coverage will be provided, which would negatively affect the demand for such regimens and our royalty revenues from them.</w:t>
      </w:r>
    </w:p>
    <w:p>
      <w:pPr>
        <w:spacing w:after="0" w:line="2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HBV and RSV, as well as other liver diseases and viral infections, which may result in others discovering, developing or commercializing products before we do or doing so more successfully than we or our collaborators.</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HBV, RSV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7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expect AbbVie’s HCV treatment regimens containing any of our licensed protease inhibitors to face intense and increasing competition as new products continue to enter the HCV market. AbbVie’s HCV treatment regimens currently face competition in various world markets and subpopulations of HCV from Gilead’s Sovaldi</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(sofosbuvir), Harvoni</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 fixed-dose combination of sofosbuvir and ledipasvir) and Epclusa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 fixed dose combination of sofosbuvir and velpatasvir), Bristol-Myers Squibb’s Daclinza™ (daclatasvir) and daclatasvir in combination with asunaprevir, Johnson &amp; Johnson’s Olysio™ (simeprevir), and Merck’s Zepatier™ (a fixed-dose combination of grazoprevir and elbasvir). Other all-oral treatment regimens are under development at Merck, Gilead and Johnson &amp; Johnson and may obtain regulatory approvals for the treatment of HCV in the next one to three years. These other potential new treatment regimens may render AbbVie’s approved treatment regimens or its next combination regimen currently under regulatory review in the U.S. and the E.U., each of which contains one of our HCV protease inhibitors, noncompetitive or less competitive. In addition, AbbVie’s regimens may not be able to compete successfully with earlier stage products and regimens still under active development that involve multiple classes of inhibitors of HCV, including protease inhibitors, polymerase inhibitors (nucleoside and non-nucleoside), NS5A inhibitors, and others mechanisms. These potential regimens are under development by companies such as Co-Crystal Pharma, Microbio Co., Regulus, Roche, Taigen and Trek.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ind w:right="8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AbbVie, obsolete or noncompetitive. Even if successfully developed and subsequently approved by the FDA, AbbVie’s regimens that contain one of our collaboration’s protease inhibitors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expect our other product candidates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Genfit and Tobira (Allergan). In May 2016, the FDA approved Intercept’s FXR agonist (brand name Ocaliva™) for the treatment of primary biliary cholangitis (PBC). In addition, a number of companies are in Phase 2 clinical trials for NASH or related conditions. These companies include Alberio, Arisaph, Astra-Zeneca, BMS, Cempra, Conatus, Galectin, Galmed, Gilead, GlaxoSmithKline, Immuron, Medicinova, Novartis, NGM Novo Nordisk, Oceta, and Shire. A significant number of other companies are conducting earlier clinical trials that may be applicable in NASH and other cholestatic diseases, including Bird Rock Bio, Boehringer Ingelheim, Can-Fite Biopharma, Cymabay, Durect, Genkyotex, Ionis, Islet and Viking, and there are additional companies conducting preclinical studies in these disease areas.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Ionis, Maxwell, Replicor, Roche and Spring Bank have Phase 2 programs in progress, and a number of companies have Phase 1 or earlier stage HBV programs, including Aicuris, Alnylam, Atlimmune, Arbutus, Assembly, Enyo, Johnson &amp; Johnson, Transgene, Ionis, Spring Bank and Replicor.</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new antiviral treatments for RSV infection in adult and pediatric settings. Aviragen (formerly Biota), Johnson &amp; Johnson and Gilead each have compounds in Phase 2 development, as does Ablynx with a potential therapeutic antibody. Earlier stage, small molecule programs have also been reported by Ark Biosciences, Medivir, Pulmocide, and ReViral. A prophylactic, monoclonal-antibody-based treatment from MedImmune, which is commercialized by AbbVie outside of the U.S., is approved for infants considered at high risk for RSV infection; however studies have found that most young children affected by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AbbVie has been and will continue to be responsible for all of the clinical development of our paritaprevir and glecaprevir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HBV and RSV programs, we will need to successfully:</w:t>
      </w:r>
    </w:p>
    <w:p>
      <w:pPr>
        <w:spacing w:after="0" w:line="63" w:lineRule="exact"/>
        <w:rPr>
          <w:sz w:val="20"/>
          <w:szCs w:val="20"/>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glecaprevir and EDP-305, our ability to expand our business and achieve our strategic objectives will be impaired.</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301"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To date, our principal sources of revenue have been our collaboration agreements, including our current agreement with AbbVie.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2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each of our 2016, 2015 and 2014 fiscal years our net income resulted primarily from license payments, including milestone payments we earned from AbbVie and royalties we earned since December 2014 on AbbVie’s net sales allocated to paritaprevir. There is no assurance, however, that we will report net income in subsequent years. To date, we have not commercialized any products ourselves.</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paritaprevir are uncertain given the competitive nature of the market for HCV therapies, the emergence of new, and in some cases, not yet approved, therapies for HCV, the changing nature of payer contracts of AbbVie and others, and the varying rates of reimbursement in different countries. Future milestone payments are uncertain because AbbVie may not achieve regulatory approvals of G/P or may choose not to continue its commercialization activities for that combination.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glecaprevir, that product candidate may not be approved by the FDA or other regulatory authorities or, if glecaprevir is approved, the combination containing it may not be accepted in the market. If we are unable to develop and commercialize any more of our product candidates, either alone or with a collaborator, or if any such product candidate does not achieve market acceptance, we may never generate sufficient product royalties or product sales. In addition, for any of our product candidates other than paritaprevir or glecaprevir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30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may require substantial additional financing in the longer term to achieve our goals if the further commercialization of paritaprevir is curtailed or if any regulatory approval or commercialization of glecaprevir is delayed, terminated or is not successful. A failure to obtain this necessary capital when needed could force us to delay, limit, reduce or terminate some or all of our product development efforts.</w:t>
      </w:r>
    </w:p>
    <w:p>
      <w:pPr>
        <w:spacing w:after="0" w:line="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glecaprevir.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0" w:name="page31"/>
    <w:bookmarkEnd w:id="30"/>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level of future sales of paritaprevir-containing regimens and the resulting levels of annually tiered royalties on paritaprevir, as well as the level of potential sales, if any, of the combination containing glecaprevir and the levels of its annually tiered royalties.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Phase 2 clinical trials. Any future clinical trials of our other product candidates may fail to demonstrate sufficient safety and efficacy. 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2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HBV, HCV, NASH or RSV;</w:t>
      </w:r>
    </w:p>
    <w:p>
      <w:pPr>
        <w:spacing w:after="0" w:line="62" w:lineRule="exact"/>
        <w:rPr>
          <w:rFonts w:ascii="Arial" w:cs="Arial" w:eastAsia="Arial" w:hAnsi="Arial"/>
          <w:sz w:val="18"/>
          <w:szCs w:val="18"/>
          <w:color w:val="auto"/>
        </w:rPr>
      </w:pPr>
    </w:p>
    <w:p>
      <w:pPr>
        <w:ind w:left="1040" w:right="28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results of any Phase 3 clinical trial may not be adequate to support marketing approval for AbbVie’s combination regimen containing glecaprevir. In addition, if the FDA or the EMA disagrees with AbbVie’s choice of the key testing criteria, or primary endpoint, or the results for the primary endpoint are subject to confounding factors, the FDA or the EMA, or both, may refuse to approve AbbVie’s G/P combination regimen. The FDA or the EMA also may require additional clinical trials as a condition for approving any of these product candidates. AbbVie anticipates that the NDA for G/P could be approved by the FDA or the EMA in 2017.</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EDP-305 or any other product candidate emerging from our current NASH, HBV and RSV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6"/>
          <w:szCs w:val="26"/>
          <w:color w:val="auto"/>
          <w:vertAlign w:val="superscript"/>
        </w:rPr>
        <w:t>®</w:t>
      </w:r>
      <w:r>
        <w:rPr>
          <w:rFonts w:ascii="Arial" w:cs="Arial" w:eastAsia="Arial" w:hAnsi="Arial"/>
          <w:sz w:val="18"/>
          <w:szCs w:val="18"/>
          <w:color w:val="auto"/>
        </w:rPr>
        <w:t>, approved in May 2016 for PBC, and an older drug not commonly used but approved to treat cholesterol gallstone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20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or AbbVie in the case of glecaprevir,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results of preclinical studies and early clinical trials of our product candidates, whether glecaprevir, EDP-305 or any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73"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and is responsible for obtaining regulatory approvals for glecaprevir.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right="8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2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40" w:hanging="519"/>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38" w:lineRule="exact"/>
        <w:rPr>
          <w:rFonts w:ascii="Arial" w:cs="Arial" w:eastAsia="Arial" w:hAnsi="Arial"/>
          <w:sz w:val="17"/>
          <w:szCs w:val="17"/>
          <w:color w:val="auto"/>
        </w:rPr>
      </w:pPr>
    </w:p>
    <w:p>
      <w:pPr>
        <w:ind w:left="1040" w:right="4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or in the case of glecaprevir, AbbVie, may delay or terminate the development of a product candidate at any time if we, or in the case of glecaprevir, AbbVie, believe the perceived market or commercial opportunity does not justify further investment, which could materially harm our business and adversely affect our stock price.</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in the case of glecaprevir, AbbVie,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development and commercialization of paritaprevir and glecaprevir without consulting us, and may make decisions with which we do not agree.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glecaprevir in its investigational HCV treatment regimen, or even if we are able to commercialize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will continue to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19 that have rejected the expansion of Medicaid eligibility for low income citizens, and some members of the</w:t>
      </w:r>
    </w:p>
    <w:p>
      <w:pPr>
        <w:spacing w:after="0" w:line="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U.S. Congress are still working to repeal the ACA.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or AbbVie. AbbVie or our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only for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6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developed under our collaboration with AbbVie. The implementation of cost containment measures or other healthcare reforms may limit our ability to generate revenue, maintain profitability or commercialize our product candidates.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glecaprevir, as well as similar market acceptance of any other product candidates we plan to develop independently or in collaboration with others.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Paritaprevir, glecaprevir, as well as EDP-305,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80" w:lineRule="exact"/>
        <w:rPr>
          <w:sz w:val="20"/>
          <w:szCs w:val="20"/>
          <w:color w:val="auto"/>
        </w:rPr>
      </w:pPr>
    </w:p>
    <w:p>
      <w:pPr>
        <w:ind w:left="1040" w:right="38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or any collaborator’s sales and marketing efforts.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our lead product candidates paritaprevir and glecaprevir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8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right="120"/>
        <w:spacing w:after="0" w:line="259" w:lineRule="auto"/>
        <w:rPr>
          <w:sz w:val="20"/>
          <w:szCs w:val="20"/>
          <w:color w:val="auto"/>
        </w:rPr>
      </w:pPr>
      <w:r>
        <w:rPr>
          <w:rFonts w:ascii="Arial" w:cs="Arial" w:eastAsia="Arial" w:hAnsi="Arial"/>
          <w:sz w:val="18"/>
          <w:szCs w:val="18"/>
          <w:color w:val="auto"/>
        </w:rPr>
        <w:t>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60"/>
        <w:spacing w:after="0" w:line="270" w:lineRule="auto"/>
        <w:rPr>
          <w:sz w:val="20"/>
          <w:szCs w:val="20"/>
          <w:color w:val="auto"/>
        </w:rPr>
      </w:pPr>
      <w:r>
        <w:rPr>
          <w:rFonts w:ascii="Arial" w:cs="Arial" w:eastAsia="Arial" w:hAnsi="Arial"/>
          <w:sz w:val="17"/>
          <w:szCs w:val="17"/>
          <w:color w:val="auto"/>
        </w:rPr>
        <w:t>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3" w:name="page44"/>
    <w:bookmarkEnd w:id="43"/>
    <w:p>
      <w:pPr>
        <w:ind w:right="8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73"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18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63"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right="240" w:hanging="519"/>
        <w:spacing w:after="0" w:line="279"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63" w:lineRule="exact"/>
        <w:rPr>
          <w:rFonts w:ascii="Arial" w:cs="Arial" w:eastAsia="Arial" w:hAnsi="Arial"/>
          <w:sz w:val="17"/>
          <w:szCs w:val="17"/>
          <w:color w:val="auto"/>
        </w:rPr>
      </w:pPr>
    </w:p>
    <w:p>
      <w:pPr>
        <w:ind w:left="1040" w:right="86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0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38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right="40"/>
        <w:spacing w:after="0" w:line="272" w:lineRule="auto"/>
        <w:rPr>
          <w:sz w:val="20"/>
          <w:szCs w:val="20"/>
          <w:color w:val="auto"/>
        </w:rPr>
      </w:pPr>
      <w:r>
        <w:rPr>
          <w:rFonts w:ascii="Arial" w:cs="Arial" w:eastAsia="Arial" w:hAnsi="Arial"/>
          <w:sz w:val="17"/>
          <w:szCs w:val="17"/>
          <w:color w:val="auto"/>
        </w:rPr>
        <w:t>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spacing w:after="0" w:line="276" w:lineRule="auto"/>
        <w:rPr>
          <w:sz w:val="20"/>
          <w:szCs w:val="20"/>
          <w:color w:val="auto"/>
        </w:rPr>
      </w:pPr>
      <w:r>
        <w:rPr>
          <w:rFonts w:ascii="Arial" w:cs="Arial" w:eastAsia="Arial" w:hAnsi="Arial"/>
          <w:sz w:val="17"/>
          <w:szCs w:val="17"/>
          <w:color w:val="auto"/>
        </w:rPr>
        <w:t>our clinical studies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2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40" w:hanging="519"/>
        <w:spacing w:after="0" w:line="28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2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60" w:hanging="519"/>
        <w:spacing w:after="0" w:line="308"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8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60" w:hanging="519"/>
        <w:spacing w:after="0" w:line="276"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50" w:lineRule="exact"/>
        <w:rPr>
          <w:sz w:val="20"/>
          <w:szCs w:val="20"/>
          <w:color w:val="auto"/>
        </w:rPr>
      </w:pPr>
    </w:p>
    <w:p>
      <w:pPr>
        <w:ind w:left="1040" w:right="760" w:hanging="519"/>
        <w:spacing w:after="0" w:line="308"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actions by AbbVie regarding HCV treatment regimens containing paritaprevir or the G/P combination containing glecaprevir that it is developing, including announcements regarding clinical, regulatory or commercial developments or our collaboration;</w:t>
      </w:r>
    </w:p>
    <w:p>
      <w:pPr>
        <w:spacing w:after="0" w:line="38" w:lineRule="exact"/>
        <w:rPr>
          <w:rFonts w:ascii="Arial" w:cs="Arial" w:eastAsia="Arial" w:hAnsi="Arial"/>
          <w:sz w:val="17"/>
          <w:szCs w:val="17"/>
          <w:color w:val="auto"/>
        </w:rPr>
      </w:pPr>
    </w:p>
    <w:p>
      <w:pPr>
        <w:ind w:left="1040" w:right="6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G/P combination, if approved, to achieve commercial success;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collaborator’s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named executive officers are parties to employment agreements that provide for aggregate cash payments of up to approximately $4.1 million for severance and other non-equity-based benefits in the event of a termination of employment in connection with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8" w:name="page49"/>
    <w:bookmarkEnd w:id="48"/>
    <w:p>
      <w:pPr>
        <w:ind w:right="60"/>
        <w:spacing w:after="0" w:line="257" w:lineRule="auto"/>
        <w:rPr>
          <w:sz w:val="20"/>
          <w:szCs w:val="20"/>
          <w:color w:val="auto"/>
        </w:rPr>
      </w:pPr>
      <w:r>
        <w:rPr>
          <w:rFonts w:ascii="Arial" w:cs="Arial" w:eastAsia="Arial" w:hAnsi="Arial"/>
          <w:sz w:val="18"/>
          <w:szCs w:val="18"/>
          <w:color w:val="auto"/>
        </w:rPr>
        <w:t>change of control of our company. In addition, based on the December 31, 2016 closing price of our common stock of $33.50 per share, the aggregate intrinsic value of unvested stock options and other equity awards subject to accelerated vesting upon these events was $9.3 million as of December 31, 2016.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Based on the market value of our common stock at March 31, 2016 and the number of shares of our common stock held by non-affiliates, we continued to be an “emerging growth company” for our fiscal 2016.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29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ind w:right="34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2016, we had 19,040,267 outstanding shares of common stock. In addition, at that date 2,373,589 and 209,510 shares of common stock that are subject to outstanding options or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Restated Certificate of Incorporation of Enanta Pharmaceuticals, Inc.</w:t>
            </w:r>
          </w:p>
        </w:tc>
        <w:tc>
          <w:tcPr>
            <w:tcW w:w="0" w:type="dxa"/>
            <w:vAlign w:val="bottom"/>
          </w:tcPr>
          <w:p>
            <w:pPr>
              <w:spacing w:after="0"/>
              <w:rPr>
                <w:sz w:val="1"/>
                <w:szCs w:val="1"/>
                <w:color w:val="auto"/>
              </w:rPr>
            </w:pPr>
          </w:p>
        </w:tc>
      </w:tr>
      <w:tr>
        <w:trPr>
          <w:trHeight w:val="338"/>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Amended and Restated Bylaws of Enanta Pharmaceuticals, Inc.</w:t>
            </w:r>
          </w:p>
        </w:tc>
        <w:tc>
          <w:tcPr>
            <w:tcW w:w="0" w:type="dxa"/>
            <w:vAlign w:val="bottom"/>
          </w:tcPr>
          <w:p>
            <w:pPr>
              <w:spacing w:after="0"/>
              <w:rPr>
                <w:sz w:val="1"/>
                <w:szCs w:val="1"/>
                <w:color w:val="auto"/>
              </w:rPr>
            </w:pPr>
          </w:p>
        </w:tc>
      </w:tr>
      <w:tr>
        <w:trPr>
          <w:trHeight w:val="323"/>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or 15d-14(a) of the Securities Exchange Act of 1934.</w:t>
            </w:r>
          </w:p>
        </w:tc>
        <w:tc>
          <w:tcPr>
            <w:tcW w:w="0" w:type="dxa"/>
            <w:vAlign w:val="bottom"/>
          </w:tcPr>
          <w:p>
            <w:pPr>
              <w:spacing w:after="0"/>
              <w:rPr>
                <w:sz w:val="1"/>
                <w:szCs w:val="1"/>
                <w:color w:val="auto"/>
              </w:rPr>
            </w:pPr>
          </w:p>
        </w:tc>
      </w:tr>
      <w:tr>
        <w:trPr>
          <w:trHeight w:val="323"/>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Rule 13a-14(a) or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15d-14(a) of the Securities Exchange Act of 1934.</w:t>
            </w:r>
          </w:p>
        </w:tc>
        <w:tc>
          <w:tcPr>
            <w:tcW w:w="0" w:type="dxa"/>
            <w:vAlign w:val="bottom"/>
          </w:tcPr>
          <w:p>
            <w:pPr>
              <w:spacing w:after="0"/>
              <w:rPr>
                <w:sz w:val="1"/>
                <w:szCs w:val="1"/>
                <w:color w:val="auto"/>
              </w:rPr>
            </w:pPr>
          </w:p>
        </w:tc>
      </w:tr>
      <w:tr>
        <w:trPr>
          <w:trHeight w:val="323"/>
        </w:trPr>
        <w:tc>
          <w:tcPr>
            <w:tcW w:w="920" w:type="dxa"/>
            <w:vAlign w:val="bottom"/>
          </w:tcPr>
          <w:p>
            <w:pPr>
              <w:jc w:val="right"/>
              <w:ind w:right="414"/>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5"/>
              </w:rPr>
              <w:t>Certification of the Chief Executive Officer and Chief Financial Officer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0"/>
              </w:rPr>
              <w:t>pursuant to 18 U.S.C. Section 1350, as adopted pursuant to Section 906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60" w:hanging="1032"/>
        <w:spacing w:after="0" w:line="286"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of December 31, 2016, formatted in XBRL (eXtensible Business Reporting Language): (i) Consolidated Balance Sheets as of December 31, 2016 and September 30, 2016 of Enanta Pharmaceuticals, Inc., (ii) Consolidated Statements of Operations for the three months ended December 31, 2016 and 2015 of Enanta Pharmaceuticals, Inc., (iii) Consolidated Statements of Comprehensive Income (Loss) for the three months ended December 31, 2016 and 2015 of Enanta Pharmaceuticals, Inc., (iv) Consolidated Statements of Cash Flows for the three months ended December 31, 2016 and 2015 of Enanta Pharmaceuticals, Inc., and (v) Notes to Consolidated Financial Statements of Enanta Pharmaceuticals, Inc.</w:t>
      </w: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20"/>
            <w:col w:w="5000"/>
          </w:cols>
          <w:pgMar w:left="240" w:top="33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040" w:type="dxa"/>
            <w:vAlign w:val="bottom"/>
            <w:gridSpan w:val="2"/>
            <w:vMerge w:val="continue"/>
          </w:tcPr>
          <w:p>
            <w:pPr>
              <w:spacing w:after="0"/>
              <w:rPr>
                <w:sz w:val="10"/>
                <w:szCs w:val="10"/>
                <w:color w:val="auto"/>
              </w:rPr>
            </w:pPr>
          </w:p>
        </w:tc>
        <w:tc>
          <w:tcPr>
            <w:tcW w:w="51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0"/>
                <w:szCs w:val="10"/>
                <w:color w:val="auto"/>
              </w:rPr>
            </w:pP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Exhibit</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100" w:type="dxa"/>
            <w:vAlign w:val="bottom"/>
            <w:vMerge w:val="restart"/>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51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1"/>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5"/>
              </w:rPr>
              <w:t>Restated Certificate of Incorporation of Enanta Pharmaceuticals, Inc.</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w w:val="97"/>
              </w:rPr>
              <w:t>001-35839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Amended and Restated Bylaws of Enanta Pharmaceuticals, Inc.</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w w:val="97"/>
              </w:rPr>
              <w:t>001-35839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or 15d-14(a) of the Securities Exchange Act of 1934.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Certification of Chief Financial Officer pursuant to Rule 13a-14(a) or</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15d-14(a) of the Securities Exchange Act of 1934.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394"/>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and Chief Financial</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w w:val="97"/>
              </w:rPr>
              <w:t>Officer pursuant to 18 U.S.C. Section 1350, as adopted pursuant to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jc w:val="right"/>
              <w:ind w:right="534"/>
              <w:spacing w:after="0"/>
              <w:rPr>
                <w:sz w:val="20"/>
                <w:szCs w:val="20"/>
                <w:color w:val="auto"/>
              </w:rPr>
            </w:pPr>
            <w:r>
              <w:rPr>
                <w:rFonts w:ascii="Arial" w:cs="Arial" w:eastAsia="Arial" w:hAnsi="Arial"/>
                <w:sz w:val="18"/>
                <w:szCs w:val="18"/>
                <w:color w:val="auto"/>
                <w:w w:val="86"/>
              </w:rPr>
              <w:t>101</w:t>
            </w:r>
          </w:p>
        </w:tc>
        <w:tc>
          <w:tcPr>
            <w:tcW w:w="14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The following materials from the Quarterly Report of Enanta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Pharmaceuticals, Inc. on Form 10-Q for the quarter ended of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December 31, 2016, formatted in XBRL (eXtensible Business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spacing w:after="0"/>
        <w:rPr>
          <w:sz w:val="20"/>
          <w:szCs w:val="20"/>
          <w:color w:val="auto"/>
        </w:rPr>
      </w:pPr>
      <w:r>
        <w:rPr>
          <w:rFonts w:ascii="Arial" w:cs="Arial" w:eastAsia="Arial" w:hAnsi="Arial"/>
          <w:sz w:val="18"/>
          <w:szCs w:val="18"/>
          <w:color w:val="auto"/>
        </w:rPr>
        <w:t>Reporting Language): (i) Consolidated Balance Sheets as of December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31, 2016 and September 30, 2016 of Enanta Pharmaceuticals, Inc., (ii)</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Statements of Operations for the three months ended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December 31, 2016 and 2015 of Enanta Pharmaceuticals, Inc., (iii)</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Consolidated Statements of Comprehensive Income (Loss) for the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three months ended December 31, 2016 and 2015 of Enanta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Pharmaceuticals, Inc., (iv) Consolidated Statements of Cash Flows for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three months ended December 31, 2016 and 2015 of Enanta</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Pharmaceuticals, Inc., and (v) Notes to Consolidated Financial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Statements of Enanta Pharmaceuticals,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three months ended December 31, 2016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Dated: February 9, 2017</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320" w:type="dxa"/>
            <w:vAlign w:val="bottom"/>
          </w:tcPr>
          <w:p>
            <w:pPr>
              <w:spacing w:after="0"/>
              <w:rPr>
                <w:sz w:val="20"/>
                <w:szCs w:val="20"/>
                <w:color w:val="auto"/>
              </w:rPr>
            </w:pPr>
            <w:r>
              <w:rPr>
                <w:rFonts w:ascii="Arial" w:cs="Arial" w:eastAsia="Arial" w:hAnsi="Arial"/>
                <w:sz w:val="18"/>
                <w:szCs w:val="18"/>
                <w:color w:val="auto"/>
              </w:rPr>
              <w:t>Dated: February 9, 2017</w:t>
            </w:r>
          </w:p>
        </w:tc>
        <w:tc>
          <w:tcPr>
            <w:tcW w:w="3000" w:type="dxa"/>
            <w:vAlign w:val="bottom"/>
          </w:tcPr>
          <w:p>
            <w:pPr>
              <w:ind w:left="254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o"/>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o"/>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0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2019-12-29T08:13:47Z</dcterms:created>
  <dcterms:modified xsi:type="dcterms:W3CDTF">2019-12-29T08:13:47Z</dcterms:modified>
</cp:coreProperties>
</file>