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8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6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2420"/>
              <w:spacing w:after="0"/>
              <w:rPr>
                <w:sz w:val="20"/>
                <w:szCs w:val="20"/>
                <w:color w:val="auto"/>
              </w:rPr>
            </w:pPr>
            <w:r>
              <w:rPr>
                <w:rFonts w:ascii="Arial" w:cs="Arial" w:eastAsia="Arial" w:hAnsi="Arial"/>
                <w:sz w:val="18"/>
                <w:szCs w:val="18"/>
                <w:color w:val="auto"/>
                <w:w w:val="99"/>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9" w:lineRule="exact"/>
        <w:rPr>
          <w:sz w:val="24"/>
          <w:szCs w:val="24"/>
          <w:color w:val="auto"/>
        </w:rPr>
      </w:pPr>
    </w:p>
    <w:p>
      <w:pPr>
        <w:ind w:left="20"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6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January 31, 2019, the registrant had 19,441,584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476885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2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Comprehensive Income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860" w:type="dxa"/>
            <w:vAlign w:val="bottom"/>
            <w:tcBorders>
              <w:top w:val="single" w:sz="8" w:color="0000EE"/>
            </w:tcBorders>
            <w:gridSpan w:val="3"/>
          </w:tcPr>
          <w:p>
            <w:pPr>
              <w:spacing w:after="0"/>
              <w:rPr>
                <w:sz w:val="17"/>
                <w:szCs w:val="17"/>
                <w:color w:val="auto"/>
              </w:rPr>
            </w:pPr>
          </w:p>
        </w:tc>
        <w:tc>
          <w:tcPr>
            <w:tcW w:w="55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Notes to Consolidated Financial Statements</w:t>
              </w:r>
            </w:hyperlink>
          </w:p>
        </w:tc>
        <w:tc>
          <w:tcPr>
            <w:tcW w:w="61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CFF0FC"/>
            </w:tcBorders>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271,423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454,216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414,227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5,622</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19,435 and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19,395 shares issued and outstanding at December 31, 2018 and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30, 2018, respectively</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283,530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454,216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69,886</w:t>
            </w:r>
          </w:p>
        </w:tc>
        <w:tc>
          <w:tcPr>
            <w:tcW w:w="3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69,886</w:t>
            </w:r>
          </w:p>
        </w:tc>
        <w:tc>
          <w:tcPr>
            <w:tcW w:w="3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34,878</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3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42,030</w:t>
            </w:r>
          </w:p>
        </w:tc>
        <w:tc>
          <w:tcPr>
            <w:tcW w:w="3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27,856</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1,885</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3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29,741</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(3,730)</w:t>
            </w:r>
          </w:p>
        </w:tc>
        <w:tc>
          <w:tcPr>
            <w:tcW w:w="5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(3,644)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26,011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Pr>
          <w:p>
            <w:pPr>
              <w:spacing w:after="0"/>
              <w:rPr>
                <w:sz w:val="19"/>
                <w:szCs w:val="19"/>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19,426</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20,810</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7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7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3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marketable securities, net of tax of ($45) and ($107)</w:t>
            </w: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(346)</w:t>
            </w: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0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80" w:type="dxa"/>
            <w:vAlign w:val="bottom"/>
            <w:tcBorders>
              <w:bottom w:val="single" w:sz="8" w:color="CFF0FC"/>
            </w:tcBorders>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26,152</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11,347</w:t>
            </w:r>
          </w:p>
        </w:tc>
        <w:tc>
          <w:tcPr>
            <w:tcW w:w="380" w:type="dxa"/>
            <w:vAlign w:val="bottom"/>
            <w:tcBorders>
              <w:bottom w:val="single" w:sz="8" w:color="CFF0FC"/>
            </w:tcBorders>
            <w:shd w:val="clear" w:color="auto" w:fill="CFF0FC"/>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7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26,011</w:t>
            </w:r>
          </w:p>
        </w:tc>
        <w:tc>
          <w:tcPr>
            <w:tcW w:w="16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11,693</w:t>
            </w:r>
          </w:p>
        </w:tc>
        <w:tc>
          <w:tcPr>
            <w:tcW w:w="120" w:type="dxa"/>
            <w:vAlign w:val="bottom"/>
          </w:tcPr>
          <w:p>
            <w:pPr>
              <w:spacing w:after="0"/>
              <w:rPr>
                <w:sz w:val="19"/>
                <w:szCs w:val="19"/>
                <w:color w:val="auto"/>
              </w:rPr>
            </w:pPr>
          </w:p>
        </w:tc>
      </w:tr>
      <w:tr>
        <w:trPr>
          <w:trHeight w:val="200"/>
        </w:trPr>
        <w:tc>
          <w:tcPr>
            <w:tcW w:w="70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06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06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4,120</w:t>
            </w:r>
          </w:p>
        </w:tc>
        <w:tc>
          <w:tcPr>
            <w:tcW w:w="120" w:type="dxa"/>
            <w:vAlign w:val="bottom"/>
          </w:tcPr>
          <w:p>
            <w:pPr>
              <w:spacing w:after="0"/>
              <w:rPr>
                <w:sz w:val="19"/>
                <w:szCs w:val="19"/>
                <w:color w:val="auto"/>
              </w:rPr>
            </w:pPr>
          </w:p>
        </w:tc>
      </w:tr>
      <w:tr>
        <w:trPr>
          <w:trHeight w:val="232"/>
        </w:trPr>
        <w:tc>
          <w:tcPr>
            <w:tcW w:w="70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587</w:t>
            </w:r>
          </w:p>
        </w:tc>
        <w:tc>
          <w:tcPr>
            <w:tcW w:w="120" w:type="dxa"/>
            <w:vAlign w:val="bottom"/>
            <w:shd w:val="clear" w:color="auto" w:fill="CFF0FC"/>
          </w:tcPr>
          <w:p>
            <w:pPr>
              <w:spacing w:after="0"/>
              <w:rPr>
                <w:sz w:val="20"/>
                <w:szCs w:val="20"/>
                <w:color w:val="auto"/>
              </w:rPr>
            </w:pPr>
          </w:p>
        </w:tc>
      </w:tr>
      <w:tr>
        <w:trPr>
          <w:trHeight w:val="228"/>
        </w:trPr>
        <w:tc>
          <w:tcPr>
            <w:tcW w:w="706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2,662</w:t>
            </w:r>
          </w:p>
        </w:tc>
        <w:tc>
          <w:tcPr>
            <w:tcW w:w="120" w:type="dxa"/>
            <w:vAlign w:val="bottom"/>
          </w:tcPr>
          <w:p>
            <w:pPr>
              <w:spacing w:after="0"/>
              <w:rPr>
                <w:sz w:val="19"/>
                <w:szCs w:val="19"/>
                <w:color w:val="auto"/>
              </w:rPr>
            </w:pPr>
          </w:p>
        </w:tc>
      </w:tr>
      <w:tr>
        <w:trPr>
          <w:trHeight w:val="232"/>
        </w:trPr>
        <w:tc>
          <w:tcPr>
            <w:tcW w:w="70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paid on marketable securities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r>
      <w:tr>
        <w:trPr>
          <w:trHeight w:val="228"/>
        </w:trPr>
        <w:tc>
          <w:tcPr>
            <w:tcW w:w="7060" w:type="dxa"/>
            <w:vAlign w:val="bottom"/>
          </w:tcPr>
          <w:p>
            <w:pPr>
              <w:ind w:left="500"/>
              <w:spacing w:after="0"/>
              <w:rPr>
                <w:sz w:val="20"/>
                <w:szCs w:val="20"/>
                <w:color w:val="auto"/>
              </w:rPr>
            </w:pPr>
            <w:r>
              <w:rPr>
                <w:rFonts w:ascii="Arial" w:cs="Arial" w:eastAsia="Arial" w:hAnsi="Arial"/>
                <w:sz w:val="17"/>
                <w:szCs w:val="17"/>
                <w:color w:val="auto"/>
              </w:rPr>
              <w:t>Amortization of (accretion of) premium (discount) on marketable securities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9"/>
                <w:szCs w:val="19"/>
                <w:color w:val="auto"/>
              </w:rPr>
            </w:pPr>
          </w:p>
        </w:tc>
      </w:tr>
      <w:tr>
        <w:trPr>
          <w:trHeight w:val="232"/>
        </w:trPr>
        <w:tc>
          <w:tcPr>
            <w:tcW w:w="70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Change in fair value of warrant liability and Series 1 nonconvertible preferred stock</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w:t>
            </w:r>
          </w:p>
        </w:tc>
      </w:tr>
      <w:tr>
        <w:trPr>
          <w:trHeight w:val="228"/>
        </w:trPr>
        <w:tc>
          <w:tcPr>
            <w:tcW w:w="7060" w:type="dxa"/>
            <w:vAlign w:val="bottom"/>
          </w:tcPr>
          <w:p>
            <w:pPr>
              <w:ind w:left="500"/>
              <w:spacing w:after="0"/>
              <w:rPr>
                <w:sz w:val="20"/>
                <w:szCs w:val="20"/>
                <w:color w:val="auto"/>
              </w:rPr>
            </w:pPr>
            <w:r>
              <w:rPr>
                <w:rFonts w:ascii="Arial" w:cs="Arial" w:eastAsia="Arial" w:hAnsi="Arial"/>
                <w:sz w:val="17"/>
                <w:szCs w:val="17"/>
                <w:color w:val="auto"/>
              </w:rPr>
              <w:t>Other non-cash items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2"/>
        </w:trPr>
        <w:tc>
          <w:tcPr>
            <w:tcW w:w="70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8"/>
        </w:trPr>
        <w:tc>
          <w:tcPr>
            <w:tcW w:w="7060" w:type="dxa"/>
            <w:vAlign w:val="bottom"/>
          </w:tcPr>
          <w:p>
            <w:pPr>
              <w:ind w:left="740"/>
              <w:spacing w:after="0"/>
              <w:rPr>
                <w:sz w:val="20"/>
                <w:szCs w:val="20"/>
                <w:color w:val="auto"/>
              </w:rPr>
            </w:pPr>
            <w:r>
              <w:rPr>
                <w:rFonts w:ascii="Arial" w:cs="Arial" w:eastAsia="Arial" w:hAnsi="Arial"/>
                <w:sz w:val="17"/>
                <w:szCs w:val="17"/>
                <w:color w:val="auto"/>
              </w:rPr>
              <w:t>Accounts receivable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(2,681)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(12,495)</w:t>
            </w:r>
          </w:p>
        </w:tc>
      </w:tr>
      <w:tr>
        <w:trPr>
          <w:trHeight w:val="232"/>
        </w:trPr>
        <w:tc>
          <w:tcPr>
            <w:tcW w:w="70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(3,182)</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(539)</w:t>
            </w:r>
          </w:p>
        </w:tc>
      </w:tr>
      <w:tr>
        <w:trPr>
          <w:trHeight w:val="228"/>
        </w:trPr>
        <w:tc>
          <w:tcPr>
            <w:tcW w:w="706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(129)</w:t>
            </w:r>
          </w:p>
        </w:tc>
      </w:tr>
      <w:tr>
        <w:trPr>
          <w:trHeight w:val="232"/>
        </w:trPr>
        <w:tc>
          <w:tcPr>
            <w:tcW w:w="70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(2,494)</w:t>
            </w:r>
          </w:p>
        </w:tc>
      </w:tr>
      <w:tr>
        <w:trPr>
          <w:trHeight w:val="228"/>
        </w:trPr>
        <w:tc>
          <w:tcPr>
            <w:tcW w:w="7060" w:type="dxa"/>
            <w:vAlign w:val="bottom"/>
          </w:tcPr>
          <w:p>
            <w:pPr>
              <w:ind w:left="740"/>
              <w:spacing w:after="0"/>
              <w:rPr>
                <w:sz w:val="20"/>
                <w:szCs w:val="20"/>
                <w:color w:val="auto"/>
              </w:rPr>
            </w:pPr>
            <w:r>
              <w:rPr>
                <w:rFonts w:ascii="Arial" w:cs="Arial" w:eastAsia="Arial" w:hAnsi="Arial"/>
                <w:sz w:val="17"/>
                <w:szCs w:val="17"/>
                <w:color w:val="auto"/>
              </w:rPr>
              <w:t>Income taxes payable</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959</w:t>
            </w:r>
          </w:p>
        </w:tc>
        <w:tc>
          <w:tcPr>
            <w:tcW w:w="120" w:type="dxa"/>
            <w:vAlign w:val="bottom"/>
          </w:tcPr>
          <w:p>
            <w:pPr>
              <w:spacing w:after="0"/>
              <w:rPr>
                <w:sz w:val="19"/>
                <w:szCs w:val="19"/>
                <w:color w:val="auto"/>
              </w:rPr>
            </w:pPr>
          </w:p>
        </w:tc>
      </w:tr>
      <w:tr>
        <w:trPr>
          <w:trHeight w:val="232"/>
        </w:trPr>
        <w:tc>
          <w:tcPr>
            <w:tcW w:w="706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Other long-term liabilities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r>
      <w:tr>
        <w:trPr>
          <w:trHeight w:val="210"/>
        </w:trPr>
        <w:tc>
          <w:tcPr>
            <w:tcW w:w="706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8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4,409</w:t>
            </w:r>
          </w:p>
        </w:tc>
        <w:tc>
          <w:tcPr>
            <w:tcW w:w="120" w:type="dxa"/>
            <w:vAlign w:val="bottom"/>
          </w:tcPr>
          <w:p>
            <w:pPr>
              <w:spacing w:after="0"/>
              <w:rPr>
                <w:sz w:val="18"/>
                <w:szCs w:val="18"/>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7"/>
                <w:szCs w:val="17"/>
                <w:color w:val="auto"/>
              </w:rPr>
              <w:t>Purchase of marketable securities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93"/>
              </w:rPr>
              <w:t>(119,546)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(54,710)</w:t>
            </w:r>
          </w:p>
        </w:tc>
      </w:tr>
      <w:tr>
        <w:trPr>
          <w:trHeight w:val="232"/>
        </w:trPr>
        <w:tc>
          <w:tcPr>
            <w:tcW w:w="70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98,999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52,766</w:t>
            </w:r>
          </w:p>
        </w:tc>
        <w:tc>
          <w:tcPr>
            <w:tcW w:w="120" w:type="dxa"/>
            <w:vAlign w:val="bottom"/>
            <w:shd w:val="clear" w:color="auto" w:fill="CFF0FC"/>
          </w:tcPr>
          <w:p>
            <w:pPr>
              <w:spacing w:after="0"/>
              <w:rPr>
                <w:sz w:val="20"/>
                <w:szCs w:val="20"/>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(504)</w:t>
            </w:r>
          </w:p>
        </w:tc>
      </w:tr>
      <w:tr>
        <w:trPr>
          <w:trHeight w:val="20"/>
        </w:trPr>
        <w:tc>
          <w:tcPr>
            <w:tcW w:w="70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5"/>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(20,931)</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(2,448)</w:t>
            </w:r>
          </w:p>
        </w:tc>
      </w:tr>
      <w:tr>
        <w:trPr>
          <w:trHeight w:val="228"/>
        </w:trPr>
        <w:tc>
          <w:tcPr>
            <w:tcW w:w="70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70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warrants</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CFF0FC"/>
          </w:tcPr>
          <w:p>
            <w:pPr>
              <w:spacing w:after="0"/>
              <w:rPr>
                <w:sz w:val="20"/>
                <w:szCs w:val="20"/>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7"/>
                <w:szCs w:val="17"/>
                <w:color w:val="auto"/>
              </w:rPr>
              <w:t>Payments of capital lease obligations</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r>
      <w:tr>
        <w:trPr>
          <w:trHeight w:val="225"/>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8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1"/>
        </w:trPr>
        <w:tc>
          <w:tcPr>
            <w:tcW w:w="7060" w:type="dxa"/>
            <w:vAlign w:val="bottom"/>
          </w:tcPr>
          <w:p>
            <w:pPr>
              <w:spacing w:after="0"/>
              <w:rPr>
                <w:sz w:val="20"/>
                <w:szCs w:val="20"/>
                <w:color w:val="auto"/>
              </w:rPr>
            </w:pPr>
            <w:r>
              <w:rPr>
                <w:rFonts w:ascii="Arial" w:cs="Arial" w:eastAsia="Arial" w:hAnsi="Arial"/>
                <w:sz w:val="17"/>
                <w:szCs w:val="17"/>
                <w:b w:val="1"/>
                <w:bCs w:val="1"/>
                <w:color w:val="auto"/>
              </w:rPr>
              <w:t>Net increase in cash, cash equivalents and restricted cash</w:t>
            </w: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2,378</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8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64,510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66,283</w:t>
            </w:r>
          </w:p>
        </w:tc>
        <w:tc>
          <w:tcPr>
            <w:tcW w:w="120" w:type="dxa"/>
            <w:vAlign w:val="bottom"/>
            <w:shd w:val="clear" w:color="auto" w:fill="CFF0FC"/>
          </w:tcPr>
          <w:p>
            <w:pPr>
              <w:spacing w:after="0"/>
              <w:rPr>
                <w:sz w:val="19"/>
                <w:szCs w:val="19"/>
                <w:color w:val="auto"/>
              </w:rPr>
            </w:pPr>
          </w:p>
        </w:tc>
      </w:tr>
      <w:tr>
        <w:trPr>
          <w:trHeight w:val="263"/>
        </w:trPr>
        <w:tc>
          <w:tcPr>
            <w:tcW w:w="7060" w:type="dxa"/>
            <w:vAlign w:val="bottom"/>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17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74,973</w:t>
            </w:r>
          </w:p>
        </w:tc>
        <w:tc>
          <w:tcPr>
            <w:tcW w:w="160" w:type="dxa"/>
            <w:vAlign w:val="bottom"/>
          </w:tcPr>
          <w:p>
            <w:pPr>
              <w:spacing w:after="0"/>
              <w:rPr>
                <w:sz w:val="22"/>
                <w:szCs w:val="22"/>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68,661</w:t>
            </w:r>
          </w:p>
        </w:tc>
        <w:tc>
          <w:tcPr>
            <w:tcW w:w="120" w:type="dxa"/>
            <w:vAlign w:val="bottom"/>
          </w:tcPr>
          <w:p>
            <w:pPr>
              <w:spacing w:after="0"/>
              <w:rPr>
                <w:sz w:val="22"/>
                <w:szCs w:val="22"/>
                <w:color w:val="auto"/>
              </w:rPr>
            </w:pPr>
          </w:p>
        </w:tc>
      </w:tr>
      <w:tr>
        <w:trPr>
          <w:trHeight w:val="212"/>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8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8"/>
        </w:trPr>
        <w:tc>
          <w:tcPr>
            <w:tcW w:w="706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17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r>
      <w:tr>
        <w:trPr>
          <w:trHeight w:val="232"/>
        </w:trPr>
        <w:tc>
          <w:tcPr>
            <w:tcW w:w="70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investing information:</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6"/>
        </w:trPr>
        <w:tc>
          <w:tcPr>
            <w:tcW w:w="7060" w:type="dxa"/>
            <w:vAlign w:val="bottom"/>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1740" w:type="dxa"/>
            <w:vAlign w:val="bottom"/>
            <w:gridSpan w:val="2"/>
          </w:tcPr>
          <w:p>
            <w:pPr>
              <w:jc w:val="right"/>
              <w:ind w:right="768"/>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1,304</w:t>
            </w:r>
          </w:p>
        </w:tc>
        <w:tc>
          <w:tcPr>
            <w:tcW w:w="16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protease inhibitor discovered and developed through its collaboration with AbbVie, which is marketed as part of AbbVie’s direct-acting antiviral (DAA) regimen under the tradenames MAVYRET™ (U.S.) or MAVIRET™ (ex-U.S.) (glecaprevir/pibrentasvir) for the treatment of chronic hepatitis C virus, or HCV. The other protease inhibitor under its HCV collaboration, which is part of AbbVie’s initial DAA regimens for the treatment of chronic HCV, is currently marketed outside the U.S. under the tradename VIEKIRAX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(paritaprevir/ritonavir/ombitasvir). Royalties from the Company’s AbbVie collaboration and its existing financial resources provide funding to support its wholly-owned research and development programs, which are currently focused on the following disease targets: respiratory syncytial virus (“RSV”), non-alcoholic steatohepatitis (“NASH”); primary biliary cholangitis (“PBC”); and hepatitis B virus (“HBV”).</w:t>
      </w:r>
    </w:p>
    <w:p>
      <w:pPr>
        <w:spacing w:after="0" w:line="3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balance sheet at September 30, 2018 was derived from audited financial statements, but does not include all disclosures required by accounting principles generally accepted in the United States of America (“GAAP”). The accompanying unaudited consolidated financial statements as of December 31, 2018 and for the three months ended December 31, 2018 and 2017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2018.</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December 31, 2018 and results of operations for the three months ended December 31, 2018 and 2017 and cash flows for the three months ended December 31, 2018 and 2017, have been made. The results of operations for the three months ended December 31, 2018 are not necessarily indicative of the results of operations that may be expected for subsequent quarters or the year ending September 30, 2019.</w:t>
      </w:r>
    </w:p>
    <w:p>
      <w:pPr>
        <w:spacing w:after="0" w:line="17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accompanying consolidated financial statements have been prepared in conformity with GAAP. All dollar amounts in the consolidated financial statements and in the notes to the consolidated financial statements, except per share amounts, are in thousands unless otherwise indicated.</w:t>
      </w:r>
    </w:p>
    <w:p>
      <w:pPr>
        <w:spacing w:after="0" w:line="22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For the Company’s Significant Accounting Policies, please refer to its Annual Report on Form 10-K for the fiscal year ended September 30, 2018. Other than the adoption of ASC 606 as of October 1, 2018, there were no other significant changes to the Company’s Significant Accounting Policies during the quarter.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right="240"/>
        <w:spacing w:after="0" w:line="259" w:lineRule="auto"/>
        <w:rPr>
          <w:sz w:val="20"/>
          <w:szCs w:val="20"/>
          <w:color w:val="auto"/>
        </w:rPr>
      </w:pPr>
      <w:r>
        <w:rPr>
          <w:rFonts w:ascii="Arial" w:cs="Arial" w:eastAsia="Arial" w:hAnsi="Arial"/>
          <w:sz w:val="18"/>
          <w:szCs w:val="18"/>
          <w:color w:val="auto"/>
        </w:rPr>
        <w:t>estimates and assumptions reflected in these consolidated financial statements include, but are not limited to, management’s judgments with respect to its revenue arrangements; valuation of stock-based awards; the accrual of research and development expenses,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1, 2018, the Company adopted the new revenue standard, discussed below, which amended revenue recognition principles and provides a single, comprehensive set of criteria for revenue recognition within and across all industries (“ASC 606”).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The Company will apply the guidance in ASC 606 to its one ongoing collaboration agreement under which it is eligible to earn sales-based royalties and to qualifying arrangements entered into after October 1, 2018. The Company recognizes revenue related to the sales-based royalties in the period in which the underlying sales occur based on actual sales as communicated by the licensee. The license is deemed to be the predominant item to which the royalties relate.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and has since issued several additional amendments thereto, collectively referred to herein as ASC 606, which supersedes the revenue recognition requirements in ASC 605-25, </w:t>
      </w:r>
      <w:r>
        <w:rPr>
          <w:rFonts w:ascii="Arial" w:cs="Arial" w:eastAsia="Arial" w:hAnsi="Arial"/>
          <w:sz w:val="16"/>
          <w:szCs w:val="16"/>
          <w:i w:val="1"/>
          <w:iCs w:val="1"/>
          <w:color w:val="auto"/>
        </w:rPr>
        <w:t xml:space="preserve">Multiple-Element Arrangements </w:t>
      </w:r>
      <w:r>
        <w:rPr>
          <w:rFonts w:ascii="Arial" w:cs="Arial" w:eastAsia="Arial" w:hAnsi="Arial"/>
          <w:sz w:val="16"/>
          <w:szCs w:val="16"/>
          <w:color w:val="auto"/>
        </w:rPr>
        <w:t>and most industry-specific guidance. The new standard requires that an entity recognize revenue to depict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Companies have the option of applying this new guidance retrospectively to each prior reporting period presented or retrospectively with the cumulative effect of initially applying this update recognized at the date of initial application. This guidance was effective for the Company in the fiscal year beginning October 1, 2018. The Company adopted ASC 606 as of October 1, 2018 using the modified retrospective transition method. The adoption did not have an impact on its financial statements as the Company had satisfied its performance obligations under its one open revenue contract in fiscal 2011, prior to the adoption of ASC</w:t>
      </w:r>
    </w:p>
    <w:p>
      <w:pPr>
        <w:spacing w:after="0" w:line="6" w:lineRule="exact"/>
        <w:rPr>
          <w:sz w:val="20"/>
          <w:szCs w:val="20"/>
          <w:color w:val="auto"/>
        </w:rPr>
      </w:pPr>
    </w:p>
    <w:p>
      <w:pPr>
        <w:ind w:right="100" w:firstLine="8"/>
        <w:spacing w:after="0" w:line="261"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this guidance did not have an impact on the Company’s accounting for royalty payments as the Company receives sales-based royalties for which the license is deemed to be the predominant item to which the royalties relate.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was effective for the Company in the fiscal year beginning October 1, 2018. The Company adopted ASU 2016-18 retrospectively as of October 1, 2018. Upon the adoption of ASU 2016-18, the amount of cash and cash equivalents previously presented in the consolidated statements of cash flows for the three months ended December 31, 2017 increased by $608 as of beginning and end of the period to reflect the inclusion of restricted cash in the amount reported for changes in cash, cash equivalents and restricted cash.</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(“ASU 2017-09”) which provides updated guidance about changes to the terms or conditions of a share-based payment award that requires companies to apply modification accounting under Topic 718. This amendment was effective for the Company in the fiscal year beginning October 1, 2018. The Company adopted ASU 2017-09 as of October 1, 2018. The adoption of ASU 2017-09 did not have an impact on its consolidated financial statements.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2018 and September 30, 2018 and indicate the fair value hierarchy of the valuation inputs utilized to determine such fair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9"/>
          </w:tcPr>
          <w:p>
            <w:pPr>
              <w:jc w:val="right"/>
              <w:ind w:right="105"/>
              <w:spacing w:after="0"/>
              <w:rPr>
                <w:sz w:val="20"/>
                <w:szCs w:val="20"/>
                <w:color w:val="auto"/>
              </w:rPr>
            </w:pPr>
            <w:r>
              <w:rPr>
                <w:rFonts w:ascii="Arial" w:cs="Arial" w:eastAsia="Arial" w:hAnsi="Arial"/>
                <w:sz w:val="14"/>
                <w:szCs w:val="14"/>
                <w:b w:val="1"/>
                <w:bCs w:val="1"/>
                <w:color w:val="auto"/>
              </w:rPr>
              <w:t>Fair Value Measurements at December 31, 2018 Using:</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Level 3</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42,589</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50,742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103,312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251,880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355,192</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13"/>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9"/>
          </w:tcPr>
          <w:p>
            <w:pPr>
              <w:jc w:val="right"/>
              <w:ind w:right="105"/>
              <w:spacing w:after="0"/>
              <w:rPr>
                <w:sz w:val="20"/>
                <w:szCs w:val="20"/>
                <w:color w:val="auto"/>
              </w:rPr>
            </w:pPr>
            <w:r>
              <w:rPr>
                <w:rFonts w:ascii="Arial" w:cs="Arial" w:eastAsia="Arial" w:hAnsi="Arial"/>
                <w:sz w:val="14"/>
                <w:szCs w:val="14"/>
                <w:b w:val="1"/>
                <w:bCs w:val="1"/>
                <w:color w:val="auto"/>
              </w:rPr>
              <w:t>Fair Value Measurements at September 30, 2018 Using:</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Level 3</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51,025</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6,987</w:t>
            </w: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3,998</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42,703</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42,703</w:t>
            </w:r>
          </w:p>
        </w:tc>
        <w:tc>
          <w:tcPr>
            <w:tcW w:w="120" w:type="dxa"/>
            <w:vAlign w:val="bottom"/>
            <w:shd w:val="clear" w:color="auto" w:fill="CFF2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113,885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113,885</w:t>
            </w:r>
          </w:p>
        </w:tc>
        <w:tc>
          <w:tcPr>
            <w:tcW w:w="120" w:type="dxa"/>
            <w:vAlign w:val="bottom"/>
          </w:tcPr>
          <w:p>
            <w:pPr>
              <w:spacing w:after="0"/>
              <w:rPr>
                <w:sz w:val="19"/>
                <w:szCs w:val="19"/>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spacing w:after="0"/>
              <w:rPr>
                <w:sz w:val="19"/>
                <w:szCs w:val="19"/>
                <w:color w:val="auto"/>
              </w:rPr>
            </w:pP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spacing w:after="0"/>
              <w:rPr>
                <w:sz w:val="19"/>
                <w:szCs w:val="19"/>
                <w:color w:val="auto"/>
              </w:rPr>
            </w:pPr>
          </w:p>
        </w:tc>
        <w:tc>
          <w:tcPr>
            <w:tcW w:w="10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104,629</w:t>
            </w:r>
          </w:p>
        </w:tc>
        <w:tc>
          <w:tcPr>
            <w:tcW w:w="240" w:type="dxa"/>
            <w:vAlign w:val="bottom"/>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spacing w:after="0"/>
              <w:rPr>
                <w:sz w:val="19"/>
                <w:szCs w:val="19"/>
                <w:color w:val="auto"/>
              </w:rPr>
            </w:pPr>
          </w:p>
        </w:tc>
        <w:tc>
          <w:tcPr>
            <w:tcW w:w="9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spacing w:after="0"/>
              <w:rPr>
                <w:sz w:val="19"/>
                <w:szCs w:val="19"/>
                <w:color w:val="auto"/>
              </w:rPr>
            </w:pPr>
          </w:p>
        </w:tc>
        <w:tc>
          <w:tcPr>
            <w:tcW w:w="9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104,629</w:t>
            </w:r>
          </w:p>
        </w:tc>
        <w:tc>
          <w:tcPr>
            <w:tcW w:w="120" w:type="dxa"/>
            <w:vAlign w:val="bottom"/>
            <w:shd w:val="clear" w:color="auto" w:fill="CFF2FC"/>
          </w:tcPr>
          <w:p>
            <w:pPr>
              <w:spacing w:after="0"/>
              <w:rPr>
                <w:sz w:val="19"/>
                <w:szCs w:val="19"/>
                <w:color w:val="auto"/>
              </w:rPr>
            </w:pPr>
          </w:p>
        </w:tc>
      </w:tr>
      <w:tr>
        <w:trPr>
          <w:trHeight w:val="263"/>
        </w:trPr>
        <w:tc>
          <w:tcPr>
            <w:tcW w:w="3640" w:type="dxa"/>
            <w:vAlign w:val="bottom"/>
            <w:tcBorders>
              <w:bottom w:val="single" w:sz="8" w:color="CFF2FC"/>
            </w:tcBorders>
          </w:tcPr>
          <w:p>
            <w:pPr>
              <w:spacing w:after="0"/>
              <w:rPr>
                <w:sz w:val="22"/>
                <w:szCs w:val="22"/>
                <w:color w:val="auto"/>
              </w:rPr>
            </w:pPr>
          </w:p>
        </w:tc>
        <w:tc>
          <w:tcPr>
            <w:tcW w:w="800" w:type="dxa"/>
            <w:vAlign w:val="bottom"/>
            <w:tcBorders>
              <w:bottom w:val="single" w:sz="8" w:color="CFF2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93,728</w:t>
            </w:r>
          </w:p>
        </w:tc>
        <w:tc>
          <w:tcPr>
            <w:tcW w:w="240" w:type="dxa"/>
            <w:vAlign w:val="bottom"/>
            <w:tcBorders>
              <w:bottom w:val="single" w:sz="8" w:color="CFF2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229,499</w:t>
            </w:r>
          </w:p>
        </w:tc>
        <w:tc>
          <w:tcPr>
            <w:tcW w:w="240" w:type="dxa"/>
            <w:vAlign w:val="bottom"/>
            <w:tcBorders>
              <w:bottom w:val="single" w:sz="8" w:color="CFF2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323,227</w:t>
            </w:r>
          </w:p>
        </w:tc>
        <w:tc>
          <w:tcPr>
            <w:tcW w:w="120" w:type="dxa"/>
            <w:vAlign w:val="bottom"/>
            <w:tcBorders>
              <w:bottom w:val="single" w:sz="8" w:color="CFF2FC"/>
            </w:tcBorders>
          </w:tcPr>
          <w:p>
            <w:pPr>
              <w:spacing w:after="0"/>
              <w:rPr>
                <w:sz w:val="22"/>
                <w:szCs w:val="22"/>
                <w:color w:val="auto"/>
              </w:rPr>
            </w:pPr>
          </w:p>
        </w:tc>
      </w:tr>
      <w:tr>
        <w:trPr>
          <w:trHeight w:val="210"/>
        </w:trPr>
        <w:tc>
          <w:tcPr>
            <w:tcW w:w="36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10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102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360" w:type="dxa"/>
            <w:vAlign w:val="bottom"/>
            <w:shd w:val="clear" w:color="auto" w:fill="CFF2FC"/>
          </w:tcPr>
          <w:p>
            <w:pPr>
              <w:spacing w:after="0"/>
              <w:rPr>
                <w:sz w:val="18"/>
                <w:szCs w:val="18"/>
                <w:color w:val="auto"/>
              </w:rPr>
            </w:pPr>
          </w:p>
        </w:tc>
        <w:tc>
          <w:tcPr>
            <w:tcW w:w="90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280" w:type="dxa"/>
            <w:vAlign w:val="bottom"/>
            <w:shd w:val="clear" w:color="auto" w:fill="CFF2FC"/>
          </w:tcPr>
          <w:p>
            <w:pPr>
              <w:spacing w:after="0"/>
              <w:rPr>
                <w:sz w:val="18"/>
                <w:szCs w:val="18"/>
                <w:color w:val="auto"/>
              </w:rPr>
            </w:pPr>
          </w:p>
        </w:tc>
        <w:tc>
          <w:tcPr>
            <w:tcW w:w="980" w:type="dxa"/>
            <w:vAlign w:val="bottom"/>
            <w:shd w:val="clear" w:color="auto" w:fill="CFF2FC"/>
          </w:tcPr>
          <w:p>
            <w:pPr>
              <w:spacing w:after="0"/>
              <w:rPr>
                <w:sz w:val="18"/>
                <w:szCs w:val="18"/>
                <w:color w:val="auto"/>
              </w:rPr>
            </w:pPr>
          </w:p>
        </w:tc>
        <w:tc>
          <w:tcPr>
            <w:tcW w:w="120" w:type="dxa"/>
            <w:vAlign w:val="bottom"/>
            <w:shd w:val="clear" w:color="auto" w:fill="CFF2FC"/>
          </w:tcPr>
          <w:p>
            <w:pPr>
              <w:spacing w:after="0"/>
              <w:rPr>
                <w:sz w:val="18"/>
                <w:szCs w:val="18"/>
                <w:color w:val="auto"/>
              </w:rPr>
            </w:pPr>
          </w:p>
        </w:tc>
      </w:tr>
      <w:tr>
        <w:trPr>
          <w:trHeight w:val="230"/>
        </w:trPr>
        <w:tc>
          <w:tcPr>
            <w:tcW w:w="3640" w:type="dxa"/>
            <w:vAlign w:val="bottom"/>
            <w:tcBorders>
              <w:bottom w:val="single" w:sz="8" w:color="CFF2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800" w:type="dxa"/>
            <w:vAlign w:val="bottom"/>
            <w:tcBorders>
              <w:bottom w:val="single" w:sz="8" w:color="CFF2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Borders>
              <w:bottom w:val="single" w:sz="8" w:color="CFF2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FF2FC"/>
            </w:tcBorders>
          </w:tcPr>
          <w:p>
            <w:pPr>
              <w:spacing w:after="0"/>
              <w:rPr>
                <w:sz w:val="19"/>
                <w:szCs w:val="19"/>
                <w:color w:val="auto"/>
              </w:rPr>
            </w:pPr>
          </w:p>
        </w:tc>
      </w:tr>
      <w:tr>
        <w:trPr>
          <w:trHeight w:val="223"/>
        </w:trPr>
        <w:tc>
          <w:tcPr>
            <w:tcW w:w="3640" w:type="dxa"/>
            <w:vAlign w:val="bottom"/>
            <w:tcBorders>
              <w:bottom w:val="single" w:sz="8" w:color="CFF2FC"/>
            </w:tcBorders>
            <w:shd w:val="clear" w:color="auto" w:fill="CFF2FC"/>
          </w:tcPr>
          <w:p>
            <w:pPr>
              <w:spacing w:after="0"/>
              <w:rPr>
                <w:sz w:val="19"/>
                <w:szCs w:val="19"/>
                <w:color w:val="auto"/>
              </w:rPr>
            </w:pPr>
          </w:p>
        </w:tc>
        <w:tc>
          <w:tcPr>
            <w:tcW w:w="800" w:type="dxa"/>
            <w:vAlign w:val="bottom"/>
            <w:tcBorders>
              <w:bottom w:val="single" w:sz="8" w:color="CFF2FC"/>
            </w:tcBorders>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Borders>
              <w:bottom w:val="single" w:sz="8" w:color="CFF2FC"/>
            </w:tcBorders>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FF2FC"/>
            </w:tcBorders>
            <w:shd w:val="clear" w:color="auto" w:fill="CFF2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2018 and 2017, there were no transfers between Level 1, Level 2 and Level 3.</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(for the period the warrants were outstanding) and Series 1 nonconvertible preferred stock are recognized in other income (expense), net in the consolidated statements of operations.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4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Range (Weighted Average)</w:t>
            </w:r>
          </w:p>
        </w:tc>
      </w:tr>
      <w:tr>
        <w:trPr>
          <w:trHeight w:val="252"/>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2"/>
          </w:tcPr>
          <w:p>
            <w:pPr>
              <w:ind w:left="64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Pr>
          <w:p>
            <w:pPr>
              <w:ind w:left="460"/>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20" w:type="dxa"/>
            <w:vAlign w:val="bottom"/>
          </w:tcPr>
          <w:p>
            <w:pPr>
              <w:spacing w:after="0"/>
              <w:rPr>
                <w:sz w:val="17"/>
                <w:szCs w:val="17"/>
                <w:color w:val="auto"/>
              </w:rPr>
            </w:pPr>
          </w:p>
        </w:tc>
        <w:tc>
          <w:tcPr>
            <w:tcW w:w="4960" w:type="dxa"/>
            <w:vAlign w:val="bottom"/>
            <w:gridSpan w:val="2"/>
          </w:tcPr>
          <w:p>
            <w:pPr>
              <w:ind w:left="1740"/>
              <w:spacing w:after="0"/>
              <w:rPr>
                <w:sz w:val="20"/>
                <w:szCs w:val="20"/>
                <w:color w:val="auto"/>
              </w:rPr>
            </w:pPr>
            <w:r>
              <w:rPr>
                <w:rFonts w:ascii="Arial" w:cs="Arial" w:eastAsia="Arial" w:hAnsi="Arial"/>
                <w:sz w:val="14"/>
                <w:szCs w:val="14"/>
                <w:b w:val="1"/>
                <w:bCs w:val="1"/>
                <w:color w:val="auto"/>
              </w:rPr>
              <w:t>Unobservable Input</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3"/>
        </w:trPr>
        <w:tc>
          <w:tcPr>
            <w:tcW w:w="20" w:type="dxa"/>
            <w:vAlign w:val="bottom"/>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22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0%-70%</w:t>
            </w:r>
          </w:p>
        </w:tc>
        <w:tc>
          <w:tcPr>
            <w:tcW w:w="2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0%-70%</w:t>
            </w:r>
          </w:p>
        </w:tc>
      </w:tr>
      <w:tr>
        <w:trPr>
          <w:trHeight w:val="230"/>
        </w:trPr>
        <w:tc>
          <w:tcPr>
            <w:tcW w:w="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6.25%</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6.25%</w:t>
            </w:r>
          </w:p>
        </w:tc>
      </w:tr>
    </w:tbl>
    <w:p>
      <w:pPr>
        <w:spacing w:after="0" w:line="200" w:lineRule="exact"/>
        <w:rPr>
          <w:sz w:val="20"/>
          <w:szCs w:val="20"/>
          <w:color w:val="auto"/>
        </w:rPr>
      </w:pP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Series 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2018</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Change in fair value of nonconvertible preferred stock</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2018</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8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10" w:name="page11"/>
    <w:bookmarkEnd w:id="10"/>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September 30, 2018,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135,713</w:t>
            </w:r>
          </w:p>
        </w:tc>
        <w:tc>
          <w:tcPr>
            <w:tcW w:w="106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Corporate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96,776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283,276</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113,885</w:t>
            </w:r>
          </w:p>
        </w:tc>
        <w:tc>
          <w:tcPr>
            <w:tcW w:w="220" w:type="dxa"/>
            <w:vAlign w:val="bottom"/>
            <w:shd w:val="clear" w:color="auto" w:fill="CFF0FC"/>
          </w:tcPr>
          <w:p>
            <w:pPr>
              <w:spacing w:after="0"/>
              <w:rPr>
                <w:sz w:val="19"/>
                <w:szCs w:val="19"/>
                <w:color w:val="auto"/>
              </w:rPr>
            </w:pPr>
          </w:p>
        </w:tc>
        <w:tc>
          <w:tcPr>
            <w:tcW w:w="840" w:type="dxa"/>
            <w:vAlign w:val="bottom"/>
            <w:shd w:val="clear" w:color="auto" w:fill="CFF2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2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Corporate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105,105</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261,791</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of December 31, 2018, marketable securities consisted of short-term marketable securities, which are investments that mature within one year, and long-term marketable securities, with an aggregate fair value of $11,465, which consist of certain corporate bonds that have maturities of more than one year but not more than three years.</w:t>
      </w:r>
    </w:p>
    <w:p>
      <w:pPr>
        <w:spacing w:after="0" w:line="28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December 31, 2018 and September 30,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2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4"/>
          </w:tcPr>
          <w:p>
            <w:pPr>
              <w:jc w:val="right"/>
              <w:ind w:right="1093"/>
              <w:spacing w:after="0" w:line="155"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5,396</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Accrued vendor manufacturing</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1,792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1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vMerge w:val="restart"/>
          </w:tcPr>
          <w:p>
            <w:pPr>
              <w:jc w:val="right"/>
              <w:ind w:right="65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1" w:name="page12"/>
    <w:bookmarkEnd w:id="11"/>
    <w:p>
      <w:pPr>
        <w:ind w:right="8180" w:firstLine="8"/>
        <w:spacing w:after="0" w:line="503" w:lineRule="auto"/>
        <w:tabs>
          <w:tab w:leader="none" w:pos="51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$717,000 through December 31, 2018. Since the Company satisfied all of its performance obligations under the AbbVie Agreement by the end of fiscal 2011, all milestone payments received since then have been recognized as revenue when the milestones were achieved by AbbVie. During the three months ended December 31, 2017, the Company earned and recognized milestone revenue of $15,000 upon AbbVie’s achievement of commercialization regulatory approval in Japan for MAVIRET™, the final milestone payment under this agreement. As of October 1, 2018, the adoption date of ASC 606, there were no remaining milestone payments to be earned under this agreement.</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also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2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2018, 1,931 shares of Series 1 nonconvertible preferred stock were issued and outstanding. Since these shares qualify as a derivative, the outstanding shares are carried at fair value as a liability on the Company’s consolidated balance sheet.</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Company has granted stock-based awards, including stock options, restricted stock units, and performance share units, under its existing 2012 Equity Incentive Plan (the “2012 Plan”). The Company also has outstanding stock-based awards under its amended and restated 1995 Equity Incentive Plan (the “1995 Plan”), but is no longer granting awards under this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December 31,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Issuable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Outstanding as of September 30, 2018</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0" w:type="dxa"/>
            <w:vAlign w:val="bottom"/>
            <w:gridSpan w:val="2"/>
            <w:vMerge w:val="continue"/>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36.65</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129,115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81.04</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gridSpan w:val="2"/>
          </w:tcPr>
          <w:p>
            <w:pPr>
              <w:ind w:left="580"/>
              <w:spacing w:after="0"/>
              <w:rPr>
                <w:sz w:val="20"/>
                <w:szCs w:val="20"/>
                <w:color w:val="auto"/>
              </w:rPr>
            </w:pPr>
            <w:r>
              <w:rPr>
                <w:rFonts w:ascii="Arial" w:cs="Arial" w:eastAsia="Arial" w:hAnsi="Arial"/>
                <w:sz w:val="18"/>
                <w:szCs w:val="18"/>
                <w:b w:val="1"/>
                <w:bCs w:val="1"/>
                <w:color w:val="auto"/>
              </w:rPr>
              <w:t>Outstanding as of December 31, 2018</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43.67</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90,501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4420" w:type="dxa"/>
            <w:vAlign w:val="bottom"/>
            <w:tcBorders>
              <w:top w:val="single" w:sz="8" w:color="CFF2FC"/>
            </w:tcBorders>
            <w:shd w:val="clear" w:color="auto" w:fill="CFF2FC"/>
          </w:tcPr>
          <w:p>
            <w:pPr>
              <w:spacing w:after="0" w:line="192" w:lineRule="exact"/>
              <w:rPr>
                <w:sz w:val="20"/>
                <w:szCs w:val="20"/>
                <w:color w:val="auto"/>
              </w:rPr>
            </w:pPr>
            <w:r>
              <w:rPr>
                <w:rFonts w:ascii="Arial" w:cs="Arial" w:eastAsia="Arial" w:hAnsi="Arial"/>
                <w:sz w:val="18"/>
                <w:szCs w:val="18"/>
                <w:b w:val="1"/>
                <w:bCs w:val="1"/>
                <w:color w:val="auto"/>
                <w:w w:val="91"/>
              </w:rPr>
              <w:t>Options vested and expected to vest as of December 31,</w:t>
            </w:r>
          </w:p>
        </w:tc>
        <w:tc>
          <w:tcPr>
            <w:tcW w:w="1320" w:type="dxa"/>
            <w:vAlign w:val="bottom"/>
            <w:tcBorders>
              <w:top w:val="single" w:sz="8" w:color="auto"/>
            </w:tcBorders>
            <w:shd w:val="clear" w:color="auto" w:fill="CFF2FC"/>
          </w:tcPr>
          <w:p>
            <w:pPr>
              <w:spacing w:after="0"/>
              <w:rPr>
                <w:sz w:val="16"/>
                <w:szCs w:val="16"/>
                <w:color w:val="auto"/>
              </w:rPr>
            </w:pPr>
          </w:p>
        </w:tc>
        <w:tc>
          <w:tcPr>
            <w:tcW w:w="140" w:type="dxa"/>
            <w:vAlign w:val="bottom"/>
            <w:tcBorders>
              <w:top w:val="single" w:sz="8" w:color="CFF2FC"/>
            </w:tcBorders>
            <w:shd w:val="clear" w:color="auto" w:fill="CFF2FC"/>
          </w:tcPr>
          <w:p>
            <w:pPr>
              <w:spacing w:after="0"/>
              <w:rPr>
                <w:sz w:val="16"/>
                <w:szCs w:val="16"/>
                <w:color w:val="auto"/>
              </w:rPr>
            </w:pPr>
          </w:p>
        </w:tc>
        <w:tc>
          <w:tcPr>
            <w:tcW w:w="80" w:type="dxa"/>
            <w:vAlign w:val="bottom"/>
            <w:tcBorders>
              <w:top w:val="single" w:sz="8" w:color="CFF2FC"/>
            </w:tcBorders>
            <w:shd w:val="clear" w:color="auto" w:fill="CFF2FC"/>
          </w:tcPr>
          <w:p>
            <w:pPr>
              <w:spacing w:after="0"/>
              <w:rPr>
                <w:sz w:val="16"/>
                <w:szCs w:val="16"/>
                <w:color w:val="auto"/>
              </w:rPr>
            </w:pPr>
          </w:p>
        </w:tc>
        <w:tc>
          <w:tcPr>
            <w:tcW w:w="200" w:type="dxa"/>
            <w:vAlign w:val="bottom"/>
            <w:tcBorders>
              <w:top w:val="single" w:sz="8" w:color="CFF2FC"/>
            </w:tcBorders>
            <w:shd w:val="clear" w:color="auto" w:fill="CFF2FC"/>
          </w:tcPr>
          <w:p>
            <w:pPr>
              <w:spacing w:after="0"/>
              <w:rPr>
                <w:sz w:val="16"/>
                <w:szCs w:val="16"/>
                <w:color w:val="auto"/>
              </w:rPr>
            </w:pPr>
          </w:p>
        </w:tc>
        <w:tc>
          <w:tcPr>
            <w:tcW w:w="1060" w:type="dxa"/>
            <w:vAlign w:val="bottom"/>
            <w:tcBorders>
              <w:top w:val="single" w:sz="8" w:color="CFF2FC"/>
            </w:tcBorders>
            <w:shd w:val="clear" w:color="auto" w:fill="CFF2FC"/>
          </w:tcPr>
          <w:p>
            <w:pPr>
              <w:spacing w:after="0"/>
              <w:rPr>
                <w:sz w:val="16"/>
                <w:szCs w:val="16"/>
                <w:color w:val="auto"/>
              </w:rPr>
            </w:pPr>
          </w:p>
        </w:tc>
        <w:tc>
          <w:tcPr>
            <w:tcW w:w="240" w:type="dxa"/>
            <w:vAlign w:val="bottom"/>
            <w:tcBorders>
              <w:top w:val="single" w:sz="8" w:color="CFF2FC"/>
            </w:tcBorders>
            <w:shd w:val="clear" w:color="auto" w:fill="CFF2FC"/>
          </w:tcPr>
          <w:p>
            <w:pPr>
              <w:spacing w:after="0"/>
              <w:rPr>
                <w:sz w:val="16"/>
                <w:szCs w:val="16"/>
                <w:color w:val="auto"/>
              </w:rPr>
            </w:pPr>
          </w:p>
        </w:tc>
        <w:tc>
          <w:tcPr>
            <w:tcW w:w="1240" w:type="dxa"/>
            <w:vAlign w:val="bottom"/>
            <w:tcBorders>
              <w:top w:val="single" w:sz="8" w:color="CFF2FC"/>
            </w:tcBorders>
            <w:shd w:val="clear" w:color="auto" w:fill="CFF2FC"/>
          </w:tcPr>
          <w:p>
            <w:pPr>
              <w:spacing w:after="0"/>
              <w:rPr>
                <w:sz w:val="16"/>
                <w:szCs w:val="16"/>
                <w:color w:val="auto"/>
              </w:rPr>
            </w:pPr>
          </w:p>
        </w:tc>
        <w:tc>
          <w:tcPr>
            <w:tcW w:w="220" w:type="dxa"/>
            <w:vAlign w:val="bottom"/>
            <w:tcBorders>
              <w:top w:val="single" w:sz="8" w:color="CFF2FC"/>
            </w:tcBorders>
            <w:shd w:val="clear" w:color="auto" w:fill="CFF2FC"/>
          </w:tcPr>
          <w:p>
            <w:pPr>
              <w:spacing w:after="0"/>
              <w:rPr>
                <w:sz w:val="16"/>
                <w:szCs w:val="16"/>
                <w:color w:val="auto"/>
              </w:rPr>
            </w:pPr>
          </w:p>
        </w:tc>
        <w:tc>
          <w:tcPr>
            <w:tcW w:w="140" w:type="dxa"/>
            <w:vAlign w:val="bottom"/>
            <w:tcBorders>
              <w:top w:val="single" w:sz="8" w:color="CFF2FC"/>
            </w:tcBorders>
            <w:shd w:val="clear" w:color="auto" w:fill="CFF2FC"/>
          </w:tcPr>
          <w:p>
            <w:pPr>
              <w:spacing w:after="0"/>
              <w:rPr>
                <w:sz w:val="16"/>
                <w:szCs w:val="16"/>
                <w:color w:val="auto"/>
              </w:rPr>
            </w:pPr>
          </w:p>
        </w:tc>
        <w:tc>
          <w:tcPr>
            <w:tcW w:w="1120" w:type="dxa"/>
            <w:vAlign w:val="bottom"/>
            <w:tcBorders>
              <w:top w:val="single" w:sz="8" w:color="CFF2FC"/>
            </w:tcBorders>
            <w:shd w:val="clear" w:color="auto" w:fill="CFF2FC"/>
          </w:tcPr>
          <w:p>
            <w:pPr>
              <w:spacing w:after="0"/>
              <w:rPr>
                <w:sz w:val="16"/>
                <w:szCs w:val="16"/>
                <w:color w:val="auto"/>
              </w:rPr>
            </w:pPr>
          </w:p>
        </w:tc>
        <w:tc>
          <w:tcPr>
            <w:tcW w:w="100" w:type="dxa"/>
            <w:vAlign w:val="bottom"/>
            <w:tcBorders>
              <w:top w:val="single" w:sz="8" w:color="CFF2FC"/>
            </w:tcBorders>
            <w:shd w:val="clear" w:color="auto" w:fill="CFF2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20" w:type="dxa"/>
            <w:vAlign w:val="bottom"/>
            <w:tcBorders>
              <w:bottom w:val="single" w:sz="8" w:color="CFF2FC"/>
            </w:tcBorders>
            <w:shd w:val="clear" w:color="auto" w:fill="CFF2FC"/>
          </w:tcPr>
          <w:p>
            <w:pPr>
              <w:spacing w:after="0"/>
              <w:rPr>
                <w:sz w:val="20"/>
                <w:szCs w:val="20"/>
                <w:color w:val="auto"/>
              </w:rPr>
            </w:pPr>
            <w:r>
              <w:rPr>
                <w:rFonts w:ascii="Arial" w:cs="Arial" w:eastAsia="Arial" w:hAnsi="Arial"/>
                <w:sz w:val="18"/>
                <w:szCs w:val="18"/>
                <w:b w:val="1"/>
                <w:bCs w:val="1"/>
                <w:color w:val="auto"/>
              </w:rPr>
              <w:t>2018</w:t>
            </w:r>
          </w:p>
        </w:tc>
        <w:tc>
          <w:tcPr>
            <w:tcW w:w="13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Borders>
              <w:bottom w:val="single" w:sz="8" w:color="CFF2FC"/>
            </w:tcBorders>
            <w:shd w:val="clear" w:color="auto" w:fill="CFF2FC"/>
          </w:tcPr>
          <w:p>
            <w:pPr>
              <w:spacing w:after="0"/>
              <w:rPr>
                <w:sz w:val="20"/>
                <w:szCs w:val="20"/>
                <w:color w:val="auto"/>
              </w:rPr>
            </w:pPr>
          </w:p>
        </w:tc>
        <w:tc>
          <w:tcPr>
            <w:tcW w:w="280" w:type="dxa"/>
            <w:vAlign w:val="bottom"/>
            <w:tcBorders>
              <w:bottom w:val="single" w:sz="8" w:color="CFF2FC"/>
            </w:tcBorders>
            <w:gridSpan w:val="2"/>
            <w:shd w:val="clear" w:color="auto" w:fill="CFF2F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43.67</w:t>
            </w:r>
          </w:p>
        </w:tc>
        <w:tc>
          <w:tcPr>
            <w:tcW w:w="240" w:type="dxa"/>
            <w:vAlign w:val="bottom"/>
            <w:tcBorders>
              <w:bottom w:val="single" w:sz="8" w:color="CFF2FC"/>
            </w:tcBorders>
            <w:shd w:val="clear" w:color="auto" w:fill="CFF2FC"/>
          </w:tcPr>
          <w:p>
            <w:pPr>
              <w:spacing w:after="0"/>
              <w:rPr>
                <w:sz w:val="20"/>
                <w:szCs w:val="20"/>
                <w:color w:val="auto"/>
              </w:rPr>
            </w:pPr>
          </w:p>
        </w:tc>
        <w:tc>
          <w:tcPr>
            <w:tcW w:w="1240" w:type="dxa"/>
            <w:vAlign w:val="bottom"/>
            <w:tcBorders>
              <w:bottom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FF2FC"/>
            </w:tcBorders>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2FC"/>
            </w:tcBorders>
            <w:shd w:val="clear" w:color="auto" w:fill="CFF2FC"/>
          </w:tcPr>
          <w:p>
            <w:pPr>
              <w:jc w:val="right"/>
              <w:spacing w:after="0"/>
              <w:rPr>
                <w:sz w:val="20"/>
                <w:szCs w:val="20"/>
                <w:color w:val="auto"/>
              </w:rPr>
            </w:pPr>
            <w:r>
              <w:rPr>
                <w:rFonts w:ascii="Arial" w:cs="Arial" w:eastAsia="Arial" w:hAnsi="Arial"/>
                <w:sz w:val="18"/>
                <w:szCs w:val="18"/>
                <w:color w:val="auto"/>
              </w:rPr>
              <w:t>90,501</w:t>
            </w:r>
          </w:p>
        </w:tc>
        <w:tc>
          <w:tcPr>
            <w:tcW w:w="100" w:type="dxa"/>
            <w:vAlign w:val="bottom"/>
            <w:tcBorders>
              <w:bottom w:val="single" w:sz="8" w:color="CFF2FC"/>
            </w:tcBorders>
            <w:shd w:val="clear" w:color="auto" w:fill="CFF2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Options exercisable as of December 31, 2018</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32.66</w:t>
            </w: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66,654</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4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20" w:type="dxa"/>
            <w:vAlign w:val="bottom"/>
          </w:tcPr>
          <w:p>
            <w:pPr>
              <w:jc w:val="right"/>
              <w:ind w:right="437"/>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for the year-to-date period ending December 31, 2018:</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tcPr>
          <w:p>
            <w:pPr>
              <w:jc w:val="right"/>
              <w:ind w:right="742"/>
              <w:spacing w:after="0"/>
              <w:rPr>
                <w:sz w:val="20"/>
                <w:szCs w:val="20"/>
                <w:color w:val="auto"/>
              </w:rPr>
            </w:pPr>
            <w:r>
              <w:rPr>
                <w:rFonts w:ascii="Arial" w:cs="Arial" w:eastAsia="Arial" w:hAnsi="Arial"/>
                <w:sz w:val="14"/>
                <w:szCs w:val="14"/>
                <w:b w:val="1"/>
                <w:bCs w:val="1"/>
                <w:color w:val="auto"/>
              </w:rPr>
              <w:t>PSUs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left="122"/>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left="116"/>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2720" w:type="dxa"/>
            <w:vAlign w:val="bottom"/>
            <w:gridSpan w:val="4"/>
          </w:tcPr>
          <w:p>
            <w:pPr>
              <w:jc w:val="center"/>
              <w:ind w:right="96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562"/>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Unvested at September 30, 2018</w:t>
            </w:r>
          </w:p>
        </w:tc>
        <w:tc>
          <w:tcPr>
            <w:tcW w:w="340" w:type="dxa"/>
            <w:vAlign w:val="bottom"/>
          </w:tcPr>
          <w:p>
            <w:pPr>
              <w:spacing w:after="0"/>
              <w:rPr>
                <w:sz w:val="20"/>
                <w:szCs w:val="20"/>
                <w:color w:val="auto"/>
              </w:rPr>
            </w:pPr>
          </w:p>
        </w:tc>
        <w:tc>
          <w:tcPr>
            <w:tcW w:w="2720" w:type="dxa"/>
            <w:vAlign w:val="bottom"/>
            <w:gridSpan w:val="4"/>
          </w:tcPr>
          <w:p>
            <w:pPr>
              <w:ind w:left="4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vMerge w:val="continue"/>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66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50.97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67.13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Vested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68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Cancelled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11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Unvested at December 31, 2018</w:t>
            </w:r>
          </w:p>
        </w:tc>
        <w:tc>
          <w:tcPr>
            <w:tcW w:w="9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40" w:type="dxa"/>
            <w:vAlign w:val="bottom"/>
          </w:tcPr>
          <w:p>
            <w:pPr>
              <w:jc w:val="right"/>
              <w:ind w:right="66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54.68</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is determined based on the intrinsic value of the stock on the date of grant and will be recognized as stock-based compensation expense over the requisite service period. The following table summarizes the restricted stock unit activity for the year-to-date period ending December 31, 2018:</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Restricted Stock</w:t>
            </w:r>
          </w:p>
        </w:tc>
        <w:tc>
          <w:tcPr>
            <w:tcW w:w="38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Units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Unvested at September 30, 2018</w:t>
            </w:r>
          </w:p>
        </w:tc>
        <w:tc>
          <w:tcPr>
            <w:tcW w:w="3200" w:type="dxa"/>
            <w:vAlign w:val="bottom"/>
            <w:gridSpan w:val="4"/>
          </w:tcPr>
          <w:p>
            <w:pPr>
              <w:ind w:left="42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Unvested at December 31,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2018 and 2017, the Company recognized the following stock-based compensation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454"/>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1720"/>
              <w:spacing w:after="0"/>
              <w:rPr>
                <w:sz w:val="20"/>
                <w:szCs w:val="20"/>
                <w:color w:val="auto"/>
              </w:rPr>
            </w:pPr>
            <w:r>
              <w:rPr>
                <w:rFonts w:ascii="Arial" w:cs="Arial" w:eastAsia="Arial" w:hAnsi="Arial"/>
                <w:sz w:val="18"/>
                <w:szCs w:val="18"/>
                <w:color w:val="auto"/>
              </w:rPr>
              <w:t>Research and development</w:t>
            </w:r>
          </w:p>
        </w:tc>
        <w:tc>
          <w:tcPr>
            <w:tcW w:w="26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2,274</w:t>
            </w:r>
          </w:p>
        </w:tc>
        <w:tc>
          <w:tcPr>
            <w:tcW w:w="7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22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22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60" w:type="dxa"/>
            <w:vAlign w:val="bottom"/>
            <w:vMerge w:val="restart"/>
          </w:tcPr>
          <w:p>
            <w:pPr>
              <w:jc w:val="right"/>
              <w:ind w:right="516"/>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13" w:name="page14"/>
    <w:bookmarkEnd w:id="13"/>
    <w:tbl>
      <w:tblPr>
        <w:tblLayout w:type="fixed"/>
        <w:tblInd w:w="172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46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Stock options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3,904</w:t>
            </w:r>
          </w:p>
        </w:tc>
        <w:tc>
          <w:tcPr>
            <w:tcW w:w="60" w:type="dxa"/>
            <w:vAlign w:val="bottom"/>
          </w:tcPr>
          <w:p>
            <w:pPr>
              <w:spacing w:after="0"/>
              <w:rPr>
                <w:sz w:val="20"/>
                <w:szCs w:val="20"/>
                <w:color w:val="auto"/>
              </w:rPr>
            </w:pP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2,948</w:t>
            </w:r>
          </w:p>
        </w:tc>
        <w:tc>
          <w:tcPr>
            <w:tcW w:w="220" w:type="dxa"/>
            <w:vAlign w:val="bottom"/>
          </w:tcPr>
          <w:p>
            <w:pPr>
              <w:spacing w:after="0"/>
              <w:rPr>
                <w:sz w:val="20"/>
                <w:szCs w:val="20"/>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rTSRUs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2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December 31, 2018 and 2017, the Company recognized stock-based compensation expense for PSUs and performance-based options upon achievement of performance-based targets that occurred during their respective periods.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2018, the Company had an aggregate of $48,700 of unrecognized stock-based compensation cost, which is expected to be recognized over a weighted average period of 2.8 years.</w:t>
      </w:r>
    </w:p>
    <w:p>
      <w:pPr>
        <w:spacing w:after="0" w:line="27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for three months ended December 31, 2018 and 2017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108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3160" w:type="dxa"/>
            <w:vAlign w:val="bottom"/>
            <w:gridSpan w:val="4"/>
          </w:tcPr>
          <w:p>
            <w:pPr>
              <w:jc w:val="center"/>
              <w:ind w:left="506"/>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per share:</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19,130</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Net income per share common share—basic</w:t>
            </w: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FF0FC"/>
            </w:tcBorders>
            <w:vMerge w:val="continue"/>
          </w:tcPr>
          <w:p>
            <w:pPr>
              <w:spacing w:after="0"/>
              <w:rPr>
                <w:sz w:val="21"/>
                <w:szCs w:val="21"/>
                <w:color w:val="auto"/>
              </w:rPr>
            </w:pPr>
          </w:p>
        </w:tc>
        <w:tc>
          <w:tcPr>
            <w:tcW w:w="108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share: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26,011</w:t>
            </w:r>
          </w:p>
        </w:tc>
        <w:tc>
          <w:tcPr>
            <w:tcW w:w="148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11,693</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19,130</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4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4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outstanding—diluted</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20,810</w:t>
            </w:r>
          </w:p>
        </w:tc>
        <w:tc>
          <w:tcPr>
            <w:tcW w:w="4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19,918</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260"/>
              <w:spacing w:after="0"/>
              <w:rPr>
                <w:sz w:val="20"/>
                <w:szCs w:val="20"/>
                <w:color w:val="auto"/>
              </w:rPr>
            </w:pPr>
            <w:r>
              <w:rPr>
                <w:rFonts w:ascii="Arial" w:cs="Arial" w:eastAsia="Arial" w:hAnsi="Arial"/>
                <w:sz w:val="18"/>
                <w:szCs w:val="18"/>
                <w:color w:val="auto"/>
              </w:rPr>
              <w:t>Net income per share common share—diluted</w:t>
            </w: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FF0FC"/>
            </w:tcBorders>
            <w:vMerge w:val="continue"/>
          </w:tcPr>
          <w:p>
            <w:pPr>
              <w:spacing w:after="0"/>
              <w:rPr>
                <w:sz w:val="21"/>
                <w:szCs w:val="21"/>
                <w:color w:val="auto"/>
              </w:rPr>
            </w:pPr>
          </w:p>
        </w:tc>
        <w:tc>
          <w:tcPr>
            <w:tcW w:w="1080" w:type="dxa"/>
            <w:vAlign w:val="bottom"/>
            <w:tcBorders>
              <w:top w:val="single" w:sz="8" w:color="auto"/>
              <w:bottom w:val="single" w:sz="8" w:color="auto"/>
            </w:tcBorders>
          </w:tcPr>
          <w:p>
            <w:pPr>
              <w:jc w:val="right"/>
              <w:ind w:right="9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Anti-dilutive common stock equivalents excluded from above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December 31, 2018 and 2017, the Company recorded an income tax expense of $3,730 and $3,644, respectively, which was attributable to the Company’s domestic operations. During the three months ended December 31, 2017, income tax expense included a revaluation adjustment against deferred tax assets of $(3,859) due to a decrease in the federal corporate income tax rate as enacted under the U.S. Tax Cuts and Jobs Act (the “Tax Act”).</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2014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4" w:name="page15"/>
    <w:bookmarkEnd w:id="14"/>
    <w:p>
      <w:pPr>
        <w:ind w:right="40"/>
        <w:spacing w:after="0" w:line="259" w:lineRule="auto"/>
        <w:rPr>
          <w:sz w:val="20"/>
          <w:szCs w:val="20"/>
          <w:color w:val="auto"/>
        </w:rPr>
      </w:pPr>
      <w:r>
        <w:rPr>
          <w:rFonts w:ascii="Arial" w:cs="Arial" w:eastAsia="Arial" w:hAnsi="Arial"/>
          <w:sz w:val="18"/>
          <w:szCs w:val="18"/>
          <w:color w:val="auto"/>
        </w:rPr>
        <w:t>in September 2018, the amount of which was immaterial to the financial statements. The Company is in the process of finalizing the completion of the IRS audit. During October 2018, the Company received notice of examination by the Massachusetts Department of Revenue (“DOR”) for the years ending September 30, 2015 and September 30, 2016. No adjustments have been proposed to date. The Company has not received notice of examination by any other jurisdictions for any other tax year open under statute.</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had an unrecognized tax benefit of $1,950 and $1,792 as of December 31, 2018 and September 30, 2018,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leases for office and laboratory space located in Watertown, Massachusetts that expire in September 2022 and August 2024. Free rent and payment escalations specified in the lease agreements are accrued such that rent expense is recognized on a straight-line basis over the term of occupancy. The Company recorded rent expense of $623 and $506 for the three months ended December 31, 2018 and 2017, respectively.</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one of the leases, the Company has a total outstanding letter of credit in the amount of $608 as of December 31, 2018 and September 30, 2018, collateralized by a money market account. As of December 31, 2018 and September 30, 2018, the Company classified the $608 related to the money market account as long-term restricted cash.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2018.</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2018 included in our Annual Report on Form 10-K for that fiscal year which is referred to as our 2018 Form 10-K. Please refer to our note regarding forward-looking statements on page 2 of this Form 10-Q, which is incorporated herein by this reference.</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newest direct-acting antiviral (DAA) combination and marketed under the tradenames MAVYRET™ (U.S.) or MAVIRET™ (ex-U.S.) (glecaprevir/pibrentasvir). Our royalties from our AbbVie collaboration and our existing financial resources provide us funding to support our wholly-owned research and development programs, which are currently focused on the following disease targets:</w:t>
      </w:r>
    </w:p>
    <w:p>
      <w:pPr>
        <w:spacing w:after="0" w:line="85" w:lineRule="exact"/>
        <w:rPr>
          <w:sz w:val="20"/>
          <w:szCs w:val="20"/>
          <w:color w:val="auto"/>
        </w:rPr>
      </w:pPr>
    </w:p>
    <w:p>
      <w:pPr>
        <w:ind w:left="1040" w:right="4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one year of age in the U.S., resulting in an estimated 57,000 to 125,000 U.S. hospitalizations each year;</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1.5% to 6.5% of the population in the developed world (which translates to approximately 5 to 20 million individuals in the U.S. alone);</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and affects an estimated 17,000 individuals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had $357.3 million in cash and marketable securities at December 31, 2018. We expect our existing financial resources and cash flows from continuing royalties on our HCV products will allow us to continue to fund our wholly owned research and development programs for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virology, namely RSV and HBV, and in liver disease (non-virology), namely NASH and PBC:</w:t>
      </w:r>
    </w:p>
    <w:p>
      <w:pPr>
        <w:spacing w:after="0" w:line="140" w:lineRule="exact"/>
        <w:rPr>
          <w:sz w:val="20"/>
          <w:szCs w:val="20"/>
          <w:color w:val="auto"/>
        </w:rPr>
      </w:pPr>
    </w:p>
    <w:p>
      <w:pPr>
        <w:jc w:val="both"/>
        <w:ind w:left="1040" w:right="8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discovered EDP-938, a potent N-protein inhibitor of activity of both major subgroups of RSV, referred to as RSV-A and RSV-B, and have tested it as our first clinical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54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In our fiscal 2018, we completed a Phase 1 clinical study demonstrating that EDP-938 was generally safe and well tolerated over a broad range of single and multiple doses with good pharmacokinetic data.</w:t>
      </w:r>
    </w:p>
    <w:p>
      <w:pPr>
        <w:spacing w:after="0" w:line="62" w:lineRule="exact"/>
        <w:rPr>
          <w:rFonts w:ascii="Arial" w:cs="Arial" w:eastAsia="Arial" w:hAnsi="Arial"/>
          <w:sz w:val="18"/>
          <w:szCs w:val="18"/>
          <w:color w:val="auto"/>
        </w:rPr>
      </w:pPr>
    </w:p>
    <w:p>
      <w:pPr>
        <w:ind w:left="1540" w:right="100" w:hanging="513"/>
        <w:spacing w:after="0" w:line="25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initiated a Phase 2a challenge study of EDP-938 in October 2018. The challenge study is testing the effect of EDP-938 on healthy volunteers who are infected with RSV and then treated with EDP-938 or placebo during the course of the study. Primary and secondary outcome measures include changes in viral load measurements and change of baseline symptoms. We expect to have top line results from this study in mid-calendar 2019.</w:t>
      </w:r>
    </w:p>
    <w:p>
      <w:pPr>
        <w:spacing w:after="0" w:line="78" w:lineRule="exact"/>
        <w:rPr>
          <w:rFonts w:ascii="Arial" w:cs="Arial" w:eastAsia="Arial" w:hAnsi="Arial"/>
          <w:sz w:val="18"/>
          <w:szCs w:val="18"/>
          <w:color w:val="auto"/>
        </w:rPr>
      </w:pPr>
    </w:p>
    <w:p>
      <w:pPr>
        <w:ind w:left="1540" w:right="1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 xml:space="preserve">Preclinical data demonstrated that EDP-938 is a potent inhibitor of both RSV-A and RSV-B activity, maintaining antiviral activity post-infection while presenting a high barrier to resistance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40" w:right="160" w:hanging="519"/>
        <w:spacing w:after="0" w:line="24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NASH and PBC:</w:t>
      </w:r>
      <w:r>
        <w:rPr>
          <w:rFonts w:ascii="Arial" w:cs="Arial" w:eastAsia="Arial" w:hAnsi="Arial"/>
          <w:sz w:val="1"/>
          <w:szCs w:val="1"/>
          <w:color w:val="auto"/>
        </w:rPr>
        <w:drawing>
          <wp:inline distT="0" distB="0" distL="0" distR="0">
            <wp:extent cx="34290" cy="133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133350"/>
                    </a:xfrm>
                    <a:prstGeom prst="rect">
                      <a:avLst/>
                    </a:prstGeom>
                    <a:noFill/>
                    <a:ln>
                      <a:noFill/>
                    </a:ln>
                  </pic:spPr>
                </pic:pic>
              </a:graphicData>
            </a:graphic>
          </wp:inline>
        </w:drawing>
      </w:r>
      <w:r>
        <w:rPr>
          <w:rFonts w:ascii="Arial" w:cs="Arial" w:eastAsia="Arial" w:hAnsi="Arial"/>
          <w:sz w:val="18"/>
          <w:szCs w:val="18"/>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1040"/>
        <w:spacing w:after="0" w:line="277" w:lineRule="auto"/>
        <w:rPr>
          <w:sz w:val="20"/>
          <w:szCs w:val="20"/>
          <w:color w:val="auto"/>
        </w:rPr>
      </w:pPr>
      <w:r>
        <w:rPr>
          <w:rFonts w:ascii="Arial" w:cs="Arial" w:eastAsia="Arial" w:hAnsi="Arial"/>
          <w:sz w:val="18"/>
          <w:szCs w:val="18"/>
          <w:color w:val="auto"/>
        </w:rPr>
        <w:t>FXR agonists designed to take advantage of increased binding interactions with the receptor. We believe this class is significantly different from other FXR agonists in clinical development.</w:t>
      </w:r>
    </w:p>
    <w:p>
      <w:pPr>
        <w:spacing w:after="0" w:line="62" w:lineRule="exact"/>
        <w:rPr>
          <w:sz w:val="20"/>
          <w:szCs w:val="20"/>
          <w:color w:val="auto"/>
        </w:rPr>
      </w:pPr>
    </w:p>
    <w:p>
      <w:pPr>
        <w:ind w:left="1540" w:right="160" w:hanging="506"/>
        <w:spacing w:after="0" w:line="270" w:lineRule="auto"/>
        <w:tabs>
          <w:tab w:leader="none" w:pos="1540" w:val="left"/>
        </w:tabs>
        <w:numPr>
          <w:ilvl w:val="1"/>
          <w:numId w:val="17"/>
        </w:numPr>
        <w:rPr>
          <w:rFonts w:ascii="Courier New" w:cs="Courier New" w:eastAsia="Courier New" w:hAnsi="Courier New"/>
          <w:sz w:val="17"/>
          <w:szCs w:val="17"/>
          <w:color w:val="auto"/>
        </w:rPr>
      </w:pPr>
      <w:r>
        <w:rPr>
          <w:rFonts w:ascii="Arial" w:cs="Arial" w:eastAsia="Arial" w:hAnsi="Arial"/>
          <w:sz w:val="17"/>
          <w:szCs w:val="17"/>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and the International Liver Congress</w:t>
      </w:r>
      <w:r>
        <w:rPr>
          <w:rFonts w:ascii="Arial" w:cs="Arial" w:eastAsia="Arial" w:hAnsi="Arial"/>
          <w:sz w:val="14"/>
          <w:szCs w:val="14"/>
          <w:color w:val="auto"/>
        </w:rPr>
        <w:t>TM</w:t>
      </w:r>
      <w:r>
        <w:rPr>
          <w:rFonts w:ascii="Arial" w:cs="Arial" w:eastAsia="Arial" w:hAnsi="Arial"/>
          <w:sz w:val="17"/>
          <w:szCs w:val="17"/>
          <w:color w:val="auto"/>
        </w:rPr>
        <w:t xml:space="preserve"> (ILC) 2018. The study included 98 healthy volunteer subjects, or HV subjects, and 48 subjects who were obese and with or without pre-diabetes or type 2 diabetes, whom we refer to as subjects with presumptive non-alcoholic fatty liver disease, or PN subjects.</w:t>
      </w:r>
    </w:p>
    <w:p>
      <w:pPr>
        <w:spacing w:after="0" w:line="72" w:lineRule="exact"/>
        <w:rPr>
          <w:rFonts w:ascii="Courier New" w:cs="Courier New" w:eastAsia="Courier New" w:hAnsi="Courier New"/>
          <w:sz w:val="17"/>
          <w:szCs w:val="17"/>
          <w:color w:val="auto"/>
        </w:rPr>
      </w:pPr>
    </w:p>
    <w:p>
      <w:pPr>
        <w:ind w:left="1540" w:right="120" w:hanging="506"/>
        <w:spacing w:after="0" w:line="253"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 xml:space="preserve">We have presented data at the 2017 and 2018 annual meetings of the American Association for the Study of Liver Diseases (AASLD), the 2017 and 2018 NASH-TAG conferences and the 2017 and 2018 ILC conferences that demonstrated that EDP-305 is a highly selective FXR agonist and shows more potent activity in a variety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NASH models compared to the most advanced NASH candidate in development today, obeticholic acid, or OCA.</w:t>
      </w:r>
    </w:p>
    <w:p>
      <w:pPr>
        <w:spacing w:after="0" w:line="82" w:lineRule="exact"/>
        <w:rPr>
          <w:rFonts w:ascii="Courier New" w:cs="Courier New" w:eastAsia="Courier New" w:hAnsi="Courier New"/>
          <w:sz w:val="18"/>
          <w:szCs w:val="18"/>
          <w:color w:val="auto"/>
        </w:rPr>
      </w:pPr>
    </w:p>
    <w:p>
      <w:pPr>
        <w:ind w:left="1540" w:right="64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We have two ongoing Phase 2 clinical studies of EDP-305, one known as ARGON-1, in NASH patients and the other, known as INTREPID, in PBC patients.</w:t>
      </w:r>
    </w:p>
    <w:p>
      <w:pPr>
        <w:spacing w:after="0" w:line="76" w:lineRule="exact"/>
        <w:rPr>
          <w:rFonts w:ascii="Courier New" w:cs="Courier New" w:eastAsia="Courier New" w:hAnsi="Courier New"/>
          <w:sz w:val="18"/>
          <w:szCs w:val="18"/>
          <w:color w:val="auto"/>
        </w:rPr>
      </w:pPr>
    </w:p>
    <w:p>
      <w:pPr>
        <w:ind w:left="1540" w:right="4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EDP-305 has been granted Fast Track designation by the U.S. Food and Drug Administration (FDA) for the treatment of NASH patients with liver fibrosis and separately for the treatment of PBC.</w:t>
      </w:r>
    </w:p>
    <w:p>
      <w:pPr>
        <w:spacing w:after="0" w:line="76" w:lineRule="exact"/>
        <w:rPr>
          <w:rFonts w:ascii="Courier New" w:cs="Courier New" w:eastAsia="Courier New" w:hAnsi="Courier New"/>
          <w:sz w:val="18"/>
          <w:szCs w:val="18"/>
          <w:color w:val="auto"/>
        </w:rPr>
      </w:pPr>
    </w:p>
    <w:p>
      <w:pPr>
        <w:ind w:left="1540" w:right="8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In addition, we are pursuing research in other classes of FXR agonists as well as other mechanisms that may provide therapeutic benefit in NASH, any of which could be used in combination therapies for NASH.</w:t>
      </w:r>
    </w:p>
    <w:p>
      <w:pPr>
        <w:spacing w:after="0" w:line="76" w:lineRule="exact"/>
        <w:rPr>
          <w:rFonts w:ascii="Courier New" w:cs="Courier New" w:eastAsia="Courier New" w:hAnsi="Courier New"/>
          <w:sz w:val="18"/>
          <w:szCs w:val="18"/>
          <w:color w:val="auto"/>
        </w:rPr>
      </w:pPr>
    </w:p>
    <w:p>
      <w:pPr>
        <w:ind w:left="1040" w:right="2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In November 2018, we announced EDP-514, our first clinical candidate for HBV. EDP-514 is an HBV core inhibitor, also known as a core protein allosteric modulator or capsid assembly modulator.</w:t>
      </w:r>
    </w:p>
    <w:p>
      <w:pPr>
        <w:spacing w:after="0" w:line="62" w:lineRule="exact"/>
        <w:rPr>
          <w:rFonts w:ascii="Arial" w:cs="Arial" w:eastAsia="Arial" w:hAnsi="Arial"/>
          <w:sz w:val="18"/>
          <w:szCs w:val="18"/>
          <w:color w:val="auto"/>
        </w:rPr>
      </w:pPr>
    </w:p>
    <w:p>
      <w:pPr>
        <w:ind w:left="1540" w:right="20" w:hanging="506"/>
        <w:spacing w:after="0" w:line="253"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 xml:space="preserve">EDP-514 was selected from our lead class of HBV compounds that are characterized by potent antiviral activity. </w:t>
      </w:r>
      <w:r>
        <w:rPr>
          <w:rFonts w:ascii="Arial" w:cs="Arial" w:eastAsia="Arial" w:hAnsi="Arial"/>
          <w:sz w:val="18"/>
          <w:szCs w:val="18"/>
          <w:i w:val="1"/>
          <w:iCs w:val="1"/>
          <w:color w:val="auto"/>
        </w:rPr>
        <w:t>In vitro</w:t>
      </w:r>
      <w:r>
        <w:rPr>
          <w:rFonts w:ascii="Arial" w:cs="Arial" w:eastAsia="Arial" w:hAnsi="Arial"/>
          <w:sz w:val="18"/>
          <w:szCs w:val="18"/>
          <w:color w:val="auto"/>
        </w:rPr>
        <w:t>, they are capable of preventing the establishment of cccDNA, are pan-genotypic, are active against known nucleos(t)ide resistant mutants, and are additive to synergistic with nucleoside analogs and other core inhibitors. Members of this class have also demonstrated excellent reduction in HBV titers in a chimeric mouse model with human liver cells.</w:t>
      </w:r>
    </w:p>
    <w:p>
      <w:pPr>
        <w:spacing w:after="0" w:line="82" w:lineRule="exact"/>
        <w:rPr>
          <w:rFonts w:ascii="Courier New" w:cs="Courier New" w:eastAsia="Courier New" w:hAnsi="Courier New"/>
          <w:sz w:val="18"/>
          <w:szCs w:val="18"/>
          <w:color w:val="auto"/>
        </w:rPr>
      </w:pPr>
    </w:p>
    <w:p>
      <w:pPr>
        <w:jc w:val="both"/>
        <w:ind w:left="1540" w:right="160" w:hanging="506"/>
        <w:spacing w:after="0" w:line="254"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In addition, we are also seeking patent protection and conducting preclinical experiments with compounds we have discovered that use other mechanisms to target HBV. We believe that it may be necessary to utilize more than one compound/mechanism for the treatment of HBV and therefore we are pursuing multiple approaches.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Through our Collaborative Development and License Agreement with AbbVie, we have discovered and out-licensed to AbbVie two protease inhibitor compounds that have been clinically tested, manufactured, and commercialized by AbbVie. To date, we have earned all $330.0 million milestone payments under the agreement related to clinical development and commercialization regulatory approvals of these regimens in major markets.</w:t>
      </w:r>
    </w:p>
    <w:p>
      <w:pPr>
        <w:spacing w:after="0" w:line="57" w:lineRule="exact"/>
        <w:rPr>
          <w:sz w:val="20"/>
          <w:szCs w:val="20"/>
          <w:color w:val="auto"/>
        </w:rPr>
      </w:pPr>
    </w:p>
    <w:p>
      <w:pPr>
        <w:ind w:left="1040" w:right="240" w:hanging="519"/>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Glecaprevir:</w:t>
      </w:r>
      <w:r>
        <w:rPr>
          <w:rFonts w:ascii="Arial" w:cs="Arial" w:eastAsia="Arial" w:hAnsi="Arial"/>
          <w:sz w:val="18"/>
          <w:szCs w:val="18"/>
          <w:color w:val="auto"/>
        </w:rPr>
        <w:t xml:space="preserve"> Glecaprevir is the protease inhibitor we discovered that was developed by AbbVie in a fixed-dose combination with its NS5A inhibitor, pibrentasvir, for the treatment of HCV. This combination, currently marketed under the brand names MAVYRET™ (U.S.) and MAVIRET™ (ex-U.S.) and referred to in this report as MAVYRET/MAVIRET, is a novel, once daily, all oral, fixed-dose, ribavirin-free treatment for HCV genotypes 1-6, or GT1-6, which is referred to as being pan-genotypic. In the U.S., EU and Japan it was approved as an 8-week treatment for patients without cirrhosis and new to treatment. Today, these patients are estimated to represent the majority of HCV patients in developed country markets.</w:t>
      </w:r>
    </w:p>
    <w:p>
      <w:pPr>
        <w:spacing w:after="0" w:line="85" w:lineRule="exact"/>
        <w:rPr>
          <w:rFonts w:ascii="Arial" w:cs="Arial" w:eastAsia="Arial" w:hAnsi="Arial"/>
          <w:sz w:val="18"/>
          <w:szCs w:val="18"/>
          <w:color w:val="auto"/>
        </w:rPr>
      </w:pPr>
    </w:p>
    <w:p>
      <w:pPr>
        <w:ind w:left="1040" w:right="40"/>
        <w:spacing w:after="0" w:line="302" w:lineRule="auto"/>
        <w:rPr>
          <w:rFonts w:ascii="Arial" w:cs="Arial" w:eastAsia="Arial" w:hAnsi="Arial"/>
          <w:sz w:val="18"/>
          <w:szCs w:val="18"/>
          <w:color w:val="auto"/>
        </w:rPr>
      </w:pPr>
      <w:r>
        <w:rPr>
          <w:rFonts w:ascii="Arial" w:cs="Arial" w:eastAsia="Arial" w:hAnsi="Arial"/>
          <w:sz w:val="16"/>
          <w:szCs w:val="16"/>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 and the annual royalty tiers return to the lowest tier for sales on and after each January 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left="1040" w:right="20" w:hanging="519"/>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Paritaprevir is the protease inhibitor contained in AbbVie’s initial HCV treatment regimens sold under the tradenames VIEKIRAX</w:t>
      </w:r>
      <w:r>
        <w:rPr>
          <w:rFonts w:ascii="Arial" w:cs="Arial" w:eastAsia="Arial" w:hAnsi="Arial"/>
          <w:sz w:val="15"/>
          <w:szCs w:val="15"/>
          <w:color w:val="auto"/>
        </w:rPr>
        <w:t>®</w:t>
      </w:r>
      <w:r>
        <w:rPr>
          <w:rFonts w:ascii="Arial" w:cs="Arial" w:eastAsia="Arial" w:hAnsi="Arial"/>
          <w:sz w:val="18"/>
          <w:szCs w:val="18"/>
          <w:color w:val="auto"/>
        </w:rPr>
        <w:t xml:space="preserve"> (ex-U.S.) and VIEKIRA PAK</w:t>
      </w:r>
      <w:r>
        <w:rPr>
          <w:rFonts w:ascii="Arial" w:cs="Arial" w:eastAsia="Arial" w:hAnsi="Arial"/>
          <w:sz w:val="15"/>
          <w:szCs w:val="15"/>
          <w:color w:val="auto"/>
        </w:rPr>
        <w:t>®</w:t>
      </w:r>
      <w:r>
        <w:rPr>
          <w:rFonts w:ascii="Arial" w:cs="Arial" w:eastAsia="Arial" w:hAnsi="Arial"/>
          <w:sz w:val="18"/>
          <w:szCs w:val="18"/>
          <w:color w:val="auto"/>
        </w:rPr>
        <w:t xml:space="preserve"> (U.S.) (paritaprevir/ritonavir/ ombitasvir/dasabuvir). These regimens are no longer being actively marketed in regions where MAVYRET/MAVIRET is approved and reimbursed. AbbVie’s paritaprevir-containing regimens were first approved and sold in the U.S. in December 2014. Through our 2017 fiscal year end, our royalty revenues were generated substantially through worldwide net sales of these regimens.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152400</wp:posOffset>
            </wp:positionV>
            <wp:extent cx="4785360" cy="4244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85360"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currently funding all research and development for our wholly-owned programs, which are targeted towards the discovery and development of novel compounds for the treatment of viral infections and liver diseases. In fiscal 2018, we initiated two Phase 2 studies of EDP-305, one in PBC patients, known as the INTREPID study, and one in NASH patients, known as the ARGON-1 study. We also initiated a Phase 2a clinical study of our lead RSV candidate, EDP-938, in October 2018. In November 2018 we announced our selection of EDP-514 as our first candidate for HBV. As a result of these efforts as well as efforts to advance other compounds into substantial preclinical development, we expect to incur substantially greater expenses in fiscal 2019 as we continue to advance our FXR agonist program as well as our RSV and HBV programs.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now exclusively funding our operations primarily through payments received under our collaboration agreement with AbbVie. Our revenue from our collaboration agreement has resulted in our reporting net income in each of our past nine fiscal years. Our revenue is primarily dependent on royalty payments we receive from AbbVie on its sales of MAVYRET/MAVIRET.</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its MAVYRET/MAVIRET regimen, which in the majority of chronic HCV patients only requires 8 weeks of treatment compared to 12 weeks with VIEKIRA PAK</w:t>
      </w:r>
      <w:r>
        <w:rPr>
          <w:rFonts w:ascii="Arial" w:cs="Arial" w:eastAsia="Arial" w:hAnsi="Arial"/>
          <w:sz w:val="15"/>
          <w:szCs w:val="15"/>
          <w:color w:val="auto"/>
        </w:rPr>
        <w:t>®</w:t>
      </w:r>
      <w:r>
        <w:rPr>
          <w:rFonts w:ascii="Arial" w:cs="Arial" w:eastAsia="Arial" w:hAnsi="Arial"/>
          <w:sz w:val="18"/>
          <w:szCs w:val="18"/>
          <w:color w:val="auto"/>
        </w:rPr>
        <w:t xml:space="preserve"> and other HCV regimens, AbbVie initially set a lower list price compared to its original HCV regimens and other HCV products on the market. In 2018, AbbVie has reported increasing MAVYRET/MAVIRET market share and has become the leading HCV treatment in the U.S. and several market geographies in developed countries where it is approved.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500"/>
        <w:spacing w:after="0" w:line="277" w:lineRule="auto"/>
        <w:rPr>
          <w:sz w:val="20"/>
          <w:szCs w:val="20"/>
          <w:color w:val="auto"/>
        </w:rPr>
      </w:pPr>
      <w:r>
        <w:rPr>
          <w:rFonts w:ascii="Arial" w:cs="Arial" w:eastAsia="Arial" w:hAnsi="Arial"/>
          <w:sz w:val="18"/>
          <w:szCs w:val="18"/>
          <w:color w:val="auto"/>
        </w:rPr>
        <w:t>However, the market for HCV therapies remains very dynamic in several jurisdictions where MAVYRET/MAVIRET is already approved or AbbVie is seeking approval, and we cannot predict how that market will continue to evolve.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 uncertainty regarding the level of AbbVie’s future MAVYRET/MAVIRET sales that will generate our royalty revenue and the development risks affecting the extent and timing of our future expenditures for the advancement of our internally developed compounds, it is uncertain whether we will continue to report net income in fiscal 2019 and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revenue is derived from our collaboration agreement with AbbVie. We previously generated all of our royalty revenue from AbbVie’s net sales allocable to paritaprevir, which was part of AbbVie’s initial treatment regimens for HCV approved in the U.S. in December 2014 and in the EU and dozens of other countries subsequently. Since then, AbbVie received approvals of its newest HCV regimen, MAVYRET/MAVIRET, in the U.S. and EU in the summer of 2017. Substantially all our royalty revenues are now derived from the MAVYRET/MAVIRET as this regimen generally has a shorter treatment duration (8-week treatment as approved in the EU, U.S. and Japan versus 12 weeks for paritaprevir and competitive regimens) and is pan-genotypic.</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revenue recognized from our collaboration agreement for the three months ended December 31, 2018 and 2017:</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34"/>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18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3240" w:type="dxa"/>
            <w:vAlign w:val="bottom"/>
            <w:gridSpan w:val="2"/>
          </w:tcPr>
          <w:p>
            <w:pPr>
              <w:jc w:val="right"/>
              <w:ind w:right="12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69,886</w:t>
            </w:r>
          </w:p>
        </w:tc>
        <w:tc>
          <w:tcPr>
            <w:tcW w:w="460" w:type="dxa"/>
            <w:vAlign w:val="bottom"/>
          </w:tcPr>
          <w:p>
            <w:pPr>
              <w:spacing w:after="0"/>
              <w:rPr>
                <w:sz w:val="19"/>
                <w:szCs w:val="19"/>
                <w:color w:val="auto"/>
              </w:rPr>
            </w:pPr>
          </w:p>
        </w:tc>
        <w:tc>
          <w:tcPr>
            <w:tcW w:w="66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23,109</w:t>
            </w:r>
          </w:p>
        </w:tc>
        <w:tc>
          <w:tcPr>
            <w:tcW w:w="500" w:type="dxa"/>
            <w:vAlign w:val="bottom"/>
          </w:tcPr>
          <w:p>
            <w:pPr>
              <w:spacing w:after="0"/>
              <w:rPr>
                <w:sz w:val="19"/>
                <w:szCs w:val="19"/>
                <w:color w:val="auto"/>
              </w:rPr>
            </w:pPr>
          </w:p>
        </w:tc>
      </w:tr>
      <w:tr>
        <w:trPr>
          <w:trHeight w:val="230"/>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18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shd w:val="clear" w:color="auto" w:fill="CFF0FC"/>
          </w:tcPr>
          <w:p>
            <w:pPr>
              <w:spacing w:after="0"/>
              <w:rPr>
                <w:sz w:val="19"/>
                <w:szCs w:val="19"/>
                <w:color w:val="auto"/>
              </w:rPr>
            </w:pPr>
          </w:p>
        </w:tc>
      </w:tr>
      <w:tr>
        <w:trPr>
          <w:trHeight w:val="223"/>
        </w:trPr>
        <w:tc>
          <w:tcPr>
            <w:tcW w:w="32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8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69,886</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50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Since all of our research obligations under the AbbVie agreement were concluded by June 30, 2011, all milestone payments received since then have been recognized as revenue upon achievement of each milestone by AbbVie. Additionally, during the three months ended December 31, 2017, we earned and recognized as revenue the last milestone payment for glecaprevir, which was a $15.0 million milestone payment upon AbbVie’s achievement of commercialization regulatory approval of MAVIRET™ in Japan. There are no further milestones available to be earned under our AbbVie agreement.</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currently receive annually tiered, double-digit royalties per protease inhibitor product on AbbVie’s net sales allocable to either of our collaboration’s protease inhibitor products.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expect all of our revenue in fiscal 2019 to be generated from our collaboration agreement with AbbVie.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2018 and 2017:</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34,878</w:t>
            </w:r>
          </w:p>
        </w:tc>
        <w:tc>
          <w:tcPr>
            <w:tcW w:w="8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3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42,030</w:t>
            </w:r>
          </w:p>
        </w:tc>
        <w:tc>
          <w:tcPr>
            <w:tcW w:w="3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3" w:lineRule="exact"/>
        <w:rPr>
          <w:sz w:val="20"/>
          <w:szCs w:val="20"/>
          <w:color w:val="auto"/>
        </w:rPr>
      </w:pPr>
    </w:p>
    <w:p>
      <w:pPr>
        <w:ind w:left="1040" w:right="9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RSV, NASH, PBC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publicly traded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income (expense) consists of interest income, interest expense and the change in fair value of our outstanding Series 1 nonconvertible preferred stock and, during the periods the Series 1 nonconvertible preferred stock warrants were outstanding, the change in fair value of our warrant liability. Interest income consists of interest earned on our cash equivalents and short-term and long-term marketable securities balances as well as interest earned for any refunds received from tax authorities. Interest expense consists of interest expense related to our capital lease obligation. The change in fair value of our Series 1 nonconvertible preferred stock (and warrant liability when the warrants were outstanding) relates to the remeasurement of these financial instruments from period to period as these instruments may require a transfer of assets because of the liquidation preference features of the underlying stock. The change in fair value in fiscal 2018 also includes the forfeiture of unexercised warrants which expired on October 4, 2017.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Income tax expense is based on our best estimate of applicable income tax rates for the entire fiscal year applied to pre-tax profit or loss reported for the year-to-date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69,886</w:t>
            </w:r>
          </w:p>
        </w:tc>
        <w:tc>
          <w:tcPr>
            <w:tcW w:w="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38,109</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34,878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17,962</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Borders>
              <w:right w:val="single" w:sz="8" w:color="CFF2FC"/>
            </w:tcBorders>
            <w:shd w:val="clear" w:color="auto" w:fill="CFF0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20" w:type="dxa"/>
            <w:vAlign w:val="bottom"/>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(3,730)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(3,644)</w:t>
            </w:r>
          </w:p>
        </w:tc>
      </w:tr>
      <w:tr>
        <w:trPr>
          <w:trHeight w:val="581"/>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17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1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69,886</w:t>
            </w:r>
          </w:p>
        </w:tc>
        <w:tc>
          <w:tcPr>
            <w:tcW w:w="60" w:type="dxa"/>
            <w:vAlign w:val="bottom"/>
          </w:tcPr>
          <w:p>
            <w:pPr>
              <w:spacing w:after="0"/>
              <w:rPr>
                <w:sz w:val="19"/>
                <w:szCs w:val="19"/>
                <w:color w:val="auto"/>
              </w:rPr>
            </w:pP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23,109</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170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38,109</w:t>
            </w:r>
          </w:p>
        </w:tc>
        <w:tc>
          <w:tcPr>
            <w:tcW w:w="8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recognized revenue of $69.9 million during the three months ended December 31, 2018 as compared to $38.1 million during the three months ended December 31, 2017. During the three months ended December 31, 2018, substantially all of our revenue consisted of royalties earned on the portion of AbbVie’s net sales of MAVYRET/MAVIRET. During the three months ended December 31, 2017, revenue consisted of a $15.0 million milestone earned upon AbbVie’s achievement of commercialization regulatory approval of MAVIRET™ in Japan, as well as royalties earned on the portion of AbbVie’s net sales of its HCV treatment regimens allocable to glecaprevir or paritaprevir.</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revenue is generated through our collaboration with AbbVie. Our collaboration’s MAVYRET/MAVIRET regimen, a pan-genotypic treatment combining two DAAs, began commercialization in the third calendar quarter of 2017, following its approval in the EU and the U.S. We are entitled to annually tiered, double-digit, per-product royalties on 50% of all net sales of MAVYRET/MAVIRET. Our royalty revenues eligible to be earned in the future will potentially fluctuate depending on AbbVie’s HCV market share, the pricing of the MAVYRET/MAVIRET regimen and number of patients treated. Beginning with each January 1, the cumulative net sales of each royalty-bearing product start at zero for purposes of calculating the tiered royalties on a product-by-product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18,655</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10,710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7,222</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Research and development expense increased by $16.9 million for the three months ended December 31, 2018 as compared to the same period in 2017. The increase was primarily due to progression of preclinical and clinical activities in our liver disease and virology programs. In fiscal 2018 we initiated two Phase 2 studies of EDP-305 and advanced other compounds in preclinical development in our liver disease program. In fiscal 2018 we also completed a Phase 1 clinical study of EDP-938 and prepared for a Phase 2a challenge study of EDP-938, which we initiated in October 2018, in our virology program. In November 2018, we announced our first clinical candidate for HBV, also in our virology program. Increases in our research and development expenses were driven by an increase in headcount to support our programs and an increase in external costs for clinical and preclinical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General and administrative expenses increased by $1.4 million for the three months ended December 31, 2018 as compared to the same period in 2017. The increase was primarily due to an increase in compensation expense due to increased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Other income (expense), net, increased $0.9 million for the three months ended December 31, 2018 as compared to the same period in 2017 due to an increase in interest income due primarily to changes in interest rates for the period ended December 31, 2018 as compared to the same period in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three months ended December 31, 2018 and 2017, we recorded an income tax expense of $3.7 million and $3.6 million, respectively. Income tax expense for the three months ended December 31, 2018 was driven primarily by our pre-tax income for the year. During the three months ended December 31, 2017, our income tax expense included a revaluation adjustment against deferred tax assets of $(3.8) million due to a decrease in the federal corporate income tax rate as enacted under the U.S. Tax Cuts and Jobs Act (the “Tax Act”). We also recorded an income tax benefit of $0.2 million primarily related to tax deductions for stock option activity which is now recorded in income tax expense (benefit) due to the adoption of ASU 2016-09 during the first quarter of fiscal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2018, our principal sources of liquidity were cash, cash equivalents and short-term and long-term marketable securities totaling $357.3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December 31, 2018 and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4"/>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8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30,254</w:t>
            </w:r>
          </w:p>
        </w:tc>
        <w:tc>
          <w:tcPr>
            <w:tcW w:w="360" w:type="dxa"/>
            <w:vAlign w:val="bottom"/>
          </w:tcPr>
          <w:p>
            <w:pPr>
              <w:spacing w:after="0"/>
              <w:rPr>
                <w:sz w:val="19"/>
                <w:szCs w:val="19"/>
                <w:color w:val="auto"/>
              </w:rPr>
            </w:pP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(20,931)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3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10,463</w:t>
            </w: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80" w:type="dxa"/>
            <w:vAlign w:val="bottom"/>
            <w:vMerge w:val="restart"/>
          </w:tcPr>
          <w:p>
            <w:pPr>
              <w:ind w:left="390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cash provided by operating activities of $25.8 million for the three months ended December 31, 2018 as compared to the same period in 2017 was primarily driven by increased net income year-over-year and net cash used by changes in our operating assets and liabilities of $0.4 million in the three months ended December 31, 2018 as compared to net cash used by changes in our operating assets and liabilities of $14.7 million for the same period in 2017. Changes in our operating assets and liabilities in both periods were generally due to payments received under our collaboration with AbbVie, the advancement of our research programs and the timing of vendor invoicing and payments.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increase in cash used in investing activities of $18.5 million for the three months ended December 31, 2018 as compared to the same period in 2017 was driven by the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increase in net cash provided by financing activities of $0.7 million for the three months ended December 31, 2018 as compared to the same period in 2017 was driven by an increase in exercises of stock options during the three months ended December 31, 2018 as compared to the same period in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2018, we had $357.3 million in cash, cash equivalents and short-term and long-term marketable securities. We believe that our existing cash, cash equivalents and marketable securities as of December 31, 2018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our research programs;</w:t>
      </w:r>
    </w:p>
    <w:p>
      <w:pPr>
        <w:spacing w:after="0" w:line="117"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manufacturing our product candidates for clinical development and any products we successfully commercialize independently;</w:t>
      </w:r>
    </w:p>
    <w:p>
      <w:pPr>
        <w:spacing w:after="0" w:line="128" w:lineRule="exact"/>
        <w:rPr>
          <w:rFonts w:ascii="Arial" w:cs="Arial" w:eastAsia="Arial" w:hAnsi="Arial"/>
          <w:sz w:val="17"/>
          <w:szCs w:val="17"/>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therapeutic candidates and therapies;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760" w:right="76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17"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2018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three months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2018 (referred to as our 2018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Accrual of research and development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1, 2018, we adopted the new revenue standard, ASU 2014-09 and its related amendments, which amended revenue recognition principles and provides a single, comprehensive set of criteria for revenue recognition within and across all industries (“ASC 606”).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We will apply the guidance in ASC 606 to our one ongoing collaboration agreement under which we are eligible to earn sales-based royalties and to qualifying arrangements entered into after October 1, 2018. We recognize revenue related to the sales-based royalties in the period in which the underlying sales occur based on actual sales as communicated by the licensee. The license is deemed to be the predominant item to which the royalties relate.</w:t>
      </w:r>
    </w:p>
    <w:p>
      <w:pPr>
        <w:spacing w:after="0" w:line="84"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Other than the adoption of ASC 606 in the first quarter of fiscal 2019, there have been no significant changes to our critical accounting policies since September 30, 2018. For further information, please see the discussion of critical accounting policies included in our 2018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had cash, cash equivalents and short-term and long-term marketable securities of $357.3 million at December 31, 2018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 Other than our capital lease obligation, we had no debt outstanding as of December 31, 2018.</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400"/>
          </w:cols>
          <w:pgMar w:left="240" w:top="328" w:right="25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60"/>
          </w:cols>
          <w:pgMar w:left="240" w:top="328" w:right="259" w:bottom="1440" w:gutter="0" w:footer="0" w:header="0"/>
          <w:type w:val="continuous"/>
        </w:sectPr>
      </w:pPr>
    </w:p>
    <w:p>
      <w:pPr>
        <w:spacing w:after="0" w:line="254" w:lineRule="auto"/>
        <w:rPr>
          <w:sz w:val="20"/>
          <w:szCs w:val="20"/>
          <w:color w:val="auto"/>
        </w:rPr>
      </w:pPr>
      <w:r>
        <w:rPr>
          <w:rFonts w:ascii="Arial" w:cs="Arial" w:eastAsia="Arial" w:hAnsi="Arial"/>
          <w:sz w:val="18"/>
          <w:szCs w:val="18"/>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3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statement of risk factors provided in this Item 1A includes any material changes to and supersedes the statement of risk factors associated with our business previously disclosed in Item 1A of our Annual Report on Form 10-K for the fiscal year ended September 30, 2018 filed on November 29, 2018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4" w:lineRule="exact"/>
        <w:rPr>
          <w:sz w:val="20"/>
          <w:szCs w:val="20"/>
          <w:color w:val="auto"/>
        </w:rPr>
      </w:pPr>
    </w:p>
    <w:p>
      <w:pPr>
        <w:ind w:left="1040" w:right="3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payers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payers and governmental entities;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140"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be able to manufacture glecaprevir in compliance with requirements of the FDA and similar foreign regulatory agencies and in commercial quantities sufficient to meet market demand.</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26" w:name="page27"/>
    <w:bookmarkEnd w:id="26"/>
    <w:p>
      <w:pPr>
        <w:ind w:right="60"/>
        <w:spacing w:after="0" w:line="255" w:lineRule="auto"/>
        <w:rPr>
          <w:sz w:val="20"/>
          <w:szCs w:val="20"/>
          <w:color w:val="auto"/>
        </w:rPr>
      </w:pPr>
      <w:r>
        <w:rPr>
          <w:rFonts w:ascii="Arial" w:cs="Arial" w:eastAsia="Arial" w:hAnsi="Arial"/>
          <w:sz w:val="18"/>
          <w:szCs w:val="18"/>
          <w:color w:val="auto"/>
        </w:rPr>
        <w:t>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For example, in November 2018, AbbVie entered into a royalty-free licensing agreement with the Medicines Patent Pool to accelerate access to AbbVie’s pan-genotypic HCV treatment glecaprevir/pibrentasvir (G/P) in 99 low- and middle-income countries and territories by granting World Health Organization prequalified generic manufacturers licenses to manufacture and supply generic versions of G/P for distribution in those countries. AbbVie may also make decisions with which we do not agree. If AbbVie acts in a manner that is not in our best interest, then it could adversely affect our business and prospects.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quarterly royalty revenue from AbbVie’s net sales of its MAVYRET/MAVIRET regimen have grown substantially even as it is priced well below the pricing of AbbVie’s first HCV regimens, and below that of its principal competitor, Gilead. While commercialization of this regimen is exclusively in AbbVie’s control without any required input from us, we believe it is possible that prices will decline further due to payers obtaining additional discounts or competitive market dynamics. For example, the states of Louisiana and Washington have each announced efforts to negotiate a blanket price for one of the HCV drug companies to treat all patients in one or more state programs. In addition, there may be fluctuation in AbbVie’s market share over time due to competitive actions by Gilead. We also note Gilead has reported a decline year over year across most major geographic markets in the number of new patients starting on DAA treatments for HCV.</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such regimen and our royalty revenue derived from its sales.</w:t>
      </w:r>
    </w:p>
    <w:p>
      <w:pPr>
        <w:spacing w:after="0" w:line="3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88"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4"/>
          <w:szCs w:val="14"/>
          <w:color w:val="auto"/>
        </w:rPr>
        <w:t>®</w:t>
      </w:r>
      <w:r>
        <w:rPr>
          <w:rFonts w:ascii="Arial" w:cs="Arial" w:eastAsia="Arial" w:hAnsi="Arial"/>
          <w:sz w:val="17"/>
          <w:szCs w:val="17"/>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4"/>
          <w:szCs w:val="14"/>
          <w:color w:val="auto"/>
        </w:rPr>
        <w:t>®</w:t>
      </w:r>
      <w:r>
        <w:rPr>
          <w:rFonts w:ascii="Arial" w:cs="Arial" w:eastAsia="Arial" w:hAnsi="Arial"/>
          <w:sz w:val="17"/>
          <w:szCs w:val="17"/>
          <w:color w:val="auto"/>
        </w:rPr>
        <w:t xml:space="preserve"> (a fixed-dose combination of sofosbuvir and ledipasvir); and to a lesser extent - Merck’s Zepatier</w:t>
      </w:r>
      <w:r>
        <w:rPr>
          <w:rFonts w:ascii="Arial" w:cs="Arial" w:eastAsia="Arial" w:hAnsi="Arial"/>
          <w:sz w:val="14"/>
          <w:szCs w:val="14"/>
          <w:color w:val="auto"/>
        </w:rPr>
        <w:t>®</w:t>
      </w:r>
      <w:r>
        <w:rPr>
          <w:rFonts w:ascii="Arial" w:cs="Arial" w:eastAsia="Arial" w:hAnsi="Arial"/>
          <w:sz w:val="17"/>
          <w:szCs w:val="17"/>
          <w:color w:val="auto"/>
        </w:rPr>
        <w:t xml:space="preserve"> (a fixed-dose combination of grazoprevir and elbasvir). Recently, Gilead announced plans to launch authorized generic versions of Epclusa and Harvoni in January 2019 through a newly created subsidiary, Asegua Therapeutics, LLC.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the collaboration agreement provides that the royalty rate applicable to our protease product contained in the regimen is reduced significantly by a specified percentage on a product-by-product, country-by-country basis.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ind w:right="40"/>
        <w:spacing w:after="0" w:line="277" w:lineRule="auto"/>
        <w:rPr>
          <w:sz w:val="20"/>
          <w:szCs w:val="20"/>
          <w:color w:val="auto"/>
        </w:rPr>
      </w:pPr>
      <w:r>
        <w:rPr>
          <w:rFonts w:ascii="Arial" w:cs="Arial" w:eastAsia="Arial" w:hAnsi="Arial"/>
          <w:sz w:val="18"/>
          <w:szCs w:val="18"/>
          <w:color w:val="auto"/>
        </w:rPr>
        <w:t>If AbbVie is not able to compete effectively against its competitors in HCV, our business will not grow and our financial condition, operations and stock price will suffer.</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We are aware of several companies with NASH programs that are significantly more advanced than ours, including companies with compounds in Phase 3 clinical trials in NASH, namely Intercept, Genfit, Gilead, and Tobira (Allergan). In May 2016, the FDA granted conditional approval for Intercept’s FXR agonist (brand name Ocaliva</w:t>
      </w:r>
      <w:r>
        <w:rPr>
          <w:rFonts w:ascii="Arial" w:cs="Arial" w:eastAsia="Arial" w:hAnsi="Arial"/>
          <w:sz w:val="14"/>
          <w:szCs w:val="14"/>
          <w:color w:val="auto"/>
        </w:rPr>
        <w:t>®</w:t>
      </w:r>
      <w:r>
        <w:rPr>
          <w:rFonts w:ascii="Arial" w:cs="Arial" w:eastAsia="Arial" w:hAnsi="Arial"/>
          <w:sz w:val="17"/>
          <w:szCs w:val="17"/>
          <w:color w:val="auto"/>
        </w:rPr>
        <w:t>) for the treatment of primary biliary cholangitis (PBC) in combination with first line therapy ursodeoxycholic acid (UDCA) in adults with an inadequate response to UDCA, or as monotherapy in adults unable to tolerate UDCA. In addition, a number of companies have NASH or related programs with compounds in Phase 2 clinical trials. These companies include Alberio, Astra-Zeneca, BMS, Boehringer Ingelheim, Can-Fite BioPharma, Conatus, Cirius, Cymabay, Galectin, Galmed, Gemphire Therapeutics, Gilead, GlaxoSmithKline, Immuron, Inventiva, Madrigal, Medicinova, Northsea Therapeutics, Novartis, NGM, Novo Nordisk, Pfizer, Second Genome, Viking and Zydus. A significant number of other companies are conducting earlier stage clinical trials that may be applicable in NASH and other cholestatic diseases. There are also additional companies conducting preclinical studies in these disease areas.</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Assembly, Gilead, HEC, Ionis, Johnson &amp; Johnson, Maxwell, Replicor, Roche and Spring Bank have Phase 2 programs in progress, with many of these companies conducting earlier stage programs as well. In addition, a number of companies have Phase 1 or earlier stage HBV programs, including Aicuris, Altimmune, Arrowhead, Dicerna, Enyo, Transgene and Vir.</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as does Ablynx with a potential therapeutic antibody.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PBC and HBV programs, we will need to successfully:</w:t>
      </w:r>
    </w:p>
    <w:p>
      <w:pPr>
        <w:spacing w:after="0" w:line="79" w:lineRule="exact"/>
        <w:rPr>
          <w:sz w:val="20"/>
          <w:szCs w:val="20"/>
          <w:color w:val="auto"/>
        </w:rPr>
      </w:pPr>
    </w:p>
    <w:p>
      <w:pPr>
        <w:ind w:left="1040" w:right="1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EDP-305, EDP-938 and/or EDP-514 or in discovering further product candidates in addition to those product candidates, our ability to expand our business and achieve our strategic objectives will be impaired.</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3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results of operations to fluctuate from period to period, which may result in operating losses.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net income results primarily from the revenue we earn from AbbVie on net sales of its HCV regimens allocated to our protease inhibitors included in those regimens. There is no assurance, however, that we will report net income in subsequent years. To date, we have not commercialized any products ourselves.</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77" w:lineRule="exact"/>
        <w:rPr>
          <w:sz w:val="20"/>
          <w:szCs w:val="20"/>
          <w:color w:val="auto"/>
        </w:rPr>
      </w:pPr>
    </w:p>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our research programs;</w:t>
      </w:r>
    </w:p>
    <w:p>
      <w:pPr>
        <w:spacing w:after="0" w:line="117" w:lineRule="exact"/>
        <w:rPr>
          <w:rFonts w:ascii="Arial" w:cs="Arial" w:eastAsia="Arial" w:hAnsi="Arial"/>
          <w:sz w:val="18"/>
          <w:szCs w:val="18"/>
          <w:color w:val="auto"/>
        </w:rPr>
      </w:pPr>
    </w:p>
    <w:p>
      <w:pPr>
        <w:ind w:left="760" w:right="36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manufacturing our product candidates for clinical development and any products we successfully commercialize independently;</w:t>
      </w:r>
    </w:p>
    <w:p>
      <w:pPr>
        <w:spacing w:after="0" w:line="128" w:lineRule="exact"/>
        <w:rPr>
          <w:rFonts w:ascii="Arial" w:cs="Arial" w:eastAsia="Arial" w:hAnsi="Arial"/>
          <w:sz w:val="17"/>
          <w:szCs w:val="17"/>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therapeutic candidates and therapies;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760" w:right="78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0" w:name="page31"/>
    <w:bookmarkEnd w:id="30"/>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amount of any sales of our product candidates, if any, or royalties thereon;</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new collaborations, licensing or other arrangements, if any, and the financial terms of such arrangements;</w:t>
      </w:r>
    </w:p>
    <w:p>
      <w:pPr>
        <w:spacing w:after="0" w:line="117"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 and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46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72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NASH, PBC or HBV;</w:t>
      </w:r>
    </w:p>
    <w:p>
      <w:pPr>
        <w:spacing w:after="0" w:line="62" w:lineRule="exact"/>
        <w:rPr>
          <w:rFonts w:ascii="Arial" w:cs="Arial" w:eastAsia="Arial" w:hAnsi="Arial"/>
          <w:sz w:val="18"/>
          <w:szCs w:val="18"/>
          <w:color w:val="auto"/>
        </w:rPr>
      </w:pPr>
    </w:p>
    <w:p>
      <w:pPr>
        <w:ind w:left="1040" w:right="320" w:hanging="519"/>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right="2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27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EDP-305, EDP-938, EDP-514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5"/>
          <w:szCs w:val="15"/>
          <w:color w:val="auto"/>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7"/>
          <w:szCs w:val="17"/>
          <w:color w:val="212121"/>
        </w:rPr>
        <w:t>development programs being negatively affected</w:t>
      </w:r>
      <w:r>
        <w:rPr>
          <w:rFonts w:ascii="Arial" w:cs="Arial" w:eastAsia="Arial" w:hAnsi="Arial"/>
          <w:sz w:val="17"/>
          <w:szCs w:val="17"/>
          <w:color w:val="auto"/>
        </w:rPr>
        <w:t xml:space="preserve"> </w:t>
      </w:r>
      <w:r>
        <w:rPr>
          <w:rFonts w:ascii="Arial" w:cs="Arial" w:eastAsia="Arial" w:hAnsi="Arial"/>
          <w:sz w:val="17"/>
          <w:szCs w:val="17"/>
          <w:color w:val="212121"/>
        </w:rPr>
        <w:t>even if such events or symptoms are ultimately determined to be unlikely related to our drug candidates.</w:t>
      </w:r>
    </w:p>
    <w:p>
      <w:pPr>
        <w:spacing w:after="0" w:line="2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in HBV,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3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60"/>
        <w:spacing w:after="0" w:line="291" w:lineRule="auto"/>
        <w:rPr>
          <w:sz w:val="20"/>
          <w:szCs w:val="20"/>
          <w:color w:val="auto"/>
        </w:rPr>
      </w:pPr>
      <w:r>
        <w:rPr>
          <w:rFonts w:ascii="Arial" w:cs="Arial" w:eastAsia="Arial" w:hAnsi="Arial"/>
          <w:sz w:val="16"/>
          <w:szCs w:val="16"/>
          <w:color w:val="auto"/>
        </w:rPr>
        <w:t>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ourself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the EMA or other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2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99"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4" w:name="page35"/>
    <w:bookmarkEnd w:id="34"/>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Even if AbbVie continues to successfully commercialize MAVYRET/MAVIRET, or even if we are able to commercialize any other treatment regimen containing one of our product candidates from any of our proprietary discovery programs, MAVYRET/MAVIRET or the resulting products, as the case may be,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or any amendment to it will continue to have in general or specifically on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on AbbVie’s commercialization of its HCV regimens.</w:t>
      </w:r>
    </w:p>
    <w:p>
      <w:pPr>
        <w:spacing w:after="0" w:line="18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ability to commercialize any product candidate successfully, as well as AbbVie’s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20"/>
        <w:spacing w:after="0" w:line="270" w:lineRule="auto"/>
        <w:rPr>
          <w:sz w:val="20"/>
          <w:szCs w:val="20"/>
          <w:color w:val="auto"/>
        </w:rPr>
      </w:pPr>
      <w:r>
        <w:rPr>
          <w:rFonts w:ascii="Arial" w:cs="Arial" w:eastAsia="Arial" w:hAnsi="Arial"/>
          <w:sz w:val="17"/>
          <w:szCs w:val="17"/>
          <w:color w:val="auto"/>
        </w:rPr>
        <w:t>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right="8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MAVYRET/MAVIRET, as well as EDP-305, EDP-938, EDP-514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40" w:right="38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left="1040" w:right="1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manufacturing processes, including any failure to deliver sufficient quantities of product candidates in a timely manner, could lead to a delay in, or failure to obtain, regulatory approval of any of our product candidates.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6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0" w:name="page41"/>
    <w:bookmarkEnd w:id="40"/>
    <w:p>
      <w:pPr>
        <w:ind w:right="420"/>
        <w:spacing w:after="0" w:line="277" w:lineRule="auto"/>
        <w:rPr>
          <w:sz w:val="20"/>
          <w:szCs w:val="20"/>
          <w:color w:val="auto"/>
        </w:rPr>
      </w:pPr>
      <w:r>
        <w:rPr>
          <w:rFonts w:ascii="Arial" w:cs="Arial" w:eastAsia="Arial" w:hAnsi="Arial"/>
          <w:sz w:val="18"/>
          <w:szCs w:val="18"/>
          <w:color w:val="auto"/>
        </w:rPr>
        <w:t>and technology, if any, and a failure to obtain adequate intellectual property protection with respect to our product candidates and proprietary technology could have a material adverse impact on our business.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right="80"/>
        <w:spacing w:after="0" w:line="279" w:lineRule="auto"/>
        <w:rPr>
          <w:sz w:val="20"/>
          <w:szCs w:val="20"/>
          <w:color w:val="auto"/>
        </w:rPr>
      </w:pPr>
      <w:r>
        <w:rPr>
          <w:rFonts w:ascii="Arial" w:cs="Arial" w:eastAsia="Arial" w:hAnsi="Arial"/>
          <w:sz w:val="17"/>
          <w:szCs w:val="17"/>
          <w:color w:val="auto"/>
        </w:rPr>
        <w:t>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right="1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43" w:name="page44"/>
    <w:bookmarkEnd w:id="43"/>
    <w:p>
      <w:pPr>
        <w:ind w:left="1040" w:hanging="519"/>
        <w:spacing w:after="0" w:line="259"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3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2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00" w:hanging="519"/>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20" w:hanging="519"/>
        <w:spacing w:after="0" w:line="286"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5" w:name="page46"/>
    <w:bookmarkEnd w:id="45"/>
    <w:p>
      <w:pPr>
        <w:ind w:left="1040" w:right="140" w:hanging="519"/>
        <w:spacing w:after="0" w:line="25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80" w:hanging="519"/>
        <w:spacing w:after="0" w:line="308"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10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80" w:hanging="519"/>
        <w:spacing w:after="0" w:line="276"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line="264" w:lineRule="auto"/>
        <w:rPr>
          <w:sz w:val="20"/>
          <w:szCs w:val="20"/>
          <w:color w:val="auto"/>
        </w:rPr>
      </w:pPr>
      <w:r>
        <w:rPr>
          <w:rFonts w:ascii="Arial" w:cs="Arial" w:eastAsia="Arial" w:hAnsi="Arial"/>
          <w:sz w:val="18"/>
          <w:szCs w:val="18"/>
          <w:color w:val="auto"/>
        </w:rPr>
        <w:t>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stock price has been volatile and could be subject to wide fluctuations in response to various factors, many of which are beyond our control. Since our initial public offering in March 2013 and through February 1, 2019, the price of our common stock on the NASDAQ Global Select Market has ranged from $16.18 to $127.77.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5" w:lineRule="exact"/>
        <w:rPr>
          <w:sz w:val="20"/>
          <w:szCs w:val="20"/>
          <w:color w:val="auto"/>
        </w:rPr>
      </w:pPr>
    </w:p>
    <w:p>
      <w:pPr>
        <w:ind w:left="1040" w:right="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containing glecaprevir as approved in the U.S., EU and Japan, including announcements regarding regulatory or commercial developments;</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40" w:hanging="519"/>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8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$4.7 million for severance and other non-equity-based benefits in the event of a termination of employment in connection with a change of control of our company. In addition, based on the closing price of our common stock as of December 31, 2018 of $70.83 per common share, the aggregate intrinsic value of unvested stock options and other equity awards subject to accelerated vesting upon these events was $29.3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ind w:right="60"/>
        <w:spacing w:after="0" w:line="276" w:lineRule="auto"/>
        <w:rPr>
          <w:sz w:val="20"/>
          <w:szCs w:val="20"/>
          <w:color w:val="auto"/>
        </w:rPr>
      </w:pPr>
      <w:r>
        <w:rPr>
          <w:rFonts w:ascii="Arial" w:cs="Arial" w:eastAsia="Arial" w:hAnsi="Arial"/>
          <w:sz w:val="17"/>
          <w:szCs w:val="17"/>
          <w:color w:val="auto"/>
        </w:rPr>
        <w:t>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2018, we had 19.4 million shares of common stock outstanding. In addition, as of December 31, 2018, 3.1 million and 0.3 million shares of common stock that are subject to outstanding options or restricted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gridSpan w:val="11"/>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gridSpan w:val="11"/>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260" w:type="dxa"/>
            <w:vAlign w:val="bottom"/>
            <w:tcBorders>
              <w:top w:val="single" w:sz="8" w:color="auto"/>
            </w:tcBorders>
            <w:gridSpan w:val="11"/>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Restated Certificate of Incorporation of Enanta Pharmaceuticals, Inc.</w:t>
              </w:r>
            </w:hyperlink>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980" w:type="dxa"/>
            <w:vAlign w:val="bottom"/>
            <w:tcBorders>
              <w:top w:val="single" w:sz="8" w:color="0000EE"/>
            </w:tcBorders>
            <w:gridSpan w:val="6"/>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Bylaws of Enanta Pharmaceuticals, Inc. (as</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amended and restated in August 2015)</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or 15d-14(a) of the Securities Exchange Act of 1934.</w:t>
              </w:r>
            </w:hyperlink>
          </w:p>
        </w:tc>
        <w:tc>
          <w:tcPr>
            <w:tcW w:w="128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Certification of the Chief Executive Officer and Chief Financial Officer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gridSpan w:val="11"/>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of the Sarbanes-Oxley Act of 2002.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right="20" w:hanging="708"/>
        <w:spacing w:after="0" w:line="268"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following materials from the Quarterly Report of Enanta Pharmaceuticals, Inc. on Form 10-Q for the quarter ended of December 31, 2018, formatted in XBRL (eXtensible Business Reporting Language): (i) Consolidated Balance Sheets as of December 31, 2018 and September 30, 2018 of Enanta Pharmaceuticals, Inc., (ii) Consolidated Statements of Operations for the three months ended December 31, 2018 and 2017 of Enanta Pharmaceuticals, Inc., (iii) Consolidated Statements of Comprehensive Income for the three months ended December 31, 2018 and 2017 of Enanta Pharmaceuticals, Inc., (iv) Consolidated Statements of Cash Flows for the three months ended December 31, 2018 and 2017 of Enanta Pharmaceuticals, Inc., and (v) Notes to Consolidated Financial Statements of Enanta Pharmaceuticals, Inc.</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20"/>
            <w:col w:w="500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337"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2018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Dated: February 8, 2019</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320" w:type="dxa"/>
            <w:vAlign w:val="bottom"/>
          </w:tcPr>
          <w:p>
            <w:pPr>
              <w:spacing w:after="0"/>
              <w:rPr>
                <w:sz w:val="20"/>
                <w:szCs w:val="20"/>
                <w:color w:val="auto"/>
              </w:rPr>
            </w:pPr>
            <w:r>
              <w:rPr>
                <w:rFonts w:ascii="Arial" w:cs="Arial" w:eastAsia="Arial" w:hAnsi="Arial"/>
                <w:sz w:val="18"/>
                <w:szCs w:val="18"/>
                <w:color w:val="auto"/>
              </w:rPr>
              <w:t>Dated: February 8, 2019</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decimal"/>
      <w:start w:val="606"/>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decimal"/>
      <w:start w:val="6"/>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8"/>
    </w:lvl>
  </w:abstractNum>
  <w:abstractNum w:abstractNumId="11">
    <w:nsid w:val="1E7FF521"/>
    <w:multiLevelType w:val="hybridMultilevel"/>
    <w:lvl w:ilvl="0">
      <w:lvlJc w:val="left"/>
      <w:lvlText w:val="%1."/>
      <w:numFmt w:val="decimal"/>
      <w:start w:val="9"/>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lvl w:ilvl="1">
      <w:lvlJc w:val="left"/>
      <w:lvlText w:val="o"/>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2"/>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0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74" Type="http://schemas.openxmlformats.org/officeDocument/2006/relationships/hyperlink" Target="http://www.sec.gov/Archives/edgar/data/1177648/000119312513132679/d511662dex31.htm" TargetMode="External"/><Relationship Id="rId75"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2019-12-28T16:51:07Z</dcterms:created>
  <dcterms:modified xsi:type="dcterms:W3CDTF">2019-12-28T16:51:07Z</dcterms:modified>
</cp:coreProperties>
</file>