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ind w:left="580" w:right="18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June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84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2834</w:t>
            </w:r>
          </w:p>
        </w:tc>
        <w:tc>
          <w:tcPr>
            <w:tcW w:w="248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04-3205099</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8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77"/>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ENTA</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81"/>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3440" w:type="dxa"/>
            <w:vAlign w:val="bottom"/>
            <w:tcBorders>
              <w:bottom w:val="single" w:sz="8" w:color="auto"/>
              <w:right w:val="single" w:sz="8" w:color="auto"/>
            </w:tcBorders>
          </w:tcPr>
          <w:p>
            <w:pPr>
              <w:spacing w:after="0"/>
              <w:rPr>
                <w:sz w:val="7"/>
                <w:szCs w:val="7"/>
                <w:color w:val="auto"/>
              </w:rPr>
            </w:pPr>
          </w:p>
        </w:tc>
        <w:tc>
          <w:tcPr>
            <w:tcW w:w="4000" w:type="dxa"/>
            <w:vAlign w:val="bottom"/>
            <w:tcBorders>
              <w:bottom w:val="single" w:sz="8" w:color="auto"/>
              <w:right w:val="single" w:sz="8" w:color="auto"/>
            </w:tcBorders>
          </w:tcPr>
          <w:p>
            <w:pPr>
              <w:spacing w:after="0"/>
              <w:rPr>
                <w:sz w:val="7"/>
                <w:szCs w:val="7"/>
                <w:color w:val="auto"/>
              </w:rPr>
            </w:pPr>
          </w:p>
        </w:tc>
      </w:tr>
    </w:tbl>
    <w:p>
      <w:pPr>
        <w:spacing w:after="0" w:line="94"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01"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30, 2020, the registrant had 20,072,144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Consolidated Balance Sheets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Statements of Comprehensive Income (Loss)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Stockholders’ Equity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Cash Flows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Notes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0"/>
        </w:trPr>
        <w:tc>
          <w:tcPr>
            <w:tcW w:w="10880" w:type="dxa"/>
            <w:vAlign w:val="bottom"/>
            <w:gridSpan w:val="2"/>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II—OTHER INFORMATION</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tcPr>
          <w:p>
            <w:pPr>
              <w:ind w:left="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EE"/>
                <w:w w:val="97"/>
              </w:rPr>
            </w:pPr>
            <w:hyperlink w:anchor="page55">
              <w:r>
                <w:rPr>
                  <w:rFonts w:ascii="Arial" w:cs="Arial" w:eastAsia="Arial" w:hAnsi="Arial"/>
                  <w:sz w:val="18"/>
                  <w:szCs w:val="18"/>
                  <w:u w:val="single" w:color="auto"/>
                  <w:color w:val="0000EE"/>
                  <w:w w:val="97"/>
                </w:rPr>
                <w:t>Signatures</w:t>
              </w:r>
            </w:hyperlink>
          </w:p>
        </w:tc>
        <w:tc>
          <w:tcPr>
            <w:tcW w:w="10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rPr>
              <w:t>ENANTA PHARMACEUTICALS, INC.</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20" w:type="dxa"/>
            <w:vAlign w:val="bottom"/>
            <w:tcBorders>
              <w:bottom w:val="single" w:sz="8" w:color="CFF0FC"/>
            </w:tcBorders>
          </w:tcPr>
          <w:p>
            <w:pPr>
              <w:spacing w:after="0"/>
              <w:rPr>
                <w:sz w:val="14"/>
                <w:szCs w:val="14"/>
                <w:color w:val="auto"/>
              </w:rPr>
            </w:pPr>
          </w:p>
        </w:tc>
        <w:tc>
          <w:tcPr>
            <w:tcW w:w="66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270,145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284,006</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413,381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65,013</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88"/>
              </w:rPr>
              <w:t>Restricted cash</w:t>
            </w:r>
          </w:p>
        </w:tc>
        <w:tc>
          <w:tcPr>
            <w:tcW w:w="6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511,704</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489,829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15,920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23,914</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22,609</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27,337</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 authorized; 20,070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19,703 shares issued and outstanding at June 30, 2020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September 30, 2019, respectively</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321,985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298,409</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156,913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480,557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462,492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511,704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489,829</w:t>
            </w:r>
          </w:p>
        </w:tc>
        <w:tc>
          <w:tcPr>
            <w:tcW w:w="1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44,367</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98,842</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153,884</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34,461</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100,070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103,494</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20,628</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20,083</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40,612</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120,698</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123,577</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(21,856)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30,307</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6,545</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(21,407)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36,852</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r>
      <w:tr>
        <w:trPr>
          <w:trHeight w:val="26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w:t>
            </w:r>
          </w:p>
        </w:tc>
        <w:tc>
          <w:tcPr>
            <w:tcW w:w="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3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37,192</w:t>
            </w:r>
          </w:p>
        </w:tc>
        <w:tc>
          <w:tcPr>
            <w:tcW w:w="120" w:type="dxa"/>
            <w:vAlign w:val="bottom"/>
            <w:tcBorders>
              <w:bottom w:val="single" w:sz="8" w:color="CFF0FC"/>
            </w:tcBorders>
          </w:tcPr>
          <w:p>
            <w:pPr>
              <w:spacing w:after="0"/>
              <w:rPr>
                <w:sz w:val="22"/>
                <w:szCs w:val="22"/>
                <w:color w:val="auto"/>
              </w:rPr>
            </w:pPr>
          </w:p>
        </w:tc>
      </w:tr>
      <w:tr>
        <w:trPr>
          <w:trHeight w:val="210"/>
        </w:trPr>
        <w:tc>
          <w:tcPr>
            <w:tcW w:w="5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(0.34)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19,549</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21,105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19,897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20,999</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7,036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37,192</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60" w:type="dxa"/>
            <w:vAlign w:val="bottom"/>
            <w:shd w:val="clear" w:color="auto" w:fill="CFF0FC"/>
          </w:tcPr>
          <w:p>
            <w:pPr>
              <w:jc w:val="center"/>
              <w:ind w:right="370"/>
              <w:spacing w:after="0"/>
              <w:rPr>
                <w:sz w:val="20"/>
                <w:szCs w:val="20"/>
                <w:color w:val="auto"/>
              </w:rPr>
            </w:pPr>
            <w:r>
              <w:rPr>
                <w:rFonts w:ascii="Arial" w:cs="Arial" w:eastAsia="Arial" w:hAnsi="Arial"/>
                <w:sz w:val="18"/>
                <w:szCs w:val="18"/>
                <w:color w:val="auto"/>
                <w:w w:val="90"/>
              </w:rPr>
              <w:t>Net unrealized gains on marketable securities, net of</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of $271 and $56, $418 and $179</w:t>
            </w:r>
          </w:p>
        </w:tc>
        <w:tc>
          <w:tcPr>
            <w:tcW w:w="7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20"/>
                <w:szCs w:val="20"/>
                <w:color w:val="auto"/>
              </w:rPr>
            </w:pPr>
          </w:p>
        </w:tc>
      </w:tr>
      <w:tr>
        <w:trPr>
          <w:trHeight w:val="223"/>
        </w:trPr>
        <w:tc>
          <w:tcPr>
            <w:tcW w:w="4760" w:type="dxa"/>
            <w:vAlign w:val="bottom"/>
            <w:tcBorders>
              <w:bottom w:val="single" w:sz="8" w:color="CFF0FC"/>
            </w:tcBorders>
          </w:tcPr>
          <w:p>
            <w:pPr>
              <w:jc w:val="center"/>
              <w:ind w:right="410"/>
              <w:spacing w:after="0"/>
              <w:rPr>
                <w:sz w:val="20"/>
                <w:szCs w:val="20"/>
                <w:color w:val="auto"/>
              </w:rPr>
            </w:pPr>
            <w:r>
              <w:rPr>
                <w:rFonts w:ascii="Arial" w:cs="Arial" w:eastAsia="Arial" w:hAnsi="Arial"/>
                <w:sz w:val="18"/>
                <w:szCs w:val="18"/>
                <w:color w:val="auto"/>
                <w:w w:val="90"/>
              </w:rPr>
              <w:t>Total other comprehensive income, net of tax</w:t>
            </w:r>
          </w:p>
        </w:tc>
        <w:tc>
          <w:tcPr>
            <w:tcW w:w="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7,211</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2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3"/>
                <w:szCs w:val="13"/>
                <w:color w:val="auto"/>
              </w:rPr>
            </w:pPr>
          </w:p>
        </w:tc>
        <w:tc>
          <w:tcPr>
            <w:tcW w:w="10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19,395</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194</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276,526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(398)</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117,357</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393,679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Balances at December 31, 2018</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19,435</w:t>
            </w:r>
          </w:p>
        </w:tc>
        <w:tc>
          <w:tcPr>
            <w:tcW w:w="220" w:type="dxa"/>
            <w:vAlign w:val="bottom"/>
            <w:tcBorders>
              <w:bottom w:val="single" w:sz="8" w:color="CFF0FC"/>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194</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283,530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143,368</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426,835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(4,189)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Balances at March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19,669</w:t>
            </w:r>
          </w:p>
        </w:tc>
        <w:tc>
          <w:tcPr>
            <w:tcW w:w="220" w:type="dxa"/>
            <w:vAlign w:val="bottom"/>
            <w:tcBorders>
              <w:bottom w:val="single" w:sz="8" w:color="CFF0FC"/>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197</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288,512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147,513</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436,210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June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19,682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293,188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154,549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448,097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3"/>
                <w:szCs w:val="13"/>
                <w:color w:val="auto"/>
              </w:rPr>
            </w:pPr>
          </w:p>
        </w:tc>
        <w:tc>
          <w:tcPr>
            <w:tcW w:w="10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19,703</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197</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298,409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163,740</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462,492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(1,140)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304,672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177,183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482,287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(6,005)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19,986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314,005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171,178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485,991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(14,265)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(14,265)</w:t>
            </w: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b w:val="1"/>
                <w:bCs w:val="1"/>
                <w:color w:val="auto"/>
              </w:rPr>
              <w:t>Balances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20,070</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201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321,985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156,913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0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60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20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(6,827)</w:t>
            </w:r>
          </w:p>
        </w:tc>
        <w:tc>
          <w:tcPr>
            <w:tcW w:w="6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37,192</w:t>
            </w:r>
          </w:p>
        </w:tc>
        <w:tc>
          <w:tcPr>
            <w:tcW w:w="120" w:type="dxa"/>
            <w:vAlign w:val="bottom"/>
          </w:tcPr>
          <w:p>
            <w:pPr>
              <w:spacing w:after="0"/>
              <w:rPr>
                <w:sz w:val="19"/>
                <w:szCs w:val="19"/>
                <w:color w:val="auto"/>
              </w:rPr>
            </w:pPr>
          </w:p>
        </w:tc>
      </w:tr>
      <w:tr>
        <w:trPr>
          <w:trHeight w:val="200"/>
        </w:trPr>
        <w:tc>
          <w:tcPr>
            <w:tcW w:w="66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1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66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660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14,830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14,714</w:t>
            </w:r>
          </w:p>
        </w:tc>
        <w:tc>
          <w:tcPr>
            <w:tcW w:w="120" w:type="dxa"/>
            <w:vAlign w:val="bottom"/>
          </w:tcPr>
          <w:p>
            <w:pPr>
              <w:spacing w:after="0"/>
              <w:rPr>
                <w:sz w:val="19"/>
                <w:szCs w:val="19"/>
                <w:color w:val="auto"/>
              </w:rPr>
            </w:pPr>
          </w:p>
        </w:tc>
      </w:tr>
      <w:tr>
        <w:trPr>
          <w:trHeight w:val="232"/>
        </w:trPr>
        <w:tc>
          <w:tcPr>
            <w:tcW w:w="66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2,367</w:t>
            </w:r>
          </w:p>
        </w:tc>
        <w:tc>
          <w:tcPr>
            <w:tcW w:w="120" w:type="dxa"/>
            <w:vAlign w:val="bottom"/>
            <w:shd w:val="clear" w:color="auto" w:fill="CFF0FC"/>
          </w:tcPr>
          <w:p>
            <w:pPr>
              <w:spacing w:after="0"/>
              <w:rPr>
                <w:sz w:val="20"/>
                <w:szCs w:val="20"/>
                <w:color w:val="auto"/>
              </w:rPr>
            </w:pPr>
          </w:p>
        </w:tc>
      </w:tr>
      <w:tr>
        <w:trPr>
          <w:trHeight w:val="228"/>
        </w:trPr>
        <w:tc>
          <w:tcPr>
            <w:tcW w:w="660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(4,366)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(1,953)</w:t>
            </w:r>
          </w:p>
        </w:tc>
      </w:tr>
      <w:tr>
        <w:trPr>
          <w:trHeight w:val="232"/>
        </w:trPr>
        <w:tc>
          <w:tcPr>
            <w:tcW w:w="66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Premium paid on marketable securities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(3,094)</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(274)</w:t>
            </w:r>
          </w:p>
        </w:tc>
      </w:tr>
      <w:tr>
        <w:trPr>
          <w:trHeight w:val="228"/>
        </w:trPr>
        <w:tc>
          <w:tcPr>
            <w:tcW w:w="6600" w:type="dxa"/>
            <w:vAlign w:val="bottom"/>
          </w:tcPr>
          <w:p>
            <w:pPr>
              <w:ind w:left="500"/>
              <w:spacing w:after="0"/>
              <w:rPr>
                <w:sz w:val="20"/>
                <w:szCs w:val="20"/>
                <w:color w:val="auto"/>
              </w:rPr>
            </w:pPr>
            <w:r>
              <w:rPr>
                <w:rFonts w:ascii="Arial" w:cs="Arial" w:eastAsia="Arial" w:hAnsi="Arial"/>
                <w:sz w:val="17"/>
                <w:szCs w:val="17"/>
                <w:color w:val="auto"/>
              </w:rPr>
              <w:t>Accretion of discount on marketable securities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(3,489)</w:t>
            </w:r>
          </w:p>
        </w:tc>
      </w:tr>
      <w:tr>
        <w:trPr>
          <w:trHeight w:val="231"/>
        </w:trPr>
        <w:tc>
          <w:tcPr>
            <w:tcW w:w="66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FF0FC"/>
          </w:tcPr>
          <w:p>
            <w:pPr>
              <w:spacing w:after="0"/>
              <w:rPr>
                <w:sz w:val="20"/>
                <w:szCs w:val="20"/>
                <w:color w:val="auto"/>
              </w:rPr>
            </w:pPr>
          </w:p>
        </w:tc>
      </w:tr>
      <w:tr>
        <w:trPr>
          <w:trHeight w:val="228"/>
        </w:trPr>
        <w:tc>
          <w:tcPr>
            <w:tcW w:w="6600" w:type="dxa"/>
            <w:vAlign w:val="bottom"/>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2"/>
        </w:trPr>
        <w:tc>
          <w:tcPr>
            <w:tcW w:w="660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32,660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22,838</w:t>
            </w:r>
          </w:p>
        </w:tc>
        <w:tc>
          <w:tcPr>
            <w:tcW w:w="120" w:type="dxa"/>
            <w:vAlign w:val="bottom"/>
            <w:shd w:val="clear" w:color="auto" w:fill="CFF0FC"/>
          </w:tcPr>
          <w:p>
            <w:pPr>
              <w:spacing w:after="0"/>
              <w:rPr>
                <w:sz w:val="20"/>
                <w:szCs w:val="20"/>
                <w:color w:val="auto"/>
              </w:rPr>
            </w:pPr>
          </w:p>
        </w:tc>
      </w:tr>
      <w:tr>
        <w:trPr>
          <w:trHeight w:val="228"/>
        </w:trPr>
        <w:tc>
          <w:tcPr>
            <w:tcW w:w="6600" w:type="dxa"/>
            <w:vAlign w:val="bottom"/>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(9,429)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(13,193)</w:t>
            </w:r>
          </w:p>
        </w:tc>
      </w:tr>
      <w:tr>
        <w:trPr>
          <w:trHeight w:val="231"/>
        </w:trPr>
        <w:tc>
          <w:tcPr>
            <w:tcW w:w="660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Operating lease, right-of-use assets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28"/>
        </w:trPr>
        <w:tc>
          <w:tcPr>
            <w:tcW w:w="6600" w:type="dxa"/>
            <w:vAlign w:val="bottom"/>
          </w:tcPr>
          <w:p>
            <w:pPr>
              <w:ind w:left="740"/>
              <w:spacing w:after="0"/>
              <w:rPr>
                <w:sz w:val="20"/>
                <w:szCs w:val="20"/>
                <w:color w:val="auto"/>
              </w:rPr>
            </w:pPr>
            <w:r>
              <w:rPr>
                <w:rFonts w:ascii="Arial" w:cs="Arial" w:eastAsia="Arial" w:hAnsi="Arial"/>
                <w:sz w:val="17"/>
                <w:szCs w:val="17"/>
                <w:color w:val="auto"/>
              </w:rPr>
              <w:t>Accounts payable</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(672)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1,639</w:t>
            </w:r>
          </w:p>
        </w:tc>
        <w:tc>
          <w:tcPr>
            <w:tcW w:w="120" w:type="dxa"/>
            <w:vAlign w:val="bottom"/>
          </w:tcPr>
          <w:p>
            <w:pPr>
              <w:spacing w:after="0"/>
              <w:rPr>
                <w:sz w:val="19"/>
                <w:szCs w:val="19"/>
                <w:color w:val="auto"/>
              </w:rPr>
            </w:pPr>
          </w:p>
        </w:tc>
      </w:tr>
      <w:tr>
        <w:trPr>
          <w:trHeight w:val="232"/>
        </w:trPr>
        <w:tc>
          <w:tcPr>
            <w:tcW w:w="660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Accrued expenses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(1,936)</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3,956</w:t>
            </w:r>
          </w:p>
        </w:tc>
        <w:tc>
          <w:tcPr>
            <w:tcW w:w="120" w:type="dxa"/>
            <w:vAlign w:val="bottom"/>
            <w:shd w:val="clear" w:color="auto" w:fill="CFF0FC"/>
          </w:tcPr>
          <w:p>
            <w:pPr>
              <w:spacing w:after="0"/>
              <w:rPr>
                <w:sz w:val="20"/>
                <w:szCs w:val="20"/>
                <w:color w:val="auto"/>
              </w:rPr>
            </w:pPr>
          </w:p>
        </w:tc>
      </w:tr>
      <w:tr>
        <w:trPr>
          <w:trHeight w:val="227"/>
        </w:trPr>
        <w:tc>
          <w:tcPr>
            <w:tcW w:w="6600" w:type="dxa"/>
            <w:vAlign w:val="bottom"/>
          </w:tcPr>
          <w:p>
            <w:pPr>
              <w:ind w:left="740"/>
              <w:spacing w:after="0"/>
              <w:rPr>
                <w:sz w:val="20"/>
                <w:szCs w:val="20"/>
                <w:color w:val="auto"/>
              </w:rPr>
            </w:pPr>
            <w:r>
              <w:rPr>
                <w:rFonts w:ascii="Arial" w:cs="Arial" w:eastAsia="Arial" w:hAnsi="Arial"/>
                <w:sz w:val="17"/>
                <w:szCs w:val="17"/>
                <w:color w:val="auto"/>
              </w:rPr>
              <w:t>Income taxes payable</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(1,388)</w:t>
            </w:r>
          </w:p>
        </w:tc>
      </w:tr>
      <w:tr>
        <w:trPr>
          <w:trHeight w:val="232"/>
        </w:trPr>
        <w:tc>
          <w:tcPr>
            <w:tcW w:w="660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Operating lease liabilities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(2,446)</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28"/>
        </w:trPr>
        <w:tc>
          <w:tcPr>
            <w:tcW w:w="6600" w:type="dxa"/>
            <w:vAlign w:val="bottom"/>
          </w:tcPr>
          <w:p>
            <w:pPr>
              <w:ind w:left="740"/>
              <w:spacing w:after="0"/>
              <w:rPr>
                <w:sz w:val="20"/>
                <w:szCs w:val="20"/>
                <w:color w:val="auto"/>
              </w:rPr>
            </w:pPr>
            <w:r>
              <w:rPr>
                <w:rFonts w:ascii="Arial" w:cs="Arial" w:eastAsia="Arial" w:hAnsi="Arial"/>
                <w:sz w:val="17"/>
                <w:szCs w:val="17"/>
                <w:color w:val="auto"/>
              </w:rPr>
              <w:t>Other long-term liabilities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9"/>
                <w:szCs w:val="19"/>
                <w:color w:val="auto"/>
              </w:rPr>
            </w:pPr>
          </w:p>
        </w:tc>
      </w:tr>
      <w:tr>
        <w:trPr>
          <w:trHeight w:val="225"/>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22,549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62,873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8"/>
        </w:trPr>
        <w:tc>
          <w:tcPr>
            <w:tcW w:w="660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1"/>
        </w:trPr>
        <w:tc>
          <w:tcPr>
            <w:tcW w:w="66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marketable securities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90"/>
              </w:rPr>
              <w:t>(267,587)</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(353,382)</w:t>
            </w:r>
          </w:p>
        </w:tc>
      </w:tr>
      <w:tr>
        <w:trPr>
          <w:trHeight w:val="228"/>
        </w:trPr>
        <w:tc>
          <w:tcPr>
            <w:tcW w:w="6600" w:type="dxa"/>
            <w:vAlign w:val="bottom"/>
          </w:tcPr>
          <w:p>
            <w:pPr>
              <w:ind w:left="260"/>
              <w:spacing w:after="0"/>
              <w:rPr>
                <w:sz w:val="20"/>
                <w:szCs w:val="20"/>
                <w:color w:val="auto"/>
              </w:rPr>
            </w:pPr>
            <w:r>
              <w:rPr>
                <w:rFonts w:ascii="Arial" w:cs="Arial" w:eastAsia="Arial" w:hAnsi="Arial"/>
                <w:sz w:val="17"/>
                <w:szCs w:val="17"/>
                <w:color w:val="auto"/>
              </w:rPr>
              <w:t>Proceeds from maturities and sale of marketable securities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286,028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324,047</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(1,115)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(5,121)</w:t>
            </w: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17,326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(34,456)</w:t>
            </w:r>
          </w:p>
        </w:tc>
      </w:tr>
      <w:tr>
        <w:trPr>
          <w:trHeight w:val="232"/>
        </w:trPr>
        <w:tc>
          <w:tcPr>
            <w:tcW w:w="66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8"/>
        </w:trPr>
        <w:tc>
          <w:tcPr>
            <w:tcW w:w="6600" w:type="dxa"/>
            <w:vAlign w:val="bottom"/>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6,139</w:t>
            </w:r>
          </w:p>
        </w:tc>
        <w:tc>
          <w:tcPr>
            <w:tcW w:w="120" w:type="dxa"/>
            <w:vAlign w:val="bottom"/>
          </w:tcPr>
          <w:p>
            <w:pPr>
              <w:spacing w:after="0"/>
              <w:rPr>
                <w:sz w:val="19"/>
                <w:szCs w:val="19"/>
                <w:color w:val="auto"/>
              </w:rPr>
            </w:pPr>
          </w:p>
        </w:tc>
      </w:tr>
      <w:tr>
        <w:trPr>
          <w:trHeight w:val="231"/>
        </w:trPr>
        <w:tc>
          <w:tcPr>
            <w:tcW w:w="66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Payments for settlement of share-based awards</w:t>
            </w:r>
          </w:p>
        </w:tc>
        <w:tc>
          <w:tcPr>
            <w:tcW w:w="1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(1,498)</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(4,188)</w:t>
            </w:r>
          </w:p>
        </w:tc>
      </w:tr>
      <w:tr>
        <w:trPr>
          <w:trHeight w:val="228"/>
        </w:trPr>
        <w:tc>
          <w:tcPr>
            <w:tcW w:w="6600" w:type="dxa"/>
            <w:vAlign w:val="bottom"/>
          </w:tcPr>
          <w:p>
            <w:pPr>
              <w:ind w:left="260"/>
              <w:spacing w:after="0"/>
              <w:rPr>
                <w:sz w:val="20"/>
                <w:szCs w:val="20"/>
                <w:color w:val="auto"/>
              </w:rPr>
            </w:pPr>
            <w:r>
              <w:rPr>
                <w:rFonts w:ascii="Arial" w:cs="Arial" w:eastAsia="Arial" w:hAnsi="Arial"/>
                <w:sz w:val="17"/>
                <w:szCs w:val="17"/>
                <w:color w:val="auto"/>
              </w:rPr>
              <w:t>Payments of capital lease obligations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(64)</w:t>
            </w:r>
          </w:p>
        </w:tc>
      </w:tr>
      <w:tr>
        <w:trPr>
          <w:trHeight w:val="225"/>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8,750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1"/>
        </w:trPr>
        <w:tc>
          <w:tcPr>
            <w:tcW w:w="6600" w:type="dxa"/>
            <w:vAlign w:val="bottom"/>
          </w:tcPr>
          <w:p>
            <w:pPr>
              <w:spacing w:after="0"/>
              <w:rPr>
                <w:sz w:val="20"/>
                <w:szCs w:val="20"/>
                <w:color w:val="auto"/>
              </w:rPr>
            </w:pPr>
            <w:r>
              <w:rPr>
                <w:rFonts w:ascii="Arial" w:cs="Arial" w:eastAsia="Arial" w:hAnsi="Arial"/>
                <w:sz w:val="17"/>
                <w:szCs w:val="17"/>
                <w:b w:val="1"/>
                <w:bCs w:val="1"/>
                <w:color w:val="auto"/>
              </w:rPr>
              <w:t>Net increase in cash, cash equivalents and restricted cash</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48,625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30,304</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64,510</w:t>
            </w:r>
          </w:p>
        </w:tc>
        <w:tc>
          <w:tcPr>
            <w:tcW w:w="120" w:type="dxa"/>
            <w:vAlign w:val="bottom"/>
            <w:shd w:val="clear" w:color="auto" w:fill="CFF0FC"/>
          </w:tcPr>
          <w:p>
            <w:pPr>
              <w:spacing w:after="0"/>
              <w:rPr>
                <w:sz w:val="19"/>
                <w:szCs w:val="19"/>
                <w:color w:val="auto"/>
              </w:rPr>
            </w:pPr>
          </w:p>
        </w:tc>
      </w:tr>
      <w:tr>
        <w:trPr>
          <w:trHeight w:val="263"/>
        </w:trPr>
        <w:tc>
          <w:tcPr>
            <w:tcW w:w="6600" w:type="dxa"/>
            <w:vAlign w:val="bottom"/>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20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100,463</w:t>
            </w:r>
          </w:p>
        </w:tc>
        <w:tc>
          <w:tcPr>
            <w:tcW w:w="180" w:type="dxa"/>
            <w:vAlign w:val="bottom"/>
          </w:tcPr>
          <w:p>
            <w:pPr>
              <w:spacing w:after="0"/>
              <w:rPr>
                <w:sz w:val="22"/>
                <w:szCs w:val="22"/>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94,814</w:t>
            </w:r>
          </w:p>
        </w:tc>
        <w:tc>
          <w:tcPr>
            <w:tcW w:w="120" w:type="dxa"/>
            <w:vAlign w:val="bottom"/>
          </w:tcPr>
          <w:p>
            <w:pPr>
              <w:spacing w:after="0"/>
              <w:rPr>
                <w:sz w:val="22"/>
                <w:szCs w:val="22"/>
                <w:color w:val="auto"/>
              </w:rPr>
            </w:pPr>
          </w:p>
        </w:tc>
      </w:tr>
      <w:tr>
        <w:trPr>
          <w:trHeight w:val="212"/>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20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12,615</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investing information:</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6600" w:type="dxa"/>
            <w:vAlign w:val="bottom"/>
          </w:tcPr>
          <w:p>
            <w:pPr>
              <w:ind w:left="26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20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299</w:t>
            </w:r>
          </w:p>
        </w:tc>
        <w:tc>
          <w:tcPr>
            <w:tcW w:w="18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r>
      <w:tr>
        <w:trPr>
          <w:trHeight w:val="216"/>
        </w:trPr>
        <w:tc>
          <w:tcPr>
            <w:tcW w:w="66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2040" w:type="dxa"/>
            <w:vAlign w:val="bottom"/>
            <w:gridSpan w:val="2"/>
            <w:shd w:val="clear" w:color="auto" w:fill="CFF0FC"/>
          </w:tcPr>
          <w:p>
            <w:pPr>
              <w:jc w:val="right"/>
              <w:ind w:right="768"/>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2,676</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create small molecule drugs for the treatment of viral infections and liver diseases. The Company discovered glecaprevir, the second of two protease inhibitors discovered and developed through its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Royalties from the AbbVie collaboration and, to the extent necessary, the Company’s existing financial resources, provide funding to support the Company’s wholly-owned research and development programs, which are primarily focused on the following disease targets: respiratory syncytial virus (“RSV”), hepatitis B virus (“HBV”), non-alcoholic steatohepatitis (“NASH”), human metapneumovirus (hMPV), and SARS-CoV-2 (COVID-19), all of which have been granted Fast Track designation by the U.S. Food and Drug Administration (FDA).</w:t>
      </w:r>
    </w:p>
    <w:p>
      <w:pPr>
        <w:spacing w:after="0" w:line="7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March 2020, the World Health Organization declared COVID-19 a global pandemic and countries worldwide implemented various measures to contain the spread of the virus. National, state and local governments in affected regions have implemented and may continue to implement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to which there are disruptions in the supply chains for its research and product candidates, delays in the conduct of current and future clinical trials, or reductions in the number of patients accessing AbbVie’s HCV regimens, or any combination of those events. During the three months ended June 30, 2020, AbbVie experienced a decline in HCV sales compared to the prior quarter as a result of a decline in patients accessing AbbVie’s HCV regimens due to the COVID-19 pandemic. This resulted in a proportional decline in the Company’s royalty revenue earned for the three months ended June 30, 2020.</w:t>
      </w:r>
    </w:p>
    <w:p>
      <w:pPr>
        <w:spacing w:after="0" w:line="5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and public health actions taken to contain it, as well as the cumulative economic impact of both of those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balance sheet at September 30, 2019 was derived from audited financial statements, but does not include all disclosures required by accounting principles generally accepted in the United States of America (“GAAP”). The accompanying unaudited consolidated financial statements as of June 30, 2020 and for the nine months ended June 30, 2020 and 2019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2019.</w:t>
      </w:r>
    </w:p>
    <w:p>
      <w:pPr>
        <w:spacing w:after="0" w:line="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June 30, 2020 and results of operations for the three and nine months ended June 30, 2020 and 2019 and cash flows for the nine months ended June 30, 2020 and 2019, have been made. The results of operations for the three and nine months ended June 30, 2020 are not necessarily indicative of the results of operations that may be expected for subsequent quarters or the year ending September 30,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200"/>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Company’s Significant Accounting Policies, please refer to its Annual Report on Form 10-K for the fiscal year ended September 30, 2019. Any reference in these notes to applicable guidance is meant to refer to the authoritative GAAP as found in the Accounting Standards Codification (“ASC”) and Accounting Standards Update (“ASU”) of the Financial Accounting Standards Board (“FASB”). Other than the adoption of ASC 842 as of October 1, 2019, there were no other significant changes to the Company’s Significant Accounting Policies during the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and other facts. The future developments of the COVID-19 pandemic which may directly or indirectly impact the Company’s business include quarantines, border closures, increased border controls, travel restrictions, shelter-in-place orders and shutdowns, business closures, cancellations of public gatherings and other measures. The Company has made estimates of the impact of COVID-19 in the Company’s consolidated financial statements as of June 30, 2020. Actual results could differ from the Company’s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adopted ASU No. 2016-02, Leases (Topic 842), as of October 1, 2019, using the modified retrospective method under ASU No. 2018-11, Leases (Topic 842): Targeted Improvements. The transition method allows entities to apply the transition requirements at the effective date rather than at the beginning of the earliest comparative period presented. The Company’s reporting for comparative periods is presented in accordance with ASC 840, Leases. Adoption of the new standard resulted in the recording of right of use (“ROU”) assets and lease liabilities of $7,151 and $8,622, respectively. The adoption of the standard did not have a material impact on the Company’s results of operations or cash flows. The Company elected to use the transition package of three practical expedients, which among other things, allowed the Company to carry forward the historical lease classification. The Company has elected, under Topic 842, the further practical expedient not to separate non-lease components from the lease components to which they relate and instead to combine them and account for them as a single lease component. The Company also elected the accounting policy election to keep leases with a term of twelve months or less off the balance sheet and to recognize payments for those leases on a straight-line basis over the lease term.</w:t>
      </w:r>
    </w:p>
    <w:p>
      <w:pPr>
        <w:spacing w:after="0" w:line="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At the inception of the arrangement, the Company determines if an arrangement is a lease based on an assessment of the terms and conditions of the contract. Operating lease ROU assets and lease liabilities are recognized at the commencement date, and thereafter, if modified, based on the present value of lease payments over the lease term. The lease term includes any renewal or early-termination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underlying assets of the Company’s leases as of the adoption date consisted of office and laboratory space.</w:t>
      </w:r>
    </w:p>
    <w:p>
      <w:pPr>
        <w:spacing w:after="0" w:line="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period through the earliest call date rather than through the contractual life of the debt instrument. This amendment aims to more closely align the recognition of interest income with the manner in which market participants price such instruments. The Company adopted the new standard on the effective date of October 1, 2019. The adoption of the standard did not have a material impact on the Company’s financial position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standard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amendment is effective for the Company in the fiscal year beginning October 1, 2021; however, early adoption is permitted. The Company is currently in the process of evaluating the impact that ASU 2019-12 may have on its consolidated financial statements.</w:t>
      </w:r>
    </w:p>
    <w:p>
      <w:pPr>
        <w:spacing w:after="0" w:line="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June 30, 2020 and September 30, 2019, and indicate the fair value hierarchy of the valuation inputs utilized to determine such fair value: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2"/>
              </w:rPr>
              <w:t>Fair Value Measurements at June 30, 2020 Using:</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5"/>
          </w:tcPr>
          <w:p>
            <w:pPr>
              <w:jc w:val="center"/>
              <w:ind w:left="57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87,608</w:t>
            </w:r>
          </w:p>
        </w:tc>
        <w:tc>
          <w:tcPr>
            <w:tcW w:w="4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87,608</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139,902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139,902</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57,824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57,824</w:t>
            </w:r>
          </w:p>
        </w:tc>
        <w:tc>
          <w:tcPr>
            <w:tcW w:w="100" w:type="dxa"/>
            <w:vAlign w:val="bottom"/>
          </w:tcPr>
          <w:p>
            <w:pPr>
              <w:spacing w:after="0"/>
              <w:rPr>
                <w:sz w:val="19"/>
                <w:szCs w:val="19"/>
                <w:color w:val="auto"/>
              </w:rPr>
            </w:pPr>
          </w:p>
        </w:tc>
      </w:tr>
      <w:tr>
        <w:trPr>
          <w:trHeight w:val="230"/>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137,823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137,823</w:t>
            </w:r>
          </w:p>
        </w:tc>
        <w:tc>
          <w:tcPr>
            <w:tcW w:w="100" w:type="dxa"/>
            <w:vAlign w:val="bottom"/>
            <w:shd w:val="clear" w:color="auto" w:fill="CFF0FC"/>
          </w:tcPr>
          <w:p>
            <w:pPr>
              <w:spacing w:after="0"/>
              <w:rPr>
                <w:sz w:val="19"/>
                <w:szCs w:val="19"/>
                <w:color w:val="auto"/>
              </w:rPr>
            </w:pPr>
          </w:p>
        </w:tc>
      </w:tr>
      <w:tr>
        <w:trPr>
          <w:trHeight w:val="263"/>
        </w:trPr>
        <w:tc>
          <w:tcPr>
            <w:tcW w:w="4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227,510</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195,647</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423,157</w:t>
            </w:r>
          </w:p>
        </w:tc>
        <w:tc>
          <w:tcPr>
            <w:tcW w:w="100" w:type="dxa"/>
            <w:vAlign w:val="bottom"/>
            <w:tcBorders>
              <w:bottom w:val="single" w:sz="8" w:color="CFF0FC"/>
            </w:tcBorders>
          </w:tcPr>
          <w:p>
            <w:pPr>
              <w:spacing w:after="0"/>
              <w:rPr>
                <w:sz w:val="22"/>
                <w:szCs w:val="22"/>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c>
          <w:tcPr>
            <w:tcW w:w="20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5"/>
          </w:tcPr>
          <w:p>
            <w:pPr>
              <w:jc w:val="center"/>
              <w:ind w:left="593"/>
              <w:spacing w:after="0"/>
              <w:rPr>
                <w:sz w:val="20"/>
                <w:szCs w:val="20"/>
                <w:color w:val="auto"/>
              </w:rPr>
            </w:pPr>
            <w:r>
              <w:rPr>
                <w:rFonts w:ascii="Arial" w:cs="Arial" w:eastAsia="Arial" w:hAnsi="Arial"/>
                <w:sz w:val="14"/>
                <w:szCs w:val="14"/>
                <w:b w:val="1"/>
                <w:bCs w:val="1"/>
                <w:color w:val="auto"/>
                <w:w w:val="92"/>
              </w:rPr>
              <w:t>Fair Value Measurements at September 30, 2019 Using:</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5"/>
          </w:tcPr>
          <w:p>
            <w:pPr>
              <w:jc w:val="center"/>
              <w:ind w:left="53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60" w:type="dxa"/>
            <w:vAlign w:val="bottom"/>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88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4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3"/>
            <w:shd w:val="clear" w:color="auto" w:fill="CFF2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44,569</w:t>
            </w:r>
          </w:p>
        </w:tc>
        <w:tc>
          <w:tcPr>
            <w:tcW w:w="20" w:type="dxa"/>
            <w:vAlign w:val="bottom"/>
            <w:shd w:val="clear" w:color="auto" w:fill="CFF2FC"/>
          </w:tcPr>
          <w:p>
            <w:pPr>
              <w:spacing w:after="0"/>
              <w:rPr>
                <w:sz w:val="19"/>
                <w:szCs w:val="19"/>
                <w:color w:val="auto"/>
              </w:rPr>
            </w:pPr>
          </w:p>
        </w:tc>
        <w:tc>
          <w:tcPr>
            <w:tcW w:w="460" w:type="dxa"/>
            <w:vAlign w:val="bottom"/>
            <w:gridSpan w:val="3"/>
            <w:shd w:val="clear" w:color="auto" w:fill="CFF2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2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2FC"/>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44,569</w:t>
            </w:r>
          </w:p>
        </w:tc>
        <w:tc>
          <w:tcPr>
            <w:tcW w:w="2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1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170,515</w:t>
            </w:r>
          </w:p>
        </w:tc>
        <w:tc>
          <w:tcPr>
            <w:tcW w:w="2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110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170,515</w:t>
            </w:r>
          </w:p>
        </w:tc>
        <w:tc>
          <w:tcPr>
            <w:tcW w:w="2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111,837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66,667</w:t>
            </w:r>
          </w:p>
        </w:tc>
        <w:tc>
          <w:tcPr>
            <w:tcW w:w="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1100" w:type="dxa"/>
            <w:vAlign w:val="bottom"/>
            <w:gridSpan w:val="3"/>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66,667</w:t>
            </w:r>
          </w:p>
        </w:tc>
        <w:tc>
          <w:tcPr>
            <w:tcW w:w="2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r>
      <w:tr>
        <w:trPr>
          <w:trHeight w:val="263"/>
        </w:trPr>
        <w:tc>
          <w:tcPr>
            <w:tcW w:w="4240" w:type="dxa"/>
            <w:vAlign w:val="bottom"/>
            <w:tcBorders>
              <w:bottom w:val="single" w:sz="8" w:color="CFF2FC"/>
            </w:tcBorders>
          </w:tcPr>
          <w:p>
            <w:pPr>
              <w:spacing w:after="0"/>
              <w:rPr>
                <w:sz w:val="22"/>
                <w:szCs w:val="22"/>
                <w:color w:val="auto"/>
              </w:rPr>
            </w:pPr>
          </w:p>
        </w:tc>
        <w:tc>
          <w:tcPr>
            <w:tcW w:w="100" w:type="dxa"/>
            <w:vAlign w:val="bottom"/>
            <w:tcBorders>
              <w:bottom w:val="single" w:sz="8" w:color="CFF2FC"/>
            </w:tcBorders>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215,084</w:t>
            </w:r>
          </w:p>
        </w:tc>
        <w:tc>
          <w:tcPr>
            <w:tcW w:w="20" w:type="dxa"/>
            <w:vAlign w:val="bottom"/>
            <w:tcBorders>
              <w:bottom w:val="single" w:sz="8" w:color="CFF2FC"/>
            </w:tcBorders>
          </w:tcPr>
          <w:p>
            <w:pPr>
              <w:spacing w:after="0"/>
              <w:rPr>
                <w:sz w:val="22"/>
                <w:szCs w:val="22"/>
                <w:color w:val="auto"/>
              </w:rPr>
            </w:pPr>
          </w:p>
        </w:tc>
        <w:tc>
          <w:tcPr>
            <w:tcW w:w="200" w:type="dxa"/>
            <w:vAlign w:val="bottom"/>
            <w:tcBorders>
              <w:bottom w:val="single" w:sz="8" w:color="CFF2FC"/>
            </w:tcBorders>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178,504</w:t>
            </w:r>
          </w:p>
        </w:tc>
        <w:tc>
          <w:tcPr>
            <w:tcW w:w="40" w:type="dxa"/>
            <w:vAlign w:val="bottom"/>
            <w:tcBorders>
              <w:bottom w:val="single" w:sz="8" w:color="CFF2FC"/>
            </w:tcBorders>
          </w:tcPr>
          <w:p>
            <w:pPr>
              <w:spacing w:after="0"/>
              <w:rPr>
                <w:sz w:val="22"/>
                <w:szCs w:val="22"/>
                <w:color w:val="auto"/>
              </w:rPr>
            </w:pPr>
          </w:p>
        </w:tc>
        <w:tc>
          <w:tcPr>
            <w:tcW w:w="220" w:type="dxa"/>
            <w:vAlign w:val="bottom"/>
            <w:tcBorders>
              <w:bottom w:val="single" w:sz="8" w:color="CFF2FC"/>
            </w:tcBorders>
          </w:tcPr>
          <w:p>
            <w:pPr>
              <w:spacing w:after="0"/>
              <w:rPr>
                <w:sz w:val="22"/>
                <w:szCs w:val="22"/>
                <w:color w:val="auto"/>
              </w:rPr>
            </w:pPr>
          </w:p>
        </w:tc>
        <w:tc>
          <w:tcPr>
            <w:tcW w:w="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2FC"/>
            </w:tcBorders>
            <w:gridSpan w:val="2"/>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393,588</w:t>
            </w:r>
          </w:p>
        </w:tc>
        <w:tc>
          <w:tcPr>
            <w:tcW w:w="20" w:type="dxa"/>
            <w:vAlign w:val="bottom"/>
            <w:tcBorders>
              <w:bottom w:val="single" w:sz="8" w:color="CFF2FC"/>
            </w:tcBorders>
          </w:tcPr>
          <w:p>
            <w:pPr>
              <w:spacing w:after="0"/>
              <w:rPr>
                <w:sz w:val="22"/>
                <w:szCs w:val="22"/>
                <w:color w:val="auto"/>
              </w:rPr>
            </w:pPr>
          </w:p>
        </w:tc>
        <w:tc>
          <w:tcPr>
            <w:tcW w:w="100" w:type="dxa"/>
            <w:vAlign w:val="bottom"/>
            <w:tcBorders>
              <w:bottom w:val="single" w:sz="8" w:color="CFF2FC"/>
            </w:tcBorders>
          </w:tcPr>
          <w:p>
            <w:pPr>
              <w:spacing w:after="0"/>
              <w:rPr>
                <w:sz w:val="22"/>
                <w:szCs w:val="22"/>
                <w:color w:val="auto"/>
              </w:rPr>
            </w:pPr>
          </w:p>
        </w:tc>
      </w:tr>
      <w:tr>
        <w:trPr>
          <w:trHeight w:val="210"/>
        </w:trPr>
        <w:tc>
          <w:tcPr>
            <w:tcW w:w="42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98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20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960" w:type="dxa"/>
            <w:vAlign w:val="bottom"/>
            <w:shd w:val="clear" w:color="auto" w:fill="CFF2FC"/>
          </w:tcPr>
          <w:p>
            <w:pPr>
              <w:spacing w:after="0"/>
              <w:rPr>
                <w:sz w:val="18"/>
                <w:szCs w:val="18"/>
                <w:color w:val="auto"/>
              </w:rPr>
            </w:pPr>
          </w:p>
        </w:tc>
        <w:tc>
          <w:tcPr>
            <w:tcW w:w="4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340" w:type="dxa"/>
            <w:vAlign w:val="bottom"/>
            <w:shd w:val="clear" w:color="auto" w:fill="CFF2FC"/>
          </w:tcPr>
          <w:p>
            <w:pPr>
              <w:spacing w:after="0"/>
              <w:rPr>
                <w:sz w:val="18"/>
                <w:szCs w:val="18"/>
                <w:color w:val="auto"/>
              </w:rPr>
            </w:pPr>
          </w:p>
        </w:tc>
        <w:tc>
          <w:tcPr>
            <w:tcW w:w="88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20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280" w:type="dxa"/>
            <w:vAlign w:val="bottom"/>
            <w:shd w:val="clear" w:color="auto" w:fill="CFF2FC"/>
          </w:tcPr>
          <w:p>
            <w:pPr>
              <w:spacing w:after="0"/>
              <w:rPr>
                <w:sz w:val="18"/>
                <w:szCs w:val="18"/>
                <w:color w:val="auto"/>
              </w:rPr>
            </w:pPr>
          </w:p>
        </w:tc>
        <w:tc>
          <w:tcPr>
            <w:tcW w:w="940" w:type="dxa"/>
            <w:vAlign w:val="bottom"/>
            <w:shd w:val="clear" w:color="auto" w:fill="CFF2FC"/>
          </w:tcPr>
          <w:p>
            <w:pPr>
              <w:spacing w:after="0"/>
              <w:rPr>
                <w:sz w:val="18"/>
                <w:szCs w:val="18"/>
                <w:color w:val="auto"/>
              </w:rPr>
            </w:pPr>
          </w:p>
        </w:tc>
        <w:tc>
          <w:tcPr>
            <w:tcW w:w="20" w:type="dxa"/>
            <w:vAlign w:val="bottom"/>
            <w:shd w:val="clear" w:color="auto" w:fill="CFF2FC"/>
          </w:tcPr>
          <w:p>
            <w:pPr>
              <w:spacing w:after="0"/>
              <w:rPr>
                <w:sz w:val="18"/>
                <w:szCs w:val="18"/>
                <w:color w:val="auto"/>
              </w:rPr>
            </w:pPr>
          </w:p>
        </w:tc>
        <w:tc>
          <w:tcPr>
            <w:tcW w:w="100" w:type="dxa"/>
            <w:vAlign w:val="bottom"/>
            <w:shd w:val="clear" w:color="auto" w:fill="CFF2FC"/>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40" w:type="dxa"/>
            <w:vAlign w:val="bottom"/>
            <w:tcBorders>
              <w:top w:val="single" w:sz="8" w:color="CFF2FC"/>
              <w:bottom w:val="single" w:sz="8" w:color="CFF2FC"/>
            </w:tcBorders>
            <w:shd w:val="clear" w:color="auto" w:fill="CFF2FC"/>
          </w:tcPr>
          <w:p>
            <w:pPr>
              <w:spacing w:after="0"/>
              <w:rPr>
                <w:sz w:val="19"/>
                <w:szCs w:val="19"/>
                <w:color w:val="auto"/>
              </w:rPr>
            </w:pPr>
          </w:p>
        </w:tc>
        <w:tc>
          <w:tcPr>
            <w:tcW w:w="100" w:type="dxa"/>
            <w:vAlign w:val="bottom"/>
            <w:tcBorders>
              <w:top w:val="single" w:sz="8" w:color="CFF2FC"/>
              <w:bottom w:val="single" w:sz="8" w:color="CFF2FC"/>
            </w:tcBorders>
            <w:shd w:val="clear" w:color="auto" w:fill="CFF2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2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2FC"/>
              <w:bottom w:val="single" w:sz="8" w:color="CFF2FC"/>
            </w:tcBorders>
            <w:shd w:val="clear" w:color="auto" w:fill="CFF2FC"/>
          </w:tcPr>
          <w:p>
            <w:pPr>
              <w:spacing w:after="0"/>
              <w:rPr>
                <w:sz w:val="19"/>
                <w:szCs w:val="19"/>
                <w:color w:val="auto"/>
              </w:rPr>
            </w:pPr>
          </w:p>
        </w:tc>
        <w:tc>
          <w:tcPr>
            <w:tcW w:w="200" w:type="dxa"/>
            <w:vAlign w:val="bottom"/>
            <w:tcBorders>
              <w:top w:val="single" w:sz="8" w:color="CFF2FC"/>
              <w:bottom w:val="single" w:sz="8" w:color="CFF2FC"/>
            </w:tcBorders>
            <w:shd w:val="clear" w:color="auto" w:fill="CFF2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2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2FC"/>
              <w:bottom w:val="single" w:sz="8" w:color="CFF2FC"/>
            </w:tcBorders>
            <w:shd w:val="clear" w:color="auto" w:fill="CFF2FC"/>
          </w:tcPr>
          <w:p>
            <w:pPr>
              <w:spacing w:after="0"/>
              <w:rPr>
                <w:sz w:val="19"/>
                <w:szCs w:val="19"/>
                <w:color w:val="auto"/>
              </w:rPr>
            </w:pPr>
          </w:p>
        </w:tc>
        <w:tc>
          <w:tcPr>
            <w:tcW w:w="220" w:type="dxa"/>
            <w:vAlign w:val="bottom"/>
            <w:tcBorders>
              <w:top w:val="single" w:sz="8" w:color="CFF2FC"/>
              <w:bottom w:val="single" w:sz="8" w:color="CFF2FC"/>
            </w:tcBorders>
            <w:shd w:val="clear" w:color="auto" w:fill="CFF2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2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Borders>
              <w:top w:val="single" w:sz="8" w:color="CFF2FC"/>
              <w:bottom w:val="single" w:sz="8" w:color="CFF2FC"/>
            </w:tcBorders>
            <w:shd w:val="clear" w:color="auto" w:fill="CFF2FC"/>
          </w:tcPr>
          <w:p>
            <w:pPr>
              <w:spacing w:after="0"/>
              <w:rPr>
                <w:sz w:val="19"/>
                <w:szCs w:val="19"/>
                <w:color w:val="auto"/>
              </w:rPr>
            </w:pPr>
          </w:p>
        </w:tc>
        <w:tc>
          <w:tcPr>
            <w:tcW w:w="200" w:type="dxa"/>
            <w:vAlign w:val="bottom"/>
            <w:tcBorders>
              <w:top w:val="single" w:sz="8" w:color="CFF2FC"/>
              <w:bottom w:val="single" w:sz="8" w:color="CFF2FC"/>
            </w:tcBorders>
            <w:shd w:val="clear" w:color="auto" w:fill="CFF2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2FC"/>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Borders>
              <w:top w:val="single" w:sz="8" w:color="CFF2FC"/>
              <w:bottom w:val="single" w:sz="8" w:color="CFF2FC"/>
            </w:tcBorders>
            <w:shd w:val="clear" w:color="auto" w:fill="CFF2FC"/>
          </w:tcPr>
          <w:p>
            <w:pPr>
              <w:spacing w:after="0"/>
              <w:rPr>
                <w:sz w:val="19"/>
                <w:szCs w:val="19"/>
                <w:color w:val="auto"/>
              </w:rPr>
            </w:pPr>
          </w:p>
        </w:tc>
        <w:tc>
          <w:tcPr>
            <w:tcW w:w="100" w:type="dxa"/>
            <w:vAlign w:val="bottom"/>
            <w:tcBorders>
              <w:top w:val="single" w:sz="8" w:color="CFF2FC"/>
              <w:bottom w:val="single" w:sz="8" w:color="CFF2FC"/>
            </w:tcBorders>
            <w:shd w:val="clear" w:color="auto" w:fill="CFF2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June 30, 2020 and 2019, there were no transfers between Level 1, Level 2 and Level 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0" w:name="page11"/>
    <w:bookmarkEnd w:id="10"/>
    <w:p>
      <w:pPr>
        <w:ind w:right="100"/>
        <w:spacing w:after="0" w:line="301"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Series 1 nonconvertible preferred stock are recognized in other income (expense), net in the consolidated statements of operations.</w:t>
      </w:r>
    </w:p>
    <w:p>
      <w:pPr>
        <w:spacing w:after="0" w:line="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Range (Weighted Average)</w:t>
            </w:r>
          </w:p>
        </w:tc>
      </w:tr>
      <w:tr>
        <w:trPr>
          <w:trHeight w:val="146"/>
        </w:trPr>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ind w:left="780"/>
              <w:spacing w:after="0" w:line="147" w:lineRule="exact"/>
              <w:rPr>
                <w:sz w:val="20"/>
                <w:szCs w:val="20"/>
                <w:color w:val="auto"/>
              </w:rPr>
            </w:pPr>
            <w:r>
              <w:rPr>
                <w:rFonts w:ascii="Arial" w:cs="Arial" w:eastAsia="Arial" w:hAnsi="Arial"/>
                <w:sz w:val="14"/>
                <w:szCs w:val="14"/>
                <w:b w:val="1"/>
                <w:bCs w:val="1"/>
                <w:color w:val="auto"/>
              </w:rPr>
              <w:t>June 30,</w:t>
            </w:r>
          </w:p>
        </w:tc>
        <w:tc>
          <w:tcPr>
            <w:tcW w:w="17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880" w:type="dxa"/>
            <w:vAlign w:val="bottom"/>
            <w:gridSpan w:val="2"/>
          </w:tcPr>
          <w:p>
            <w:pPr>
              <w:ind w:left="1700"/>
              <w:spacing w:after="0"/>
              <w:rPr>
                <w:sz w:val="20"/>
                <w:szCs w:val="20"/>
                <w:color w:val="auto"/>
              </w:rPr>
            </w:pPr>
            <w:r>
              <w:rPr>
                <w:rFonts w:ascii="Arial" w:cs="Arial" w:eastAsia="Arial" w:hAnsi="Arial"/>
                <w:sz w:val="14"/>
                <w:szCs w:val="14"/>
                <w:b w:val="1"/>
                <w:bCs w:val="1"/>
                <w:color w:val="auto"/>
              </w:rPr>
              <w:t>Unobservable Input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22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c>
          <w:tcPr>
            <w:tcW w:w="2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6.00%</w:t>
            </w:r>
          </w:p>
        </w:tc>
        <w:tc>
          <w:tcPr>
            <w:tcW w:w="2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6.00%</w:t>
            </w:r>
          </w:p>
        </w:tc>
      </w:tr>
    </w:tbl>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Series 1</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Nonconvertible</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Preferred</w:t>
            </w:r>
          </w:p>
        </w:tc>
      </w:tr>
      <w:tr>
        <w:trPr>
          <w:trHeight w:val="17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2019</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000" w:type="dxa"/>
            <w:vAlign w:val="bottom"/>
          </w:tcPr>
          <w:p>
            <w:pPr>
              <w:ind w:left="240"/>
              <w:spacing w:after="0"/>
              <w:rPr>
                <w:sz w:val="20"/>
                <w:szCs w:val="20"/>
                <w:color w:val="auto"/>
              </w:rPr>
            </w:pPr>
            <w:r>
              <w:rPr>
                <w:rFonts w:ascii="Arial" w:cs="Arial" w:eastAsia="Arial" w:hAnsi="Arial"/>
                <w:sz w:val="18"/>
                <w:szCs w:val="18"/>
                <w:color w:val="auto"/>
              </w:rPr>
              <w:t>Change in fair value of nonconvertible preferred stock</w:t>
            </w:r>
          </w:p>
        </w:tc>
        <w:tc>
          <w:tcPr>
            <w:tcW w:w="26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June 30, 2020</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September 30, 2019,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0"/>
              </w:rPr>
              <w:t>June 30, 2020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136,734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333,676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3"/>
              </w:rPr>
              <w:t>September 30, 2019</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170,519</w:t>
            </w:r>
          </w:p>
        </w:tc>
        <w:tc>
          <w:tcPr>
            <w:tcW w:w="2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2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348,876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of June 30, 2020 and September 30, 2019 marketable securities consisted of investments that mature within one year, with the exception of certain corporate bonds and U.S. Treasury notes, which have maturities between one and three years and an aggregate fair value of $65,404 and $65,013,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 w:name="page12"/>
    <w:bookmarkEnd w:id="11"/>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June 30, 2020 and September 30, 2019:</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gridSpan w:val="5"/>
          </w:tcPr>
          <w:p>
            <w:pPr>
              <w:jc w:val="right"/>
              <w:ind w:right="99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4,775</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Accrued clinical manufacturing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$1,002,000 through June 30, 2020. Since the Company satisfied all of its performance obligations under the AbbVie Agreement by the end of fiscal 2011, all milestone payments received since then have been recognized as revenue when the milestones were achieved by AbbVie.</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2020, 1,931 shares of Series 1 nonconvertible preferred stock were issued and outstanding. Since these shares qualify as a derivative, the outstanding shares are carried at fair value as a liability on the Company’s consolidated balance sheet.</w:t>
      </w:r>
    </w:p>
    <w:p>
      <w:pPr>
        <w:spacing w:after="0" w:line="27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grants stock-based awards, including stock options and unit awards under its 2019 Equity Incentive Plan (the “2019 Plan”), which was approved by its stockholders on February 28, 2019. The Company also has outstanding unit awards, stock options and restricted stock unit awards under its 2012 Equity Incentive Plan (the “2012 Plan”) and its amended and restated 1995 Equity Incentive Plan (the “1995 Plan”), but is no longer granting awards under these plans.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year-to-date period ending June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2019</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60.66</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70.67</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29,281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June 30,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50.14</w:t>
            </w:r>
          </w:p>
        </w:tc>
        <w:tc>
          <w:tcPr>
            <w:tcW w:w="22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29,281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June 30, 2020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150% of the target number. The following table summarizes PSU and rTSRU activity for the year-to-date period ending June 30, 2020:</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PSUs</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rTSRUs</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4"/>
          </w:tcPr>
          <w:p>
            <w:pPr>
              <w:jc w:val="center"/>
              <w:ind w:right="1128"/>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4"/>
          </w:tcPr>
          <w:p>
            <w:pPr>
              <w:jc w:val="center"/>
              <w:ind w:right="110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left="345"/>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4"/>
          </w:tcPr>
          <w:p>
            <w:pPr>
              <w:ind w:left="160"/>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73.02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63.94</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77.93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3"/>
              </w:rPr>
              <w:t>(20)</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40"/>
              <w:spacing w:after="0"/>
              <w:rPr>
                <w:sz w:val="20"/>
                <w:szCs w:val="20"/>
                <w:color w:val="auto"/>
              </w:rPr>
            </w:pPr>
            <w:r>
              <w:rPr>
                <w:rFonts w:ascii="Arial" w:cs="Arial" w:eastAsia="Arial" w:hAnsi="Arial"/>
                <w:sz w:val="18"/>
                <w:szCs w:val="18"/>
                <w:color w:val="auto"/>
              </w:rPr>
              <w:t>Cancelled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77.93</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2020</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65.23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 following table summarizes the restricted stock unit activity for the year-to-date period ending June 30, 2020: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80" w:type="dxa"/>
            <w:vAlign w:val="bottom"/>
            <w:tcBorders>
              <w:top w:val="single" w:sz="8" w:color="auto"/>
            </w:tcBorders>
            <w:gridSpan w:val="4"/>
          </w:tcPr>
          <w:p>
            <w:pPr>
              <w:jc w:val="right"/>
              <w:ind w:right="338"/>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2019</w:t>
            </w:r>
          </w:p>
        </w:tc>
        <w:tc>
          <w:tcPr>
            <w:tcW w:w="3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314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2020</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60" w:type="dxa"/>
            <w:vAlign w:val="bottom"/>
            <w:vMerge w:val="restart"/>
          </w:tcPr>
          <w:p>
            <w:pPr>
              <w:jc w:val="right"/>
              <w:ind w:right="590"/>
              <w:spacing w:after="0"/>
              <w:rPr>
                <w:sz w:val="20"/>
                <w:szCs w:val="20"/>
                <w:color w:val="auto"/>
              </w:rPr>
            </w:pPr>
            <w:r>
              <w:rPr>
                <w:rFonts w:ascii="Arial" w:cs="Arial" w:eastAsia="Arial" w:hAnsi="Arial"/>
                <w:sz w:val="18"/>
                <w:szCs w:val="18"/>
                <w:color w:val="auto"/>
              </w:rPr>
              <w:t>13</w:t>
            </w: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June 30, 2020 and 2019, the Company recognized the following stock-based compensation expense:</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2320" w:type="dxa"/>
            <w:vAlign w:val="bottom"/>
            <w:gridSpan w:val="4"/>
          </w:tcPr>
          <w:p>
            <w:pPr>
              <w:jc w:val="right"/>
              <w:ind w:right="22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27"/>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3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2,499</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2,186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2,256</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1,978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4,755</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4,164</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4320" w:type="dxa"/>
            <w:vAlign w:val="bottom"/>
          </w:tcPr>
          <w:p>
            <w:pPr>
              <w:spacing w:after="0"/>
              <w:rPr>
                <w:sz w:val="24"/>
                <w:szCs w:val="24"/>
                <w:color w:val="auto"/>
              </w:rPr>
            </w:pPr>
          </w:p>
        </w:tc>
        <w:tc>
          <w:tcPr>
            <w:tcW w:w="2320" w:type="dxa"/>
            <w:vAlign w:val="bottom"/>
            <w:gridSpan w:val="4"/>
          </w:tcPr>
          <w:p>
            <w:pPr>
              <w:jc w:val="right"/>
              <w:ind w:right="22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27"/>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3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4,339</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3,981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8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4,755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4,164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During the nine months ended June 30, 2020 and 2019, the Company recognized stock-based compensation expense for performance-based stock units for which vesting became probable upon achievement of performance-based targets that occurred during their respective performance periods.</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2020, the Company had an aggregate of $43,977 of unrecognized stock-based compensation cost, which is expected to be recognized over a weighted average period of 2.5 years.</w:t>
      </w:r>
    </w:p>
    <w:p>
      <w:pPr>
        <w:spacing w:after="0" w:line="27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three and nine months ended June 30,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gridSpan w:val="5"/>
          </w:tcPr>
          <w:p>
            <w:pPr>
              <w:jc w:val="right"/>
              <w:ind w:right="420"/>
              <w:spacing w:after="0" w:line="155" w:lineRule="exact"/>
              <w:rPr>
                <w:sz w:val="20"/>
                <w:szCs w:val="20"/>
                <w:color w:val="auto"/>
              </w:rPr>
            </w:pPr>
            <w:r>
              <w:rPr>
                <w:rFonts w:ascii="Arial" w:cs="Arial" w:eastAsia="Arial" w:hAnsi="Arial"/>
                <w:sz w:val="14"/>
                <w:szCs w:val="14"/>
                <w:b w:val="1"/>
                <w:bCs w:val="1"/>
                <w:color w:val="auto"/>
                <w:w w:val="93"/>
              </w:rPr>
              <w:t>(in thousands, except per share data)</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(14,265)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7,036</w:t>
            </w:r>
          </w:p>
        </w:tc>
        <w:tc>
          <w:tcPr>
            <w:tcW w:w="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(6,827)</w:t>
            </w:r>
          </w:p>
        </w:tc>
        <w:tc>
          <w:tcPr>
            <w:tcW w:w="6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19,673</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share—basic</w:t>
            </w: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(14,265)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7,036</w:t>
            </w:r>
          </w:p>
        </w:tc>
        <w:tc>
          <w:tcPr>
            <w:tcW w:w="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(6,827)</w:t>
            </w:r>
          </w:p>
        </w:tc>
        <w:tc>
          <w:tcPr>
            <w:tcW w:w="6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19,673</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21,105</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share—diluted</w:t>
            </w: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3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Anti-dilutive common stock equivalents excluded</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from above</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74"/>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 w:name="page15"/>
    <w:bookmarkEnd w:id="14"/>
    <w:p>
      <w:pPr>
        <w:ind w:right="28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provision for income taxes consists of federal and state taxes necessary to align the Company’s year-to-date tax provision with the annual effective rate that it expects to achieve for the full year. At each interim period, the Company updates its estimate of the annual effective tax rate and records cumulative adjustments as necessary. During the nine months ended June 30, 2020, the Company determined the use of the annual effective tax rate is most appropriate in light of its full year forecast. For the three months ended June 30, 2020 and 2019, the Company recorded an income tax benefit of $7,142 and $866, respectively, both of which were attributable to the Company’s domestic operations. The Company has no foreign operations and therefore, has not provided for any foreign taxes. For the nine months ended June 30, 2020 and 2019, the Company recorded an income tax benefit of $9,558 and $ 340 , respectively. The Company recorded an income tax benefit during the nine months ended June 30, 2020 due to its pre-tax loss for the period, federal research and development tax credits and a federal net operating loss. For the nine months ended June 30, 2019, the Company recorded an income tax benefit of $340 despite its pre-tax income, due to a federal income tax benefit from foreign-derived royalty income.</w:t>
      </w:r>
    </w:p>
    <w:p>
      <w:pPr>
        <w:spacing w:after="0" w:line="5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2016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 in September 2018, the amount of which was immaterial to the consolidated financial statements. The Company is in the process of finalizing the completion of the IRS audit. In addition, during October 2018 the Company received notice of examination by the Massachusetts Department of Revenue (“DOR”) for the years ending September 30, 2015 and September 30, 2016. The Company received a notice of proposed adjustment from the DOR, the amount of which was immaterial to the consolidated financial statements. The Company finalized the adjustment with the DOR during the nine months ended June 30, 2020. The Company has not received notice of examination by any other jurisdictions for any other tax year open under statute.</w:t>
      </w:r>
    </w:p>
    <w:p>
      <w:pPr>
        <w:spacing w:after="0" w:line="7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had unrecognized tax benefits totaling $776 and $1,746 as of June 30, 2020, and September 30, 2019, respectively. Unrecognized tax benefits represent tax positions for which reserves have been established. The Company’s policy is to record interest and penalties related to uncertain tax positions as part of its income tax provision. In conjunction with the finalization of the DOR audit, the Company released an uncertain tax benefit of $539 during the nine months ended June 30, 2020 which was reflected in the income tax benefit reported during the period.</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response to the COVID-19 pandemic, the Coronavirus Aid, Relief and Economic Security Act (“CARES Act”) was signed into law in March 2020. The CARES Act lifts certain deduction limitations originally imposed by the Tax Cuts and Jobs Act of 2017 (the “Tax Act”). Under the CARES Act, the Company is permitted to carry back net operating losses originating beginning in fiscal 2018 through fiscal 2020 for up to five years. Net operating loss carrybacks were previously prohibited under the Tax Act. The CARES Act also eliminates the 80% of taxable income limitations by allowing corporate entities to fully utilize net operating loss carryforwards to offset taxable income in fiscal years 2018, 2019 or 2020. In addition, the CARES Act makes qualified improvement property eligible for 15-year cost-recovery and 100% bonus depreciation. The enactment of the CARES Act did not result in any material adjustments to the Company’s consolidated financial statements during the nine months ended June 30, 2020.</w:t>
      </w:r>
    </w:p>
    <w:p>
      <w:pPr>
        <w:spacing w:after="0" w:line="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June 30, 2020, the Company has $15,289 in net deferred tax assets. These deferred tax assets include $10,178 related to stock compensation awards that would create a tax benefit in the future against future taxable income and federal research and development tax credit carryforwards totaling $4,301. At this time, the Company considers it more likely than not that it will have sufficient taxable income in the future that will allow it to realize its existing deferred tax assets. However, it is possible that some or all of these tax benefits may not be utilized in the future if the Company is unable to generate sufficient taxable income due to decreasing royalty revenues as a result of the maturing HCV market and, in the near-term, any continuing impact of COVID-19 on treatment rates for HCV and increasing research and development costs as the Company advances its wholly-owned programs. As a result, a valuation allowance could be recorded in the future against its deferred tax assets to reduce all or a portion of the Company’s deferred tax assets, which would materially increase the Company’s tax expense in the period in which the valuation allowance would be recorded.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real estate leases for properties located in Watertown, Massachusetts. The first lease, for office and laboratory space at 500 Arsenal Street, was effective in fiscal 2011 and expires in September 2022 with an option to extend the lease term for an additional five years. The second lease, for office space located at 400 Talcott Avenue, was effective September 2018 and expires in August 2024 with two options to extend the lease term for an additional three years each. The options to extend the lease terms were not included in the right-of-use assets and lease liabilities as they were not reasonably certain of being exercised. The lease payments for the office and laboratory space include fixed lease payments that escalate over the terms of the leases. Additionally, the Company’s office and laboratory space leases require the Company to pay for certain operating expenses based on actual costs incurred and therefore as the amounts are variable in nature are expensed in the period incurred and included in variable lease costs.</w:t>
      </w:r>
    </w:p>
    <w:p>
      <w:pPr>
        <w:spacing w:after="0" w:line="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October 2019, the Company entered into an agreement to lease units of equipment over eighteen-month lease periods commencing upon shipment of each unit. The lease agreement contains an option to terminate the lease early, however this early-termination option was not included in the right-of-use asset and lease liability as it was not reasonably certain of being exercised. The equipment lease requires the Company to pay for certain consumable and peripheral equipment supplies based on actual costs incurred and therefore, as these costs are variable in nature, they are expensed in the period incurred and included in variable lease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Company’s real estate and equipment leases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189"/>
        </w:trPr>
        <w:tc>
          <w:tcPr>
            <w:tcW w:w="45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 2020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2020</w:t>
            </w:r>
          </w:p>
        </w:tc>
      </w:tr>
      <w:tr>
        <w:trPr>
          <w:trHeight w:val="26"/>
        </w:trPr>
        <w:tc>
          <w:tcPr>
            <w:tcW w:w="4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45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gridSpan w:val="6"/>
          </w:tcPr>
          <w:p>
            <w:pPr>
              <w:ind w:left="128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4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500" w:type="dxa"/>
            <w:vAlign w:val="bottom"/>
            <w:shd w:val="clear" w:color="auto" w:fill="CFF2FC"/>
          </w:tcPr>
          <w:p>
            <w:pPr>
              <w:ind w:left="140"/>
              <w:spacing w:after="0"/>
              <w:rPr>
                <w:sz w:val="20"/>
                <w:szCs w:val="20"/>
                <w:color w:val="auto"/>
              </w:rPr>
            </w:pPr>
            <w:r>
              <w:rPr>
                <w:rFonts w:ascii="Arial" w:cs="Arial" w:eastAsia="Arial" w:hAnsi="Arial"/>
                <w:sz w:val="18"/>
                <w:szCs w:val="18"/>
                <w:color w:val="auto"/>
              </w:rPr>
              <w:t>Operating lease cost</w:t>
            </w:r>
          </w:p>
        </w:tc>
        <w:tc>
          <w:tcPr>
            <w:tcW w:w="3020" w:type="dxa"/>
            <w:vAlign w:val="bottom"/>
            <w:gridSpan w:val="2"/>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1,018</w:t>
            </w:r>
          </w:p>
        </w:tc>
        <w:tc>
          <w:tcPr>
            <w:tcW w:w="300" w:type="dxa"/>
            <w:vAlign w:val="bottom"/>
            <w:shd w:val="clear" w:color="auto" w:fill="CFF2FC"/>
          </w:tcPr>
          <w:p>
            <w:pPr>
              <w:spacing w:after="0"/>
              <w:rPr>
                <w:sz w:val="19"/>
                <w:szCs w:val="19"/>
                <w:color w:val="auto"/>
              </w:rPr>
            </w:pPr>
          </w:p>
        </w:tc>
        <w:tc>
          <w:tcPr>
            <w:tcW w:w="160" w:type="dxa"/>
            <w:vAlign w:val="bottom"/>
            <w:gridSpan w:val="2"/>
            <w:shd w:val="clear" w:color="auto" w:fill="CFF2FC"/>
          </w:tcPr>
          <w:p>
            <w:pPr>
              <w:jc w:val="right"/>
              <w:ind w:right="29"/>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FF2FC"/>
          </w:tcPr>
          <w:p>
            <w:pPr>
              <w:spacing w:after="0"/>
              <w:rPr>
                <w:sz w:val="19"/>
                <w:szCs w:val="19"/>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Short-term lease cost</w:t>
            </w:r>
          </w:p>
        </w:tc>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FF2FC"/>
          </w:tcPr>
          <w:p>
            <w:pPr>
              <w:ind w:left="140"/>
              <w:spacing w:after="0"/>
              <w:rPr>
                <w:sz w:val="20"/>
                <w:szCs w:val="20"/>
                <w:color w:val="auto"/>
              </w:rPr>
            </w:pPr>
            <w:r>
              <w:rPr>
                <w:rFonts w:ascii="Arial" w:cs="Arial" w:eastAsia="Arial" w:hAnsi="Arial"/>
                <w:sz w:val="18"/>
                <w:szCs w:val="18"/>
                <w:color w:val="auto"/>
              </w:rPr>
              <w:t>Variable lease cost</w:t>
            </w:r>
          </w:p>
        </w:tc>
        <w:tc>
          <w:tcPr>
            <w:tcW w:w="2860" w:type="dxa"/>
            <w:vAlign w:val="bottom"/>
            <w:shd w:val="clear" w:color="auto" w:fill="CFF2FC"/>
          </w:tcPr>
          <w:p>
            <w:pPr>
              <w:spacing w:after="0"/>
              <w:rPr>
                <w:sz w:val="19"/>
                <w:szCs w:val="19"/>
                <w:color w:val="auto"/>
              </w:rPr>
            </w:pPr>
          </w:p>
        </w:tc>
        <w:tc>
          <w:tcPr>
            <w:tcW w:w="160" w:type="dxa"/>
            <w:vAlign w:val="bottom"/>
            <w:tcBorders>
              <w:bottom w:val="single" w:sz="8" w:color="auto"/>
            </w:tcBorders>
            <w:shd w:val="clear" w:color="auto" w:fill="CFF2FC"/>
          </w:tcPr>
          <w:p>
            <w:pPr>
              <w:spacing w:after="0"/>
              <w:rPr>
                <w:sz w:val="19"/>
                <w:szCs w:val="19"/>
                <w:color w:val="auto"/>
              </w:rPr>
            </w:pPr>
          </w:p>
        </w:tc>
        <w:tc>
          <w:tcPr>
            <w:tcW w:w="15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403</w:t>
            </w:r>
          </w:p>
        </w:tc>
        <w:tc>
          <w:tcPr>
            <w:tcW w:w="300" w:type="dxa"/>
            <w:vAlign w:val="bottom"/>
            <w:shd w:val="clear" w:color="auto" w:fill="CFF2FC"/>
          </w:tcPr>
          <w:p>
            <w:pPr>
              <w:spacing w:after="0"/>
              <w:rPr>
                <w:sz w:val="19"/>
                <w:szCs w:val="19"/>
                <w:color w:val="auto"/>
              </w:rPr>
            </w:pPr>
          </w:p>
        </w:tc>
        <w:tc>
          <w:tcPr>
            <w:tcW w:w="20" w:type="dxa"/>
            <w:vAlign w:val="bottom"/>
            <w:shd w:val="clear" w:color="auto" w:fill="CFF2FC"/>
          </w:tcPr>
          <w:p>
            <w:pPr>
              <w:spacing w:after="0"/>
              <w:rPr>
                <w:sz w:val="19"/>
                <w:szCs w:val="19"/>
                <w:color w:val="auto"/>
              </w:rPr>
            </w:pPr>
          </w:p>
        </w:tc>
        <w:tc>
          <w:tcPr>
            <w:tcW w:w="140" w:type="dxa"/>
            <w:vAlign w:val="bottom"/>
            <w:tcBorders>
              <w:bottom w:val="single" w:sz="8" w:color="auto"/>
            </w:tcBorders>
            <w:shd w:val="clear" w:color="auto" w:fill="CFF2FC"/>
          </w:tcPr>
          <w:p>
            <w:pPr>
              <w:spacing w:after="0"/>
              <w:rPr>
                <w:sz w:val="19"/>
                <w:szCs w:val="19"/>
                <w:color w:val="auto"/>
              </w:rPr>
            </w:pPr>
          </w:p>
        </w:tc>
        <w:tc>
          <w:tcPr>
            <w:tcW w:w="15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FF2FC"/>
          </w:tcPr>
          <w:p>
            <w:pPr>
              <w:spacing w:after="0"/>
              <w:rPr>
                <w:sz w:val="19"/>
                <w:szCs w:val="19"/>
                <w:color w:val="auto"/>
              </w:rPr>
            </w:pPr>
          </w:p>
        </w:tc>
      </w:tr>
      <w:tr>
        <w:trPr>
          <w:trHeight w:val="223"/>
        </w:trPr>
        <w:tc>
          <w:tcPr>
            <w:tcW w:w="4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301"/>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r>
      <w:tr>
        <w:trPr>
          <w:trHeight w:val="189"/>
        </w:trPr>
        <w:tc>
          <w:tcPr>
            <w:tcW w:w="6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521"/>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2020</w:t>
            </w:r>
          </w:p>
        </w:tc>
      </w:tr>
      <w:tr>
        <w:trPr>
          <w:trHeight w:val="25"/>
        </w:trPr>
        <w:tc>
          <w:tcPr>
            <w:tcW w:w="6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180" w:type="dxa"/>
            <w:vAlign w:val="bottom"/>
          </w:tcPr>
          <w:p>
            <w:pPr>
              <w:spacing w:after="0"/>
              <w:rPr>
                <w:sz w:val="2"/>
                <w:szCs w:val="2"/>
                <w:color w:val="auto"/>
              </w:rPr>
            </w:pPr>
          </w:p>
        </w:tc>
      </w:tr>
      <w:tr>
        <w:trPr>
          <w:trHeight w:val="198"/>
        </w:trPr>
        <w:tc>
          <w:tcPr>
            <w:tcW w:w="6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gridSpan w:val="5"/>
          </w:tcPr>
          <w:p>
            <w:pPr>
              <w:jc w:val="right"/>
              <w:ind w:right="1620"/>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6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5"/>
        </w:trPr>
        <w:tc>
          <w:tcPr>
            <w:tcW w:w="6160" w:type="dxa"/>
            <w:vAlign w:val="bottom"/>
            <w:shd w:val="clear" w:color="auto" w:fill="CFF2FC"/>
          </w:tcPr>
          <w:p>
            <w:pPr>
              <w:ind w:left="140"/>
              <w:spacing w:after="0"/>
              <w:rPr>
                <w:sz w:val="20"/>
                <w:szCs w:val="20"/>
                <w:color w:val="auto"/>
              </w:rPr>
            </w:pPr>
            <w:r>
              <w:rPr>
                <w:rFonts w:ascii="Arial" w:cs="Arial" w:eastAsia="Arial" w:hAnsi="Arial"/>
                <w:sz w:val="18"/>
                <w:szCs w:val="18"/>
                <w:color w:val="auto"/>
              </w:rPr>
              <w:t>Cash paid for amounts included in the measurement of</w:t>
            </w:r>
          </w:p>
        </w:tc>
        <w:tc>
          <w:tcPr>
            <w:tcW w:w="1160" w:type="dxa"/>
            <w:vAlign w:val="bottom"/>
            <w:shd w:val="clear" w:color="auto" w:fill="CFF2FC"/>
          </w:tcPr>
          <w:p>
            <w:pPr>
              <w:spacing w:after="0"/>
              <w:rPr>
                <w:sz w:val="18"/>
                <w:szCs w:val="18"/>
                <w:color w:val="auto"/>
              </w:rPr>
            </w:pPr>
          </w:p>
        </w:tc>
        <w:tc>
          <w:tcPr>
            <w:tcW w:w="160" w:type="dxa"/>
            <w:vAlign w:val="bottom"/>
            <w:shd w:val="clear" w:color="auto" w:fill="CFF2FC"/>
          </w:tcPr>
          <w:p>
            <w:pPr>
              <w:spacing w:after="0"/>
              <w:rPr>
                <w:sz w:val="18"/>
                <w:szCs w:val="18"/>
                <w:color w:val="auto"/>
              </w:rPr>
            </w:pPr>
          </w:p>
        </w:tc>
        <w:tc>
          <w:tcPr>
            <w:tcW w:w="1700" w:type="dxa"/>
            <w:vAlign w:val="bottom"/>
            <w:shd w:val="clear" w:color="auto" w:fill="CFF2FC"/>
          </w:tcPr>
          <w:p>
            <w:pPr>
              <w:spacing w:after="0"/>
              <w:rPr>
                <w:sz w:val="18"/>
                <w:szCs w:val="18"/>
                <w:color w:val="auto"/>
              </w:rPr>
            </w:pPr>
          </w:p>
        </w:tc>
        <w:tc>
          <w:tcPr>
            <w:tcW w:w="160" w:type="dxa"/>
            <w:vAlign w:val="bottom"/>
            <w:shd w:val="clear" w:color="auto" w:fill="CFF2FC"/>
          </w:tcPr>
          <w:p>
            <w:pPr>
              <w:spacing w:after="0"/>
              <w:rPr>
                <w:sz w:val="18"/>
                <w:szCs w:val="18"/>
                <w:color w:val="auto"/>
              </w:rPr>
            </w:pPr>
          </w:p>
        </w:tc>
        <w:tc>
          <w:tcPr>
            <w:tcW w:w="160" w:type="dxa"/>
            <w:vAlign w:val="bottom"/>
            <w:shd w:val="clear" w:color="auto" w:fill="CFF2FC"/>
          </w:tcPr>
          <w:p>
            <w:pPr>
              <w:spacing w:after="0"/>
              <w:rPr>
                <w:sz w:val="18"/>
                <w:szCs w:val="18"/>
                <w:color w:val="auto"/>
              </w:rPr>
            </w:pPr>
          </w:p>
        </w:tc>
        <w:tc>
          <w:tcPr>
            <w:tcW w:w="1560" w:type="dxa"/>
            <w:vAlign w:val="bottom"/>
            <w:shd w:val="clear" w:color="auto" w:fill="CFF2FC"/>
          </w:tcPr>
          <w:p>
            <w:pPr>
              <w:spacing w:after="0"/>
              <w:rPr>
                <w:sz w:val="18"/>
                <w:szCs w:val="18"/>
                <w:color w:val="auto"/>
              </w:rPr>
            </w:pPr>
          </w:p>
        </w:tc>
        <w:tc>
          <w:tcPr>
            <w:tcW w:w="180" w:type="dxa"/>
            <w:vAlign w:val="bottom"/>
            <w:shd w:val="clear" w:color="auto" w:fill="CFF2FC"/>
          </w:tcPr>
          <w:p>
            <w:pPr>
              <w:spacing w:after="0"/>
              <w:rPr>
                <w:sz w:val="18"/>
                <w:szCs w:val="18"/>
                <w:color w:val="auto"/>
              </w:rPr>
            </w:pPr>
          </w:p>
        </w:tc>
      </w:tr>
      <w:tr>
        <w:trPr>
          <w:trHeight w:val="230"/>
        </w:trPr>
        <w:tc>
          <w:tcPr>
            <w:tcW w:w="6160" w:type="dxa"/>
            <w:vAlign w:val="bottom"/>
            <w:shd w:val="clear" w:color="auto" w:fill="CFF2FC"/>
          </w:tcPr>
          <w:p>
            <w:pPr>
              <w:ind w:left="260"/>
              <w:spacing w:after="0"/>
              <w:rPr>
                <w:sz w:val="20"/>
                <w:szCs w:val="20"/>
                <w:color w:val="auto"/>
              </w:rPr>
            </w:pPr>
            <w:r>
              <w:rPr>
                <w:rFonts w:ascii="Arial" w:cs="Arial" w:eastAsia="Arial" w:hAnsi="Arial"/>
                <w:sz w:val="18"/>
                <w:szCs w:val="18"/>
                <w:color w:val="auto"/>
              </w:rPr>
              <w:t>operating lease liabilities</w:t>
            </w:r>
          </w:p>
        </w:tc>
        <w:tc>
          <w:tcPr>
            <w:tcW w:w="1320" w:type="dxa"/>
            <w:vAlign w:val="bottom"/>
            <w:gridSpan w:val="2"/>
            <w:shd w:val="clear" w:color="auto" w:fill="CFF2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2FC"/>
          </w:tcPr>
          <w:p>
            <w:pPr>
              <w:jc w:val="right"/>
              <w:ind w:right="81"/>
              <w:spacing w:after="0"/>
              <w:rPr>
                <w:sz w:val="20"/>
                <w:szCs w:val="20"/>
                <w:color w:val="auto"/>
              </w:rPr>
            </w:pPr>
            <w:r>
              <w:rPr>
                <w:rFonts w:ascii="Arial" w:cs="Arial" w:eastAsia="Arial" w:hAnsi="Arial"/>
                <w:sz w:val="18"/>
                <w:szCs w:val="18"/>
                <w:color w:val="auto"/>
              </w:rPr>
              <w:t>1,111</w:t>
            </w:r>
          </w:p>
        </w:tc>
        <w:tc>
          <w:tcPr>
            <w:tcW w:w="320" w:type="dxa"/>
            <w:vAlign w:val="bottom"/>
            <w:gridSpan w:val="2"/>
            <w:shd w:val="clear" w:color="auto" w:fill="CFF2FC"/>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2,895</w:t>
            </w:r>
          </w:p>
        </w:tc>
        <w:tc>
          <w:tcPr>
            <w:tcW w:w="180" w:type="dxa"/>
            <w:vAlign w:val="bottom"/>
            <w:shd w:val="clear" w:color="auto" w:fill="CFF2FC"/>
          </w:tcPr>
          <w:p>
            <w:pPr>
              <w:spacing w:after="0"/>
              <w:rPr>
                <w:sz w:val="20"/>
                <w:szCs w:val="20"/>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1"/>
              <w:spacing w:after="0"/>
              <w:rPr>
                <w:sz w:val="20"/>
                <w:szCs w:val="20"/>
                <w:color w:val="auto"/>
              </w:rPr>
            </w:pPr>
            <w:r>
              <w:rPr>
                <w:rFonts w:ascii="Arial" w:cs="Arial" w:eastAsia="Arial" w:hAnsi="Arial"/>
                <w:sz w:val="18"/>
                <w:szCs w:val="18"/>
                <w:color w:val="auto"/>
              </w:rPr>
              <w:t>679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2,676</w:t>
            </w:r>
          </w:p>
        </w:tc>
        <w:tc>
          <w:tcPr>
            <w:tcW w:w="180" w:type="dxa"/>
            <w:vAlign w:val="bottom"/>
          </w:tcPr>
          <w:p>
            <w:pPr>
              <w:spacing w:after="0"/>
              <w:rPr>
                <w:sz w:val="20"/>
                <w:szCs w:val="20"/>
                <w:color w:val="auto"/>
              </w:rPr>
            </w:pPr>
          </w:p>
        </w:tc>
      </w:tr>
      <w:tr>
        <w:trPr>
          <w:trHeight w:val="433"/>
        </w:trPr>
        <w:tc>
          <w:tcPr>
            <w:tcW w:w="6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2020</w:t>
            </w:r>
          </w:p>
        </w:tc>
      </w:tr>
      <w:tr>
        <w:trPr>
          <w:trHeight w:val="25"/>
        </w:trPr>
        <w:tc>
          <w:tcPr>
            <w:tcW w:w="6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8"/>
        </w:trPr>
        <w:tc>
          <w:tcPr>
            <w:tcW w:w="6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r>
      <w:tr>
        <w:trPr>
          <w:trHeight w:val="25"/>
        </w:trPr>
        <w:tc>
          <w:tcPr>
            <w:tcW w:w="6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6160" w:type="dxa"/>
            <w:vAlign w:val="bottom"/>
            <w:shd w:val="clear" w:color="auto" w:fill="CFF2FC"/>
          </w:tcPr>
          <w:p>
            <w:pPr>
              <w:ind w:left="140"/>
              <w:spacing w:after="0"/>
              <w:rPr>
                <w:sz w:val="20"/>
                <w:szCs w:val="20"/>
                <w:color w:val="auto"/>
              </w:rPr>
            </w:pPr>
            <w:r>
              <w:rPr>
                <w:rFonts w:ascii="Arial" w:cs="Arial" w:eastAsia="Arial" w:hAnsi="Arial"/>
                <w:sz w:val="18"/>
                <w:szCs w:val="18"/>
                <w:color w:val="auto"/>
              </w:rPr>
              <w:t>Weighted-average remaining lease term - operating leases (in years)</w:t>
            </w:r>
          </w:p>
        </w:tc>
        <w:tc>
          <w:tcPr>
            <w:tcW w:w="1160" w:type="dxa"/>
            <w:vAlign w:val="bottom"/>
            <w:shd w:val="clear" w:color="auto" w:fill="CFF2FC"/>
          </w:tcPr>
          <w:p>
            <w:pPr>
              <w:spacing w:after="0"/>
              <w:rPr>
                <w:sz w:val="19"/>
                <w:szCs w:val="19"/>
                <w:color w:val="auto"/>
              </w:rPr>
            </w:pPr>
          </w:p>
        </w:tc>
        <w:tc>
          <w:tcPr>
            <w:tcW w:w="160" w:type="dxa"/>
            <w:vAlign w:val="bottom"/>
            <w:shd w:val="clear" w:color="auto" w:fill="CFF2FC"/>
          </w:tcPr>
          <w:p>
            <w:pPr>
              <w:spacing w:after="0"/>
              <w:rPr>
                <w:sz w:val="19"/>
                <w:szCs w:val="19"/>
                <w:color w:val="auto"/>
              </w:rPr>
            </w:pPr>
          </w:p>
        </w:tc>
        <w:tc>
          <w:tcPr>
            <w:tcW w:w="1700" w:type="dxa"/>
            <w:vAlign w:val="bottom"/>
            <w:shd w:val="clear" w:color="auto" w:fill="CFF2FC"/>
          </w:tcPr>
          <w:p>
            <w:pPr>
              <w:spacing w:after="0"/>
              <w:rPr>
                <w:sz w:val="19"/>
                <w:szCs w:val="19"/>
                <w:color w:val="auto"/>
              </w:rPr>
            </w:pPr>
          </w:p>
        </w:tc>
        <w:tc>
          <w:tcPr>
            <w:tcW w:w="160" w:type="dxa"/>
            <w:vAlign w:val="bottom"/>
            <w:shd w:val="clear" w:color="auto" w:fill="CFF2FC"/>
          </w:tcPr>
          <w:p>
            <w:pPr>
              <w:spacing w:after="0"/>
              <w:rPr>
                <w:sz w:val="19"/>
                <w:szCs w:val="19"/>
                <w:color w:val="auto"/>
              </w:rPr>
            </w:pPr>
          </w:p>
        </w:tc>
        <w:tc>
          <w:tcPr>
            <w:tcW w:w="160" w:type="dxa"/>
            <w:vAlign w:val="bottom"/>
            <w:shd w:val="clear" w:color="auto" w:fill="CFF2FC"/>
          </w:tcPr>
          <w:p>
            <w:pPr>
              <w:spacing w:after="0"/>
              <w:rPr>
                <w:sz w:val="19"/>
                <w:szCs w:val="19"/>
                <w:color w:val="auto"/>
              </w:rPr>
            </w:pPr>
          </w:p>
        </w:tc>
        <w:tc>
          <w:tcPr>
            <w:tcW w:w="15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FF2FC"/>
          </w:tcPr>
          <w:p>
            <w:pPr>
              <w:spacing w:after="0"/>
              <w:rPr>
                <w:sz w:val="19"/>
                <w:szCs w:val="19"/>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Weighted-average discount rate - operating leases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Incremental borrowing rates were used to calculate the present value of the Company’s real estate and equipment leases.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Future annual minimum lease payments under the Company’s real estate and equipment operating leases as of June 30, 2020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Years ended September 30,</w:t>
            </w:r>
          </w:p>
        </w:tc>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1660" w:type="dxa"/>
            <w:vAlign w:val="bottom"/>
            <w:tcBorders>
              <w:top w:val="single" w:sz="8" w:color="auto"/>
            </w:tcBorders>
            <w:shd w:val="clear" w:color="auto" w:fill="CFF2FC"/>
          </w:tcPr>
          <w:p>
            <w:pPr>
              <w:ind w:left="140"/>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FF2FC"/>
          </w:tcPr>
          <w:p>
            <w:pPr>
              <w:spacing w:after="0"/>
              <w:rPr>
                <w:sz w:val="19"/>
                <w:szCs w:val="19"/>
                <w:color w:val="auto"/>
              </w:rPr>
            </w:pPr>
          </w:p>
        </w:tc>
        <w:tc>
          <w:tcPr>
            <w:tcW w:w="5340" w:type="dxa"/>
            <w:vAlign w:val="bottom"/>
            <w:gridSpan w:val="2"/>
            <w:shd w:val="clear" w:color="auto" w:fill="CFF2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FF2FC"/>
          </w:tcPr>
          <w:p>
            <w:pPr>
              <w:ind w:left="140"/>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FF2FC"/>
          </w:tcPr>
          <w:p>
            <w:pPr>
              <w:spacing w:after="0"/>
              <w:rPr>
                <w:sz w:val="19"/>
                <w:szCs w:val="19"/>
                <w:color w:val="auto"/>
              </w:rPr>
            </w:pPr>
          </w:p>
        </w:tc>
        <w:tc>
          <w:tcPr>
            <w:tcW w:w="506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16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2FC"/>
          </w:tcPr>
          <w:p>
            <w:pPr>
              <w:ind w:left="140"/>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FF2FC"/>
          </w:tcPr>
          <w:p>
            <w:pPr>
              <w:spacing w:after="0"/>
              <w:rPr>
                <w:sz w:val="19"/>
                <w:szCs w:val="19"/>
                <w:color w:val="auto"/>
              </w:rPr>
            </w:pPr>
          </w:p>
        </w:tc>
        <w:tc>
          <w:tcPr>
            <w:tcW w:w="5060" w:type="dxa"/>
            <w:vAlign w:val="bottom"/>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spacing w:after="0"/>
              <w:rPr>
                <w:sz w:val="19"/>
                <w:szCs w:val="19"/>
                <w:color w:val="auto"/>
              </w:rPr>
            </w:pPr>
          </w:p>
        </w:tc>
        <w:tc>
          <w:tcPr>
            <w:tcW w:w="16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Total future minimum lease payments</w:t>
            </w:r>
          </w:p>
        </w:tc>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2FC"/>
          </w:tcPr>
          <w:p>
            <w:pPr>
              <w:ind w:left="140"/>
              <w:spacing w:after="0"/>
              <w:rPr>
                <w:sz w:val="20"/>
                <w:szCs w:val="20"/>
                <w:color w:val="auto"/>
              </w:rPr>
            </w:pPr>
            <w:r>
              <w:rPr>
                <w:rFonts w:ascii="Arial" w:cs="Arial" w:eastAsia="Arial" w:hAnsi="Arial"/>
                <w:sz w:val="18"/>
                <w:szCs w:val="18"/>
                <w:color w:val="auto"/>
              </w:rPr>
              <w:t>Less: imputed interest</w:t>
            </w:r>
          </w:p>
        </w:tc>
        <w:tc>
          <w:tcPr>
            <w:tcW w:w="506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170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3"/>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Total operating lease liabilities</w:t>
            </w:r>
          </w:p>
        </w:tc>
        <w:tc>
          <w:tcPr>
            <w:tcW w:w="50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60" w:type="dxa"/>
            <w:vAlign w:val="bottom"/>
            <w:vMerge w:val="restart"/>
          </w:tcPr>
          <w:p>
            <w:pPr>
              <w:jc w:val="right"/>
              <w:ind w:right="345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8"/>
        </w:trPr>
        <w:tc>
          <w:tcPr>
            <w:tcW w:w="6420" w:type="dxa"/>
            <w:vAlign w:val="bottom"/>
          </w:tcPr>
          <w:p>
            <w:pPr>
              <w:spacing w:after="0"/>
              <w:rPr>
                <w:sz w:val="20"/>
                <w:szCs w:val="20"/>
                <w:color w:val="auto"/>
              </w:rPr>
            </w:pPr>
            <w:r>
              <w:rPr>
                <w:rFonts w:ascii="Arial" w:cs="Arial" w:eastAsia="Arial" w:hAnsi="Arial"/>
                <w:sz w:val="14"/>
                <w:szCs w:val="14"/>
                <w:b w:val="1"/>
                <w:bCs w:val="1"/>
                <w:color w:val="auto"/>
              </w:rPr>
              <w:t>Included in the balance sheet:</w:t>
            </w:r>
          </w:p>
        </w:tc>
        <w:tc>
          <w:tcPr>
            <w:tcW w:w="2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7"/>
                <w:szCs w:val="17"/>
                <w:color w:val="auto"/>
              </w:rPr>
            </w:pPr>
          </w:p>
        </w:tc>
      </w:tr>
      <w:tr>
        <w:trPr>
          <w:trHeight w:val="198"/>
        </w:trPr>
        <w:tc>
          <w:tcPr>
            <w:tcW w:w="6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6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6420" w:type="dxa"/>
            <w:vAlign w:val="bottom"/>
            <w:shd w:val="clear" w:color="auto" w:fill="CFF2FC"/>
          </w:tcPr>
          <w:p>
            <w:pPr>
              <w:ind w:left="140"/>
              <w:spacing w:after="0"/>
              <w:rPr>
                <w:sz w:val="20"/>
                <w:szCs w:val="20"/>
                <w:color w:val="auto"/>
              </w:rPr>
            </w:pPr>
            <w:r>
              <w:rPr>
                <w:rFonts w:ascii="Arial" w:cs="Arial" w:eastAsia="Arial" w:hAnsi="Arial"/>
                <w:sz w:val="18"/>
                <w:szCs w:val="18"/>
                <w:color w:val="auto"/>
              </w:rPr>
              <w:t>Current operating lease liabilities</w:t>
            </w:r>
          </w:p>
        </w:tc>
        <w:tc>
          <w:tcPr>
            <w:tcW w:w="3120" w:type="dxa"/>
            <w:vAlign w:val="bottom"/>
            <w:gridSpan w:val="2"/>
            <w:shd w:val="clear" w:color="auto" w:fill="CFF2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FF2FC"/>
          </w:tcPr>
          <w:p>
            <w:pPr>
              <w:spacing w:after="0"/>
              <w:rPr>
                <w:sz w:val="19"/>
                <w:szCs w:val="19"/>
                <w:color w:val="auto"/>
              </w:rPr>
            </w:pPr>
          </w:p>
        </w:tc>
      </w:tr>
      <w:tr>
        <w:trPr>
          <w:trHeight w:val="229"/>
        </w:trPr>
        <w:tc>
          <w:tcPr>
            <w:tcW w:w="6420" w:type="dxa"/>
            <w:vAlign w:val="bottom"/>
            <w:tcBorders>
              <w:bottom w:val="single" w:sz="8" w:color="CFF2FC"/>
            </w:tcBorders>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2840" w:type="dxa"/>
            <w:vAlign w:val="bottom"/>
            <w:tcBorders>
              <w:bottom w:val="single" w:sz="8" w:color="CFF2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FF2FC"/>
            </w:tcBorders>
          </w:tcPr>
          <w:p>
            <w:pPr>
              <w:spacing w:after="0"/>
              <w:rPr>
                <w:sz w:val="19"/>
                <w:szCs w:val="19"/>
                <w:color w:val="auto"/>
              </w:rPr>
            </w:pPr>
          </w:p>
        </w:tc>
      </w:tr>
      <w:tr>
        <w:trPr>
          <w:trHeight w:val="223"/>
        </w:trPr>
        <w:tc>
          <w:tcPr>
            <w:tcW w:w="6420" w:type="dxa"/>
            <w:vAlign w:val="bottom"/>
            <w:tcBorders>
              <w:bottom w:val="single" w:sz="8" w:color="CFF2FC"/>
            </w:tcBorders>
            <w:shd w:val="clear" w:color="auto" w:fill="CFF2FC"/>
          </w:tcPr>
          <w:p>
            <w:pPr>
              <w:ind w:left="140"/>
              <w:spacing w:after="0"/>
              <w:rPr>
                <w:sz w:val="20"/>
                <w:szCs w:val="20"/>
                <w:color w:val="auto"/>
              </w:rPr>
            </w:pPr>
            <w:r>
              <w:rPr>
                <w:rFonts w:ascii="Arial" w:cs="Arial" w:eastAsia="Arial" w:hAnsi="Arial"/>
                <w:sz w:val="18"/>
                <w:szCs w:val="18"/>
                <w:color w:val="auto"/>
              </w:rPr>
              <w:t>Total operating lease liabilities</w:t>
            </w:r>
          </w:p>
        </w:tc>
        <w:tc>
          <w:tcPr>
            <w:tcW w:w="2840" w:type="dxa"/>
            <w:vAlign w:val="bottom"/>
            <w:tcBorders>
              <w:bottom w:val="single" w:sz="8" w:color="CFF2FC"/>
            </w:tcBorders>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Borders>
              <w:bottom w:val="single" w:sz="8" w:color="CFF2FC"/>
            </w:tcBorders>
            <w:shd w:val="clear" w:color="auto" w:fill="CFF2FC"/>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previously disclosed in the Company’s 2019 Annual Report on Form 10-K and under the previous lease accounting standard, ASC 840, Leases, the following table summarizes the future minimum lease payments due under the operating leases as of September 30,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September 30,</w:t>
            </w:r>
          </w:p>
        </w:tc>
        <w:tc>
          <w:tcPr>
            <w:tcW w:w="1260" w:type="dxa"/>
            <w:vAlign w:val="bottom"/>
          </w:tcPr>
          <w:p>
            <w:pPr>
              <w:jc w:val="right"/>
              <w:ind w:right="7"/>
              <w:spacing w:after="0"/>
              <w:rPr>
                <w:sz w:val="20"/>
                <w:szCs w:val="20"/>
                <w:color w:val="auto"/>
              </w:rPr>
            </w:pPr>
            <w:r>
              <w:rPr>
                <w:rFonts w:ascii="Arial" w:cs="Arial" w:eastAsia="Arial" w:hAnsi="Arial"/>
                <w:sz w:val="14"/>
                <w:szCs w:val="14"/>
                <w:b w:val="1"/>
                <w:bCs w:val="1"/>
                <w:color w:val="auto"/>
              </w:rPr>
              <w:t>Operating</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65"/>
        </w:trPr>
        <w:tc>
          <w:tcPr>
            <w:tcW w:w="7380" w:type="dxa"/>
            <w:vAlign w:val="bottom"/>
            <w:gridSpan w:val="2"/>
            <w:vMerge w:val="continue"/>
          </w:tcPr>
          <w:p>
            <w:pPr>
              <w:spacing w:after="0"/>
              <w:rPr>
                <w:sz w:val="14"/>
                <w:szCs w:val="14"/>
                <w:color w:val="auto"/>
              </w:rPr>
            </w:pPr>
          </w:p>
        </w:tc>
        <w:tc>
          <w:tcPr>
            <w:tcW w:w="1260" w:type="dxa"/>
            <w:vAlign w:val="bottom"/>
          </w:tcPr>
          <w:p>
            <w:pPr>
              <w:jc w:val="right"/>
              <w:ind w:right="107"/>
              <w:spacing w:after="0" w:line="158" w:lineRule="exact"/>
              <w:rPr>
                <w:sz w:val="20"/>
                <w:szCs w:val="20"/>
                <w:color w:val="auto"/>
              </w:rPr>
            </w:pPr>
            <w:r>
              <w:rPr>
                <w:rFonts w:ascii="Arial" w:cs="Arial" w:eastAsia="Arial" w:hAnsi="Arial"/>
                <w:sz w:val="14"/>
                <w:szCs w:val="14"/>
                <w:b w:val="1"/>
                <w:bCs w:val="1"/>
                <w:color w:val="auto"/>
              </w:rPr>
              <w:t>Leases</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162"/>
        </w:trPr>
        <w:tc>
          <w:tcPr>
            <w:tcW w:w="1700" w:type="dxa"/>
            <w:vAlign w:val="bottom"/>
            <w:tcBorders>
              <w:top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2020</w:t>
            </w:r>
          </w:p>
        </w:tc>
        <w:tc>
          <w:tcPr>
            <w:tcW w:w="5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60"/>
              <w:spacing w:after="0"/>
              <w:rPr>
                <w:sz w:val="20"/>
                <w:szCs w:val="20"/>
                <w:color w:val="auto"/>
              </w:rPr>
            </w:pPr>
            <w:r>
              <w:rPr>
                <w:rFonts w:ascii="Arial" w:cs="Arial" w:eastAsia="Arial" w:hAnsi="Arial"/>
                <w:sz w:val="18"/>
                <w:szCs w:val="18"/>
                <w:color w:val="auto"/>
              </w:rPr>
              <w:t>2021</w:t>
            </w:r>
          </w:p>
        </w:tc>
        <w:tc>
          <w:tcPr>
            <w:tcW w:w="5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56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60"/>
              <w:spacing w:after="0"/>
              <w:rPr>
                <w:sz w:val="20"/>
                <w:szCs w:val="20"/>
                <w:color w:val="auto"/>
              </w:rPr>
            </w:pPr>
            <w:r>
              <w:rPr>
                <w:rFonts w:ascii="Arial" w:cs="Arial" w:eastAsia="Arial" w:hAnsi="Arial"/>
                <w:sz w:val="18"/>
                <w:szCs w:val="18"/>
                <w:color w:val="auto"/>
              </w:rPr>
              <w:t>2023</w:t>
            </w:r>
          </w:p>
        </w:tc>
        <w:tc>
          <w:tcPr>
            <w:tcW w:w="5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56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9,342</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one of the real estate leases, the Company has a total outstanding letter of credit in the amount of $608 as of June 30, 2020 and September 30, 2019, collateralized by a money market account. As of June 30, 2020 and September 30, 2019, the Company classified the $608 related to the money market account as long-term restricted cash.</w:t>
      </w:r>
    </w:p>
    <w:p>
      <w:pPr>
        <w:spacing w:after="0" w:line="328"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June 30,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7" w:name="page18"/>
    <w:bookmarkEnd w:id="1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2019 included in our Annual Report on Form 10-K for that fiscal year which is referred to as our 2019 Form 10-K. Please refer to our note regarding forward-looking statements on page 2 of this Form 10-Q, which is incorporated herein by this reference.</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 biotechnology company that uses our robust, chemistry-driven approach and drug discovery capabilities to create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13"/>
          <w:szCs w:val="13"/>
          <w:color w:val="auto"/>
        </w:rPr>
        <w:t>®</w:t>
      </w:r>
      <w:r>
        <w:rPr>
          <w:rFonts w:ascii="Arial" w:cs="Arial" w:eastAsia="Arial" w:hAnsi="Arial"/>
          <w:sz w:val="16"/>
          <w:szCs w:val="16"/>
          <w:color w:val="auto"/>
        </w:rPr>
        <w:t xml:space="preserve"> (U.S.) and MAVIRET</w:t>
      </w:r>
      <w:r>
        <w:rPr>
          <w:rFonts w:ascii="Arial" w:cs="Arial" w:eastAsia="Arial" w:hAnsi="Arial"/>
          <w:sz w:val="13"/>
          <w:szCs w:val="13"/>
          <w:color w:val="auto"/>
        </w:rPr>
        <w:t>®</w:t>
      </w:r>
      <w:r>
        <w:rPr>
          <w:rFonts w:ascii="Arial" w:cs="Arial" w:eastAsia="Arial" w:hAnsi="Arial"/>
          <w:sz w:val="16"/>
          <w:szCs w:val="16"/>
          <w:color w:val="auto"/>
        </w:rPr>
        <w:t xml:space="preserve"> (ex-U.S.) (glecaprevir/pibrentasvir). Our royalties from our AbbVie collaboration and, to the extent necessary, our existing financial resources, provide us funding to support our wholly-owned research and development programs, which are primarily focused on the following disease targets with the following compounds in clinical development, all of which have been granted Fast Track designation by the U.S. Food and Drug Administration (FDA):</w:t>
      </w:r>
    </w:p>
    <w:p>
      <w:pPr>
        <w:spacing w:after="0" w:line="58" w:lineRule="exact"/>
        <w:rPr>
          <w:sz w:val="20"/>
          <w:szCs w:val="20"/>
          <w:color w:val="auto"/>
        </w:rPr>
      </w:pPr>
    </w:p>
    <w:p>
      <w:pPr>
        <w:ind w:left="1000" w:right="120" w:hanging="493"/>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EDP-938, for respiratory syncytial virus, or RSV, infection,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78"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EDP-514, for hepatitis B virus, or HBV, the most prevalent chronic hepatitis, which is estimated to affect more than 250 million individuals worldwide; and</w:t>
      </w:r>
    </w:p>
    <w:p>
      <w:pPr>
        <w:spacing w:after="0" w:line="62"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EDP-305, for non-alcoholic steatohepatitis, or NASH, a liver disease estimated to affect approximately 1.5% to 6.5% of the population in the developed world (which translates to approximately 5 to 20 million individuals in the U.S. alone). In addition, EDP-297 is a follow-on FXR agonist for NASH, which is scheduled to initiate clinical trials in the third calendar quarter of 2020.</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had $435.4 million in cash and marketable securities at June 30, 2020. We expect cash flows from continuing royalties on our HCV products and, to the extent necessary, our existing financial resources, will allow us to continue to fund our wholly-owned research and development programs for the foreseeable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virology, namely RSV, HBV, human metapneumovirus, or hMPV, and SARS-CoV-2, and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NASH, a non-viral liver disease:</w:t>
      </w:r>
    </w:p>
    <w:p>
      <w:pPr>
        <w:spacing w:after="0" w:line="103" w:lineRule="exact"/>
        <w:rPr>
          <w:sz w:val="20"/>
          <w:szCs w:val="20"/>
          <w:color w:val="auto"/>
        </w:rPr>
      </w:pPr>
    </w:p>
    <w:p>
      <w:pPr>
        <w:ind w:left="10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RSV, hMPV and SARS-CoV-2:</w:t>
      </w:r>
      <w:r>
        <w:rPr>
          <w:rFonts w:ascii="Arial" w:cs="Arial" w:eastAsia="Arial" w:hAnsi="Arial"/>
          <w:sz w:val="18"/>
          <w:szCs w:val="18"/>
          <w:color w:val="auto"/>
        </w:rPr>
        <w:t xml:space="preserve"> We have a clinical stage program for RSV, for which the lead asset is EDP-938. We launched discovery efforts in January 2020 for hMPV, a virus that causes respiratory infection with symptoms similar to RSV, and in March 2020 for SARS-CoV-2, the virus that causes COVID-19.</w:t>
      </w:r>
    </w:p>
    <w:p>
      <w:pPr>
        <w:spacing w:after="0" w:line="75" w:lineRule="exact"/>
        <w:rPr>
          <w:rFonts w:ascii="Arial" w:cs="Arial" w:eastAsia="Arial" w:hAnsi="Arial"/>
          <w:sz w:val="18"/>
          <w:szCs w:val="18"/>
          <w:color w:val="auto"/>
        </w:rPr>
      </w:pPr>
    </w:p>
    <w:p>
      <w:pPr>
        <w:ind w:left="1020"/>
        <w:spacing w:after="0" w:line="308" w:lineRule="auto"/>
        <w:rPr>
          <w:rFonts w:ascii="Arial" w:cs="Arial" w:eastAsia="Arial" w:hAnsi="Arial"/>
          <w:sz w:val="18"/>
          <w:szCs w:val="18"/>
          <w:color w:val="auto"/>
        </w:rPr>
      </w:pPr>
      <w:r>
        <w:rPr>
          <w:rFonts w:ascii="Arial" w:cs="Arial" w:eastAsia="Arial" w:hAnsi="Arial"/>
          <w:sz w:val="17"/>
          <w:szCs w:val="17"/>
          <w:color w:val="auto"/>
        </w:rPr>
        <w:t>We discovered EDP-938, a potent N-protein inhibitor of activity of both major subgroups of RSV, referred to as RSV-A and RSV-B, and have been investigating it as our first clinical candidate for RSV. EDP-938 is the only N-protein inhibitor in clinical development.</w:t>
      </w:r>
    </w:p>
    <w:p>
      <w:pPr>
        <w:spacing w:after="0" w:line="38" w:lineRule="exact"/>
        <w:rPr>
          <w:rFonts w:ascii="Arial" w:cs="Arial" w:eastAsia="Arial" w:hAnsi="Arial"/>
          <w:sz w:val="18"/>
          <w:szCs w:val="18"/>
          <w:color w:val="auto"/>
        </w:rPr>
      </w:pPr>
    </w:p>
    <w:p>
      <w:pPr>
        <w:ind w:left="1520" w:right="160" w:hanging="500"/>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June 2019, we announced positive topline results from our Phase 2a human challenge study of EDP-938 in healthy adults infected with a specific strain of RSV.</w:t>
      </w:r>
    </w:p>
    <w:p>
      <w:pPr>
        <w:spacing w:after="0" w:line="62" w:lineRule="exact"/>
        <w:rPr>
          <w:rFonts w:ascii="Arial" w:cs="Arial" w:eastAsia="Arial" w:hAnsi="Arial"/>
          <w:sz w:val="18"/>
          <w:szCs w:val="18"/>
          <w:color w:val="auto"/>
        </w:rPr>
      </w:pPr>
    </w:p>
    <w:p>
      <w:pPr>
        <w:ind w:left="1520" w:right="120" w:hanging="500"/>
        <w:spacing w:after="0" w:line="25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November 2019, we initiated our first Phase 2b study of EDP-938, which is in adult outpatients with community-acquired RSV infection. This study, named RSVP, is designed to help us better understand the feasibility of this direct-acting antiviral therapy. We completed dosing for the 2019-2020 winter RSV season in the U.S. and we are initiating sites in the Southern Hemisphere. We are also keeping our North American sites ready for reactivation in the fall and winter RSV season and we are planning to add a substantial number of sites in Europe during that season. While it is too early to know if COVID-19 will have any impact on our RSVP timelines, assuming full study enrollment in the Northern Hemisphere next winter, we expect to have data in the third calendar quarter of 2021.</w:t>
      </w:r>
    </w:p>
    <w:p>
      <w:pPr>
        <w:spacing w:after="0" w:line="86" w:lineRule="exact"/>
        <w:rPr>
          <w:rFonts w:ascii="Arial" w:cs="Arial" w:eastAsia="Arial" w:hAnsi="Arial"/>
          <w:sz w:val="18"/>
          <w:szCs w:val="18"/>
          <w:color w:val="auto"/>
        </w:rPr>
      </w:pPr>
    </w:p>
    <w:p>
      <w:pPr>
        <w:ind w:left="1520" w:right="180" w:hanging="500"/>
        <w:spacing w:after="0" w:line="27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Concurrent with the RSVP study, we are also planning to initiate two additional RSV studies in the fourth calendar quarter of 2020, one in pediatric patients and one in adult transplant patients who are immune-compromised. The pediatric trial will be a Phase 2 randomized, double-blind, placebo-controlled dose-ranging study of EDP-938 to evaluate EDP-938 regimens in hospitalized or non-hospitalized infants and children aged 28 days to 24 months, who test positive for RSV based on an approved diagnostic assay. The adult transplant study will be a Phase 2b randomized, double-blind, placebo-controlled study of EDP-938 to evaluate the effect of EDP-938 in adult hematopoietic cell transplant recipients with acute RSV infection of the upper respiratory tract. It is too early to know what impact, if any, COVID-19 may have on the timelines for these studies.</w:t>
      </w:r>
    </w:p>
    <w:p>
      <w:pPr>
        <w:spacing w:after="0" w:line="69" w:lineRule="exact"/>
        <w:rPr>
          <w:rFonts w:ascii="Arial" w:cs="Arial" w:eastAsia="Arial" w:hAnsi="Arial"/>
          <w:sz w:val="18"/>
          <w:szCs w:val="18"/>
          <w:color w:val="auto"/>
        </w:rPr>
      </w:pPr>
    </w:p>
    <w:p>
      <w:pPr>
        <w:ind w:left="1020" w:right="20"/>
        <w:spacing w:after="0" w:line="277" w:lineRule="auto"/>
        <w:rPr>
          <w:rFonts w:ascii="Arial" w:cs="Arial" w:eastAsia="Arial" w:hAnsi="Arial"/>
          <w:sz w:val="18"/>
          <w:szCs w:val="18"/>
          <w:color w:val="auto"/>
        </w:rPr>
      </w:pPr>
      <w:r>
        <w:rPr>
          <w:rFonts w:ascii="Arial" w:cs="Arial" w:eastAsia="Arial" w:hAnsi="Arial"/>
          <w:sz w:val="18"/>
          <w:szCs w:val="18"/>
          <w:color w:val="auto"/>
        </w:rPr>
        <w:t>Since announcing our new drug discovery program for hMPV in January 2020, we are currently optimizing nanomolar inhibitor leads against this virus and are working toward identifying our first clinical candidate for this indication.</w:t>
      </w:r>
    </w:p>
    <w:p>
      <w:pPr>
        <w:spacing w:after="0" w:line="62" w:lineRule="exact"/>
        <w:rPr>
          <w:rFonts w:ascii="Arial" w:cs="Arial" w:eastAsia="Arial" w:hAnsi="Arial"/>
          <w:sz w:val="18"/>
          <w:szCs w:val="18"/>
          <w:color w:val="auto"/>
        </w:rPr>
      </w:pPr>
    </w:p>
    <w:p>
      <w:pPr>
        <w:ind w:left="1020" w:right="100"/>
        <w:spacing w:after="0" w:line="263" w:lineRule="auto"/>
        <w:rPr>
          <w:rFonts w:ascii="Arial" w:cs="Arial" w:eastAsia="Arial" w:hAnsi="Arial"/>
          <w:sz w:val="18"/>
          <w:szCs w:val="18"/>
          <w:color w:val="auto"/>
        </w:rPr>
      </w:pPr>
      <w:r>
        <w:rPr>
          <w:rFonts w:ascii="Arial" w:cs="Arial" w:eastAsia="Arial" w:hAnsi="Arial"/>
          <w:sz w:val="18"/>
          <w:szCs w:val="18"/>
          <w:color w:val="auto"/>
        </w:rPr>
        <w:t>Additionally, in March 2020, we announced new discovery efforts for the treatment of COVID-19. We have initiated a drug discovery program leveraging our expertise in direct-acting antiviral mechanisms to discover new compounds to treat COVID-19, using a combination of screening and targeted drug design.</w:t>
      </w:r>
    </w:p>
    <w:p>
      <w:pPr>
        <w:spacing w:after="0" w:line="75"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Our lead candidate for the treatment of chronic infection with hepatitis B virus, or HBV, is EDP-514, a novel core inhibitor that displays potent anti-HBV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multiple points in the HBV lifecycle. We have initiated clinical development of EDP-514 and have ongoing studies of it in patients with chronic HBV.</w:t>
      </w:r>
    </w:p>
    <w:p>
      <w:pPr>
        <w:spacing w:after="0" w:line="75" w:lineRule="exact"/>
        <w:rPr>
          <w:rFonts w:ascii="Arial" w:cs="Arial" w:eastAsia="Arial" w:hAnsi="Arial"/>
          <w:sz w:val="18"/>
          <w:szCs w:val="18"/>
          <w:color w:val="auto"/>
        </w:rPr>
      </w:pPr>
    </w:p>
    <w:p>
      <w:pPr>
        <w:ind w:left="1520" w:right="20" w:hanging="500"/>
        <w:spacing w:after="0" w:line="25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Our initial study was a randomized, double-blind, placebo-controlled Phase 1a/1b study designed in two parts: Part 1 evaluated the safety, tolerability and pharmacokinetics of single ascending doses (SAD) and multiple ascending doses (MAD) of EDP-514 in healthy subjects; and Part 2 is evaluating the antiviral activity of EDP-514 in patients with chronic HBV infection that are being suppressed with nucleos(t)ide-reverse-transcriptase treatment – the current standard of care, whom we refer to as nuc-suppressed HBV patients.</w:t>
      </w:r>
    </w:p>
    <w:p>
      <w:pPr>
        <w:spacing w:after="0" w:line="79" w:lineRule="exact"/>
        <w:rPr>
          <w:rFonts w:ascii="Arial" w:cs="Arial" w:eastAsia="Arial" w:hAnsi="Arial"/>
          <w:sz w:val="18"/>
          <w:szCs w:val="18"/>
          <w:color w:val="auto"/>
        </w:rPr>
      </w:pPr>
    </w:p>
    <w:p>
      <w:pPr>
        <w:ind w:left="1520" w:right="60" w:hanging="500"/>
        <w:spacing w:after="0" w:line="279"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Part 1 of the study was completed successfully. Overall, EDP-514 demonstrated a favorable safety profile in healthy subjects for up to 14 days and was well tolerated with all treatment emergent adverse events being mild in intensity and with no discontinuations due to adverse events. Further, there were no significant individual laboratory data findings or pattern of abnormalities and EDP-514’s pharmacokinetic profile demonstrated good blood levels that support once-daily dosing.</w:t>
      </w:r>
    </w:p>
    <w:p>
      <w:pPr>
        <w:spacing w:after="0" w:line="63" w:lineRule="exact"/>
        <w:rPr>
          <w:rFonts w:ascii="Arial" w:cs="Arial" w:eastAsia="Arial" w:hAnsi="Arial"/>
          <w:sz w:val="18"/>
          <w:szCs w:val="18"/>
          <w:color w:val="auto"/>
        </w:rPr>
      </w:pPr>
    </w:p>
    <w:p>
      <w:pPr>
        <w:ind w:left="1520" w:right="100" w:hanging="500"/>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Based on these results, we initiated Part 2 of the study to evaluate EDP-514 in nuc-suppressed patients, and we expect to have topline results in the second calendar quarter of 2021.</w:t>
      </w:r>
    </w:p>
    <w:p>
      <w:pPr>
        <w:spacing w:after="0" w:line="62" w:lineRule="exact"/>
        <w:rPr>
          <w:rFonts w:ascii="Arial" w:cs="Arial" w:eastAsia="Arial" w:hAnsi="Arial"/>
          <w:sz w:val="18"/>
          <w:szCs w:val="18"/>
          <w:color w:val="auto"/>
        </w:rPr>
      </w:pPr>
    </w:p>
    <w:p>
      <w:pPr>
        <w:ind w:left="1520" w:right="120" w:hanging="500"/>
        <w:spacing w:after="0" w:line="263"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addition, in July 2020, we initiated a separate Phase 1b study in patients with chronic HBV infection who are not on HBV therapy and have high levels of virus in their blood, whom we refer to as viremic HBV patients. We expect to have preliminary data from this study in the first half of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left="1000" w:right="100" w:hanging="493"/>
        <w:spacing w:after="0" w:line="275"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NASH:</w:t>
      </w:r>
      <w:r>
        <w:rPr>
          <w:rFonts w:ascii="Arial" w:cs="Arial" w:eastAsia="Arial" w:hAnsi="Arial"/>
          <w:sz w:val="17"/>
          <w:szCs w:val="17"/>
          <w:color w:val="auto"/>
        </w:rPr>
        <w:t xml:space="preserve"> We are working on compounds EDP-305 and EDP-297, referred to as FXR agonists, that selectively bind to and activate the Farnesoid X receptor, or FXR. These compounds represent a class of FXR agonists designed to take advantage of increased binding interactions with this receptor. FXR agonists have shown efficacy in NASH and we believe that this mechanism has promise as an important component in potential combination therapies for NASH. We plan to develop at least one of these compounds primarily for use in combination treatments of NASH, a liver disease with very few therapeutic options.</w:t>
      </w:r>
    </w:p>
    <w:p>
      <w:pPr>
        <w:spacing w:after="0" w:line="68" w:lineRule="exact"/>
        <w:rPr>
          <w:rFonts w:ascii="Arial" w:cs="Arial" w:eastAsia="Arial" w:hAnsi="Arial"/>
          <w:sz w:val="17"/>
          <w:szCs w:val="17"/>
          <w:color w:val="auto"/>
        </w:rPr>
      </w:pPr>
    </w:p>
    <w:p>
      <w:pPr>
        <w:ind w:left="1520" w:right="220" w:hanging="500"/>
        <w:spacing w:after="0" w:line="259"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July 2020 we initiated ARGON-2, a 72-week Phase 2b study, with histological endpoints, including fibrosis in biopsy-confirmed NASH patients treated with EDP-305 or placebo. The study will include an interim analysis at 12 weeks of treatment on a subset of patients to enhance our ability to seek opportunities more quickly for development of EDP-305 in combinations with other mechanisms for NASH.</w:t>
      </w:r>
    </w:p>
    <w:p>
      <w:pPr>
        <w:spacing w:after="0" w:line="78" w:lineRule="exact"/>
        <w:rPr>
          <w:rFonts w:ascii="Arial" w:cs="Arial" w:eastAsia="Arial" w:hAnsi="Arial"/>
          <w:sz w:val="17"/>
          <w:szCs w:val="17"/>
          <w:color w:val="auto"/>
        </w:rPr>
      </w:pPr>
    </w:p>
    <w:p>
      <w:pPr>
        <w:ind w:left="1520" w:right="180" w:hanging="500"/>
        <w:spacing w:after="0" w:line="308"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We are on track to initiate a Phase 1 study of EDP-297 later in the third calendar quarter of 2020, subject to a determination that it is safe to initiate the healthy volunteer study at the trial site in the context of the COVID-19 pandemic.</w:t>
      </w:r>
    </w:p>
    <w:p>
      <w:pPr>
        <w:spacing w:after="0" w:line="38" w:lineRule="exact"/>
        <w:rPr>
          <w:rFonts w:ascii="Arial" w:cs="Arial" w:eastAsia="Arial" w:hAnsi="Arial"/>
          <w:sz w:val="17"/>
          <w:szCs w:val="17"/>
          <w:color w:val="auto"/>
        </w:rPr>
      </w:pPr>
    </w:p>
    <w:p>
      <w:pPr>
        <w:ind w:left="1520" w:right="140" w:hanging="500"/>
        <w:spacing w:after="0" w:line="277"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addition, we have been pursuing research in other mechanisms that may provide therapeutic benefit in NASH, any of which could be used in combination with an FXR agonist or other therapies for NASH.</w:t>
      </w:r>
    </w:p>
    <w:p>
      <w:pPr>
        <w:spacing w:after="0" w:line="62" w:lineRule="exact"/>
        <w:rPr>
          <w:sz w:val="20"/>
          <w:szCs w:val="20"/>
          <w:color w:val="auto"/>
        </w:rPr>
      </w:pPr>
    </w:p>
    <w:p>
      <w:pPr>
        <w:ind w:left="1520" w:right="20" w:hanging="500"/>
        <w:spacing w:after="0" w:line="268" w:lineRule="auto"/>
        <w:tabs>
          <w:tab w:leader="none" w:pos="152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We have also completed a Phase 2a study, named INTREPID, to assess the safety, tolerability, pharmacokinetics and efficacy of EDP-305 in subjects with primary biliary cholangitis, or PBC. While the INTREPID study did not meet the primary endpoint in subjects with PBC in the intent-to-treat analysis, or ITT, as defined by at least a 20% reduction in ALP, several key biomarkers across the two dosing arms had statistically highly significant changes compared to the placebo arm, demonstrating strong target engagement of the FXR mechanism by EDP-305. However, rather than conducting further dose selection studies with EDP-305 in PBC, a disease for which there is already an approved second-line FXR agonist therapy and for which generic fibrates are showing benefit in some studies, we intend to devote our future efforts with EDP-305 only to NASH.</w:t>
      </w:r>
    </w:p>
    <w:p>
      <w:pPr>
        <w:spacing w:after="0" w:line="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Out-Licensed Products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Through our Collaborative Development and License Agreement with AbbVie, we have discovered and out-licensed to AbbVie two protease inhibitor compounds that have been clinically tested, manufactured, and commercialized by AbbVie as part of its combination regimens for HCV. We have earned all $330.0 million milestone payments under the agreement related to clinical development and commercialization regulatory approvals of these regimens in major markets.</w:t>
      </w:r>
    </w:p>
    <w:p>
      <w:pPr>
        <w:spacing w:after="0" w:line="79" w:lineRule="exact"/>
        <w:rPr>
          <w:sz w:val="20"/>
          <w:szCs w:val="20"/>
          <w:color w:val="auto"/>
        </w:rPr>
      </w:pPr>
    </w:p>
    <w:p>
      <w:pPr>
        <w:ind w:left="1000" w:right="40" w:hanging="493"/>
        <w:spacing w:after="0" w:line="272"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is referred to in this report as MAVYRET/MAVIRET. This regimen is a once-daily, all-oral,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the developed country markets where MAVYRET/MAVIRET is sold by AbbVie and where MAVYRET/MAVIRET remains the only 8-week pan-genotypic HCV treatment.</w:t>
      </w:r>
    </w:p>
    <w:p>
      <w:pPr>
        <w:spacing w:after="0" w:line="69" w:lineRule="exact"/>
        <w:rPr>
          <w:rFonts w:ascii="Arial" w:cs="Arial" w:eastAsia="Arial" w:hAnsi="Arial"/>
          <w:sz w:val="17"/>
          <w:szCs w:val="17"/>
          <w:color w:val="auto"/>
        </w:rPr>
      </w:pPr>
    </w:p>
    <w:p>
      <w:pPr>
        <w:ind w:left="1000" w:hanging="493"/>
        <w:spacing w:after="0" w:line="25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regimens, and the annual royalty tiers for each product return to the lowest tier for sales on and after each January 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151765</wp:posOffset>
            </wp:positionV>
            <wp:extent cx="6103620" cy="4371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03620"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current COVID-19 pandemic has presented substantial challenges for public health and economies around the world, and it is affecting our clinical trials, our royalty revenues received from AbbVie, and our business operations, as well as the U.S. financial markets.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public health actions taken to contain it, as well as the cumulative economic impact of both of those factors.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continuing to assess the potential impact of the COVID-19 pandemic on our business and operations, including our expenses, clinical trials and royalty revenues. The majority of our employees have continued to work from home since March 2020, while scientific personnel have resumed working in our laboratories, on a shift basis, beginning in May 2020.</w:t>
      </w:r>
    </w:p>
    <w:p>
      <w:pPr>
        <w:spacing w:after="0" w:line="7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Since our third-party contract manufacturing partners continue to operate at or near normal levels producing drug substance and drug product for our research and clinical development programs, we currently do not anticipate any material interruptions in our supply chain, but it is possible that may change. We paused enrollment in two of our ongoing clinical trials, ARGON-2 and our HBV nuc-suppressed study, in March 2020 and recently resumed recruiting in these studies, while also initiating a new trial in July 2020 in viremic HBV patients. While we are continuing with plans to initiate three additional clinical trials before the end of calendar 2020, it is unclear what impact, if any, the COVID-19 pandemic may have on the timeline for initiation and/or completion of all or any of these clinical trials.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80"/>
        <w:spacing w:after="0" w:line="257" w:lineRule="auto"/>
        <w:rPr>
          <w:sz w:val="20"/>
          <w:szCs w:val="20"/>
          <w:color w:val="auto"/>
        </w:rPr>
      </w:pPr>
      <w:r>
        <w:rPr>
          <w:rFonts w:ascii="Arial" w:cs="Arial" w:eastAsia="Arial" w:hAnsi="Arial"/>
          <w:sz w:val="18"/>
          <w:szCs w:val="18"/>
          <w:color w:val="auto"/>
        </w:rPr>
        <w:t>With regard to our royalty revenue, we experienced a decline in royalty revenues for the three months ended June 30, 2020 due to the worldwide impact of COVID-19 on HCV sales during the quarter driven by a decline in patient volumes, HCV diagnoses and HCV prescriptions of MAVYRET/MAVIRET. While the evolving impact of COVID-19 will likely continue to affect aspects of our business, including those described above, we remain capable of funding our research and development programs for the foreseeable future with the current level of royalty revenue and our existing cash and short-term and long-term investments, which totaled $435.4 million at June 30, 2020.</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see Item 1A “Risk Factors” in this quarterly report for additional discussion of risks and potential risks of the COVID-19 pandemic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currently funding all research and development for our wholly-owned programs, which are targeted toward the discovery and development of novel compounds for the treatment of viral infections and liver diseases. As of July 2020, we completed the RSV season in the U.S. in our RSVP study, and have transitioned this Phase 2b study to the Southern Hemisphere. Given uncertainties created by the spread of COVID-19 in the Southern Hemisphere, we are also keeping our North American sites ready for reactivation in the fall and winter RSV season and we are planning to add a substantial number of sites in Europe for that season. We also plan to initiate two additional Phase 2 RSV studies in the fourth calendar quarter of 2020, one in pediatric patients and a second in adult transplant patients.</w:t>
      </w:r>
    </w:p>
    <w:p>
      <w:pPr>
        <w:spacing w:after="0" w:line="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the first calendar quarter of 2020, we announced data from our Phase 1 study of EDP-514 in healthy volunteers and initiated a Phase 1b study in nuc-suppressed HBV patients. Recruitment for this study was paused in March 2020 due to the COVID-19 pandemic and then resumed in July 2020. We also recently initiated a separate Phase 1b study of EDP-514 in viremic HBV patients.</w:t>
      </w:r>
    </w:p>
    <w:p>
      <w:pPr>
        <w:spacing w:after="0" w:line="76"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Regarding NASH, we were ready to initiate our ARGON-2 study of EDP-305 in NASH patients in March 2020, but we paused that study due to the COVID-19 pandemic. We resumed recruitment of this study in July 2020. We also plan to start a Phase 1 study of EDP-297, our FXR follow-on development candidate, in the third calendar quarter of 2020.</w:t>
      </w:r>
    </w:p>
    <w:p>
      <w:pPr>
        <w:spacing w:after="0" w:line="7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As a result of our clinical development programs, as well as efforts to advance other compounds into preclinical development, we expect to incur greater expenses in fiscal 2020 than in 2019 as we continue to advance our RSV, NASH, HBV, hMPV, and SARS CoV-2, programs. However, if the COVID-19 pandemic slows down our research and development programs, it will reduce our spending in those areas in the near term.</w:t>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funding our operations primarily through payments received under our collaboration agreement with AbbVie and, to the extent necessary, our existing cash, cash equivalents, and short-term and long-term marketable securities. Our revenue is currently dependent on royalty payments we receive from AbbVie on its sales of MAVYRET/MAVIRET. During the three months ended June 30, 2020, royalty revenues declined as compared to the prior quarter ended March 31, 2020 due to the worldwide impact of COVID-19 on patient volumes, HCV diagnoses and HCV prescriptions of MAVYRET/MAVIRET. AbbVie reported worldwide net sales of $376 million for MAVRYET/MAVIRET during the three months ended June 30, 2020 compared to $780 million in the prior year period. Given the uncertainty regarding the level of AbbVie’s future MAVYRET/MAVIRET sales that will generate our royalty revenue, as well as the development risks affecting the extent and timing of our future expenditures for the advancement of our internally developed compounds and any further impact of the ongoing COVID-19 pandemic, it is uncertain whether our revenues will exceed our expenses in future quarters.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revenue consists of royalties received under our collaboration agreement with AbbVie, substantially all of which are now derived from sales of MAVYRET/MAVIRET. Under the terms of our AbbVie agreement, we earn annually tiered, double-digit royalties on the 50% of AbbVie’s net sales of MAVYRET/MAVIRET allocated to glecaprevir. Beginning with each January 1, the cumulative net sales of each royalty-bearing product start at zero for purposes of calculating the tiered royalties on a product-by-product basis.</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all of our revenue in fiscal 2020 to be generated from royalties received under our collaboration agreement with AbbVie. There are no further milestones expected to be earned under the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nine months ended June 30, 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2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ind w:left="3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34,682</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100,070</w:t>
            </w:r>
          </w:p>
        </w:tc>
        <w:tc>
          <w:tcPr>
            <w:tcW w:w="5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103,494</w:t>
            </w:r>
          </w:p>
        </w:tc>
        <w:tc>
          <w:tcPr>
            <w:tcW w:w="120" w:type="dxa"/>
            <w:vAlign w:val="bottom"/>
            <w:shd w:val="clear" w:color="auto" w:fill="CFF0FC"/>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20,628</w:t>
            </w:r>
          </w:p>
        </w:tc>
        <w:tc>
          <w:tcPr>
            <w:tcW w:w="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20,083</w:t>
            </w:r>
          </w:p>
        </w:tc>
        <w:tc>
          <w:tcPr>
            <w:tcW w:w="1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120,698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6" w:lineRule="exact"/>
        <w:rPr>
          <w:sz w:val="20"/>
          <w:szCs w:val="20"/>
          <w:color w:val="auto"/>
        </w:rPr>
      </w:pPr>
    </w:p>
    <w:p>
      <w:pPr>
        <w:ind w:left="1000" w:right="7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personnel costs, including salaries, related benefits and stock-based compensation for employees engaged in scientific research and development functions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6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income (expense), net consists of interest income, interest expense and the change in fair value of our outstanding Series 1 nonconvertible preferred stock. Interest income consists of interest earned on our cash equivalents and short-term and long-term marketable securities balances as well as interest earned for any refunds received from tax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Income tax benefit is based on our best estimate of applicable income tax rates, net research and development tax credits, net operating loss carryforwards and deferred income taxes, for the entire fiscal year applied to pre-tax profit or loss reported for the year-to-date period, except when a reliable estimate of the annual effective tax rate cannot be made and we instead use the year-to-date effective tax 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2020 and 2019</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left="41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18,653</w:t>
            </w:r>
          </w:p>
        </w:tc>
        <w:tc>
          <w:tcPr>
            <w:tcW w:w="5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44,367</w:t>
            </w:r>
          </w:p>
        </w:tc>
        <w:tc>
          <w:tcPr>
            <w:tcW w:w="8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34,682</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34,461</w:t>
            </w:r>
          </w:p>
        </w:tc>
        <w:tc>
          <w:tcPr>
            <w:tcW w:w="8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w:t>
            </w:r>
          </w:p>
        </w:tc>
        <w:tc>
          <w:tcPr>
            <w:tcW w:w="8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1,445</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660" w:type="dxa"/>
            <w:vAlign w:val="bottom"/>
            <w:shd w:val="clear" w:color="auto" w:fill="CFF0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7,142</w:t>
            </w: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recognized royalty revenue of $18.7 million during the three months ended June 30, 2020 as compared to $44.4 million during the three months ended June 30, 2019. Royalty revenue during the three months ended June 30, 2020 was substantially based on royalties earned on MAVYRET/MAVIRET sales, which were calculated on 50% of MAVYRET/MAVIRET sales at a royalty rate of 10% at the current level of those net sales, and includes adjustments for certain contractual discounts, rebates and set-offs, which are now just over 2% of AbbVie’s total reported HCV sales. In July 2020, AbbVie reported that the decrease in its calendar 2020 HCV sales was due to lower patient volumes as a result of COVID-19. AbbVie reported worldwide net sales of $376 million for MAVRYET/MAVIRET during the three months ended June 30, 2020 compared to $780 million in the prior year period.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21,182</w:t>
            </w:r>
          </w:p>
        </w:tc>
        <w:tc>
          <w:tcPr>
            <w:tcW w:w="6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17,838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6"/>
              </w:rPr>
              <w:t>Total research and development expenses</w:t>
            </w:r>
          </w:p>
        </w:tc>
        <w:tc>
          <w:tcPr>
            <w:tcW w:w="1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34,461</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0" w:type="dxa"/>
            <w:vAlign w:val="bottom"/>
            <w:vMerge w:val="restart"/>
          </w:tcPr>
          <w:p>
            <w:pPr>
              <w:jc w:val="right"/>
              <w:ind w:right="123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line="254" w:lineRule="auto"/>
        <w:rPr>
          <w:sz w:val="20"/>
          <w:szCs w:val="20"/>
          <w:color w:val="auto"/>
        </w:rPr>
      </w:pPr>
      <w:r>
        <w:rPr>
          <w:rFonts w:ascii="Arial" w:cs="Arial" w:eastAsia="Arial" w:hAnsi="Arial"/>
          <w:sz w:val="18"/>
          <w:szCs w:val="18"/>
          <w:color w:val="auto"/>
        </w:rPr>
        <w:t>The level of research and development expenses for the three months ended June 30, 2020 was comparable to the same period in 2019. However in 2020, expenses in our virology programs were higher than in 2019 and expenses in our liver disease program were lower due to timing of clinical trial expenses. In 2019, we continued enrollment in our ARGON-1 and INTREPID studies in our liver disease programs and in fiscal 2020 we substantially completed our ARGON-1 study and did not initiate the Phase 2b study (ARGON-2) until July 2020 due to the COVID-19 pandemic. The increase in expenses in our virology program was primarily due to the progression of our HBV program and preparations for initiation of our RSVP trial into the southern hemisphere during the three months ended June 30, 2020. Research and development expenses also increased in 2020 in connection with the initiation of research efforts in hMPV and emerging coronaviruses, including SARS-CoV-2. Compensation expense also increased as we continued to advance our wholly-owned programs in 2020.</w:t>
      </w:r>
    </w:p>
    <w:p>
      <w:pPr>
        <w:spacing w:after="0" w:line="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near term, our clinical trial expenses could fluctuate if the impact of the COVID-19 pandemic continues through calendar 2020 and negatively impacts patient recruitment and monitoring. Furthermore, COVID-19 could also cause delays in our other studies we plan to initiate later in 2020. In the coming years, we expect our research and development expenses to increase as our wholly-owned programs advance, subject to any long-term impact of the COVID-19 pandemic.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slightly due to an increase in compensation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income (expense), net, decreased $1.0 million for the three months ended June 30, 2020 as compared to the same period in 2019 due to a net decrease in investment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For the three months ended June 30, 2020 and 2019, we recorded an income tax benefit of $7.1 million and an income tax benefit of $0.9 million, respectively. The income tax benefit for the three months ended June 30, 2020 was driven primarily by our pre-tax loss, research and development tax credits and a federal net operating loss carryback. The income tax benefit for the three months ended June 30, 2019 was driven by tax deductions for employee stock award-related activity during the prior year comparable period, despite reporting pre-tax income for the period.</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2020, we have recorded $15.3 million of net deferred tax assets. These deferred tax assets include $10.2 million related to stock compensation awards that would create a tax benefit in the future against future taxable income and federal research and development tax credit carryforwards totaling $4.3 million. At this time, we consider it more likely than not that we will have sufficient taxable income in the future that will allow us to realize our existing deferred tax assets. However, it is possible that some or all of our tax benefits may not be utilized in the future if we are unable to generate sufficient taxable income due to decreasing royalty revenues as a result of the maturing HCV market and, in the near-term, any continuing impact of COVID-19 on treatment rates for HCV, as well as increasing research and development costs as we advance our wholly-owned programs. As a result, a valuation allowance could be recorded in the future against our deferred tax assets to reduce all or a portion of our deferred tax assets, which would materially increase our tax expense in the period in which the valuation allowance would be recorded.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June 30,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left="478"/>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left="4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98,842</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153,884</w:t>
            </w:r>
          </w:p>
        </w:tc>
        <w:tc>
          <w:tcPr>
            <w:tcW w:w="10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100,070</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103,494</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20,628</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20,083</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5,471</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9,558</w:t>
            </w: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recognized revenue of $98.8 million during the nine months ended June 30, 2020 as compared to $153.9 million during the same period in 2019. The decrease in royalty revenue of $55.0 million was driven by lower HCV sales as reported by AbbVie due to increased competition and lower treated patient volumes due to the COVID-19 pandemic.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3"/>
                <w:szCs w:val="13"/>
                <w:color w:val="auto"/>
              </w:rPr>
            </w:pPr>
          </w:p>
        </w:tc>
      </w:tr>
      <w:tr>
        <w:trPr>
          <w:trHeight w:val="223"/>
        </w:trPr>
        <w:tc>
          <w:tcPr>
            <w:tcW w:w="4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Virology</w:t>
            </w:r>
          </w:p>
        </w:tc>
        <w:tc>
          <w:tcPr>
            <w:tcW w:w="17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60,063</w:t>
            </w:r>
          </w:p>
        </w:tc>
        <w:tc>
          <w:tcPr>
            <w:tcW w:w="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51,031</w:t>
            </w:r>
          </w:p>
        </w:tc>
        <w:tc>
          <w:tcPr>
            <w:tcW w:w="100" w:type="dxa"/>
            <w:vAlign w:val="bottom"/>
          </w:tcPr>
          <w:p>
            <w:pPr>
              <w:spacing w:after="0"/>
              <w:rPr>
                <w:sz w:val="19"/>
                <w:szCs w:val="19"/>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52,317</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100,070</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Research and development expenses decreased by $3.4 million for the nine months ended June 30, 2020 as compared to the same period in 2019. The decrease in our research and development expense was driven by timing of our NASH clinical trials. In 2019, we continued with enrollment in our ARGON-1 and INTREPID studies in our liver disease programs and in fiscal 2020 we substantially completed our ARGON-1 study and did not initiate the Phase 2b study (ARGON-2) until July 2020 due to the COVID-19 pandemic. The increase in expenses in our virology program was primarily due to the progression of our HBV program and preparations for initiation of our RSVP trial into the southern hemisphere during 2020. Research and development expenses also increased in 2020 in connection with the initiation of research efforts in hMPV and emerging coronaviruses, including SARS-CoV-2. Compensation expense also increased as we continued to advance our wholly-owned programs in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remained relatively flat year over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decreased $1.1 million year over year due to a net decrease in investment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For the nine months ended June 30, 2020 and 2019 we recorded an income tax benefit of $9.6 million and an income tax benefit of $0.3 million, respectively. We recognized an income tax benefit during the nine months ended June 30, 2020 due to our pre-tax loss, federal research and development tax credits, release of an uncertain tax liability and a federal net operating loss carryback. The income tax benefit for the nine months ended June 30, 2019 </w:t>
      </w:r>
      <w:r>
        <w:rPr>
          <w:rFonts w:ascii="Arial" w:cs="Arial" w:eastAsia="Arial" w:hAnsi="Arial"/>
          <w:sz w:val="18"/>
          <w:szCs w:val="18"/>
          <w:color w:val="212529"/>
        </w:rPr>
        <w:t xml:space="preserve">was driven primarily by a federal </w:t>
      </w:r>
      <w:r>
        <w:rPr>
          <w:rFonts w:ascii="Arial" w:cs="Arial" w:eastAsia="Arial" w:hAnsi="Arial"/>
          <w:sz w:val="18"/>
          <w:szCs w:val="18"/>
          <w:color w:val="000000"/>
        </w:rPr>
        <w:t>tax benefit from foreign-derived royalty income, federal research and development tax credits and</w:t>
      </w:r>
      <w:r>
        <w:rPr>
          <w:rFonts w:ascii="Arial" w:cs="Arial" w:eastAsia="Arial" w:hAnsi="Arial"/>
          <w:sz w:val="18"/>
          <w:szCs w:val="18"/>
          <w:color w:val="212529"/>
        </w:rPr>
        <w:t xml:space="preserve"> federal tax deductions for employee stock award-related activity.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June 30, 2020, our principal sources of liquidity were cash, cash equivalents and short-term and long-term marketable securities totaling $435.4 million. We believe, despite the ongoing global impact of COVID-19, that our principal sources of liquidity will be sufficient to meet our anticipated cash requirements for the foreseeable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nine months ended June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left="3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80" w:type="dxa"/>
            <w:vAlign w:val="bottom"/>
          </w:tcPr>
          <w:p>
            <w:pPr>
              <w:ind w:left="480"/>
              <w:spacing w:after="0"/>
              <w:rPr>
                <w:sz w:val="20"/>
                <w:szCs w:val="20"/>
                <w:color w:val="auto"/>
              </w:rPr>
            </w:pPr>
            <w:r>
              <w:rPr>
                <w:rFonts w:ascii="Arial" w:cs="Arial" w:eastAsia="Arial" w:hAnsi="Arial"/>
                <w:sz w:val="18"/>
                <w:szCs w:val="18"/>
                <w:color w:val="auto"/>
              </w:rPr>
              <w:t>Operating activities</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22,549</w:t>
            </w:r>
          </w:p>
        </w:tc>
        <w:tc>
          <w:tcPr>
            <w:tcW w:w="26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62,873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Investing activities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(34,456)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Financing activities</w:t>
            </w:r>
          </w:p>
        </w:tc>
        <w:tc>
          <w:tcPr>
            <w:tcW w:w="16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2"/>
              </w:rPr>
              <w:t>Net increase in cash, cash equivalents and</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restricted cash</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CFF0FC"/>
            </w:tcBorders>
            <w:vMerge w:val="restart"/>
          </w:tcPr>
          <w:p>
            <w:pPr>
              <w:jc w:val="right"/>
              <w:ind w:right="1210"/>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The decrease in cash provided by operating activities of $40.3 million for the six months ended June 30, 2020 as compared to the same period in 2019 was primarily driven by a decrease in net income year-over-year and net cash used by changes in our operating assets and liabilities of $19.4 million in the nine months ended June 30, 2020 as compared to net cash used by changes in our operating assets and liabilities of $14.3 million for the same period in 2019.</w:t>
      </w:r>
    </w:p>
    <w:p>
      <w:pPr>
        <w:spacing w:after="0" w:line="2"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Changes in our operating assets and liabilities in both periods were generally due to payments received under our collaboration with AbbVie, the advancement of our research programs and the timing of vendor invoicing and payments.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increase in cash provided by investing activities of $51.8 million for the nine months ended June 30, 2020 as compared to the same period in 2019 was driven by the timing of purchases, sales and maturities of marketable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increase in net cash provided by financing activities for the nine months ended June 30, 2020 as compared to the same period in 2019 was driven by an increase in proceeds from exercises of stock options of $4.1 million as well as a decrease in withholding tax payments for the settlement of share-based awards of $2.7 million driven by a decline in our stock price year over year at the time of vesting of certain share-based awards.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2020, we had $435.4 million in cash, cash equivalents and short-term and long-term marketable securities. We believe that our existing cash, cash equivalents and marketable securities as of June 30, 2020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58"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our clinical trials of our product candidates as a result of the COVID-19 pandemic</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our 2019 Form 10-K Part II, Item 7, Management’s Discussion and Analysis of Financial Conditions and Results of Operations, under the heading “Contractual Obligations and Commitments”, we have described our commitments and contingencies. There were no material changes to our total contractual commitments and obligations during the nine months ended June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2019 (referred to as our 2019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than the impact of the adoption of ASC 842 in the first quarter of fiscal 2020, as disclosed in Note 2 to our unaudited financial statements included in this Quarterly Report on Form 10-Q, there have been no material changes to our significant accounting policies since September 30, 2019. For further information, please see the discussion of critical accounting policies included in our 2019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$435.4 million at June 30, 2020 consisting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three months ended June 30, 2020 that has materially affected, or is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7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i w:val="1"/>
          <w:iCs w:val="1"/>
          <w:color w:val="auto"/>
        </w:rPr>
        <w:t>The statement of risk factors provided in this Item 1A includes any material changes to and supersedes the statement of risk factors associated with our business previously disclosed in Item 1A of our Annual Report on Form 10-K for the fiscal year ended September 30, 2019 filed on November 27, 2019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act in its best interest rather than in our best interest, which could adversely affect our business.</w:t>
      </w:r>
    </w:p>
    <w:p>
      <w:pPr>
        <w:spacing w:after="0" w:line="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8" w:lineRule="exact"/>
        <w:rPr>
          <w:sz w:val="20"/>
          <w:szCs w:val="20"/>
          <w:color w:val="auto"/>
        </w:rPr>
      </w:pPr>
    </w:p>
    <w:p>
      <w:pPr>
        <w:ind w:left="1000" w:right="2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140"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be able to manufacture glecaprevir in compliance with requirements of the FDA and similar foreign regulatory agencies and in commercial quantities sufficient to meet market demand.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AbbVie may also make decisions with which we do not agree. If AbbVie acts in a manner that is not in our best interest, then it could adversely affect our business and prospects.</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will be adversely affected.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each announced efforts to negotiate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branded HCV regimen.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Furthermore, we expect that the COVID-19 pandemic will continue to adversely affect AbbVie’s sales of MAVYRET/MAVIRET in the United States and the rest of the world if healthcare systems continue to experience varying levels of shut-down. At this point in time we do not know the extent and duration of this adverse effect. We note, however, that the HCV patient pool will continue to carry the viral infection until treated.</w:t>
      </w:r>
    </w:p>
    <w:p>
      <w:pPr>
        <w:spacing w:after="0" w:line="27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RSV and HBV, as well as other liver diseases and viral infections, which may result in others discovering, developing or commercializing products before we do or doing so more successfully than we do.</w:t>
      </w:r>
    </w:p>
    <w:p>
      <w:pPr>
        <w:spacing w:after="0" w:line="76"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20"/>
        <w:spacing w:after="0" w:line="268" w:lineRule="auto"/>
        <w:rPr>
          <w:sz w:val="20"/>
          <w:szCs w:val="20"/>
          <w:color w:val="auto"/>
        </w:rPr>
      </w:pPr>
      <w:r>
        <w:rPr>
          <w:rFonts w:ascii="Arial" w:cs="Arial" w:eastAsia="Arial" w:hAnsi="Arial"/>
          <w:sz w:val="17"/>
          <w:szCs w:val="17"/>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Arial" w:cs="Arial" w:eastAsia="Arial" w:hAnsi="Arial"/>
          <w:sz w:val="14"/>
          <w:szCs w:val="14"/>
          <w:color w:val="auto"/>
        </w:rPr>
        <w:t>®</w:t>
      </w:r>
      <w:r>
        <w:rPr>
          <w:rFonts w:ascii="Arial" w:cs="Arial" w:eastAsia="Arial" w:hAnsi="Arial"/>
          <w:sz w:val="17"/>
          <w:szCs w:val="17"/>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4"/>
          <w:szCs w:val="14"/>
          <w:color w:val="auto"/>
        </w:rPr>
        <w:t>®</w:t>
      </w:r>
      <w:r>
        <w:rPr>
          <w:rFonts w:ascii="Arial" w:cs="Arial" w:eastAsia="Arial" w:hAnsi="Arial"/>
          <w:sz w:val="17"/>
          <w:szCs w:val="17"/>
          <w:color w:val="auto"/>
        </w:rPr>
        <w:t xml:space="preserve"> (a fixed-dose combination of sofosbuvir and ledipasvir); and to a lesser extent - Merck’s Zepatier</w:t>
      </w:r>
      <w:r>
        <w:rPr>
          <w:rFonts w:ascii="Arial" w:cs="Arial" w:eastAsia="Arial" w:hAnsi="Arial"/>
          <w:sz w:val="14"/>
          <w:szCs w:val="14"/>
          <w:color w:val="auto"/>
        </w:rPr>
        <w:t>®</w:t>
      </w:r>
      <w:r>
        <w:rPr>
          <w:rFonts w:ascii="Arial" w:cs="Arial" w:eastAsia="Arial" w:hAnsi="Arial"/>
          <w:sz w:val="17"/>
          <w:szCs w:val="17"/>
          <w:color w:val="auto"/>
        </w:rPr>
        <w:t xml:space="preserve"> (a fixed-dose combination of grazoprevir and elbasvir). Gilead launched authorized generic versions of Epclusa and Harvoni in January 2019 through a newly created subsidiary, Asegua Therapeutics, LLC, which has had an impact on the competitive landscape. For example, in March 2019, the state of Louisiana announced the selection of Asegua Therapeutics as their HCV subscription model pharmaceutical partner to provide the state with unrestricted access to its direct-acting antiviral medication. Other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other than authorized generic versions by the manufacturer of the branded product (i.e. Gilead and Asegua Therapeutics),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In February 2019, Intercept Pharmaceuticals announced positive Phase 3 trial results for OCA (brand name Ocaliva</w:t>
      </w:r>
      <w:r>
        <w:rPr>
          <w:rFonts w:ascii="Arial" w:cs="Arial" w:eastAsia="Arial" w:hAnsi="Arial"/>
          <w:sz w:val="14"/>
          <w:szCs w:val="14"/>
          <w:color w:val="auto"/>
        </w:rPr>
        <w:t>®</w:t>
      </w:r>
      <w:r>
        <w:rPr>
          <w:rFonts w:ascii="Arial" w:cs="Arial" w:eastAsia="Arial" w:hAnsi="Arial"/>
          <w:sz w:val="17"/>
          <w:szCs w:val="17"/>
          <w:color w:val="auto"/>
        </w:rPr>
        <w:t>) in NASH and has also submitted U.S. and European regulatory filings in the second half of calendar 2019 for approvals in this indication. We are aware of several other companies with NASH programs that are significantly more advanced than ours, including companies with compounds in Phase 3 clinical trials in NASH, namely Abbott, Galmed, Genfit, Intercept, and Madrigal. In addition, a number of companies have NASH or related programs with compounds in Phase 2 clinical trials. These companies include 89bio, Afimmune, Akcea, Akero, Alberio, AngioLab, AstraZeneca, BMS, Can-Fite BioPharma, Cirius, Eli Lilly and Company, Enyo, Forma Therapeutics, Galectin, Gilead, HighTide Biopharma , Immuron, Inventiva, Kowa Company, Lipocine, Medicinova, Metacrine, Mitsubishi Tanabe Pharma, NGM, Noorik Biopharmaceuticals, Northsea Therapeutics, Nova Laboratories, Novartis, Novo Nordisk, NuSirt Biopharma, Pfizer, Poxel SA, PharmaKing, Sagimet Biosciences, TaiwanJ Pharmaceuticals, Terns, Viking Therapeutics, and Zydus. A significant number of other companies are conducting earlier stage clinical trials that may be applicable in NASH. There are also additional companies conducting preclinical studies in these disease areas.</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Assembly, Gilead, GSK/Ionis, HEC, Johnson &amp; Johnson, Qilu, MYR, Replicor, Roche and Vir Biotechnology have Phase 2 programs in progress, with many of these companies conducting earlier stage programs as well. In addition, a number of companies have Phase 1 or earlier stage HBV programs, including Aicuris, Aligos, Altimmune, Arbutus and ENYO.</w:t>
      </w:r>
    </w:p>
    <w:p>
      <w:pPr>
        <w:spacing w:after="0" w:line="8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MedImmune/AstraZeneca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if a vaccine is approved for any virus on which we are working, there would be a reduction in the commercial opportunity for our therapeutic candidate.</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60"/>
        <w:spacing w:after="0" w:line="277" w:lineRule="auto"/>
        <w:rPr>
          <w:sz w:val="20"/>
          <w:szCs w:val="20"/>
          <w:color w:val="auto"/>
        </w:rPr>
      </w:pPr>
      <w:r>
        <w:rPr>
          <w:rFonts w:ascii="Arial" w:cs="Arial" w:eastAsia="Arial" w:hAnsi="Arial"/>
          <w:sz w:val="18"/>
          <w:szCs w:val="18"/>
          <w:b w:val="1"/>
          <w:bCs w:val="1"/>
          <w:i w:val="1"/>
          <w:iCs w:val="1"/>
          <w:color w:val="auto"/>
        </w:rPr>
        <w:t>The ongoing COVID-19 pandemic may, directly or indirectly, adversely affect our business, results of operations and financial condition and our stock price.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could be materially adversely affected, directly or indirectly, by the ongoing COVID-19 pandemic, which has spread to the countries in which we, our contract manufacturers, our clinical research contractors and our collaborators in clinical research do business. National, state and local governments in affected regions have implemented and may continue to implement safety precautions, including quarantines, border closures, increased border controls, travel restrictions, shelter-in-place orders and shutdowns, business closures, cancellations of public gatherings and other measures. Organizations and individuals are taking additional steps to avoid or reduce infection, including limiting travel and staying home from work. These measures are disrupting normal business operations both inside and outside of affected areas and have had significant negative impacts on businesses and financial markets worldwide.</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continue to monitor our operations and applicable government recommendations, and we have made modifications to our normal operations because of the COVID-19 pandemic, including allowing certain of our employees to work remotely. Notwithstanding these measures, the COVID-19 pandemic could affect the health and availability of our workforce as well as those of the third parties whom we are relying on to take similar measures. In addition, we have experienced and will continue to experience disruptions to our business operations resulting from shelter-in-place policies and other restrictions on the ability of our employees to perform their jobs.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COVID-19 pandemic has had an impact on our business operations. The extent and severity of the impact on our business and clinical trials will be determined largely by the extent of disruptions in the supply chains for our research and product candidates, delays in the conduct of current and future clinical trials, and reductions in the number of patients accessing AbbVie’s HCV regimens. For example, we paused recruitment for our Phase 2b ARGON-2 study of EDP-305 in NASH patients and our Phase 1b study of EDP-514 in nuc-suppressed HBV patients in March 2020, but we were able to resume recruitment of these studies in July 2020. In addition, the impact of the COVID-19 pandemic on the operations of the FDA and other health authorities may delay potential approvals of our clinical trial protocols.</w:t>
      </w:r>
    </w:p>
    <w:p>
      <w:pPr>
        <w:spacing w:after="0" w:line="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clinical research contractors, and our collaborators in clinical research, any continued spread of COVID-19, measures taken by governments, actions taken to protect employees from this disease, and the broad impact of the pandemic on all business activities and financial markets, may materially and adversely affect our business, results of operations and financial condition and our stock price.</w:t>
      </w:r>
    </w:p>
    <w:p>
      <w:pPr>
        <w:spacing w:after="0" w:line="2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and HBV programs, we will need to successfully:</w:t>
      </w:r>
    </w:p>
    <w:p>
      <w:pPr>
        <w:spacing w:after="0" w:line="79" w:lineRule="exact"/>
        <w:rPr>
          <w:sz w:val="20"/>
          <w:szCs w:val="20"/>
          <w:color w:val="auto"/>
        </w:rPr>
      </w:pPr>
    </w:p>
    <w:p>
      <w:pPr>
        <w:ind w:left="1000" w:right="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EDP-938, EDP-514, EDP-305, and/or EDP-297 or in discovering further product candidates, our ability to expand our business and achieve our strategic objectives will be impaired.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00" w:right="520" w:hanging="493"/>
        <w:spacing w:after="0" w:line="30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Changes in royalty revenue earned under our AbbVie agreement or changes in the level of expenses associated with development of our product candidates may cause our results of operations to fluctuate from period to period, which may result in operating losses.</w:t>
      </w:r>
    </w:p>
    <w:p>
      <w:pPr>
        <w:spacing w:after="0" w:line="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the COVID-19 shut-down has had, and is likely to continue to have, an adverse effect on the ability of our CROs to conduct preclinical and clinical studies. At this point in time we do not know to what extent these studies can or will be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2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and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3" w:name="page34"/>
    <w:bookmarkEnd w:id="33"/>
    <w:p>
      <w:pPr>
        <w:ind w:right="20"/>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w:t>
      </w:r>
    </w:p>
    <w:p>
      <w:pPr>
        <w:spacing w:after="0" w:line="7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net income has historically resulted from the royalty revenues we earn from AbbVie on net sales of its HCV regimens allocated to our protease inhibitors included in those regimens. There is no assurance, however, that we will report net income in fiscal 2020 or in subsequent years. To date, we have not commercialized any products ourselves.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the varying rates of reimbursement in different countries and the impact of the COVID-19 pandemic on HCV sales. At any time, AbbVie may choose not to continue its commercialization activities for the MAVYRET/MAVIRET regimen in one or more countries.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90" w:lineRule="exact"/>
        <w:rPr>
          <w:sz w:val="20"/>
          <w:szCs w:val="20"/>
          <w:color w:val="auto"/>
        </w:rPr>
      </w:pPr>
    </w:p>
    <w:p>
      <w:pPr>
        <w:jc w:val="both"/>
        <w:ind w:right="180"/>
        <w:spacing w:after="0" w:line="375"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00" w:right="300" w:hanging="493"/>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00" w:right="560" w:hanging="493"/>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seasonality and variations in incidents of infection year to year (e.g. RSV) affecting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left="1000" w:right="2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NASH, or HBV;</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17" w:lineRule="exact"/>
        <w:rPr>
          <w:rFonts w:ascii="Arial" w:cs="Arial" w:eastAsia="Arial" w:hAnsi="Arial"/>
          <w:sz w:val="18"/>
          <w:szCs w:val="18"/>
          <w:color w:val="auto"/>
        </w:rPr>
      </w:pPr>
    </w:p>
    <w:p>
      <w:pPr>
        <w:ind w:left="1000" w:right="16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30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EDP-938, EDP-514, EDP-305, EDP-297 or any other product candidate emerging from our current NASH,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15"/>
          <w:szCs w:val="15"/>
          <w:color w:val="auto"/>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spacing w:after="0" w:line="275" w:lineRule="auto"/>
        <w:rPr>
          <w:sz w:val="20"/>
          <w:szCs w:val="20"/>
          <w:color w:val="auto"/>
        </w:rPr>
      </w:pPr>
      <w:r>
        <w:rPr>
          <w:rFonts w:ascii="Arial" w:cs="Arial" w:eastAsia="Arial" w:hAnsi="Arial"/>
          <w:sz w:val="17"/>
          <w:szCs w:val="17"/>
          <w:color w:val="auto"/>
        </w:rPr>
        <w:t xml:space="preserve">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7"/>
          <w:szCs w:val="17"/>
          <w:color w:val="212121"/>
        </w:rPr>
        <w:t>development programs being negatively</w:t>
      </w:r>
      <w:r>
        <w:rPr>
          <w:rFonts w:ascii="Arial" w:cs="Arial" w:eastAsia="Arial" w:hAnsi="Arial"/>
          <w:sz w:val="17"/>
          <w:szCs w:val="17"/>
          <w:color w:val="auto"/>
        </w:rPr>
        <w:t xml:space="preserve"> </w:t>
      </w:r>
      <w:r>
        <w:rPr>
          <w:rFonts w:ascii="Arial" w:cs="Arial" w:eastAsia="Arial" w:hAnsi="Arial"/>
          <w:sz w:val="17"/>
          <w:szCs w:val="17"/>
          <w:color w:val="212121"/>
        </w:rPr>
        <w:t>affected even if such events or symptoms are ultimately determined to be unlikely related to our drug candidates.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12121"/>
        </w:rPr>
        <w:t>In our HBV program, we are developing modulators of capsid assembly, also known as core inhibitors. This is a new mechanistic approach to HBV,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or unacceptable side effects caused by such products:</w:t>
      </w:r>
    </w:p>
    <w:p>
      <w:pPr>
        <w:spacing w:after="0" w:line="62" w:lineRule="exact"/>
        <w:rPr>
          <w:sz w:val="20"/>
          <w:szCs w:val="20"/>
          <w:color w:val="auto"/>
        </w:rPr>
      </w:pPr>
    </w:p>
    <w:p>
      <w:pPr>
        <w:ind w:left="1000" w:right="2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17"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5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7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40"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00" w:right="940" w:hanging="493"/>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8" w:name="page39"/>
    <w:bookmarkEnd w:id="38"/>
    <w:p>
      <w:pPr>
        <w:jc w:val="both"/>
        <w:ind w:right="60"/>
        <w:spacing w:after="0" w:line="287"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7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00" w:right="1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14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14 that have rejected 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on December 18, 2019, the Fifth Circuit U.S. Court of Appeals held that the individual mandate is unconstitutional and remanded the case to the District Court to reconsider its earlier invalidation of the entire Affordable Care Act. It is unclear how this decision, subsequent proceedings and appeals in this case, and other efforts to repeal and replace the Affordable Care Act will impact the Affordable Care Act. We cannot predict what legislation, if any, to repeal or replace the ACA will become law, or what impact any such legislation, or the Texas court challenge, may have on us or on AbbVie’s sales of MAVYRET/MAVIRET.</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right="120"/>
        <w:spacing w:after="0" w:line="272"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00" w:right="1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14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MAVYRET/MAVIRET, as well as EDP-938, EDP-514, EDP-305, EDP-297 and any other product candidate that we may develop in the future, whether as part of a combination therapy or as a monotherapy, are subject to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9" w:lineRule="exact"/>
        <w:rPr>
          <w:sz w:val="20"/>
          <w:szCs w:val="20"/>
          <w:color w:val="auto"/>
        </w:rPr>
      </w:pPr>
    </w:p>
    <w:p>
      <w:pPr>
        <w:ind w:left="1000" w:right="200" w:hanging="493"/>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jc w:val="both"/>
        <w:ind w:left="1000" w:right="220" w:hanging="493"/>
        <w:spacing w:after="0" w:line="286"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2" w:name="page43"/>
    <w:bookmarkEnd w:id="42"/>
    <w:p>
      <w:pPr>
        <w:ind w:right="16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as a result of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420"/>
        <w:spacing w:after="0" w:line="279"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6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recent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7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ongoing studies, we paused recruitment and dosing of the ARGON-2 Phase 2b NASH study and Part 2 of our Phase 1a/1b study of EDP-514 in nuc-suppressed HBV patients as a result of the COVID-19 pandemic in March 2020, but we were able to resume these studies in July 2020. The pause in these studies is expected to delay their completion.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8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right="4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8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6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8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7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right="80"/>
        <w:spacing w:after="0" w:line="273" w:lineRule="auto"/>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00" w:right="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00" w:right="74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00" w:right="8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ind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0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00" w:right="320" w:hanging="493"/>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00" w:right="30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00" w:right="44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5" w:lineRule="exact"/>
        <w:rPr>
          <w:rFonts w:ascii="Arial" w:cs="Arial" w:eastAsia="Arial" w:hAnsi="Arial"/>
          <w:sz w:val="18"/>
          <w:szCs w:val="18"/>
          <w:color w:val="auto"/>
        </w:rPr>
      </w:pPr>
    </w:p>
    <w:p>
      <w:pPr>
        <w:ind w:left="1000" w:right="120" w:hanging="493"/>
        <w:spacing w:after="0" w:line="275"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8"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line="263"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September 30, 2014 through June 30, 2020,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which in some cases has been exacerbated by the COVID-19 pandemic. As a result of this volatility, you may not be able to sell your holdings of our common stock at or above your purchase price, if at all. The market price for our common stock may be influenced by many factors, including:</w:t>
      </w:r>
    </w:p>
    <w:p>
      <w:pPr>
        <w:spacing w:after="0" w:line="56" w:lineRule="exact"/>
        <w:rPr>
          <w:sz w:val="20"/>
          <w:szCs w:val="20"/>
          <w:color w:val="auto"/>
        </w:rPr>
      </w:pPr>
    </w:p>
    <w:p>
      <w:pPr>
        <w:ind w:left="1000" w:right="5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containing glecaprevir as approved in the U.S., EU and Japan, including announcements regarding regulatory or commercial developments;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3"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00" w:right="480" w:hanging="493"/>
        <w:spacing w:after="0" w:line="286"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00" w:right="4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$4.3 million for severance and other non-equity-based benefits in the event of a termination of employment in connection with a change of control of our company. In addition, based on the closing price of our common stock as of June 30, 2020 of $50.21 per common share, the aggregate intrinsic value of unvested stock options and other equity awards subject to accelerated vesting upon these events was $6.5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2020, we had 20.0 million shares of common stock outstanding. In addition, as of June 30, 2020, 3.3 million and 0.1 million shares of common stock that are subject to outstanding options or restricted stock unit awards, respectively, under our outstanding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20" w:type="dxa"/>
            <w:vAlign w:val="bottom"/>
            <w:gridSpan w:val="10"/>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5220" w:type="dxa"/>
            <w:vAlign w:val="bottom"/>
            <w:gridSpan w:val="10"/>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52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4"/>
                <w:szCs w:val="24"/>
                <w:color w:val="auto"/>
              </w:rPr>
            </w:pPr>
          </w:p>
        </w:tc>
        <w:tc>
          <w:tcPr>
            <w:tcW w:w="5220" w:type="dxa"/>
            <w:vAlign w:val="bottom"/>
            <w:tcBorders>
              <w:top w:val="single" w:sz="8" w:color="auto"/>
            </w:tcBorders>
            <w:gridSpan w:val="10"/>
          </w:tcPr>
          <w:p>
            <w:pPr>
              <w:spacing w:after="0"/>
              <w:rPr>
                <w:rFonts w:ascii="Arial" w:cs="Arial" w:eastAsia="Arial" w:hAnsi="Arial"/>
                <w:sz w:val="18"/>
                <w:szCs w:val="18"/>
                <w:u w:val="single" w:color="auto"/>
                <w:color w:val="0000EE"/>
                <w:w w:val="95"/>
              </w:rPr>
            </w:pPr>
            <w:hyperlink r:id="rId78">
              <w:r>
                <w:rPr>
                  <w:rFonts w:ascii="Arial" w:cs="Arial" w:eastAsia="Arial" w:hAnsi="Arial"/>
                  <w:sz w:val="18"/>
                  <w:szCs w:val="18"/>
                  <w:u w:val="single" w:color="auto"/>
                  <w:color w:val="0000EE"/>
                  <w:w w:val="95"/>
                </w:rPr>
                <w:t>Restated Certificate of Incorporation of Enanta Pharmaceuticals, Inc.</w:t>
              </w:r>
            </w:hyperlink>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5220" w:type="dxa"/>
            <w:vAlign w:val="bottom"/>
            <w:gridSpan w:val="10"/>
          </w:tcPr>
          <w:p>
            <w:pPr>
              <w:spacing w:after="0"/>
              <w:rPr>
                <w:rFonts w:ascii="Arial" w:cs="Arial" w:eastAsia="Arial" w:hAnsi="Arial"/>
                <w:sz w:val="18"/>
                <w:szCs w:val="18"/>
                <w:color w:val="0000EE"/>
                <w:w w:val="96"/>
              </w:rPr>
            </w:pPr>
            <w:hyperlink r:id="rId79">
              <w:r>
                <w:rPr>
                  <w:rFonts w:ascii="Arial" w:cs="Arial" w:eastAsia="Arial" w:hAnsi="Arial"/>
                  <w:sz w:val="18"/>
                  <w:szCs w:val="18"/>
                  <w:color w:val="0000EE"/>
                  <w:w w:val="96"/>
                </w:rPr>
                <w:t>Amended and Restated Bylaws of Enanta Pharmaceuticals, Inc.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amended and restated in August 2015)</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5220" w:type="dxa"/>
            <w:vAlign w:val="bottom"/>
            <w:gridSpan w:val="10"/>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Certification of the Chief Executive Officer pursuant to Rule 13a-14(a)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or 15d-14(a) of the Securities Exchange Act of 1934.</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4"/>
                <w:szCs w:val="24"/>
                <w:color w:val="auto"/>
              </w:rPr>
            </w:pPr>
          </w:p>
        </w:tc>
        <w:tc>
          <w:tcPr>
            <w:tcW w:w="5220" w:type="dxa"/>
            <w:vAlign w:val="bottom"/>
            <w:gridSpan w:val="10"/>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Certification of Chief Financial Officer pursuant to Rule 13a-14(a) or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24"/>
                <w:szCs w:val="24"/>
                <w:color w:val="auto"/>
              </w:rPr>
            </w:pPr>
          </w:p>
        </w:tc>
        <w:tc>
          <w:tcPr>
            <w:tcW w:w="5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Certification of the Chief Executive Officer and Chief Financial Officer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pursuant to 18 U.S.C. Section 1350, as adopted pursuant to Section 906</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2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20" w:hanging="675"/>
        <w:spacing w:after="0" w:line="271"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following financial statements from the Quarterly Report of Enanta Pharmaceuticals, Inc. on Form 10-Q for the quarter ended June 30, 2020, formatted in Inline XBRL: (i) Consolidated Balance Sheets, (ii) 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84" w:lineRule="exact"/>
        <w:rPr>
          <w:sz w:val="20"/>
          <w:szCs w:val="20"/>
          <w:color w:val="auto"/>
        </w:rPr>
      </w:pPr>
    </w:p>
    <w:p>
      <w:pPr>
        <w:ind w:left="1000" w:right="560" w:hanging="675"/>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212529"/>
        </w:rPr>
        <w:t>Cover Page Interactive Data File (formatted as Inline XBRL and contained in Exhibit 101).</w:t>
      </w: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0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03/28/2013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3"/>
        </w:trPr>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6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220" w:space="100"/>
            <w:col w:w="492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337"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2020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Dated: August 10, 2020</w:t>
            </w:r>
          </w:p>
        </w:tc>
        <w:tc>
          <w:tcPr>
            <w:tcW w:w="2960" w:type="dxa"/>
            <w:vAlign w:val="bottom"/>
          </w:tcPr>
          <w:p>
            <w:pPr>
              <w:ind w:left="25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Dated: August 10, 2020</w:t>
            </w:r>
          </w:p>
        </w:tc>
        <w:tc>
          <w:tcPr>
            <w:tcW w:w="2960" w:type="dxa"/>
            <w:vAlign w:val="bottom"/>
          </w:tcPr>
          <w:p>
            <w:pPr>
              <w:ind w:left="25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2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1."/>
      <w:numFmt w:val="decimal"/>
      <w:start w:val="7"/>
    </w:lvl>
  </w:abstractNum>
  <w:abstractNum w:abstractNumId="9">
    <w:nsid w:val="2CA88611"/>
    <w:multiLevelType w:val="hybridMultilevel"/>
    <w:lvl w:ilvl="0">
      <w:lvlJc w:val="left"/>
      <w:lvlText w:val="%1."/>
      <w:numFmt w:val="decimal"/>
      <w:start w:val="8"/>
    </w:lvl>
  </w:abstractNum>
  <w:abstractNum w:abstractNumId="10">
    <w:nsid w:val="836C40E"/>
    <w:multiLevelType w:val="hybridMultilevel"/>
    <w:lvl w:ilvl="0">
      <w:lvlJc w:val="left"/>
      <w:lvlText w:val="%1."/>
      <w:numFmt w:val="decimal"/>
      <w:start w:val="9"/>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1."/>
      <w:numFmt w:val="decimal"/>
      <w:start w:val="11"/>
    </w:lvl>
  </w:abstractNum>
  <w:abstractNum w:abstractNumId="13">
    <w:nsid w:val="8138641"/>
    <w:multiLevelType w:val="hybridMultilevel"/>
    <w:lvl w:ilvl="0">
      <w:lvlJc w:val="left"/>
      <w:lvlText w:val="%1."/>
      <w:numFmt w:val="decimal"/>
      <w:start w:val="12"/>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o"/>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2"/>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01"/>
    </w:lvl>
  </w:abstractNum>
  <w:abstractNum w:abstractNumId="43">
    <w:nsid w:val="57E4CCAF"/>
    <w:multiLevelType w:val="hybridMultilevel"/>
    <w:lvl w:ilvl="0">
      <w:lvlJc w:val="left"/>
      <w:lvlText w:val="%1"/>
      <w:numFmt w:val="decimal"/>
      <w:start w:val="104"/>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8" Type="http://schemas.openxmlformats.org/officeDocument/2006/relationships/hyperlink" Target="http://www.sec.gov/Archives/edgar/data/1177648/000119312513132679/d511662dex31.htm" TargetMode="External"/><Relationship Id="rId79"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2020-08-10T15:25:34Z</dcterms:created>
  <dcterms:modified xsi:type="dcterms:W3CDTF">2020-08-10T15:25:34Z</dcterms:modified>
</cp:coreProperties>
</file>