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CARTER BRUCE 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ENANTA PHARMACEUTICALS,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KINGSBURY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ENANTA PHARMACEUTICALS INC</w:t>
              </w:r>
            </w:hyperlink>
            <w:r>
              <w:rPr/>
              <w:t xml:space="preserve"> [ </w:t>
            </w:r>
            <w:r>
              <w:rPr>
                <w:rFonts w:ascii="Times;serif" w:hAnsi="Times;serif"/>
                <w:color w:val="0000FF"/>
                <w:sz w:val="24"/>
                <w:shd w:fill="FFFFFF" w:val="clear"/>
              </w:rPr>
              <w:t>ENTA</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14.17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Such option will become exercisable monthly in substantially equal installments over one year, beginning from the date of grant (March 11, 2026), with the final monthly installment vesting no later than the nearest trading day on the Nasdaq Global Select Market preceding the 2027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Kowalsky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5503" TargetMode="External"/><Relationship Id="rId5" Type="http://schemas.openxmlformats.org/officeDocument/2006/relationships/hyperlink" Target="http://www.sec.gov/cgi-bin/browse-edgar?action=getcompany&amp;CIK=00011776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3377</Characters>
  <CharactersWithSpaces>3934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