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ind w:left="580" w:right="160" w:hanging="559"/>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940" w:type="dxa"/>
            <w:vAlign w:val="bottom"/>
          </w:tcPr>
          <w:p>
            <w:pPr>
              <w:spacing w:after="0"/>
              <w:rPr>
                <w:sz w:val="20"/>
                <w:szCs w:val="20"/>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51"/>
        </w:trPr>
        <w:tc>
          <w:tcPr>
            <w:tcW w:w="4800" w:type="dxa"/>
            <w:vAlign w:val="bottom"/>
            <w:gridSpan w:val="3"/>
          </w:tcPr>
          <w:p>
            <w:pPr>
              <w:jc w:val="center"/>
              <w:ind w:right="108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0" w:type="dxa"/>
            <w:vAlign w:val="bottom"/>
          </w:tcPr>
          <w:p>
            <w:pPr>
              <w:jc w:val="center"/>
              <w:ind w:left="244"/>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36"/>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500 Arsenal Street</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8"/>
        </w:trPr>
        <w:tc>
          <w:tcPr>
            <w:tcW w:w="48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20"/>
                <w:szCs w:val="20"/>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3"/>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28"/>
        </w:trPr>
        <w:tc>
          <w:tcPr>
            <w:tcW w:w="11240" w:type="dxa"/>
            <w:vAlign w:val="bottom"/>
            <w:gridSpan w:val="6"/>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23"/>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9"/>
                <w:szCs w:val="19"/>
                <w:color w:val="auto"/>
              </w:rPr>
            </w:pPr>
          </w:p>
        </w:tc>
        <w:tc>
          <w:tcPr>
            <w:tcW w:w="194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3"/>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22"/>
                <w:szCs w:val="22"/>
                <w:color w:val="auto"/>
              </w:rPr>
            </w:pPr>
          </w:p>
        </w:tc>
        <w:tc>
          <w:tcPr>
            <w:tcW w:w="1940" w:type="dxa"/>
            <w:vAlign w:val="bottom"/>
          </w:tcPr>
          <w:p>
            <w:pPr>
              <w:jc w:val="center"/>
              <w:ind w:right="479"/>
              <w:spacing w:after="0"/>
              <w:rPr>
                <w:sz w:val="20"/>
                <w:szCs w:val="20"/>
                <w:color w:val="auto"/>
              </w:rPr>
            </w:pPr>
            <w:r>
              <w:rPr>
                <w:rFonts w:ascii="Times New Roman" w:cs="Times New Roman" w:eastAsia="Times New Roman" w:hAnsi="Times New Roman"/>
                <w:sz w:val="18"/>
                <w:szCs w:val="18"/>
                <w:color w:val="auto"/>
                <w:w w:val="95"/>
              </w:rPr>
              <w:t>ENTA</w:t>
            </w:r>
          </w:p>
        </w:tc>
        <w:tc>
          <w:tcPr>
            <w:tcW w:w="500" w:type="dxa"/>
            <w:vAlign w:val="bottom"/>
            <w:tcBorders>
              <w:right w:val="single" w:sz="8" w:color="auto"/>
            </w:tcBorders>
          </w:tcPr>
          <w:p>
            <w:pPr>
              <w:spacing w:after="0"/>
              <w:rPr>
                <w:sz w:val="22"/>
                <w:szCs w:val="22"/>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68"/>
        </w:trPr>
        <w:tc>
          <w:tcPr>
            <w:tcW w:w="38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4000" w:type="dxa"/>
            <w:vAlign w:val="bottom"/>
            <w:tcBorders>
              <w:bottom w:val="single" w:sz="8" w:color="auto"/>
              <w:right w:val="single" w:sz="8" w:color="auto"/>
            </w:tcBorders>
          </w:tcPr>
          <w:p>
            <w:pPr>
              <w:spacing w:after="0"/>
              <w:rPr>
                <w:sz w:val="5"/>
                <w:szCs w:val="5"/>
                <w:color w:val="auto"/>
              </w:rPr>
            </w:pPr>
          </w:p>
        </w:tc>
      </w:tr>
    </w:tbl>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75"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20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5, 2024, the registrant had 21,188,571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9"/>
              </w:rPr>
              <w:t>UNAUDITED FINANCIAL INFORMATION</w:t>
            </w:r>
          </w:p>
        </w:tc>
        <w:tc>
          <w:tcPr>
            <w:tcW w:w="5920" w:type="dxa"/>
            <w:vAlign w:val="bottom"/>
            <w:gridSpan w:val="8"/>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3380" w:type="dxa"/>
            <w:vAlign w:val="bottom"/>
            <w:tcBorders>
              <w:bottom w:val="single" w:sz="8" w:color="0000FF"/>
            </w:tcBorders>
            <w:gridSpan w:val="11"/>
            <w:vMerge w:val="continue"/>
          </w:tcPr>
          <w:p>
            <w:pPr>
              <w:spacing w:after="0"/>
              <w:rPr>
                <w:sz w:val="14"/>
                <w:szCs w:val="14"/>
                <w:color w:val="auto"/>
              </w:rPr>
            </w:pPr>
          </w:p>
        </w:tc>
        <w:tc>
          <w:tcPr>
            <w:tcW w:w="5920" w:type="dxa"/>
            <w:vAlign w:val="bottom"/>
            <w:gridSpan w:val="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w:t>
            </w:r>
          </w:p>
        </w:tc>
        <w:tc>
          <w:tcPr>
            <w:tcW w:w="594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4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8"/>
                <w:szCs w:val="18"/>
                <w:color w:val="auto"/>
              </w:rPr>
            </w:pPr>
          </w:p>
        </w:tc>
        <w:tc>
          <w:tcPr>
            <w:tcW w:w="2560" w:type="dxa"/>
            <w:vAlign w:val="bottom"/>
            <w:tcBorders>
              <w:top w:val="single" w:sz="8" w:color="0000FF"/>
            </w:tcBorders>
            <w:gridSpan w:val="7"/>
          </w:tcPr>
          <w:p>
            <w:pPr>
              <w:spacing w:after="0"/>
              <w:rPr>
                <w:sz w:val="18"/>
                <w:szCs w:val="18"/>
                <w:color w:val="auto"/>
              </w:rPr>
            </w:pPr>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40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2023, our subsequently filed Quarterly Reports on Form 10-Q and as updated in Item 1A herein.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85,388</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286,584</w:t>
            </w: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422,791</w:t>
            </w:r>
          </w:p>
        </w:tc>
        <w:tc>
          <w:tcPr>
            <w:tcW w:w="100" w:type="dxa"/>
            <w:vAlign w:val="bottom"/>
            <w:shd w:val="clear" w:color="auto" w:fill="CFF0FC"/>
          </w:tcPr>
          <w:p>
            <w:pPr>
              <w:spacing w:after="0"/>
              <w:rPr>
                <w:sz w:val="20"/>
                <w:szCs w:val="20"/>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7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398,821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00" w:type="dxa"/>
            <w:vAlign w:val="bottom"/>
          </w:tcPr>
          <w:p>
            <w:pPr>
              <w:spacing w:after="0"/>
              <w:rPr>
                <w:sz w:val="20"/>
                <w:szCs w:val="20"/>
                <w:color w:val="auto"/>
              </w:rPr>
            </w:pPr>
          </w:p>
        </w:tc>
      </w:tr>
      <w:tr>
        <w:trPr>
          <w:trHeight w:val="243"/>
        </w:trPr>
        <w:tc>
          <w:tcPr>
            <w:tcW w:w="7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62,787</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141,889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159,429</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r>
      <w:tr>
        <w:trPr>
          <w:trHeight w:val="237"/>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249,906</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245,540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21,182 and 21,059 shares issued and outstanding at June 30, 2024</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r>
      <w:tr>
        <w:trPr>
          <w:trHeight w:val="250"/>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443,573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(653 )</w:t>
            </w:r>
          </w:p>
        </w:tc>
        <w:tc>
          <w:tcPr>
            <w:tcW w:w="26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(1,174 )</w:t>
            </w:r>
          </w:p>
        </w:tc>
      </w:tr>
      <w:tr>
        <w:trPr>
          <w:trHeight w:val="243"/>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(294,217 )</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(206,995 )</w:t>
            </w:r>
          </w:p>
        </w:tc>
      </w:tr>
      <w:tr>
        <w:trPr>
          <w:trHeight w:val="236"/>
        </w:trPr>
        <w:tc>
          <w:tcPr>
            <w:tcW w:w="73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148,915</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00" w:type="dxa"/>
            <w:vAlign w:val="bottom"/>
            <w:tcBorders>
              <w:top w:val="single" w:sz="8" w:color="CFF0FC"/>
            </w:tcBorders>
          </w:tcPr>
          <w:p>
            <w:pPr>
              <w:spacing w:after="0"/>
              <w:rPr>
                <w:sz w:val="20"/>
                <w:szCs w:val="20"/>
                <w:color w:val="auto"/>
              </w:rPr>
            </w:pPr>
          </w:p>
        </w:tc>
      </w:tr>
      <w:tr>
        <w:trPr>
          <w:trHeight w:val="276"/>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398,821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-3453765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-3436620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-3453765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-2502535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-1559560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(24,185 )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(36,713 )</w:t>
            </w: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(91,837 )</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(106,177 )</w:t>
            </w:r>
          </w:p>
        </w:tc>
        <w:tc>
          <w:tcPr>
            <w:tcW w:w="0" w:type="dxa"/>
            <w:vAlign w:val="bottom"/>
          </w:tcPr>
          <w:p>
            <w:pPr>
              <w:spacing w:after="0"/>
              <w:rPr>
                <w:sz w:val="1"/>
                <w:szCs w:val="1"/>
                <w:color w:val="auto"/>
              </w:rPr>
            </w:pPr>
          </w:p>
        </w:tc>
      </w:tr>
      <w:tr>
        <w:trPr>
          <w:trHeight w:val="232"/>
        </w:trPr>
        <w:tc>
          <w:tcPr>
            <w:tcW w:w="5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(2,355 )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(1,997 )</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(8,359 )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(1,997 )</w:t>
            </w:r>
          </w:p>
        </w:tc>
        <w:tc>
          <w:tcPr>
            <w:tcW w:w="0" w:type="dxa"/>
            <w:vAlign w:val="bottom"/>
          </w:tcPr>
          <w:p>
            <w:pPr>
              <w:spacing w:after="0"/>
              <w:rPr>
                <w:sz w:val="1"/>
                <w:szCs w:val="1"/>
                <w:color w:val="auto"/>
              </w:rPr>
            </w:pPr>
          </w:p>
        </w:tc>
      </w:tr>
      <w:tr>
        <w:trPr>
          <w:trHeight w:val="243"/>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(23,053 )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(34,844 )</w:t>
            </w:r>
          </w:p>
        </w:tc>
        <w:tc>
          <w:tcPr>
            <w:tcW w:w="3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(88,602 )</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(101,478 )</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(4,221 )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(4,231 )</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(39,065 )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(87,222 )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(105,709 )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(5.05 )</w:t>
            </w:r>
          </w:p>
        </w:tc>
        <w:tc>
          <w:tcPr>
            <w:tcW w:w="0" w:type="dxa"/>
            <w:vAlign w:val="bottom"/>
          </w:tcPr>
          <w:p>
            <w:pPr>
              <w:spacing w:after="0"/>
              <w:rPr>
                <w:sz w:val="1"/>
                <w:szCs w:val="1"/>
                <w:color w:val="auto"/>
              </w:rPr>
            </w:pPr>
          </w:p>
        </w:tc>
      </w:tr>
      <w:tr>
        <w:trPr>
          <w:trHeight w:val="192"/>
        </w:trPr>
        <w:tc>
          <w:tcPr>
            <w:tcW w:w="5080" w:type="dxa"/>
            <w:vAlign w:val="bottom"/>
            <w:tcBorders>
              <w:top w:val="single" w:sz="8" w:color="CFF0FC"/>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2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-2571115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-2571115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-2571115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-1936750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-1936750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-1936750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-1610995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-1610995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-1610995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-976630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-976630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-976630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-659765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-659765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-316230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-299720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-316230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-299720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-316230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5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(22,658 )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(39,065 )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(87,222 )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(105,709 )</w:t>
            </w:r>
          </w:p>
        </w:tc>
      </w:tr>
      <w:tr>
        <w:trPr>
          <w:trHeight w:val="23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on marketable securities</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0"/>
                <w:szCs w:val="20"/>
                <w:color w:val="auto"/>
              </w:rPr>
            </w:pPr>
          </w:p>
        </w:tc>
      </w:tr>
      <w:tr>
        <w:trPr>
          <w:trHeight w:val="257"/>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(22,644 )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(38,754 )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(86,701 )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(103,489 )</w:t>
            </w:r>
          </w:p>
        </w:tc>
      </w:tr>
      <w:tr>
        <w:trPr>
          <w:trHeight w:val="20"/>
        </w:trPr>
        <w:tc>
          <w:tcPr>
            <w:tcW w:w="5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-350520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-350520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446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w:t>
            </w:r>
          </w:p>
        </w:tc>
        <w:tc>
          <w:tcPr>
            <w:tcW w:w="1080" w:type="dxa"/>
            <w:vAlign w:val="bottom"/>
            <w:gridSpan w:val="3"/>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6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4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(1,174 )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(206,995 )</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(184 )</w:t>
            </w: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(33,407 )</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(33,407 )</w:t>
            </w:r>
          </w:p>
        </w:tc>
        <w:tc>
          <w:tcPr>
            <w:tcW w:w="0" w:type="dxa"/>
            <w:vAlign w:val="bottom"/>
          </w:tcPr>
          <w:p>
            <w:pPr>
              <w:spacing w:after="0"/>
              <w:rPr>
                <w:sz w:val="1"/>
                <w:szCs w:val="1"/>
                <w:color w:val="auto"/>
              </w:rPr>
            </w:pPr>
          </w:p>
        </w:tc>
      </w:tr>
      <w:tr>
        <w:trPr>
          <w:trHeight w:val="20"/>
        </w:trPr>
        <w:tc>
          <w:tcPr>
            <w:tcW w:w="44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(240,402 )</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(92 )</w:t>
            </w: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3"/>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(31,157 )</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(31,157 )</w:t>
            </w:r>
          </w:p>
        </w:tc>
        <w:tc>
          <w:tcPr>
            <w:tcW w:w="0" w:type="dxa"/>
            <w:vAlign w:val="bottom"/>
          </w:tcPr>
          <w:p>
            <w:pPr>
              <w:spacing w:after="0"/>
              <w:rPr>
                <w:sz w:val="1"/>
                <w:szCs w:val="1"/>
                <w:color w:val="auto"/>
              </w:rPr>
            </w:pPr>
          </w:p>
        </w:tc>
      </w:tr>
      <w:tr>
        <w:trPr>
          <w:trHeight w:val="20"/>
        </w:trPr>
        <w:tc>
          <w:tcPr>
            <w:tcW w:w="44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(271,559 )</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(22,658 )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(22,658 )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280" w:type="dxa"/>
            <w:vAlign w:val="bottom"/>
            <w:tcBorders>
              <w:left w:val="single" w:sz="8" w:color="CFF0FC"/>
              <w:right w:val="single" w:sz="8" w:color="CFF0FC"/>
            </w:tcBorders>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Borders>
              <w:left w:val="single" w:sz="8" w:color="CFF0FC"/>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443,573</w:t>
            </w:r>
          </w:p>
        </w:tc>
        <w:tc>
          <w:tcPr>
            <w:tcW w:w="240" w:type="dxa"/>
            <w:vAlign w:val="bottom"/>
            <w:tcBorders>
              <w:left w:val="single" w:sz="8" w:color="CFF0FC"/>
              <w:right w:val="single" w:sz="8" w:color="CFF0FC"/>
            </w:tcBorders>
            <w:shd w:val="clear" w:color="auto" w:fill="CFF0FC"/>
          </w:tcPr>
          <w:p>
            <w:pPr>
              <w:spacing w:after="0"/>
              <w:rPr>
                <w:sz w:val="24"/>
                <w:szCs w:val="24"/>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(653 )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(294,217 )</w:t>
            </w: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148,915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46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446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0"/>
              </w:rPr>
              <w:t>ve</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46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9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20,791</w:t>
            </w:r>
          </w:p>
        </w:tc>
        <w:tc>
          <w:tcPr>
            <w:tcW w:w="44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Borders>
              <w:left w:val="single" w:sz="8" w:color="CFF0FC"/>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398,029</w:t>
            </w: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(3,724 )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(73,179 )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(825 )</w:t>
            </w:r>
          </w:p>
        </w:tc>
        <w:tc>
          <w:tcPr>
            <w:tcW w:w="18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(28,986 )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(28,986 )</w:t>
            </w:r>
          </w:p>
        </w:tc>
        <w:tc>
          <w:tcPr>
            <w:tcW w:w="0" w:type="dxa"/>
            <w:vAlign w:val="bottom"/>
          </w:tcPr>
          <w:p>
            <w:pPr>
              <w:spacing w:after="0"/>
              <w:rPr>
                <w:sz w:val="1"/>
                <w:szCs w:val="1"/>
                <w:color w:val="auto"/>
              </w:rPr>
            </w:pP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20,884</w:t>
            </w:r>
          </w:p>
        </w:tc>
        <w:tc>
          <w:tcPr>
            <w:tcW w:w="280" w:type="dxa"/>
            <w:vAlign w:val="bottom"/>
            <w:tcBorders>
              <w:left w:val="single" w:sz="8" w:color="CFF0FC"/>
              <w:right w:val="single" w:sz="8" w:color="CFF0FC"/>
            </w:tcBorders>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Borders>
              <w:left w:val="single" w:sz="8" w:color="CFF0FC"/>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405,468</w:t>
            </w:r>
          </w:p>
        </w:tc>
        <w:tc>
          <w:tcPr>
            <w:tcW w:w="240" w:type="dxa"/>
            <w:vAlign w:val="bottom"/>
            <w:tcBorders>
              <w:left w:val="single" w:sz="8" w:color="CFF0FC"/>
              <w:right w:val="single" w:sz="8" w:color="CFF0FC"/>
            </w:tcBorders>
            <w:shd w:val="clear" w:color="auto" w:fill="CFF0FC"/>
          </w:tcPr>
          <w:p>
            <w:pPr>
              <w:spacing w:after="0"/>
              <w:rPr>
                <w:sz w:val="24"/>
                <w:szCs w:val="24"/>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(2,675 )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(102,165 )</w:t>
            </w:r>
          </w:p>
        </w:tc>
        <w:tc>
          <w:tcPr>
            <w:tcW w:w="18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300,837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(2,909 )</w:t>
            </w:r>
          </w:p>
        </w:tc>
        <w:tc>
          <w:tcPr>
            <w:tcW w:w="18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(2,909 )</w:t>
            </w: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(37,658 )</w:t>
            </w: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(37,658 )</w:t>
            </w:r>
          </w:p>
        </w:tc>
        <w:tc>
          <w:tcPr>
            <w:tcW w:w="0" w:type="dxa"/>
            <w:vAlign w:val="bottom"/>
          </w:tcPr>
          <w:p>
            <w:pPr>
              <w:spacing w:after="0"/>
              <w:rPr>
                <w:sz w:val="1"/>
                <w:szCs w:val="1"/>
                <w:color w:val="auto"/>
              </w:rPr>
            </w:pP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21,049</w:t>
            </w:r>
          </w:p>
        </w:tc>
        <w:tc>
          <w:tcPr>
            <w:tcW w:w="280" w:type="dxa"/>
            <w:vAlign w:val="bottom"/>
            <w:tcBorders>
              <w:left w:val="single" w:sz="8" w:color="CFF0FC"/>
              <w:right w:val="single" w:sz="8" w:color="CFF0FC"/>
            </w:tcBorders>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Borders>
              <w:left w:val="single" w:sz="8" w:color="CFF0FC"/>
              <w:right w:val="single" w:sz="8" w:color="CFF0FC"/>
            </w:tcBorders>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410,803</w:t>
            </w:r>
          </w:p>
        </w:tc>
        <w:tc>
          <w:tcPr>
            <w:tcW w:w="240" w:type="dxa"/>
            <w:vAlign w:val="bottom"/>
            <w:tcBorders>
              <w:left w:val="single" w:sz="8" w:color="CFF0FC"/>
              <w:right w:val="single" w:sz="8" w:color="CFF0FC"/>
            </w:tcBorders>
            <w:shd w:val="clear" w:color="auto" w:fill="CFF0FC"/>
          </w:tcPr>
          <w:p>
            <w:pPr>
              <w:spacing w:after="0"/>
              <w:rPr>
                <w:sz w:val="24"/>
                <w:szCs w:val="24"/>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(1,815 )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(139,823 )</w:t>
            </w:r>
          </w:p>
        </w:tc>
        <w:tc>
          <w:tcPr>
            <w:tcW w:w="180" w:type="dxa"/>
            <w:vAlign w:val="bottom"/>
            <w:shd w:val="clear" w:color="auto" w:fill="CFF0FC"/>
          </w:tcPr>
          <w:p>
            <w:pPr>
              <w:spacing w:after="0"/>
              <w:rPr>
                <w:sz w:val="24"/>
                <w:szCs w:val="2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269,375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CFF0FC"/>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(39,065 )</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(39,065 )</w:t>
            </w:r>
          </w:p>
        </w:tc>
        <w:tc>
          <w:tcPr>
            <w:tcW w:w="0" w:type="dxa"/>
            <w:vAlign w:val="bottom"/>
          </w:tcPr>
          <w:p>
            <w:pPr>
              <w:spacing w:after="0"/>
              <w:rPr>
                <w:sz w:val="1"/>
                <w:szCs w:val="1"/>
                <w:color w:val="auto"/>
              </w:rPr>
            </w:pPr>
          </w:p>
        </w:tc>
      </w:tr>
      <w:tr>
        <w:trPr>
          <w:trHeight w:val="20"/>
        </w:trPr>
        <w:tc>
          <w:tcPr>
            <w:tcW w:w="446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21,056</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418,001</w:t>
            </w:r>
          </w:p>
        </w:tc>
        <w:tc>
          <w:tcPr>
            <w:tcW w:w="24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(178,888 )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-5520055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-5520055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-5520055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-5520055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-5520055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-5520055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-4559935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-4559935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-4559935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-4559935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-4559935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-4559935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-3590925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-3573780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-3590925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-3573780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-3590925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-3573780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-3590925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-3573780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-3590925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-3573780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-1790700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-1773555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-1790700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-1773555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-1790700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-1773555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-1790700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-1773555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-1773555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-830580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-813435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-830580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-813435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-830580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-813435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-830580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-813435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-830580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-813435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-187960</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-187960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(87,222 )</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(105,709 )</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19,077</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21,500</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Non-cash interest expense associated with the sale of future royalties</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(620 )</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Non-cash royalty revenue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(73 )</w:t>
            </w: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Amortization (accretion) of premiums (discounts) on marketable securities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(2,792 )</w:t>
            </w:r>
          </w:p>
        </w:tc>
      </w:tr>
      <w:tr>
        <w:trPr>
          <w:trHeight w:val="235"/>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(1,997 )</w:t>
            </w: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(3,626 )</w:t>
            </w: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Income tax receivable</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(1,451 )</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w:t>
            </w:r>
          </w:p>
        </w:tc>
        <w:tc>
          <w:tcPr>
            <w:tcW w:w="100" w:type="dxa"/>
            <w:vAlign w:val="bottom"/>
          </w:tcPr>
          <w:p>
            <w:pPr>
              <w:spacing w:after="0"/>
              <w:rPr>
                <w:sz w:val="20"/>
                <w:szCs w:val="20"/>
                <w:color w:val="auto"/>
              </w:rPr>
            </w:pP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4,558</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3,187</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long-term assets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(134 )</w:t>
            </w: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2,682</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(6,047 )</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(3,350 )</w:t>
            </w:r>
          </w:p>
        </w:tc>
      </w:tr>
      <w:tr>
        <w:trPr>
          <w:trHeight w:val="251"/>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(1,142 )</w:t>
            </w:r>
          </w:p>
        </w:tc>
      </w:tr>
      <w:tr>
        <w:trPr>
          <w:trHeight w:val="228"/>
        </w:trPr>
        <w:tc>
          <w:tcPr>
            <w:tcW w:w="75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(436 )</w:t>
            </w: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(28 )</w:t>
            </w:r>
          </w:p>
        </w:tc>
      </w:tr>
      <w:tr>
        <w:trPr>
          <w:trHeight w:val="20"/>
        </w:trPr>
        <w:tc>
          <w:tcPr>
            <w:tcW w:w="7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(68,364 )</w:t>
            </w:r>
          </w:p>
        </w:tc>
        <w:tc>
          <w:tcPr>
            <w:tcW w:w="10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(81,552 )</w:t>
            </w:r>
          </w:p>
        </w:tc>
      </w:tr>
      <w:tr>
        <w:trPr>
          <w:trHeight w:val="230"/>
        </w:trPr>
        <w:tc>
          <w:tcPr>
            <w:tcW w:w="7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(307,283 )</w:t>
            </w: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(267,274 )</w:t>
            </w: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355,442</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209,550</w:t>
            </w:r>
          </w:p>
        </w:tc>
        <w:tc>
          <w:tcPr>
            <w:tcW w:w="100" w:type="dxa"/>
            <w:vAlign w:val="bottom"/>
          </w:tcPr>
          <w:p>
            <w:pPr>
              <w:spacing w:after="0"/>
              <w:rPr>
                <w:sz w:val="20"/>
                <w:szCs w:val="20"/>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(8,997 )</w:t>
            </w:r>
          </w:p>
        </w:tc>
        <w:tc>
          <w:tcPr>
            <w:tcW w:w="10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(7,690 )</w:t>
            </w:r>
          </w:p>
        </w:tc>
      </w:tr>
      <w:tr>
        <w:trPr>
          <w:trHeight w:val="20"/>
        </w:trPr>
        <w:tc>
          <w:tcPr>
            <w:tcW w:w="75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5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39,162</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(65,414 )</w:t>
            </w:r>
          </w:p>
        </w:tc>
      </w:tr>
      <w:tr>
        <w:trPr>
          <w:trHeight w:val="238"/>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10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(20,215 )</w:t>
            </w:r>
          </w:p>
        </w:tc>
        <w:tc>
          <w:tcPr>
            <w:tcW w:w="10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the sale of future royalties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shd w:val="clear" w:color="auto" w:fill="CFF0FC"/>
          </w:tcPr>
          <w:p>
            <w:pPr>
              <w:spacing w:after="0"/>
              <w:rPr>
                <w:sz w:val="21"/>
                <w:szCs w:val="21"/>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debt issuance costs</w:t>
            </w:r>
          </w:p>
        </w:tc>
        <w:tc>
          <w:tcPr>
            <w:tcW w:w="10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(325 )</w:t>
            </w: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1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(275 )</w:t>
            </w:r>
          </w:p>
        </w:tc>
        <w:tc>
          <w:tcPr>
            <w:tcW w:w="10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(3,734 )</w:t>
            </w: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2,208</w:t>
            </w:r>
          </w:p>
        </w:tc>
        <w:tc>
          <w:tcPr>
            <w:tcW w:w="100" w:type="dxa"/>
            <w:vAlign w:val="bottom"/>
          </w:tcPr>
          <w:p>
            <w:pPr>
              <w:spacing w:after="0"/>
              <w:rPr>
                <w:sz w:val="19"/>
                <w:szCs w:val="19"/>
                <w:color w:val="auto"/>
              </w:rPr>
            </w:pPr>
          </w:p>
        </w:tc>
      </w:tr>
      <w:tr>
        <w:trPr>
          <w:trHeight w:val="223"/>
        </w:trPr>
        <w:tc>
          <w:tcPr>
            <w:tcW w:w="75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(20,411 )</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198,149</w:t>
            </w:r>
          </w:p>
        </w:tc>
        <w:tc>
          <w:tcPr>
            <w:tcW w:w="100" w:type="dxa"/>
            <w:vAlign w:val="bottom"/>
            <w:shd w:val="clear" w:color="auto" w:fill="CFF0FC"/>
          </w:tcPr>
          <w:p>
            <w:pPr>
              <w:spacing w:after="0"/>
              <w:rPr>
                <w:sz w:val="19"/>
                <w:szCs w:val="19"/>
                <w:color w:val="auto"/>
              </w:rPr>
            </w:pPr>
          </w:p>
        </w:tc>
      </w:tr>
      <w:tr>
        <w:trPr>
          <w:trHeight w:val="20"/>
        </w:trPr>
        <w:tc>
          <w:tcPr>
            <w:tcW w:w="75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0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(49,613 )</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51,183</w:t>
            </w:r>
          </w:p>
        </w:tc>
        <w:tc>
          <w:tcPr>
            <w:tcW w:w="100" w:type="dxa"/>
            <w:vAlign w:val="bottom"/>
          </w:tcPr>
          <w:p>
            <w:pPr>
              <w:spacing w:after="0"/>
              <w:rPr>
                <w:sz w:val="19"/>
                <w:szCs w:val="19"/>
                <w:color w:val="auto"/>
              </w:rPr>
            </w:pPr>
          </w:p>
        </w:tc>
      </w:tr>
      <w:tr>
        <w:trPr>
          <w:trHeight w:val="236"/>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4"/>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2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39,743</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99,145</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75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220" w:type="dxa"/>
            <w:vAlign w:val="bottom"/>
          </w:tcPr>
          <w:p>
            <w:pPr>
              <w:spacing w:after="0"/>
              <w:rPr>
                <w:sz w:val="20"/>
                <w:szCs w:val="20"/>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20"/>
                <w:szCs w:val="20"/>
                <w:color w:val="auto"/>
              </w:rPr>
            </w:pPr>
          </w:p>
        </w:tc>
      </w:tr>
      <w:tr>
        <w:trPr>
          <w:trHeight w:val="237"/>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02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22,975</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00" w:type="dxa"/>
            <w:vAlign w:val="bottom"/>
            <w:shd w:val="clear" w:color="auto" w:fill="CFF0FC"/>
          </w:tcPr>
          <w:p>
            <w:pPr>
              <w:spacing w:after="0"/>
              <w:rPr>
                <w:sz w:val="20"/>
                <w:szCs w:val="20"/>
                <w:color w:val="auto"/>
              </w:rPr>
            </w:pPr>
          </w:p>
        </w:tc>
      </w:tr>
      <w:tr>
        <w:trPr>
          <w:trHeight w:val="228"/>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interest</w:t>
            </w:r>
          </w:p>
        </w:tc>
        <w:tc>
          <w:tcPr>
            <w:tcW w:w="102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9,187</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received from tenant improvement allowances</w:t>
            </w:r>
          </w:p>
        </w:tc>
        <w:tc>
          <w:tcPr>
            <w:tcW w:w="102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4,622</w:t>
            </w:r>
          </w:p>
        </w:tc>
        <w:tc>
          <w:tcPr>
            <w:tcW w:w="220" w:type="dxa"/>
            <w:vAlign w:val="bottom"/>
          </w:tcPr>
          <w:p>
            <w:pPr>
              <w:spacing w:after="0"/>
              <w:rPr>
                <w:sz w:val="19"/>
                <w:szCs w:val="19"/>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-3346450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-3346450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-2729230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-2729230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-1494790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-1494790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-1186180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-1186180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with an emphasis on virology and immunology indications.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 (U.S.) and MAVIRET®(ex-U.S.) (glecaprevir/pibrentasvir). The Company’s existing financial resources, as well as the retained portion of its royalties from the AbbVie collaboration, provide funding to support the Company’s wholly-owned research and development programs, which have been primarily focused on the following disease targets: respiratory syncytial virus (“RSV”), SARS-CoV-2, hepatitis B virus (“HBV”) and chronic spontaneous urticaria (“CSU”).</w:t>
      </w:r>
    </w:p>
    <w:p>
      <w:pPr>
        <w:spacing w:after="0" w:line="8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2023 was derived from audited financial statements but does not include all disclosures required by accounting principles generally accepted in the United States of America (“GAAP”). The accompanying unaudited condensed consolidated financial statements as of June 30, 2024 and for the three and nine months ended June 30,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2023.</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June 30, 2024 and results of operations for the three and nine months ended June 30, 2024 and 2023 and cash flows for the nine months ended June 30, 2024 and 2023 have been made. The results of operations for the three and nine months ended June 30, 2024 are not necessarily indicative of the results of operations that may be expected for subsequent quarters or the year ending September 30, 2024.</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$87,222 for the nine months ended June 30, 2024 and $133,816 for the year ended September 30, 2023. As of June 30, 2024, the Company had an accumulated deficit of $294,217. The Company expects to continue to generate operating losses for the foreseeable future as the Company continues to advance its wholly-owned programs. As of June 30, 2024, the Company had $272,595 in cash, cash equivalents and short-term and long-term marketable securities. The Company expects that its cash, cash equivalents and short-term and long-term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2023.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320" w:type="dxa"/>
            <w:vAlign w:val="bottom"/>
          </w:tcPr>
          <w:p>
            <w:pPr>
              <w:spacing w:after="0"/>
              <w:rPr>
                <w:sz w:val="15"/>
                <w:szCs w:val="15"/>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FF0FC"/>
          </w:tcPr>
          <w:p>
            <w:pPr>
              <w:spacing w:after="0"/>
              <w:rPr>
                <w:sz w:val="21"/>
                <w:szCs w:val="21"/>
                <w:color w:val="auto"/>
              </w:rPr>
            </w:pPr>
          </w:p>
        </w:tc>
      </w:tr>
      <w:tr>
        <w:trPr>
          <w:trHeight w:val="239"/>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rTSRUs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r>
      <w:tr>
        <w:trPr>
          <w:trHeight w:val="247"/>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PSUs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1"/>
                <w:szCs w:val="21"/>
                <w:color w:val="auto"/>
              </w:rPr>
            </w:pPr>
          </w:p>
        </w:tc>
      </w:tr>
      <w:tr>
        <w:trPr>
          <w:trHeight w:val="257"/>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2"/>
                <w:szCs w:val="2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and interim periods within the fiscal year beginning October 1, 2025, on a retrospective basis with early adoption permitted. The Company is currently evaluating the potential impact that ASU 2023-07 may have on its financial statement disclosures.</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jc w:val="both"/>
        <w:ind w:right="320"/>
        <w:spacing w:after="0" w:line="312"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and liabilities that were subject to fair value measurement on a recurring basis as of June 30, 2024 and September 30, 2023, and indicate the fair value hierarchy of the valuation inputs utilized to determine such fair value: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June 30, 2024 Using:</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35,519</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233,824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233,824</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0"/>
                <w:szCs w:val="20"/>
                <w:color w:val="auto"/>
              </w:rPr>
            </w:pPr>
          </w:p>
        </w:tc>
      </w:tr>
      <w:tr>
        <w:trPr>
          <w:trHeight w:val="277"/>
        </w:trPr>
        <w:tc>
          <w:tcPr>
            <w:tcW w:w="47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269,343</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272,339</w:t>
            </w:r>
          </w:p>
        </w:tc>
        <w:tc>
          <w:tcPr>
            <w:tcW w:w="100" w:type="dxa"/>
            <w:vAlign w:val="bottom"/>
            <w:shd w:val="clear" w:color="auto" w:fill="CFF0FC"/>
          </w:tcPr>
          <w:p>
            <w:pPr>
              <w:spacing w:after="0"/>
              <w:rPr>
                <w:sz w:val="24"/>
                <w:szCs w:val="24"/>
                <w:color w:val="auto"/>
              </w:rPr>
            </w:pPr>
          </w:p>
        </w:tc>
      </w:tr>
      <w:tr>
        <w:trPr>
          <w:trHeight w:val="225"/>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1"/>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9"/>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2023 Using:</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55,357</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29,755</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0"/>
                <w:szCs w:val="20"/>
                <w:color w:val="auto"/>
              </w:rPr>
            </w:pPr>
          </w:p>
        </w:tc>
      </w:tr>
      <w:tr>
        <w:trPr>
          <w:trHeight w:val="276"/>
        </w:trPr>
        <w:tc>
          <w:tcPr>
            <w:tcW w:w="470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321,894</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369,634</w:t>
            </w:r>
          </w:p>
        </w:tc>
        <w:tc>
          <w:tcPr>
            <w:tcW w:w="100" w:type="dxa"/>
            <w:vAlign w:val="bottom"/>
            <w:shd w:val="clear" w:color="auto" w:fill="CFF0FC"/>
          </w:tcPr>
          <w:p>
            <w:pPr>
              <w:spacing w:after="0"/>
              <w:rPr>
                <w:sz w:val="24"/>
                <w:szCs w:val="24"/>
                <w:color w:val="auto"/>
              </w:rPr>
            </w:pPr>
          </w:p>
        </w:tc>
      </w:tr>
      <w:tr>
        <w:trPr>
          <w:trHeight w:val="225"/>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1"/>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7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-2931160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-2914015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-2931160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-2914015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-2931160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-2914015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-2596515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-2596515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-2596515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-522605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-505460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-522605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-505460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-522605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-505460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-187960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June 30, 2024 and 2023 there were no transfers between Level 1, Level 2 and Level 3.</w:t>
      </w:r>
    </w:p>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June 30, 2024 and September 30, 2023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67"/>
        </w:trPr>
        <w:tc>
          <w:tcPr>
            <w:tcW w:w="6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64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tcPr>
          <w:p>
            <w:pPr>
              <w:spacing w:after="0"/>
              <w:rPr>
                <w:sz w:val="19"/>
                <w:szCs w:val="19"/>
                <w:color w:val="auto"/>
              </w:rPr>
            </w:pPr>
          </w:p>
        </w:tc>
        <w:tc>
          <w:tcPr>
            <w:tcW w:w="174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5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Probabilities of payout</w:t>
            </w:r>
          </w:p>
        </w:tc>
        <w:tc>
          <w:tcPr>
            <w:tcW w:w="1740" w:type="dxa"/>
            <w:vAlign w:val="bottom"/>
          </w:tcPr>
          <w:p>
            <w:pPr>
              <w:jc w:val="center"/>
              <w:ind w:left="379"/>
              <w:spacing w:after="0"/>
              <w:rPr>
                <w:sz w:val="20"/>
                <w:szCs w:val="20"/>
                <w:color w:val="auto"/>
              </w:rPr>
            </w:pPr>
            <w:r>
              <w:rPr>
                <w:rFonts w:ascii="Times New Roman" w:cs="Times New Roman" w:eastAsia="Times New Roman" w:hAnsi="Times New Roman"/>
                <w:sz w:val="18"/>
                <w:szCs w:val="18"/>
                <w:color w:val="auto"/>
              </w:rPr>
              <w:t>0%-65%</w:t>
            </w:r>
          </w:p>
        </w:tc>
        <w:tc>
          <w:tcPr>
            <w:tcW w:w="2800" w:type="dxa"/>
            <w:vAlign w:val="bottom"/>
            <w:gridSpan w:val="3"/>
          </w:tcPr>
          <w:p>
            <w:pPr>
              <w:jc w:val="center"/>
              <w:ind w:left="496"/>
              <w:spacing w:after="0"/>
              <w:rPr>
                <w:sz w:val="20"/>
                <w:szCs w:val="20"/>
                <w:color w:val="auto"/>
              </w:rPr>
            </w:pPr>
            <w:r>
              <w:rPr>
                <w:rFonts w:ascii="Times New Roman" w:cs="Times New Roman" w:eastAsia="Times New Roman" w:hAnsi="Times New Roman"/>
                <w:sz w:val="18"/>
                <w:szCs w:val="18"/>
                <w:color w:val="auto"/>
                <w:w w:val="98"/>
              </w:rPr>
              <w:t>0%-65%</w:t>
            </w:r>
          </w:p>
        </w:tc>
      </w:tr>
      <w:tr>
        <w:trPr>
          <w:trHeight w:val="277"/>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FF0FC"/>
          </w:tcPr>
          <w:p>
            <w:pPr>
              <w:jc w:val="center"/>
              <w:ind w:left="399"/>
              <w:spacing w:after="0"/>
              <w:rPr>
                <w:sz w:val="20"/>
                <w:szCs w:val="20"/>
                <w:color w:val="auto"/>
              </w:rPr>
            </w:pPr>
            <w:r>
              <w:rPr>
                <w:rFonts w:ascii="Times New Roman" w:cs="Times New Roman" w:eastAsia="Times New Roman" w:hAnsi="Times New Roman"/>
                <w:sz w:val="18"/>
                <w:szCs w:val="18"/>
                <w:color w:val="auto"/>
                <w:w w:val="98"/>
              </w:rPr>
              <w:t>7.25%</w:t>
            </w:r>
          </w:p>
        </w:tc>
        <w:tc>
          <w:tcPr>
            <w:tcW w:w="2800" w:type="dxa"/>
            <w:vAlign w:val="bottom"/>
            <w:gridSpan w:val="3"/>
            <w:shd w:val="clear" w:color="auto" w:fill="CFF0FC"/>
          </w:tcPr>
          <w:p>
            <w:pPr>
              <w:jc w:val="center"/>
              <w:ind w:left="496"/>
              <w:spacing w:after="0"/>
              <w:rPr>
                <w:sz w:val="20"/>
                <w:szCs w:val="20"/>
                <w:color w:val="auto"/>
              </w:rPr>
            </w:pPr>
            <w:r>
              <w:rPr>
                <w:rFonts w:ascii="Times New Roman" w:cs="Times New Roman" w:eastAsia="Times New Roman" w:hAnsi="Times New Roman"/>
                <w:sz w:val="18"/>
                <w:szCs w:val="18"/>
                <w:color w:val="auto"/>
                <w:w w:val="98"/>
              </w:rPr>
              <w:t>7.25%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and nine months ended June 30,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June 30, 2024 and is based on current estimates of future royalties expected to be paid to OMERS over the next 8 years, which are considered Level 3 inputs. See Note 8 for a rollforward of the liability.</w:t>
      </w:r>
    </w:p>
    <w:p>
      <w:pPr>
        <w:spacing w:after="0" w:line="7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September 30, 2023, the fair value of available-for-sale marketable securities, by type of security,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1"/>
                <w:szCs w:val="21"/>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237,089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5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-1396365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-1379220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-1396365</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-1379220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-1396365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-1379220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-1396365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-1379220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June 30, 2024, marketable securities consisted of investments that mature within one year, with the exception of certain U.S. Treasury notes, which have maturities between one and two years and an aggregate fair value of $42,510. As of September 30, 2023, marketable securities consisted of investments that mature within one year.</w:t>
      </w:r>
    </w:p>
    <w:p>
      <w:pPr>
        <w:spacing w:after="0" w:line="172"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2024 and September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Pr>
          <w:p>
            <w:pPr>
              <w:spacing w:after="0"/>
              <w:rPr>
                <w:sz w:val="20"/>
                <w:szCs w:val="20"/>
                <w:color w:val="auto"/>
              </w:rPr>
            </w:pPr>
          </w:p>
        </w:tc>
        <w:tc>
          <w:tcPr>
            <w:tcW w:w="15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(25,212 )</w:t>
            </w:r>
          </w:p>
        </w:tc>
        <w:tc>
          <w:tcPr>
            <w:tcW w:w="3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(23,745 )</w:t>
            </w:r>
          </w:p>
        </w:tc>
      </w:tr>
      <w:tr>
        <w:trPr>
          <w:trHeight w:val="277"/>
        </w:trPr>
        <w:tc>
          <w:tcPr>
            <w:tcW w:w="77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25,051</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2024, construction in progress related primarily to leasehold improvements for the new laboratory and office space located at 4 Kingsbury Avenue in Watertown, Massachusetts.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2024 and September 30,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820" w:type="dxa"/>
            <w:vAlign w:val="bottom"/>
          </w:tcPr>
          <w:p>
            <w:pPr>
              <w:spacing w:after="0"/>
              <w:rPr>
                <w:sz w:val="16"/>
                <w:szCs w:val="16"/>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8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3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0"/>
                <w:szCs w:val="20"/>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3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820" w:type="dxa"/>
            <w:vAlign w:val="bottom"/>
          </w:tcPr>
          <w:p>
            <w:pPr>
              <w:spacing w:after="0"/>
              <w:rPr>
                <w:sz w:val="20"/>
                <w:szCs w:val="20"/>
                <w:color w:val="auto"/>
              </w:rPr>
            </w:pP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$1,312,000 through June 30, 2024.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9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the condensed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the estimated future cash flows resulted in an effective annual imputed interest rate of approximately 5.6%.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w:t>
            </w:r>
          </w:p>
        </w:tc>
      </w:tr>
      <w:tr>
        <w:trPr>
          <w:trHeight w:val="187"/>
        </w:trPr>
        <w:tc>
          <w:tcPr>
            <w:tcW w:w="43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100" w:type="dxa"/>
            <w:vAlign w:val="bottom"/>
          </w:tcPr>
          <w:p>
            <w:pPr>
              <w:spacing w:after="0"/>
              <w:rPr>
                <w:sz w:val="16"/>
                <w:szCs w:val="16"/>
                <w:color w:val="auto"/>
              </w:rPr>
            </w:pPr>
          </w:p>
        </w:tc>
      </w:tr>
      <w:tr>
        <w:trPr>
          <w:trHeight w:val="236"/>
        </w:trPr>
        <w:tc>
          <w:tcPr>
            <w:tcW w:w="43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4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194,505</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payable to purchaser</w:t>
            </w: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(9,796 )</w:t>
            </w:r>
          </w:p>
        </w:tc>
      </w:tr>
      <w:tr>
        <w:trPr>
          <w:trHeight w:val="247"/>
        </w:trPr>
        <w:tc>
          <w:tcPr>
            <w:tcW w:w="4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on royalty sale liability</w:t>
            </w:r>
          </w:p>
        </w:tc>
        <w:tc>
          <w:tcPr>
            <w:tcW w:w="4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(19,120 )</w:t>
            </w:r>
          </w:p>
        </w:tc>
      </w:tr>
      <w:tr>
        <w:trPr>
          <w:trHeight w:val="24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w:t>
            </w:r>
          </w:p>
        </w:tc>
        <w:tc>
          <w:tcPr>
            <w:tcW w:w="4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00" w:type="dxa"/>
            <w:vAlign w:val="bottom"/>
          </w:tcPr>
          <w:p>
            <w:pPr>
              <w:spacing w:after="0"/>
              <w:rPr>
                <w:sz w:val="21"/>
                <w:szCs w:val="21"/>
                <w:color w:val="auto"/>
              </w:rPr>
            </w:pPr>
          </w:p>
        </w:tc>
      </w:tr>
      <w:tr>
        <w:trPr>
          <w:trHeight w:val="27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4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174,184</w:t>
            </w:r>
          </w:p>
        </w:tc>
        <w:tc>
          <w:tcPr>
            <w:tcW w:w="100" w:type="dxa"/>
            <w:vAlign w:val="bottom"/>
            <w:shd w:val="clear" w:color="auto" w:fill="CFF0FC"/>
          </w:tcPr>
          <w:p>
            <w:pPr>
              <w:spacing w:after="0"/>
              <w:rPr>
                <w:sz w:val="24"/>
                <w:szCs w:val="24"/>
                <w:color w:val="auto"/>
              </w:rPr>
            </w:pPr>
          </w:p>
        </w:tc>
      </w:tr>
      <w:tr>
        <w:trPr>
          <w:trHeight w:val="629"/>
        </w:trPr>
        <w:tc>
          <w:tcPr>
            <w:tcW w:w="4360" w:type="dxa"/>
            <w:vAlign w:val="bottom"/>
            <w:tcBorders>
              <w:top w:val="single" w:sz="8" w:color="CFF0FC"/>
            </w:tcBorders>
          </w:tcPr>
          <w:p>
            <w:pPr>
              <w:spacing w:after="0"/>
              <w:rPr>
                <w:sz w:val="24"/>
                <w:szCs w:val="24"/>
                <w:color w:val="auto"/>
              </w:rPr>
            </w:pPr>
          </w:p>
        </w:tc>
        <w:tc>
          <w:tcPr>
            <w:tcW w:w="4060" w:type="dxa"/>
            <w:vAlign w:val="bottom"/>
            <w:tcBorders>
              <w:top w:val="single" w:sz="8" w:color="CFF0FC"/>
            </w:tcBorders>
          </w:tcPr>
          <w:p>
            <w:pPr>
              <w:jc w:val="right"/>
              <w:ind w:right="26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1 Nonconvertible Preferred Stock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30, 2024, 1,930 shares of Series 1 nonconvertible preferred stock were issued and outstanding. The outstanding shares are financial instruments that might require a transfer of assets because of the liquidation features in the contract and are carried at fair value as a liability on the Company’s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Awards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March 2023 and March 2024, and its 2024 Inducement Stock Incentive Plan, which was adopted by the Board of Directors in April 2024 for awards to new employees. The Company also has outstanding stock option awards under its 2012 Equity Incentive Plan (the “2012 Plan”) but is no longer granting awards under this plan.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3"/>
                <w:szCs w:val="13"/>
                <w:color w:val="auto"/>
              </w:rPr>
            </w:pPr>
          </w:p>
        </w:tc>
        <w:tc>
          <w:tcPr>
            <w:tcW w:w="106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4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40" w:type="dxa"/>
            <w:vAlign w:val="bottom"/>
          </w:tcPr>
          <w:p>
            <w:pPr>
              <w:spacing w:after="0"/>
              <w:rPr>
                <w:sz w:val="12"/>
                <w:szCs w:val="12"/>
                <w:color w:val="auto"/>
              </w:rPr>
            </w:pPr>
          </w:p>
        </w:tc>
        <w:tc>
          <w:tcPr>
            <w:tcW w:w="106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(477 )</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June 30, 2024</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6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-496570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-479425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June 30,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00" w:type="dxa"/>
            <w:vAlign w:val="bottom"/>
          </w:tcPr>
          <w:p>
            <w:pPr>
              <w:spacing w:after="0"/>
              <w:rPr>
                <w:sz w:val="12"/>
                <w:szCs w:val="12"/>
                <w:color w:val="auto"/>
              </w:rPr>
            </w:pPr>
          </w:p>
        </w:tc>
        <w:tc>
          <w:tcPr>
            <w:tcW w:w="16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260" w:type="dxa"/>
            <w:vAlign w:val="bottom"/>
            <w:tcBorders>
              <w:top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8"/>
              </w:rPr>
              <w:t>(25 )</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(19 )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June 30, 2024</w:t>
            </w:r>
          </w:p>
        </w:tc>
        <w:tc>
          <w:tcPr>
            <w:tcW w:w="1260" w:type="dxa"/>
            <w:vAlign w:val="bottom"/>
            <w:tcBorders>
              <w:top w:val="single" w:sz="8" w:color="auto"/>
              <w:bottom w:val="single" w:sz="8" w:color="auto"/>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0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608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-916305</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-899160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-899160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year-to-date period ending June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72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87"/>
        </w:trPr>
        <w:tc>
          <w:tcPr>
            <w:tcW w:w="6740" w:type="dxa"/>
            <w:vAlign w:val="bottom"/>
          </w:tcPr>
          <w:p>
            <w:pPr>
              <w:spacing w:after="0"/>
              <w:rPr>
                <w:sz w:val="16"/>
                <w:szCs w:val="16"/>
                <w:color w:val="auto"/>
              </w:rPr>
            </w:pPr>
          </w:p>
        </w:tc>
        <w:tc>
          <w:tcPr>
            <w:tcW w:w="17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6740" w:type="dxa"/>
            <w:vAlign w:val="bottom"/>
          </w:tcPr>
          <w:p>
            <w:pPr>
              <w:spacing w:after="0"/>
              <w:rPr>
                <w:sz w:val="14"/>
                <w:szCs w:val="14"/>
                <w:color w:val="auto"/>
              </w:rPr>
            </w:pPr>
          </w:p>
        </w:tc>
        <w:tc>
          <w:tcPr>
            <w:tcW w:w="1720" w:type="dxa"/>
            <w:vAlign w:val="bottom"/>
            <w:tcBorders>
              <w:top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7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3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June 30, 2024</w:t>
            </w:r>
          </w:p>
        </w:tc>
        <w:tc>
          <w:tcPr>
            <w:tcW w:w="172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June 30, 2024 and 2023, the Company recognized the following stock-based compensation expense: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80" w:type="dxa"/>
            <w:vAlign w:val="bottom"/>
          </w:tcPr>
          <w:p>
            <w:pPr>
              <w:spacing w:after="0"/>
              <w:rPr>
                <w:sz w:val="16"/>
                <w:szCs w:val="16"/>
                <w:color w:val="auto"/>
              </w:rPr>
            </w:pPr>
          </w:p>
        </w:tc>
        <w:tc>
          <w:tcPr>
            <w:tcW w:w="26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83"/>
        </w:trPr>
        <w:tc>
          <w:tcPr>
            <w:tcW w:w="4880" w:type="dxa"/>
            <w:vAlign w:val="bottom"/>
          </w:tcPr>
          <w:p>
            <w:pPr>
              <w:spacing w:after="0"/>
              <w:rPr>
                <w:sz w:val="15"/>
                <w:szCs w:val="15"/>
                <w:color w:val="auto"/>
              </w:rPr>
            </w:pPr>
          </w:p>
        </w:tc>
        <w:tc>
          <w:tcPr>
            <w:tcW w:w="9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shd w:val="clear" w:color="auto" w:fill="CFF0FC"/>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100" w:type="dxa"/>
            <w:vAlign w:val="bottom"/>
          </w:tcPr>
          <w:p>
            <w:pPr>
              <w:spacing w:after="0"/>
              <w:rPr>
                <w:sz w:val="21"/>
                <w:szCs w:val="21"/>
                <w:color w:val="auto"/>
              </w:rPr>
            </w:pPr>
          </w:p>
        </w:tc>
      </w:tr>
      <w:tr>
        <w:trPr>
          <w:trHeight w:val="272"/>
        </w:trPr>
        <w:tc>
          <w:tcPr>
            <w:tcW w:w="48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565"/>
        </w:trPr>
        <w:tc>
          <w:tcPr>
            <w:tcW w:w="4880" w:type="dxa"/>
            <w:vAlign w:val="bottom"/>
          </w:tcPr>
          <w:p>
            <w:pPr>
              <w:spacing w:after="0"/>
              <w:rPr>
                <w:sz w:val="24"/>
                <w:szCs w:val="24"/>
                <w:color w:val="auto"/>
              </w:rPr>
            </w:pPr>
          </w:p>
        </w:tc>
        <w:tc>
          <w:tcPr>
            <w:tcW w:w="26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83"/>
        </w:trPr>
        <w:tc>
          <w:tcPr>
            <w:tcW w:w="4880" w:type="dxa"/>
            <w:vAlign w:val="bottom"/>
          </w:tcPr>
          <w:p>
            <w:pPr>
              <w:spacing w:after="0"/>
              <w:rPr>
                <w:sz w:val="15"/>
                <w:szCs w:val="15"/>
                <w:color w:val="auto"/>
              </w:rPr>
            </w:pPr>
          </w:p>
        </w:tc>
        <w:tc>
          <w:tcPr>
            <w:tcW w:w="9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69"/>
        </w:trPr>
        <w:tc>
          <w:tcPr>
            <w:tcW w:w="4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12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100" w:type="dxa"/>
            <w:vAlign w:val="bottom"/>
            <w:shd w:val="clear" w:color="auto" w:fill="CFF0FC"/>
          </w:tcPr>
          <w:p>
            <w:pPr>
              <w:spacing w:after="0"/>
              <w:rPr>
                <w:sz w:val="21"/>
                <w:szCs w:val="21"/>
                <w:color w:val="auto"/>
              </w:rPr>
            </w:pPr>
          </w:p>
        </w:tc>
      </w:tr>
      <w:tr>
        <w:trPr>
          <w:trHeight w:val="23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0"/>
                <w:szCs w:val="20"/>
                <w:color w:val="auto"/>
              </w:rPr>
            </w:pP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rTSRUs</w:t>
            </w: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FF0FC"/>
          </w:tcPr>
          <w:p>
            <w:pPr>
              <w:spacing w:after="0"/>
              <w:rPr>
                <w:sz w:val="21"/>
                <w:szCs w:val="2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1"/>
                <w:szCs w:val="21"/>
                <w:color w:val="auto"/>
              </w:rPr>
            </w:pPr>
          </w:p>
        </w:tc>
      </w:tr>
      <w:tr>
        <w:trPr>
          <w:trHeight w:val="272"/>
        </w:trPr>
        <w:tc>
          <w:tcPr>
            <w:tcW w:w="48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4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19,077</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-1447800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-1431290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-1447800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-1431290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-1447800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-1431290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2024 and 2023,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an aggregate of $40,045 of unrecognized stock-based compensation cost, which is expected to be recognized over a weighted average period of 2.1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June 30, 2024, the Company recorded an income tax benefit of $395 and $1,380, respectively, due to interest recorded on a pending federal income tax refund as compared to income tax expense of $4,221 and $4,231 during the three and nine months ended June 30, 2023, due to $200,000 received in April 2023 from the royalty sale agreement with OMERS which was taxable for federal and state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material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spacing w:after="0" w:line="245"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On May 28, 2024, the Company and Pfizer each filed motions for summary judgment and a hearing on the motions was held on July 31, 2024. The timing for a ruling on each of the motions for summary judgment is currently uncertain. The Company records all legal expenses associated with the patent infringement suit as incurred in the condensed consolidated statements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June 30,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laboratory and office space under various non-cancelable operating leases.</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May 2022, the Company entered into a new ten-year lease agreement with its existing landlord for laboratory and office space in Watertown, Massachusetts, adjacent to its 400 Talcott Avenue premises. The new laboratory and office space is located at Arsenal on the Charles in Watertown, Massachusetts at 4 Kingsbury Avenue. Construction of the facility shell was completed by the landlord and the Company gained access to the building to construct tenant improvements during the three months ended March 31, 2024. The estimated minimum lease payments for the 4 Kingsbury Avenue facility total $76,470 over the ten-year term. The lease also contains a tenant improvement allowance of $15,205. The Company recorded a right-of-use asset of $32,499 and lease liability of $31,939 upon commencement of the lease during the three months ended March 31, 2024.</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conjunction with the new lease agreement at 4 Kingsbury Avenue, the Company amended its 500 Arsenal Street lease to shorten the term of the lease from September 2027 to the date the 4 Kingsbury Avenue facility is ready for the Company’s occupancy which is expected to be by the end of November 2024. The Company remeasured the lease term and remaining lease payments for the 500 Arsenal Street facility during the three months ended March 31, 2024 when the Company gained access to the 4 Kingsbury Avenue building. The Company recorded an adjustment to the right-of-use asset and lease liability for 500 Arsenal Street of $9,322 during the three months ended March 31, 2024.</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non-cash change arising from the new 4 Kingsbury Avenue lease, net of the remeasurement of the 500 Arsenal lease liability totaled $22,617 during the nine months ended June 30, 2024.</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Future annual minimum facility and equipment lease payments, net of the tenant improvement allowance under the Company’s 4 Kingsbury Avenue lease, as of June 30, 2024, are as follows: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46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514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(33,786 )</w:t>
            </w: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4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(10,985 )</w:t>
            </w:r>
          </w:p>
        </w:tc>
        <w:tc>
          <w:tcPr>
            <w:tcW w:w="0" w:type="dxa"/>
            <w:vAlign w:val="bottom"/>
          </w:tcPr>
          <w:p>
            <w:pPr>
              <w:spacing w:after="0"/>
              <w:rPr>
                <w:sz w:val="1"/>
                <w:szCs w:val="1"/>
                <w:color w:val="auto"/>
              </w:rPr>
            </w:pPr>
          </w:p>
        </w:tc>
      </w:tr>
      <w:tr>
        <w:trPr>
          <w:trHeight w:val="241"/>
        </w:trPr>
        <w:tc>
          <w:tcPr>
            <w:tcW w:w="4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20" w:type="dxa"/>
            <w:vAlign w:val="bottom"/>
            <w:tcBorders>
              <w:top w:val="single" w:sz="8" w:color="CFF0FC"/>
            </w:tcBorders>
            <w:gridSpan w:val="2"/>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6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2023 included in our Annual Report on Form 10-K for that fiscal year, which is referred to as our 2023 Form 10-K. Please refer to our note regarding forward-looking statements on page 2 of this Form 10-Q, which is incorporated herein by this reference.</w:t>
      </w:r>
    </w:p>
    <w:p>
      <w:pPr>
        <w:spacing w:after="0" w:line="7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with an emphasis on virology and immunology indications.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The ongoing royalties from our AbbVie collaboration, combined with the proceeds from our 2023 royalty sale transaction, have provided us funding to support our wholly-owned research and development programs primarily focused on the following disease targets: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jc w:val="both"/>
        <w:ind w:left="1020" w:right="3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ind w:left="1020" w:right="4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(CSU) is a severely debilitating, chronic inflammatory skin disease with no identified triggers. Clinical manifestations include hives, angioedema, or both. Patients with CSU also experience symptoms beyond the skin manifestations, including sleep disturbances, fatigue, irritability, anxiety and depression. The estimated global prevalence is between 0.5% – 1% of the population, which means that at any given time in the U.S. alone approximately 1.75-3.5 million people are experiencing this condition. Standard of care treatment for CSU is antihistamines, however in approximately half the patients, symptom alleviation is not adequate. There is a substantial unmet need for an efficacious oral agent as only a minority of these uncontrolled cases are treated with one indicated biologic (&lt;28%).</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2024, we had $272.6 million in cash, cash equivalents and short-term and long-term marketable securities. We expect that our existing cash, cash equivalents, short-term and long-term marketable securities, as well as the cash flows from our retained portion of future HCV royalties will enable us to fund our operating expenses and capital expenditure requirements through the third quarter of fiscal 2027.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 Our virology programs have been focused on RSV, SARS-CoV-2 and HBV and our immunology program is focused on oral inhibitors of the receptor tyrosine kinase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ind w:right="360"/>
        <w:spacing w:after="0" w:line="282" w:lineRule="auto"/>
        <w:rPr>
          <w:sz w:val="20"/>
          <w:szCs w:val="20"/>
          <w:color w:val="auto"/>
        </w:rPr>
      </w:pPr>
      <w:r>
        <w:rPr>
          <w:rFonts w:ascii="Times New Roman" w:cs="Times New Roman" w:eastAsia="Times New Roman" w:hAnsi="Times New Roman"/>
          <w:sz w:val="18"/>
          <w:szCs w:val="18"/>
          <w:color w:val="auto"/>
        </w:rPr>
        <w:t>known as KIT for the treatment of CSU, and potentially other mast-cell-driven diseases. The programs currently in active development are in RSV and CSU.</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 Programs:</w:t>
      </w:r>
    </w:p>
    <w:p>
      <w:pPr>
        <w:spacing w:after="0" w:line="119" w:lineRule="exact"/>
        <w:rPr>
          <w:sz w:val="20"/>
          <w:szCs w:val="20"/>
          <w:color w:val="auto"/>
        </w:rPr>
      </w:pPr>
    </w:p>
    <w:p>
      <w:pPr>
        <w:ind w:left="1020" w:right="100" w:hanging="503"/>
        <w:spacing w:after="0" w:line="256" w:lineRule="auto"/>
        <w:tabs>
          <w:tab w:leader="none" w:pos="102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RSV:</w:t>
      </w:r>
      <w:r>
        <w:rPr>
          <w:rFonts w:ascii="Times New Roman" w:cs="Times New Roman" w:eastAsia="Times New Roman" w:hAnsi="Times New Roman"/>
          <w:sz w:val="18"/>
          <w:szCs w:val="18"/>
          <w:color w:val="auto"/>
        </w:rPr>
        <w:t xml:space="preserve"> We have two clinical stage programs for RSV – zelicapavir (formerly EDP-938) and EDP-323. Both of these compounds are replication inhibitors that work by shutting down replication and the production of new virions, as opposed to the other mechanism in development of fusion inhibition that only blocks viral entry. Zelicapivir, which has Fast Track designation from the U.S. Food and Drug Administration, or FDA, is a potent inhibitor of the RSV N-protein being studied in two ongoing Phase 2 studies, each in a different patient population. EDP-323, which also has a Fast Track designation from the FDA is an inhibitor of the RSV L-protein that is currently in a Phase 2 challenge study.</w:t>
      </w:r>
    </w:p>
    <w:p>
      <w:pPr>
        <w:spacing w:after="0" w:line="293" w:lineRule="exact"/>
        <w:rPr>
          <w:sz w:val="20"/>
          <w:szCs w:val="20"/>
          <w:color w:val="auto"/>
        </w:rPr>
      </w:pPr>
    </w:p>
    <w:p>
      <w:pPr>
        <w:ind w:left="1800" w:hanging="384"/>
        <w:spacing w:after="0" w:line="253" w:lineRule="auto"/>
        <w:tabs>
          <w:tab w:leader="none" w:pos="1800" w:val="left"/>
        </w:tabs>
        <w:numPr>
          <w:ilvl w:val="1"/>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Zelicapavir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studied zelicapavir in two Phase 2 studies that were designed to be proof-of-concept and exploratory studies to understand the viral response in the context of RSV infection. With these studies, zelicapavir has demonstrated a favorable safety profile, consistent with that observed in over 500 subjects exposed to zelicapavir to date. These studies were conducted in otherwise healthy young adults (not at high-risk for serious outcomes with RSV) infected with RSV. The first study was a challenge study, in which healthy adults were infected with RSV in a clinical setting and statistically significant effects on viral load and symptoms were observed. The second study, known as RSVP, was in an otherwise healthy young adult outpatient population with community-acquired RSV infection and showed that this population resolves quickly from infection and is not in need of treatment.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 the following ongoing clinical studies, including pediatric patients and high-risk adults, all of which have significant unmet need:</w:t>
      </w:r>
    </w:p>
    <w:p>
      <w:pPr>
        <w:spacing w:after="0" w:line="81" w:lineRule="exact"/>
        <w:rPr>
          <w:rFonts w:ascii="Times New Roman" w:cs="Times New Roman" w:eastAsia="Times New Roman" w:hAnsi="Times New Roman"/>
          <w:sz w:val="18"/>
          <w:szCs w:val="18"/>
          <w:u w:val="single" w:color="auto"/>
          <w:color w:val="auto"/>
        </w:rPr>
      </w:pPr>
    </w:p>
    <w:p>
      <w:pPr>
        <w:ind w:left="2540" w:right="140" w:hanging="375"/>
        <w:spacing w:after="0" w:line="258" w:lineRule="auto"/>
        <w:tabs>
          <w:tab w:leader="none" w:pos="2540" w:val="left"/>
        </w:tabs>
        <w:numPr>
          <w:ilvl w:val="2"/>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RSVPEDs: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RSVPEDs is a Phase 2 study in approximately 90 pediatric patients, aged &gt;28 days to &lt;36 months.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dose-ranging, randomized, double-blind, placebo-controlled study, is evaluating multiple ascending doses for five days in two age cohorts to determine safety, tolerability, and pharmacokinetics, as well as a second part evaluating antiviral activity at the selected dose. In August 2024, we announced completion of enrollment of the RSVPEDs study. We anticipate reporting topline data in the fourth quarter of calendar 2024.</w:t>
      </w:r>
    </w:p>
    <w:p>
      <w:pPr>
        <w:spacing w:after="0" w:line="75" w:lineRule="exact"/>
        <w:rPr>
          <w:rFonts w:ascii="Times New Roman" w:cs="Times New Roman" w:eastAsia="Times New Roman" w:hAnsi="Times New Roman"/>
          <w:sz w:val="18"/>
          <w:szCs w:val="18"/>
          <w:u w:val="single" w:color="auto"/>
          <w:color w:val="auto"/>
        </w:rPr>
      </w:pPr>
    </w:p>
    <w:p>
      <w:pPr>
        <w:ind w:left="2540" w:right="220" w:hanging="375"/>
        <w:spacing w:after="0" w:line="258" w:lineRule="auto"/>
        <w:tabs>
          <w:tab w:leader="none" w:pos="2540" w:val="left"/>
        </w:tabs>
        <w:numPr>
          <w:ilvl w:val="2"/>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RSVHR: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RSVHR is a Phase 2b study in high-risk adults, including those who are older than 65 years of age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have asthma, chronic obstructive pulmonary disease, or COPD, or congestive heart failure. Approximately 180 patients will be treated with zelicapavir or placebo for five days with a primary endpoint of time to resolution of RSV lower respiratory tract disease symptoms. Enrollment is progressing and the Company is targeting enrollment completion in the upcoming Northern Hemisphere RSV season.</w:t>
      </w:r>
    </w:p>
    <w:p>
      <w:pPr>
        <w:spacing w:after="0" w:line="75" w:lineRule="exact"/>
        <w:rPr>
          <w:rFonts w:ascii="Times New Roman" w:cs="Times New Roman" w:eastAsia="Times New Roman" w:hAnsi="Times New Roman"/>
          <w:sz w:val="18"/>
          <w:szCs w:val="18"/>
          <w:u w:val="single" w:color="auto"/>
          <w:color w:val="auto"/>
        </w:rPr>
      </w:pPr>
    </w:p>
    <w:p>
      <w:pPr>
        <w:ind w:left="1800" w:right="20" w:hanging="384"/>
        <w:spacing w:after="0" w:line="254" w:lineRule="auto"/>
        <w:tabs>
          <w:tab w:leader="none" w:pos="1800" w:val="left"/>
        </w:tabs>
        <w:numPr>
          <w:ilvl w:val="1"/>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selectively 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June 2023, we completed a Phase 1 clinical study and reported positive topline results, which demonstrated that EDP-323 was safe and well-tolerated with pharmacokinetics supportive of once-daily dosing and target exposures achieved with no food effect. Based on these positive data, we initiated a Phase 2a challenge study of EDP-323 in the fourth quarter of calendar 2023. We completed our Phase 2a challenge study and are on track to announce topline data in late third quarter of calendar 2024.</w:t>
      </w:r>
    </w:p>
    <w:p>
      <w:pPr>
        <w:spacing w:after="0" w:line="79" w:lineRule="exact"/>
        <w:rPr>
          <w:rFonts w:ascii="Times New Roman" w:cs="Times New Roman" w:eastAsia="Times New Roman" w:hAnsi="Times New Roman"/>
          <w:sz w:val="18"/>
          <w:szCs w:val="18"/>
          <w:u w:val="single" w:color="auto"/>
          <w:color w:val="auto"/>
        </w:rPr>
      </w:pPr>
    </w:p>
    <w:p>
      <w:pPr>
        <w:ind w:left="1040" w:right="80" w:hanging="377"/>
        <w:spacing w:after="0" w:line="256" w:lineRule="auto"/>
        <w:tabs>
          <w:tab w:leader="none" w:pos="1040" w:val="left"/>
        </w:tabs>
        <w:numPr>
          <w:ilvl w:val="0"/>
          <w:numId w:val="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xml:space="preserve"> We leveraged our expertise in developing protease inhibitors to discover compounds specifically designed to target the SARS-CoV-2 virus and 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 A robust treatment effect and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left="1040"/>
        <w:spacing w:after="0" w:line="248" w:lineRule="auto"/>
        <w:rPr>
          <w:sz w:val="20"/>
          <w:szCs w:val="20"/>
          <w:color w:val="auto"/>
        </w:rPr>
      </w:pPr>
      <w:r>
        <w:rPr>
          <w:rFonts w:ascii="Times New Roman" w:cs="Times New Roman" w:eastAsia="Times New Roman" w:hAnsi="Times New Roman"/>
          <w:sz w:val="18"/>
          <w:szCs w:val="18"/>
          <w:color w:val="auto"/>
        </w:rPr>
        <w:t>prevention of transmission was observed in a ferret model. A Phase 1 study demonstrated EDP-235 was generally safe and well-tolerated in doses up to 400 mg for seven days, adverse events were infrequent and mild, and pharmacokinetics were supportive of once-daily dosing without ritonavir and without regard to food and achieved target exposure levels of up to 13-fold over the plasma protein-adjusted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In May 2023, we reported topline results from a Phase 2 clinical trial of EDP-235 in non-hospitalized, symptomatic patients with mild to moderate COVID-19 who were not at increased risk for developing severe disease.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 points, starting as early as one day after the first dose. An analysis of a subset of six symptoms showed a two-day shorter time (5 days to 3 days)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 We will continue to focus on potential collaborations to progress EDP-235, as we will not advance this candidate into Phase 3 studies on our own.</w:t>
      </w:r>
    </w:p>
    <w:p>
      <w:pPr>
        <w:spacing w:after="0" w:line="93" w:lineRule="exact"/>
        <w:rPr>
          <w:sz w:val="20"/>
          <w:szCs w:val="20"/>
          <w:color w:val="auto"/>
        </w:rPr>
      </w:pPr>
    </w:p>
    <w:p>
      <w:pPr>
        <w:ind w:left="1040" w:right="60" w:hanging="373"/>
        <w:spacing w:after="0" w:line="255" w:lineRule="auto"/>
        <w:tabs>
          <w:tab w:leader="none" w:pos="1040"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HBV:</w:t>
      </w:r>
      <w:r>
        <w:rPr>
          <w:rFonts w:ascii="Times New Roman" w:cs="Times New Roman" w:eastAsia="Times New Roman" w:hAnsi="Times New Roman"/>
          <w:sz w:val="18"/>
          <w:szCs w:val="18"/>
          <w:color w:val="auto"/>
        </w:rPr>
        <w:t xml:space="preserve"> Our lead clinical candidate for the treatment of chronic infection with hepatitis B virus, or HBV, is EDP-514, a core inhibitor that displays potent anti-HBV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at multiple points in the HBV lifecycle. Our goal has been to develop a combination therapy approach, including existing approved treatments such as a nucleoside reverse transcriptase inhibitor, or NUC, with EDP-514 and one or more other mechanisms, which could lead to a functional cure for patients with chronic HBV infection. Final data from two Phase 1b studies of EDP-514 demonstrate the compound is safe with strong antiviral activity in two different chronic HBV patient populations – those who have a high viral load and those who are on a treatment with a nucleoside reverse transcriptase inhibitor. Advancement of this program is dependent upon our accessing another compound that could be developed with EDP-514 for such a treatment regimen.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 Program:</w:t>
      </w:r>
    </w:p>
    <w:p>
      <w:pPr>
        <w:spacing w:after="0" w:line="119" w:lineRule="exact"/>
        <w:rPr>
          <w:sz w:val="20"/>
          <w:szCs w:val="20"/>
          <w:color w:val="auto"/>
        </w:rPr>
      </w:pPr>
    </w:p>
    <w:p>
      <w:pPr>
        <w:ind w:left="1040" w:right="60" w:hanging="373"/>
        <w:spacing w:after="0" w:line="256" w:lineRule="auto"/>
        <w:tabs>
          <w:tab w:leader="none" w:pos="1040" w:val="left"/>
        </w:tabs>
        <w:numPr>
          <w:ilvl w:val="0"/>
          <w:numId w:val="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KIT:</w:t>
      </w:r>
      <w:r>
        <w:rPr>
          <w:rFonts w:ascii="Times New Roman" w:cs="Times New Roman" w:eastAsia="Times New Roman" w:hAnsi="Times New Roman"/>
          <w:sz w:val="18"/>
          <w:szCs w:val="18"/>
          <w:color w:val="auto"/>
        </w:rPr>
        <w:t xml:space="preserve"> We have a discovery stage program to develop KIT inhibitors to treat CSU and potentially other indications by depleting mast cells, thereby addressing a primary driver of these diseases. We have discovered novel, potent and selective oral inhibitors of KIT, which are now being optimized in preclinical development. Our prototype inhibitors demonstrate potent nanomolar activity in both binding and cellular function assays and are highly selective for KIT versus other kinases. These inhibitors also demonstrate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properties. We are continuing to evaluate multiple compounds in preclinical studies, including toxicology studies. Our goal is to select a lead development candidate in calendar Q4 2024.</w:t>
      </w:r>
    </w:p>
    <w:p>
      <w:pPr>
        <w:spacing w:after="0" w:line="79" w:lineRule="exact"/>
        <w:rPr>
          <w:rFonts w:ascii="Times New Roman" w:cs="Times New Roman" w:eastAsia="Times New Roman" w:hAnsi="Times New Roman"/>
          <w:sz w:val="18"/>
          <w:szCs w:val="18"/>
          <w:u w:val="single" w:color="auto"/>
          <w:color w:val="auto"/>
        </w:rPr>
      </w:pPr>
    </w:p>
    <w:p>
      <w:pPr>
        <w:ind w:left="1040" w:hanging="37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expand our presence in immunology with the introduction of a second program in the fourth quarter of calendar 2024.</w:t>
      </w:r>
    </w:p>
    <w:p>
      <w:pPr>
        <w:spacing w:after="0" w:line="11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172200" cy="28975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condensed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two Phase 2 studies for zelicapavir and a Phase 2 challenge study of EDP-323. We are also conducting preclinical discovery research efforts in other disease areas.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will not conduct any further development of EDP-235 into Phase 3 studies and we have made important adjustments to reduce our spending significantly in 2024.</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 $200.0 million payment received in April 2023 from our royalty sale agreement, and our existing cash, cash equivalents,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short-term and long-term marketable securities. We believe that our existing cash, cash equivalents and short-term and long-term marketable securities, as well as the cash flows from our retained portion of future HCV royalties will enable us to fund our operating expenses and capital expenditure requirements through the third quarter of fiscal 2027.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 During the first quarter of fiscal 2023, we also generated $1.0 million of license revenue from an upfront payment related to a license agreement for one of the antibacterial compounds we are no longer developing.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and nine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169"/>
        </w:trPr>
        <w:tc>
          <w:tcPr>
            <w:tcW w:w="53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100" w:type="dxa"/>
            <w:vAlign w:val="bottom"/>
          </w:tcPr>
          <w:p>
            <w:pPr>
              <w:spacing w:after="0"/>
              <w:rPr>
                <w:sz w:val="20"/>
                <w:szCs w:val="20"/>
                <w:color w:val="auto"/>
              </w:rPr>
            </w:pPr>
          </w:p>
        </w:tc>
      </w:tr>
      <w:tr>
        <w:trPr>
          <w:trHeight w:val="247"/>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60,272</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To date, we have not identified any significant impact of inflation on spending in research and development, but it is uncertain whether there will be inflationary impacts in future periods.</w:t>
      </w:r>
    </w:p>
    <w:p>
      <w:pPr>
        <w:spacing w:after="0" w:line="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80"/>
        <w:spacing w:after="0" w:line="256" w:lineRule="auto"/>
        <w:rPr>
          <w:sz w:val="20"/>
          <w:szCs w:val="20"/>
          <w:color w:val="auto"/>
        </w:rPr>
      </w:pPr>
      <w:r>
        <w:rPr>
          <w:rFonts w:ascii="Times New Roman" w:cs="Times New Roman" w:eastAsia="Times New Roman" w:hAnsi="Times New Roman"/>
          <w:sz w:val="18"/>
          <w:szCs w:val="18"/>
          <w:color w:val="auto"/>
        </w:rPr>
        <w:t>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Income tax benefit (expense)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73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center"/>
              <w:ind w:right="9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42,987</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Pr>
          <w:p>
            <w:pPr>
              <w:spacing w:after="0"/>
              <w:rPr>
                <w:sz w:val="20"/>
                <w:szCs w:val="20"/>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(2,355 )</w:t>
            </w:r>
          </w:p>
        </w:tc>
        <w:tc>
          <w:tcPr>
            <w:tcW w:w="1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(1,997 )</w:t>
            </w: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(4,221 )</w:t>
            </w:r>
          </w:p>
        </w:tc>
      </w:tr>
      <w:tr>
        <w:trPr>
          <w:trHeight w:val="20"/>
        </w:trPr>
        <w:tc>
          <w:tcPr>
            <w:tcW w:w="7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(22,658 )</w:t>
            </w:r>
          </w:p>
        </w:tc>
        <w:tc>
          <w:tcPr>
            <w:tcW w:w="1160" w:type="dxa"/>
            <w:vAlign w:val="bottom"/>
            <w:shd w:val="clear" w:color="auto" w:fill="CFF0FC"/>
          </w:tcPr>
          <w:p>
            <w:pPr>
              <w:jc w:val="center"/>
              <w:ind w:right="9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(39,065 )</w:t>
            </w: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recognized revenue of $18.0 million during the three months ended June 30, 2024 as compared to $18.9 million during the three months ended June 30, 2023. The $0.9 million decrease in revenue was primarily due to AbbVie’s lower reported HCV sales as compared to the comparable period in 2023.</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center"/>
              <w:ind w:right="773"/>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RSV</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17,935</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center"/>
              <w:ind w:right="9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COVID-19</w:t>
            </w:r>
          </w:p>
        </w:tc>
        <w:tc>
          <w:tcPr>
            <w:tcW w:w="1180" w:type="dxa"/>
            <w:vAlign w:val="bottom"/>
          </w:tcPr>
          <w:p>
            <w:pPr>
              <w:spacing w:after="0"/>
              <w:rPr>
                <w:sz w:val="20"/>
                <w:szCs w:val="20"/>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(112 )</w:t>
            </w:r>
          </w:p>
        </w:tc>
        <w:tc>
          <w:tcPr>
            <w:tcW w:w="1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Pr>
          <w:p>
            <w:pPr>
              <w:spacing w:after="0"/>
              <w:rPr>
                <w:sz w:val="20"/>
                <w:szCs w:val="20"/>
                <w:color w:val="auto"/>
              </w:rPr>
            </w:pPr>
          </w:p>
        </w:tc>
      </w:tr>
      <w:tr>
        <w:trPr>
          <w:trHeight w:val="247"/>
        </w:trPr>
        <w:tc>
          <w:tcPr>
            <w:tcW w:w="7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HBV</w:t>
            </w:r>
          </w:p>
        </w:tc>
        <w:tc>
          <w:tcPr>
            <w:tcW w:w="1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180" w:type="dxa"/>
            <w:vAlign w:val="bottom"/>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17,890</w:t>
            </w:r>
          </w:p>
        </w:tc>
        <w:tc>
          <w:tcPr>
            <w:tcW w:w="200" w:type="dxa"/>
            <w:vAlign w:val="bottom"/>
          </w:tcPr>
          <w:p>
            <w:pPr>
              <w:spacing w:after="0"/>
              <w:rPr>
                <w:sz w:val="20"/>
                <w:szCs w:val="20"/>
                <w:color w:val="auto"/>
              </w:rPr>
            </w:pPr>
          </w:p>
        </w:tc>
        <w:tc>
          <w:tcPr>
            <w:tcW w:w="1200" w:type="dxa"/>
            <w:vAlign w:val="bottom"/>
          </w:tcPr>
          <w:p>
            <w:pPr>
              <w:jc w:val="center"/>
              <w:ind w:right="9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40,336</w:t>
            </w:r>
          </w:p>
        </w:tc>
        <w:tc>
          <w:tcPr>
            <w:tcW w:w="100" w:type="dxa"/>
            <w:vAlign w:val="bottom"/>
          </w:tcPr>
          <w:p>
            <w:pPr>
              <w:spacing w:after="0"/>
              <w:rPr>
                <w:sz w:val="20"/>
                <w:szCs w:val="20"/>
                <w:color w:val="auto"/>
              </w:rPr>
            </w:pPr>
          </w:p>
        </w:tc>
      </w:tr>
      <w:tr>
        <w:trPr>
          <w:trHeight w:val="24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CSU</w:t>
            </w: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7"/>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97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NASH</w:t>
            </w:r>
          </w:p>
        </w:tc>
        <w:tc>
          <w:tcPr>
            <w:tcW w:w="1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r>
      <w:tr>
        <w:trPr>
          <w:trHeight w:val="243"/>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Early discovery</w:t>
            </w: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Pr>
          <w:p>
            <w:pPr>
              <w:spacing w:after="0"/>
              <w:rPr>
                <w:sz w:val="21"/>
                <w:szCs w:val="21"/>
                <w:color w:val="auto"/>
              </w:rPr>
            </w:pPr>
          </w:p>
        </w:tc>
      </w:tr>
      <w:tr>
        <w:trPr>
          <w:trHeight w:val="237"/>
        </w:trPr>
        <w:tc>
          <w:tcPr>
            <w:tcW w:w="7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180" w:type="dxa"/>
            <w:vAlign w:val="bottom"/>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9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FF0FC"/>
          </w:tcPr>
          <w:p>
            <w:pPr>
              <w:spacing w:after="0"/>
              <w:rPr>
                <w:sz w:val="20"/>
                <w:szCs w:val="20"/>
                <w:color w:val="auto"/>
              </w:rPr>
            </w:pPr>
          </w:p>
        </w:tc>
      </w:tr>
      <w:tr>
        <w:trPr>
          <w:trHeight w:val="243"/>
        </w:trPr>
        <w:tc>
          <w:tcPr>
            <w:tcW w:w="728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2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center"/>
              <w:ind w:right="9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-1602105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2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three months ended June 30, 2024 decreased by $14.2 million compared to the same period in 2023.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costs in our virology program decreased $22.4 million primarily due to a decrease in costs associated with our COVID-19 program as we stopped further internal development and will only progress the program in the context of one or more collaborations.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programs increased by $5.8 million as this is a new therapeutic area of focus for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program costs increased by $2.4 million as we focused on early-stage drug discovery programs, offset by a decrease in costs for our NASH program as we continued to wind down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$0.8 million for the three months ended June 30, 2024 compared to the same period in 2023. The change was primarily due to an increase in legal expenses related to our patent infringement suit against Pfizer.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Interest expense increased $0.4 million for the three months ended June 30, 2024, as compared to the same period in 2023 due to interest expense and amortization of debt issuance costs associated with the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$0.4 million for the three months ended June 30, 2024, as compared to the same period in 2023. The decrease was due to lower cash and investment balances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we recorded an income tax benefit of $0.4 million representing interest recorded on a pending federal tax refund. The income tax expense during the three months ended June 30, 2023 was driven by the receipt of $200.0 million from the royalty sale agreement, which is taxable for federal and state purposes, partially offset by utilization of federal net operating losses and research and development tax credit carryforwards as well as a deduction for foreign derived intangible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June 30,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center"/>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59,272</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280" w:type="dxa"/>
            <w:vAlign w:val="bottom"/>
          </w:tcPr>
          <w:p>
            <w:pPr>
              <w:spacing w:after="0"/>
              <w:rPr>
                <w:sz w:val="20"/>
                <w:szCs w:val="20"/>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127,357</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44,167</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(8,359 )</w:t>
            </w:r>
          </w:p>
        </w:tc>
        <w:tc>
          <w:tcPr>
            <w:tcW w:w="8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(1,997 )</w:t>
            </w: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(4,231 )</w:t>
            </w:r>
          </w:p>
        </w:tc>
      </w:tr>
      <w:tr>
        <w:trPr>
          <w:trHeight w:val="20"/>
        </w:trPr>
        <w:tc>
          <w:tcPr>
            <w:tcW w:w="66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(87,222 )</w:t>
            </w:r>
          </w:p>
        </w:tc>
        <w:tc>
          <w:tcPr>
            <w:tcW w:w="8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(105,709 )</w:t>
            </w:r>
          </w:p>
        </w:tc>
      </w:tr>
      <w:tr>
        <w:trPr>
          <w:trHeight w:val="20"/>
        </w:trPr>
        <w:tc>
          <w:tcPr>
            <w:tcW w:w="6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-187960</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recognized revenue of $53.0 million during the nine months ended June 30, 2024 as compared to $59.3 million during the nine months ended June 30, 2023. The $6.2 million decrease in revenue was primarily due to AbbVie’s lower reported HCV sales as compared to the comparable period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center"/>
              <w:ind w:right="4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RSV</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67,936</w:t>
            </w:r>
          </w:p>
        </w:tc>
        <w:tc>
          <w:tcPr>
            <w:tcW w:w="1060" w:type="dxa"/>
            <w:vAlign w:val="bottom"/>
            <w:gridSpan w:val="2"/>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56,608</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COVID-19</w:t>
            </w:r>
          </w:p>
        </w:tc>
        <w:tc>
          <w:tcPr>
            <w:tcW w:w="1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58,218</w:t>
            </w:r>
          </w:p>
        </w:tc>
        <w:tc>
          <w:tcPr>
            <w:tcW w:w="100" w:type="dxa"/>
            <w:vAlign w:val="bottom"/>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HBV</w:t>
            </w:r>
          </w:p>
        </w:tc>
        <w:tc>
          <w:tcPr>
            <w:tcW w:w="12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72,046</w:t>
            </w:r>
          </w:p>
        </w:tc>
        <w:tc>
          <w:tcPr>
            <w:tcW w:w="106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120,478</w:t>
            </w:r>
          </w:p>
        </w:tc>
        <w:tc>
          <w:tcPr>
            <w:tcW w:w="100" w:type="dxa"/>
            <w:vAlign w:val="bottom"/>
          </w:tcPr>
          <w:p>
            <w:pPr>
              <w:spacing w:after="0"/>
              <w:rPr>
                <w:sz w:val="20"/>
                <w:szCs w:val="20"/>
                <w:color w:val="auto"/>
              </w:rPr>
            </w:pPr>
          </w:p>
        </w:tc>
      </w:tr>
      <w:tr>
        <w:trPr>
          <w:trHeight w:val="246"/>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CSU</w:t>
            </w: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060" w:type="dxa"/>
            <w:vAlign w:val="bottom"/>
            <w:gridSpan w:val="2"/>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NASH</w:t>
            </w:r>
          </w:p>
        </w:tc>
        <w:tc>
          <w:tcPr>
            <w:tcW w:w="1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Early discovery</w:t>
            </w: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14,261</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Pr>
          <w:p>
            <w:pPr>
              <w:spacing w:after="0"/>
              <w:rPr>
                <w:sz w:val="21"/>
                <w:szCs w:val="21"/>
                <w:color w:val="auto"/>
              </w:rPr>
            </w:pPr>
          </w:p>
        </w:tc>
      </w:tr>
      <w:tr>
        <w:trPr>
          <w:trHeight w:val="236"/>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60" w:type="dxa"/>
            <w:vAlign w:val="bottom"/>
            <w:gridSpan w:val="2"/>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shd w:val="clear" w:color="auto" w:fill="CFF0FC"/>
          </w:tcPr>
          <w:p>
            <w:pPr>
              <w:spacing w:after="0"/>
              <w:rPr>
                <w:sz w:val="20"/>
                <w:szCs w:val="20"/>
                <w:color w:val="auto"/>
              </w:rPr>
            </w:pPr>
          </w:p>
        </w:tc>
      </w:tr>
      <w:tr>
        <w:trPr>
          <w:trHeight w:val="243"/>
        </w:trPr>
        <w:tc>
          <w:tcPr>
            <w:tcW w:w="666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80" w:type="dxa"/>
            <w:vAlign w:val="bottom"/>
            <w:tcBorders>
              <w:bottom w:val="single" w:sz="8" w:color="auto"/>
            </w:tcBorders>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center"/>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-1602105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8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nine months ended June 30, 2024 decreased by $26.7 million compared to the same period in 2023.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costs in our virology program decreased $48.4 million primarily due to a decrease in costs associated with our COVID-19 program as we stopped further internal development and will only progress the program in the context of one or more collaborations. This decrease was offset by an increase in costs for our RSV clinical programs as we had two ongoing Phase 2 studies of zelicapavir and a challenge study initiated for EDP-323 in the nine months ended June 30, 2024. Costs associated with HBV decreased as we continued to wind down this program.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increased by $13.9 million as this is a new therapeutic area of focus for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program costs increased by $7.9 million as we focused on early-stage drug discovery programs, offset by a decrease in costs for our NASH program as we continued to wind down this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$5.1 million for the nine months ended June 30, 2024 compared to the same period in 2023. The change was primarily due to an increase in legal expenses related to our patent infringement suit against Pfizer.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expense increased $6.4 million for the nine months ended June 30, 2024 as compared to the same period in 2023 due to interest expense and amortization of debt issuance costs associated with the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and investment income, net, increased $4.9 million for the nine months ended June 30, 2024 as compared to the same period in 2023. The increase was due to an increase in average invested cash due to receipt of $200.0 million from OMERS in April 2023 as well as changes in interest rates year over year.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During the nine months ended June 30, 2024, we recorded an income tax benefit of $1.4 million driven by interest recorded on a pending federal tax refund. During the nine months ended June 30, 2023, we recorded income tax expense of $4.2 million driven by the receipt of $200.0 million from the royalty sale agreement, which is taxable for federal and state purposes, partially offset by utilization of federal net operating losses and research and development tax credit carryforwards as well as a deduction for foreign derived intangible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June 30, 2024, our principal sources of liquidity were cash and cash equivalents and short-term and long-term marketable securities of $272.6 million.</w:t>
      </w:r>
    </w:p>
    <w:p>
      <w:pPr>
        <w:sectPr>
          <w:pgSz w:w="11900" w:h="16838" w:orient="portrait"/>
          <w:cols w:equalWidth="0" w:num="1">
            <w:col w:w="11200"/>
          </w:cols>
          <w:pgMar w:left="320" w:top="1197" w:right="37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184"/>
        </w:trPr>
        <w:tc>
          <w:tcPr>
            <w:tcW w:w="40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58"/>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(68,364 )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(81,552 )</w:t>
            </w:r>
          </w:p>
        </w:tc>
      </w:tr>
      <w:tr>
        <w:trPr>
          <w:trHeight w:val="243"/>
        </w:trPr>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(65,414 )</w:t>
            </w:r>
          </w:p>
        </w:tc>
      </w:tr>
      <w:tr>
        <w:trPr>
          <w:trHeight w:val="250"/>
        </w:trPr>
        <w:tc>
          <w:tcPr>
            <w:tcW w:w="400" w:type="dxa"/>
            <w:vAlign w:val="bottom"/>
          </w:tcPr>
          <w:p>
            <w:pPr>
              <w:spacing w:after="0"/>
              <w:rPr>
                <w:sz w:val="21"/>
                <w:szCs w:val="21"/>
                <w:color w:val="auto"/>
              </w:rPr>
            </w:pPr>
          </w:p>
        </w:tc>
        <w:tc>
          <w:tcPr>
            <w:tcW w:w="15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(20,411 )</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198,149</w:t>
            </w:r>
          </w:p>
        </w:tc>
        <w:tc>
          <w:tcPr>
            <w:tcW w:w="60" w:type="dxa"/>
            <w:vAlign w:val="bottom"/>
          </w:tcPr>
          <w:p>
            <w:pPr>
              <w:spacing w:after="0"/>
              <w:rPr>
                <w:sz w:val="21"/>
                <w:szCs w:val="21"/>
                <w:color w:val="auto"/>
              </w:rPr>
            </w:pPr>
          </w:p>
        </w:tc>
      </w:tr>
      <w:tr>
        <w:trPr>
          <w:trHeight w:val="239"/>
        </w:trPr>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51,183</w:t>
            </w:r>
          </w:p>
        </w:tc>
        <w:tc>
          <w:tcPr>
            <w:tcW w:w="60" w:type="dxa"/>
            <w:vAlign w:val="bottom"/>
          </w:tcPr>
          <w:p>
            <w:pPr>
              <w:spacing w:after="0"/>
              <w:rPr>
                <w:sz w:val="20"/>
                <w:szCs w:val="20"/>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40"/>
          </w:cols>
          <w:pgMar w:left="320" w:top="1197" w:right="37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was $68.4 million for the nine months ended June 30, 2024 as compared to cash used in operating activities of $81.6 million for the same period in 2023. Our cash used in operating activities decreased $13.2 million primarily due to lower research and development payments, offset by lower cash receipts associated with our AbbVie agreement as we now only retain 45.5% of cash royalties following the royalty sale agreement with OMERS.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$39.2 million for the nine months ended June 30, 2024 as compared to cash used in investing activities of $65.4 million for the same period in 2023. Our cash provided by investing activities increased $104.6 million, driven by the timing of purchases, sales and maturities of marketable securities in 2024 compared to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$20.4 million for the nine months ended June 30, 2024 as compared to cash provided by financing activities of $198.1 million for the same period in 2023. Our cash provided by financing activities decreased $218.6 million, driven primarily by the timing of receipt of $200.0 million from OMERS for our royalty sale agreement executed in April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2024, we had $272.6 million in cash, cash equivalents and short-term and long-term marketable securities. We believe that our existing cash, cash equivalents and short-term and long-term marketable securities as of June 30, 2024, as well as the cash flows from our retained portion of future HCV royalties will enable us to fund our operating expenses and capital expenditure requirements through the third quarter of fiscal 2027.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We currently lease space in Watertown, Massachusetts, under two separate lease agreements with one landlord and entered into a third lease agreement with the same landlord in May 2022 to lease additional laboratory and office space located at a to-be-constructed facility at Arsenal on the Charles in Watertown, Massachusetts.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first lease for office and laboratory space at 500 Arsenal Street was to expire on September 1, 2027. In May 2022, we entered into a new ten-year lease for laboratory and office space in Watertown, Massachusetts, adjacent to our 400 Talcott Avenue premises at Arsenal on the Charles at 4 Kingsbury Avenue.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quarter, we adjusted our 500 Arsenal Street lease liability to shorten the expiration date from September 2027 to the date the Kingsbury Avenue facility is ready for our occupancy which is expected to be by the end of November 2024. This resulted in a decrease in the lease liability and right-of-use asset on our consolidated balance sheets by approximately $9 million.</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$8.2 million in 2025, $8.5 million in 2026, $8.7 million in 2027, $9.0 million in 2028 and $59.2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condensed consolidated balance sheets as a liability which will be reduced by the payments made to OMERS over the term of the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2023 Form 10-K for </w:t>
      </w:r>
      <w:r>
        <w:rPr>
          <w:rFonts w:ascii="Times New Roman" w:cs="Times New Roman" w:eastAsia="Times New Roman" w:hAnsi="Times New Roman"/>
          <w:sz w:val="18"/>
          <w:szCs w:val="18"/>
          <w:color w:val="212529"/>
        </w:rPr>
        <w:t>information about our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accounting policies as well as a description of our other significant accounting policies</w:t>
      </w:r>
      <w:r>
        <w:rPr>
          <w:rFonts w:ascii="Times New Roman" w:cs="Times New Roman" w:eastAsia="Times New Roman" w:hAnsi="Times New Roman"/>
          <w:sz w:val="18"/>
          <w:szCs w:val="18"/>
          <w:color w:val="000000"/>
        </w:rPr>
        <w:t>. There have been no significant changes to our critical accounting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policies since the beginning of this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condensed consolidated financial statements included in this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2024, there were no material changes to our market risk disclosures as set forth in Part II, Item 7A “Quantitative and Qualitative Disclosures About Market Risk” in our Annual Report on Form 10-K for the fiscal year ended September 30,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2024 that have materially affected, or are reasonably likely to materially affect, our internal control over financial reporting.</w:t>
      </w:r>
    </w:p>
    <w:p>
      <w:pPr>
        <w:spacing w:after="0" w:line="54"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For the fiscal year ending September 30, 2024, we will be a non-accelerated filer under the Exchange Act and not required to comply with the auditor attestation requirements of Section 404(b) of the Sarbanes-Oxley Act of 2002. Therefore, our annual report will not include an attestation report of our registered public accounting firm regarding the assessment of internal control over financial reporting. We will continue to maintain our internal control environment and management will continue to attest to its effectiveness.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12 of the Notes to the Unaudited Condensed Consolidated Financial Statements contained in Part I, Item 1 of this Quarterly Report on Form 10-Q, which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2023 Form 10-K and our Quarterly Report for the period ended December 31, 2023.</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such risk factors during the quarter ended June 30, 2024. Other events that we do not currently anticipate or that we currently deem immaterial may also affect our business, prospects, financial condition and results of operations.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June 30, 2024, the following officers (as defined in Rule 16a-1(f) under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the Company adopted a “Rule 10b5-1 trading arrangement” as that term is defined in Item 408(a) of Regulation S-K, all of which were entered into during an open trading window in accordance with the Company’s Securities Trading Policy and all of which were intended to satisfy Rule 10b5-1(c):</w:t>
      </w:r>
    </w:p>
    <w:p>
      <w:pPr>
        <w:spacing w:after="0" w:line="67" w:lineRule="exact"/>
        <w:rPr>
          <w:sz w:val="20"/>
          <w:szCs w:val="20"/>
          <w:color w:val="auto"/>
        </w:rPr>
      </w:pPr>
    </w:p>
    <w:p>
      <w:pPr>
        <w:ind w:left="1020" w:right="6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Jay R. Luly, Ph.D., our President, Chief Executive Officer and Director, adopted a Rule 10b5-1 trading plan providing for the sale of up to 140,250 shares of common stock vested under outstanding stock options, which are set to expire on November 20, 2024, so long as the market price of our common stock is higher than certain minimum threshold prices specified in the plan in various periods between September 16, 2024 and May 30, 2025, or such earlier date as all authorized sales under the plan are completed;</w:t>
      </w:r>
    </w:p>
    <w:p>
      <w:pPr>
        <w:spacing w:after="0" w:line="7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2024, Paul J. Mellett, our Chief Financial and Administrative Officer, adopted a Rule 10b5-1 trading plan providing for the sale of up to 46,250 shares of our common stock, including shares vested under outstanding stock</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ind w:left="1020" w:right="200"/>
        <w:spacing w:after="0" w:line="266" w:lineRule="auto"/>
        <w:rPr>
          <w:sz w:val="20"/>
          <w:szCs w:val="20"/>
          <w:color w:val="auto"/>
        </w:rPr>
      </w:pPr>
      <w:r>
        <w:rPr>
          <w:rFonts w:ascii="Times New Roman" w:cs="Times New Roman" w:eastAsia="Times New Roman" w:hAnsi="Times New Roman"/>
          <w:sz w:val="18"/>
          <w:szCs w:val="18"/>
          <w:color w:val="auto"/>
        </w:rPr>
        <w:t>options, which are set to expire on November 20, 2024, as well as shares vested under certain performance stock units and restricted stock units, so long as the market price of our common stock is higher than certain minimum threshold prices specified in the plan in various periods between September 16, 2024 and May 30, 2025, or such earlier date as all authorized sales under the plan are completed;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set forth above, no director or officer (as defined in Rule 16a-1(f) under the Exchange Act)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3"/>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rFonts w:ascii="Times New Roman" w:cs="Times New Roman" w:eastAsia="Times New Roman" w:hAnsi="Times New Roman"/>
                <w:sz w:val="18"/>
                <w:szCs w:val="18"/>
                <w:color w:val="auto"/>
              </w:rPr>
            </w:pPr>
            <w:hyperlink r:id="rId266">
              <w:r>
                <w:rPr>
                  <w:rFonts w:ascii="Times New Roman" w:cs="Times New Roman" w:eastAsia="Times New Roman" w:hAnsi="Times New Roman"/>
                  <w:sz w:val="18"/>
                  <w:szCs w:val="18"/>
                  <w:color w:val="auto"/>
                </w:rPr>
                <w:t>Restated Certificate of Incorporation of Enanta Pharmaceuticals, Inc.</w:t>
              </w:r>
            </w:hyperlink>
          </w:p>
        </w:tc>
        <w:tc>
          <w:tcPr>
            <w:tcW w:w="0" w:type="dxa"/>
            <w:vAlign w:val="bottom"/>
          </w:tcPr>
          <w:p>
            <w:pPr>
              <w:spacing w:after="0"/>
              <w:rPr>
                <w:sz w:val="1"/>
                <w:szCs w:val="1"/>
                <w:color w:val="auto"/>
              </w:rPr>
            </w:pPr>
          </w:p>
        </w:tc>
      </w:tr>
      <w:tr>
        <w:trPr>
          <w:trHeight w:val="68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auto"/>
              </w:rPr>
            </w:pPr>
            <w:hyperlink r:id="rId267">
              <w:r>
                <w:rPr>
                  <w:rFonts w:ascii="Times New Roman" w:cs="Times New Roman" w:eastAsia="Times New Roman" w:hAnsi="Times New Roman"/>
                  <w:sz w:val="18"/>
                  <w:szCs w:val="18"/>
                  <w:color w:val="auto"/>
                </w:rPr>
                <w:t>Amended and Restated Bylaws of Enanta Pharmaceuticals, Inc. (as</w:t>
              </w:r>
            </w:hyperlink>
          </w:p>
        </w:tc>
        <w:tc>
          <w:tcPr>
            <w:tcW w:w="80" w:type="dxa"/>
            <w:vAlign w:val="bottom"/>
            <w:tcBorders>
              <w:top w:val="single" w:sz="8" w:color="0000EE"/>
            </w:tcBorders>
          </w:tcPr>
          <w:p>
            <w:pPr>
              <w:spacing w:after="0"/>
              <w:rPr>
                <w:sz w:val="24"/>
                <w:szCs w:val="24"/>
                <w:color w:val="auto"/>
              </w:rPr>
            </w:pP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3"/>
          </w:tcPr>
          <w:p>
            <w:pPr>
              <w:spacing w:after="0" w:line="196" w:lineRule="exact"/>
              <w:rPr>
                <w:rFonts w:ascii="Times New Roman" w:cs="Times New Roman" w:eastAsia="Times New Roman" w:hAnsi="Times New Roman"/>
                <w:sz w:val="18"/>
                <w:szCs w:val="18"/>
                <w:color w:val="auto"/>
              </w:rPr>
            </w:pPr>
            <w:hyperlink r:id="rId267">
              <w:r>
                <w:rPr>
                  <w:rFonts w:ascii="Times New Roman" w:cs="Times New Roman" w:eastAsia="Times New Roman" w:hAnsi="Times New Roman"/>
                  <w:sz w:val="18"/>
                  <w:szCs w:val="18"/>
                  <w:color w:val="auto"/>
                </w:rPr>
                <w:t>amended and restated in August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2024 Inducement Stock Incentive Plan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or 15d-14(a) of the Securities Exchange Act of 1934.</w:t>
            </w:r>
          </w:p>
        </w:tc>
        <w:tc>
          <w:tcPr>
            <w:tcW w:w="20" w:type="dxa"/>
            <w:vAlign w:val="bottom"/>
            <w:tcBorders>
              <w:bottom w:val="single" w:sz="8" w:color="0000EE"/>
            </w:tcBorders>
          </w:tcPr>
          <w:p>
            <w:pPr>
              <w:spacing w:after="0"/>
              <w:rPr>
                <w:sz w:val="17"/>
                <w:szCs w:val="17"/>
                <w:color w:val="auto"/>
              </w:rPr>
            </w:pPr>
          </w:p>
        </w:tc>
        <w:tc>
          <w:tcPr>
            <w:tcW w:w="1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5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906 of the Sarbanes-Oxley Act of 2002.</w:t>
            </w:r>
          </w:p>
        </w:tc>
        <w:tc>
          <w:tcPr>
            <w:tcW w:w="16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8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46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1100" w:right="440" w:hanging="1018"/>
        <w:spacing w:after="0" w:line="266"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as Inline XBRL with applicable Taxonomy Extension information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1"/>
                <w:szCs w:val="11"/>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1"/>
                <w:szCs w:val="11"/>
                <w:color w:val="auto"/>
              </w:rPr>
            </w:pPr>
          </w:p>
        </w:tc>
        <w:tc>
          <w:tcPr>
            <w:tcW w:w="90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1"/>
                <w:szCs w:val="11"/>
                <w:color w:val="auto"/>
              </w:rPr>
            </w:pPr>
          </w:p>
        </w:tc>
        <w:tc>
          <w:tcPr>
            <w:tcW w:w="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File</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5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05/08/2024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279217</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0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0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91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98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30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7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2024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3"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Jay R. Luly, Ph.D.</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ind w:left="20"/>
        <w:spacing w:after="0"/>
        <w:tabs>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Dated: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Paul J. Mellett</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04"/>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66" Type="http://schemas.openxmlformats.org/officeDocument/2006/relationships/hyperlink" Target="https://www.sec.gov/Archives/edgar/data/1177648/000119312513132679/d511662dex31.htm" TargetMode="External"/><Relationship Id="rId267" Type="http://schemas.openxmlformats.org/officeDocument/2006/relationships/hyperlink" Target="https://www.sec.gov/Archives/edgar/data/1177648/000119312515294582/d95810dex32.htm" TargetMode="External"/><Relationship Id="rId268" Type="http://schemas.openxmlformats.org/officeDocument/2006/relationships/hyperlink" Target="https://www.sec.gov/Archives/edgar/data/1177648/000119312524134274/d825189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2024-08-07T15:12:23Z</dcterms:created>
  <dcterms:modified xsi:type="dcterms:W3CDTF">2024-08-07T15:12:23Z</dcterms:modified>
</cp:coreProperties>
</file>