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0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right="18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571" w:right="279" w:bottom="1440" w:gutter="0" w:footer="0" w:header="0"/>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57" w:lineRule="exact"/>
        <w:tabs>
          <w:tab w:leader="none" w:pos="5520" w:val="left"/>
          <w:tab w:leader="none" w:pos="7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Unicode MS" w:cs="Arial Unicode MS" w:eastAsia="Arial Unicode MS" w:hAnsi="Arial Unicode MS"/>
          <w:sz w:val="18"/>
          <w:szCs w:val="18"/>
          <w:color w:val="auto"/>
        </w:rPr>
        <w:t>☒</w:t>
      </w:r>
    </w:p>
    <w:p>
      <w:pPr>
        <w:spacing w:after="0" w:line="233" w:lineRule="exact"/>
        <w:tabs>
          <w:tab w:leader="none" w:pos="5520" w:val="left"/>
          <w:tab w:leader="none" w:pos="7980" w:val="left"/>
        </w:tabs>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(Do not check if a small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2">
            <w:col w:w="2220" w:space="720"/>
            <w:col w:w="8440"/>
          </w:cols>
          <w:pgMar w:left="240" w:top="571" w:right="279" w:bottom="1440" w:gutter="0" w:footer="0" w:header="0"/>
          <w:type w:val="continuous"/>
        </w:sectPr>
      </w:pPr>
    </w:p>
    <w:p>
      <w:pPr>
        <w:spacing w:after="0" w:line="9" w:lineRule="exact"/>
        <w:rPr>
          <w:sz w:val="24"/>
          <w:szCs w:val="24"/>
          <w:color w:val="auto"/>
        </w:rPr>
      </w:pPr>
    </w:p>
    <w:p>
      <w:pPr>
        <w:ind w:left="20"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520" w:right="1340"/>
        <w:spacing w:after="0" w:line="29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August 1, 2017, the registrant had 19,090,383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477520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7"/>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Financial Statements</w:t>
              </w:r>
            </w:hyperlink>
          </w:p>
        </w:tc>
        <w:tc>
          <w:tcPr>
            <w:tcW w:w="760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Balance Sheets</w:t>
              </w:r>
            </w:hyperlink>
          </w:p>
        </w:tc>
        <w:tc>
          <w:tcPr>
            <w:tcW w:w="72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6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0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Cash Flows</w:t>
              </w:r>
            </w:hyperlink>
          </w:p>
        </w:tc>
        <w:tc>
          <w:tcPr>
            <w:tcW w:w="644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Notes to Consolidated Financial Statements</w:t>
              </w:r>
            </w:hyperlink>
          </w:p>
        </w:tc>
        <w:tc>
          <w:tcPr>
            <w:tcW w:w="616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0" w:type="dxa"/>
            <w:vAlign w:val="bottom"/>
          </w:tcPr>
          <w:p>
            <w:pPr>
              <w:spacing w:after="0"/>
              <w:rPr>
                <w:sz w:val="17"/>
                <w:szCs w:val="17"/>
                <w:color w:val="auto"/>
              </w:rPr>
            </w:pPr>
          </w:p>
        </w:tc>
        <w:tc>
          <w:tcPr>
            <w:tcW w:w="6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0" w:type="dxa"/>
            <w:vAlign w:val="bottom"/>
          </w:tcPr>
          <w:p>
            <w:pPr>
              <w:spacing w:after="0"/>
              <w:rPr>
                <w:sz w:val="17"/>
                <w:szCs w:val="17"/>
                <w:color w:val="auto"/>
              </w:rPr>
            </w:pPr>
          </w:p>
        </w:tc>
        <w:tc>
          <w:tcPr>
            <w:tcW w:w="1006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60" w:type="dxa"/>
            <w:vAlign w:val="bottom"/>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6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Exhibit Index</w:t>
              </w:r>
            </w:hyperlink>
          </w:p>
        </w:tc>
        <w:tc>
          <w:tcPr>
            <w:tcW w:w="1006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669"/>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13"/>
          </w:tcPr>
          <w:p>
            <w:pPr>
              <w:jc w:val="right"/>
              <w:ind w:right="24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193,507</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19"/>
                <w:szCs w:val="19"/>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275,837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Common stock; $0.01 par value per share, 100,000 shares authorized; 19,090 and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19,036 shares issued and outstanding at June 30, 2017 and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September 30, 2016, respectively</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242,081</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27,646</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260,866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275,837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7,511</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13,978</w:t>
            </w:r>
          </w:p>
        </w:tc>
        <w:tc>
          <w:tcPr>
            <w:tcW w:w="18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26,887</w:t>
            </w:r>
          </w:p>
        </w:tc>
        <w:tc>
          <w:tcPr>
            <w:tcW w:w="180" w:type="dxa"/>
            <w:vAlign w:val="bottom"/>
          </w:tcPr>
          <w:p>
            <w:pPr>
              <w:spacing w:after="0"/>
              <w:rPr>
                <w:sz w:val="19"/>
                <w:szCs w:val="19"/>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5,233</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(0.99)</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(0.99)</w:t>
            </w:r>
          </w:p>
        </w:tc>
        <w:tc>
          <w:tcPr>
            <w:tcW w:w="4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23,468</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Net unrealized gains (losses) on marketable securities, net of tax of ($17),</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$185, ($93), $50</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0"/>
                <w:szCs w:val="20"/>
                <w:color w:val="auto"/>
              </w:rPr>
            </w:pPr>
          </w:p>
        </w:tc>
      </w:tr>
      <w:tr>
        <w:trPr>
          <w:trHeight w:val="223"/>
        </w:trPr>
        <w:tc>
          <w:tcPr>
            <w:tcW w:w="5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(18,798)</w:t>
            </w: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23,468</w:t>
            </w:r>
          </w:p>
        </w:tc>
        <w:tc>
          <w:tcPr>
            <w:tcW w:w="120" w:type="dxa"/>
            <w:vAlign w:val="bottom"/>
          </w:tcPr>
          <w:p>
            <w:pPr>
              <w:spacing w:after="0"/>
              <w:rPr>
                <w:sz w:val="19"/>
                <w:szCs w:val="19"/>
                <w:color w:val="auto"/>
              </w:rPr>
            </w:pPr>
          </w:p>
        </w:tc>
      </w:tr>
      <w:tr>
        <w:trPr>
          <w:trHeight w:val="215"/>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(used in) operating</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7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6,844</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benefit from exercise of stock options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(1,749)</w:t>
            </w: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Premium on marketable securities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premium on marketable securities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r>
      <w:tr>
        <w:trPr>
          <w:trHeight w:val="215"/>
        </w:trPr>
        <w:tc>
          <w:tcPr>
            <w:tcW w:w="7160" w:type="dxa"/>
            <w:vAlign w:val="bottom"/>
          </w:tcPr>
          <w:p>
            <w:pPr>
              <w:ind w:left="50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60" w:type="dxa"/>
            <w:vAlign w:val="bottom"/>
          </w:tcPr>
          <w:p>
            <w:pPr>
              <w:ind w:left="640"/>
              <w:spacing w:after="0"/>
              <w:rPr>
                <w:sz w:val="20"/>
                <w:szCs w:val="20"/>
                <w:color w:val="auto"/>
              </w:rPr>
            </w:pPr>
            <w:r>
              <w:rPr>
                <w:rFonts w:ascii="Arial" w:cs="Arial" w:eastAsia="Arial" w:hAnsi="Arial"/>
                <w:sz w:val="18"/>
                <w:szCs w:val="18"/>
                <w:color w:val="auto"/>
              </w:rPr>
              <w:t>preferred stock</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Unbilled receivables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 payable</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37,935</w:t>
            </w:r>
          </w:p>
        </w:tc>
        <w:tc>
          <w:tcPr>
            <w:tcW w:w="120" w:type="dxa"/>
            <w:vAlign w:val="bottom"/>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(4,323)</w:t>
            </w: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(186,222)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(150,490)</w:t>
            </w: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and sales of marketable securities</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117,297</w:t>
            </w:r>
          </w:p>
        </w:tc>
        <w:tc>
          <w:tcPr>
            <w:tcW w:w="120" w:type="dxa"/>
            <w:vAlign w:val="bottom"/>
            <w:shd w:val="clear" w:color="auto" w:fill="CFF0FC"/>
          </w:tcPr>
          <w:p>
            <w:pPr>
              <w:spacing w:after="0"/>
              <w:rPr>
                <w:sz w:val="19"/>
                <w:szCs w:val="19"/>
                <w:color w:val="auto"/>
              </w:rPr>
            </w:pPr>
          </w:p>
        </w:tc>
      </w:tr>
      <w:tr>
        <w:trPr>
          <w:trHeight w:val="22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(37,516)</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capital lease obligations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Payments of withholding tax for share-based awards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from exercise of stock options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FF0FC"/>
          </w:tcPr>
          <w:p>
            <w:pPr>
              <w:spacing w:after="0"/>
              <w:rPr>
                <w:sz w:val="19"/>
                <w:szCs w:val="19"/>
                <w:color w:val="auto"/>
              </w:rPr>
            </w:pPr>
          </w:p>
        </w:tc>
      </w:tr>
      <w:tr>
        <w:trPr>
          <w:trHeight w:val="223"/>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FF0FC"/>
          </w:tcPr>
          <w:p>
            <w:pPr>
              <w:spacing w:after="0"/>
              <w:rPr>
                <w:sz w:val="19"/>
                <w:szCs w:val="19"/>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21,726</w:t>
            </w:r>
          </w:p>
        </w:tc>
        <w:tc>
          <w:tcPr>
            <w:tcW w:w="120" w:type="dxa"/>
            <w:vAlign w:val="bottom"/>
            <w:tcBorders>
              <w:bottom w:val="single" w:sz="8" w:color="CFF0FC"/>
            </w:tcBorders>
          </w:tcPr>
          <w:p>
            <w:pPr>
              <w:spacing w:after="0"/>
              <w:rPr>
                <w:sz w:val="19"/>
                <w:szCs w:val="19"/>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24,789</w:t>
            </w:r>
          </w:p>
        </w:tc>
        <w:tc>
          <w:tcPr>
            <w:tcW w:w="120" w:type="dxa"/>
            <w:vAlign w:val="bottom"/>
            <w:shd w:val="clear" w:color="auto" w:fill="CFF0FC"/>
          </w:tcPr>
          <w:p>
            <w:pPr>
              <w:spacing w:after="0"/>
              <w:rPr>
                <w:sz w:val="19"/>
                <w:szCs w:val="19"/>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paid for income taxes</w:t>
            </w: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9,116</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Company’s success to date has been built on protease inhibitors discovered for the treatment of hepatitis C virus, or (“HCV”), which are licensed to AbbVie Inc. (“AbbVie”) and included in its HCV treatment regimens. The Company’s research and development programs are currently focused primarily on the following disease areas: hepatitis B virus (“HBV”); non-alcoholic steatohepatitis (“NASH”); primary biliary cholangitis (“PBC”); and respiratory syncytial virus (“RSV”).</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consolidated balance sheet at September 30, 2016 was derived from audited financial statements, but does not include all disclosures required by accounting principles generally accepted in the United States of America (“GAAP”). The accompanying unaudited consolidated financial statements as of June 30, 2017 and for the nine months ended June 30, 2017 and 2016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2016.</w:t>
      </w:r>
    </w:p>
    <w:p>
      <w:pPr>
        <w:spacing w:after="0" w:line="18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opinion of management, all adjustments, consisting of normal recurring adjustments necessary for a fair statement of the Company’s financial position as of June 30, 2017 and results of operations for the three and nine months ended June 30, 2017 and 2016 and cash flows for the nine months ended June 30, 2017 and 2016, have been made. The results of operations for the nine months ended June 30, 2017 are not necessarily indicative of the results of operations that may be expected for subsequent quarters or the year ending September 30, 2017.</w:t>
      </w:r>
    </w:p>
    <w:p>
      <w:pPr>
        <w:spacing w:after="0" w:line="187" w:lineRule="exact"/>
        <w:rPr>
          <w:sz w:val="20"/>
          <w:szCs w:val="20"/>
          <w:color w:val="auto"/>
        </w:rPr>
      </w:pPr>
    </w:p>
    <w:p>
      <w:pPr>
        <w:jc w:val="both"/>
        <w:ind w:right="70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2016. There were no significant changes to the Company’s Significant Accounting Policies during the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August 2014, the Financial Accounting Standards Board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(“ASU 2014-15”), which requires management to assess a company’s ability to continue as a going concern and to provide related footnote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in certain circumstances. This amendment will be effective for the Company for fiscal year ended September 30, 2017. The Company does not expect the adoption of ASU 2014-15 to have an impact on the Company’s consolidated financial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will be effective for the Company in the fiscal year beginning October 1, 2017. Once adopted, the Company expects to change its policy over forfeitures by recording forfeitures as they occur. The Company is currently evaluating the impact of this change to retained earnings in the consolidated balance sheets. In addition, the adoption of the standard is expected to create variability in the consolidated statements of operations going forward as the tax consequences of settled share-based payments will be recognized in income tax (expense) benefit when share-based payment awards are settled.</w:t>
      </w:r>
    </w:p>
    <w:p>
      <w:pPr>
        <w:spacing w:after="0" w:line="1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an 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These new standards will be effective for the Company beginning October 1, 2018. The Company is currently evaluating the potential impact that Topic 606 may have on its financial position and results of operations.</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The Company is currently evaluating the potential impact that ASU 2016-18 may have on its statement of cash flows.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(“ASU 2017-09”) which provides updated guidance about changes to the terms or conditions of a share-based payment award that require companies to apply modification accounting under Topic 718. This amendment is effective for the Company in the fiscal year beginning October 1, 2019, but early adoption is permissible. The Company is currently evaluating the potential impact that ASU 2017-09 may have on its financial position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June 30, 2017 and September 30, 2016 and indicate the fair value hierarchy of the valuation inputs utilized to determine such fair value:</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9"/>
          </w:tcPr>
          <w:p>
            <w:pPr>
              <w:jc w:val="right"/>
              <w:ind w:right="125"/>
              <w:spacing w:after="0"/>
              <w:rPr>
                <w:sz w:val="20"/>
                <w:szCs w:val="20"/>
                <w:color w:val="auto"/>
              </w:rPr>
            </w:pPr>
            <w:r>
              <w:rPr>
                <w:rFonts w:ascii="Arial" w:cs="Arial" w:eastAsia="Arial" w:hAnsi="Arial"/>
                <w:sz w:val="14"/>
                <w:szCs w:val="14"/>
                <w:b w:val="1"/>
                <w:bCs w:val="1"/>
                <w:color w:val="auto"/>
              </w:rPr>
              <w:t>Fair Value Measurements at June 30, 2017 Using:</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63,897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119,203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Agency bonds</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70,999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149,176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September 30, 2016 Using:</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69,608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Agency bonds</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84,903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primarily of money market funds and debt securities with less than a 90 day maturity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2017 and 2016, there were no transfers between Level 1, Level 2 and Level 3.</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June 30, 2017 and September 30, 2016, the Company’s warrant liability was comprised of the value of warrants for the purchase of its Series 1 nonconvertible preferred stock. These warrants are financial instruments that may require a transfer of assets because of the liquidation features and are therefore recorded as liabilities and measured at fair value. The outstanding Series 1 nonconvertible preferred stock was also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Changes in the fair value of the warrant liability and Series 1 nonconvertible preferred stock are recognized in other income (expense), net in the consolidated statements of operations.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Unobservable Input</w:t>
            </w:r>
          </w:p>
        </w:tc>
        <w:tc>
          <w:tcPr>
            <w:tcW w:w="164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b w:val="1"/>
                <w:bCs w:val="1"/>
                <w:color w:val="auto"/>
              </w:rPr>
              <w:t>June 30,</w:t>
            </w:r>
          </w:p>
        </w:tc>
        <w:tc>
          <w:tcPr>
            <w:tcW w:w="112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2"/>
            <w:vMerge w:val="continue"/>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Warrant liability and Series 1</w:t>
            </w:r>
          </w:p>
        </w:tc>
        <w:tc>
          <w:tcPr>
            <w:tcW w:w="300" w:type="dxa"/>
            <w:vAlign w:val="bottom"/>
            <w:tcBorders>
              <w:top w:val="single" w:sz="8" w:color="CFF0FC"/>
            </w:tcBorders>
            <w:shd w:val="clear" w:color="auto" w:fill="CFF0FC"/>
          </w:tcPr>
          <w:p>
            <w:pPr>
              <w:spacing w:after="0"/>
              <w:rPr>
                <w:sz w:val="17"/>
                <w:szCs w:val="17"/>
                <w:color w:val="auto"/>
              </w:rPr>
            </w:pPr>
          </w:p>
        </w:tc>
        <w:tc>
          <w:tcPr>
            <w:tcW w:w="324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color w:val="auto"/>
              </w:rPr>
              <w:t>Probabilities of payout</w:t>
            </w:r>
          </w:p>
        </w:tc>
        <w:tc>
          <w:tcPr>
            <w:tcW w:w="180" w:type="dxa"/>
            <w:vAlign w:val="bottom"/>
            <w:tcBorders>
              <w:top w:val="single" w:sz="8" w:color="CFF0FC"/>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1"/>
              </w:rPr>
              <w:t>0%-60%</w:t>
            </w:r>
          </w:p>
        </w:tc>
        <w:tc>
          <w:tcPr>
            <w:tcW w:w="26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0%-60%</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nonconvertible preferred</w:t>
            </w:r>
          </w:p>
        </w:tc>
        <w:tc>
          <w:tcPr>
            <w:tcW w:w="300" w:type="dxa"/>
            <w:vAlign w:val="bottom"/>
            <w:shd w:val="clear" w:color="auto" w:fill="CFF0FC"/>
          </w:tcPr>
          <w:p>
            <w:pPr>
              <w:spacing w:after="0"/>
              <w:rPr>
                <w:sz w:val="18"/>
                <w:szCs w:val="18"/>
                <w:color w:val="auto"/>
              </w:rPr>
            </w:pPr>
          </w:p>
        </w:tc>
        <w:tc>
          <w:tcPr>
            <w:tcW w:w="3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stock</w:t>
            </w:r>
          </w:p>
        </w:tc>
        <w:tc>
          <w:tcPr>
            <w:tcW w:w="300" w:type="dxa"/>
            <w:vAlign w:val="bottom"/>
            <w:shd w:val="clear" w:color="auto" w:fill="CFF0FC"/>
          </w:tcPr>
          <w:p>
            <w:pPr>
              <w:spacing w:after="0"/>
              <w:rPr>
                <w:sz w:val="20"/>
                <w:szCs w:val="20"/>
                <w:color w:val="auto"/>
              </w:rPr>
            </w:pPr>
          </w:p>
        </w:tc>
        <w:tc>
          <w:tcPr>
            <w:tcW w:w="3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720" w:type="dxa"/>
            <w:vAlign w:val="bottom"/>
            <w:gridSpan w:val="3"/>
          </w:tcPr>
          <w:p>
            <w:pPr>
              <w:ind w:left="300"/>
              <w:spacing w:after="0"/>
              <w:rPr>
                <w:sz w:val="20"/>
                <w:szCs w:val="20"/>
                <w:color w:val="auto"/>
              </w:rPr>
            </w:pPr>
            <w:r>
              <w:rPr>
                <w:rFonts w:ascii="Arial" w:cs="Arial" w:eastAsia="Arial" w:hAnsi="Arial"/>
                <w:sz w:val="18"/>
                <w:szCs w:val="18"/>
                <w:color w:val="auto"/>
                <w:w w:val="95"/>
              </w:rPr>
              <w:t>Periods in which payout is expected to occur</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2017-2018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37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Warrant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2016</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in fair value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June 30, 2017</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and September 30, 2016,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119,298</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Treasury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64,010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Agency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4,008</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76,077</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Treasury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69,579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Agency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30,040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June 30, 2017, marketable securities consisted of short-term marketable securities, which are investments that mature within one year, and long-term marketable securities, which consist of certain U.S. Treasury notes and corporate bonds that have maturities of more than one year but not more than three years and an aggregate fair value of $43,321.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June 30, 2017 and September 30, 2016:</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2,024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2,002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0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5,634</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rent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retirement obligation</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2,394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100" w:firstLine="8"/>
        <w:spacing w:after="0" w:line="378" w:lineRule="auto"/>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commercialize HCV NS3 and NS3/4A protease inhibitor compounds, including paritaprevir and glecaprevir (ABT-493), under which the Company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received license payments, proceeds from a sale of preferred stock, research funding payments, milestone payments and royalties totaling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$427,000 through June 30, 2017. Since the Company completed all its performance obligations under the AbbVie Agreement by the end of fiscal 2011,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received since then have been and will be recognized as revenue when the milestones are achieved by AbbVie. As of June 30,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is eligible to receive additional milestone payments of up to a total of $80,000 upon AbbVie’s achievement of commercialization regulatory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approval in the U.S. and other major world markets for its glecaprevir/pibrentasvir (“G/P”) combination regimen for HCV.</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also receiving annually tiered royalties per Company protease product ranging from the low double digits up to twenty percent, or on a blended basis from the low double digits up to the high teens, on the portion of AbbVie’s calendar year net sales of each HCV regimen that is allocated to the protease inhibitor in the regimen. Beginning with each January 1, the cumulative net sales of a given royalty-bearing product start at zero for purposes of calculating the tiered royalties on a product-by-product basis.</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During the nine months ended June 30, 2016, the Company earned and recognized milestone revenue of $30,000 upon AbbVie’s achievement of commercialization regulatory approval of a paritaprevir-containing regimen in Japan in November 2015.</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October and November 2010, the Company issued warrants to purchase up to a total of 1,999,989 shares of Series 1 nonconvertible preferred stock, which expire on October 4, 2017. As these warrants and underlying Series 1 preferred stock are financial instruments that may require the Company to transfer assets, these instruments are classified as liabilities. The Company is required to remeasure the fair value of these instruments at each reporting date, with any adjustments recorded within other income (expense), net, in the consolidated statements of operations.</w:t>
      </w:r>
    </w:p>
    <w:p>
      <w:pPr>
        <w:spacing w:after="0" w:line="27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Company has granted stock-based awards, including stock options and restricted stock units, under its existing 2012 Equity Incentive Plan (the “2012 Plan”). The Company also has outstanding stock-based awards under its 1995 Equity Incentive Plan (the “1995 Plan”), but is no longer granting awards under this plan.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June 30,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1,895,456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559,019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(132,655)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2,280,031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June 30, 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2,264,139</w:t>
            </w:r>
          </w:p>
        </w:tc>
        <w:tc>
          <w:tcPr>
            <w:tcW w:w="14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30.08</w:t>
            </w:r>
          </w:p>
        </w:tc>
        <w:tc>
          <w:tcPr>
            <w:tcW w:w="200" w:type="dxa"/>
            <w:vAlign w:val="bottom"/>
            <w:tcBorders>
              <w:bottom w:val="single" w:sz="8" w:color="CFF0FC"/>
            </w:tcBorders>
          </w:tcPr>
          <w:p>
            <w:pPr>
              <w:spacing w:after="0"/>
              <w:rPr>
                <w:sz w:val="23"/>
                <w:szCs w:val="23"/>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June 30, 2017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1,259,717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for the year-to-date period ending June 30, 2017:</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Relative 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Stockholder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Return 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44,500</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44,500</w:t>
            </w:r>
          </w:p>
        </w:tc>
        <w:tc>
          <w:tcPr>
            <w:tcW w:w="14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(18,820)</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(4,705)</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35.47</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(23,525)</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nine months ended June 30, 2017, the Company awarded restricted stock units to its employees, which vest 50% in three years and 50% in four years, provided the employee remains employed with the Company at the time of vesting. The fair value of these awards is determined based on the intrinsic value of the stock on the date of grant and will be recognized as stock-based compensation expense, net of estimated forfeitures, over the requisite service period. The following table summarizes the restricted stock unit activity for the year-to-date period ending June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Restricted Stock</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2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112,460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2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3580" w:type="dxa"/>
            <w:vAlign w:val="bottom"/>
            <w:gridSpan w:val="3"/>
          </w:tcPr>
          <w:p>
            <w:pPr>
              <w:jc w:val="right"/>
              <w:ind w:right="140"/>
              <w:spacing w:after="0"/>
              <w:rPr>
                <w:sz w:val="20"/>
                <w:szCs w:val="20"/>
                <w:color w:val="auto"/>
              </w:rPr>
            </w:pPr>
            <w:r>
              <w:rPr>
                <w:rFonts w:ascii="Arial" w:cs="Arial" w:eastAsia="Arial" w:hAnsi="Arial"/>
                <w:sz w:val="18"/>
                <w:szCs w:val="18"/>
                <w:color w:val="auto"/>
              </w:rPr>
              <w:t>(2,104)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2017</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00" w:type="dxa"/>
            <w:vAlign w:val="bottom"/>
            <w:vMerge w:val="restart"/>
          </w:tcPr>
          <w:p>
            <w:pPr>
              <w:jc w:val="right"/>
              <w:ind w:right="1310"/>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June 30, 2017 and 2016 the Company recognized the following stock-based compensation expense: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6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18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nine months ended June 30, 2017, the Company recognized stock-based compensation expense for PSUs and performance-based options upon achievement of performance-based targets that occurred during the year-to-date period.</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2017, the Company had an aggregate of $26,797 unrecognized stock-based compensation cost, which is expected to be recognized over a weighted average period of 2.3 years.</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nine months ended June 30, 2017 and 2016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(8,426)</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(1,076)</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(18,798)</w:t>
            </w:r>
          </w:p>
        </w:tc>
        <w:tc>
          <w:tcPr>
            <w:tcW w:w="5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(8,426)</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(1,076)</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(18,798)</w:t>
            </w:r>
          </w:p>
        </w:tc>
        <w:tc>
          <w:tcPr>
            <w:tcW w:w="5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2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18,983</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Anti-dilutive common stock equivalents excluded from</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above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was in a net loss position since the impact of such common stock equivalents would have been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both"/>
        <w:ind w:right="260"/>
        <w:spacing w:after="0" w:line="264" w:lineRule="auto"/>
        <w:rPr>
          <w:sz w:val="20"/>
          <w:szCs w:val="20"/>
          <w:color w:val="auto"/>
        </w:rPr>
      </w:pPr>
      <w:r>
        <w:rPr>
          <w:rFonts w:ascii="Arial" w:cs="Arial" w:eastAsia="Arial" w:hAnsi="Arial"/>
          <w:sz w:val="18"/>
          <w:szCs w:val="18"/>
          <w:color w:val="auto"/>
        </w:rPr>
        <w:t>As of June 30, 2017, the Company also excluded 139,000 of unvested stock awards from the calculation of diluted net income (loss) per common share as these awards contain performance or market conditions that would not have been achieved as of June 30, 2017 had the measurement period been as of that date.</w:t>
      </w:r>
    </w:p>
    <w:p>
      <w:pPr>
        <w:spacing w:after="0" w:line="28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the three months ended June 30, 2017 and 2016, the Company recorded an income tax (expense) benefit of $4,103 and ($434), respectively, which was primarily attributable to the Company’s domestic operations. During the three months ended June 30, 2017, the Company’s income tax benefit was due to the Company’s pre-tax loss for the quarter. During the three months ended June 30, 2016, the Company increased its estimate of its annual effective tax rate for fiscal 2016, which resulted in an income tax expense despite a pre-tax loss for the quarter.</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nine months ended June 30, 2017 and 2016, the Company recorded an income tax (expense) benefit of $9,210 and $(11,720) respectively. For the nine months ended June 30, 2017, the Company’s effective tax rate of 32.9% differs from the statutory rate of 35.0% primarily due to research and development tax credits which reduced the Company’s annual effective tax rate slightly below the statutory rate. For the nine months ended June 30, 2016, the Company’s effective tax rate of 33.3% differs from the statutory rate of 35.0% primarily due to the reinstatement of federal research and development tax credits which are included in the Company’s annual effective tax rate.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2013 to the present. Earlier years may be examined to the extent that tax credits or net operating loss carryforwards are used in future periods.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an unrecognized tax benefit of $1,109 and $745 as of June 30, 2017 and September 30, 2016,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$1,519 for both the nine months ended June 30, 2017 and 2016.</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lease, the Company has outstanding a $608 letter of credit, collateralized by a money market account. As of June 30, 2017 and September 30, 2016, the Company classified the $608 related to the letter of credit as restricted cash. Additionally, the lease, as amended, included a $598 tenant improvement allowance from the landlord, which is accounted for as a capital lease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(1) annual maintenance fees for each year that the agreement remains in effect, commencing on the first anniversary of the agreement, in order to maintain the right to use the license, and (2) a one-time fee of in each circumstance in which the Company provides the licensed intellectual property to one of its collaborators with the prior consent of the licensor.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June 30, 2017.</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its Collaboration Agreement with AbbVie, the Company is eligible to receive milestone payments upon AbbVie’s achievement of commercialization regulatory approval milestones in the U.S. and other major world markets for any AbbVie therapies for HCV containing the Company’s protease inhibitors. After AbbVie received marketing authorization for its new MAVIRET™ product (a combination of glecaprevir, the Company’s second protease inhibitor, and pibrentasvir, AbbVie’s second NS5A inhibitor) from the European Commission in July 2017 and regulatory approval for the same combination under the trade name MAVYRET™ from the U.S. Food and Drug Administration (“FDA”) in August 2017, the Company earned a total of $65,000 in milestone payments for commercialization regulatory approvals in those jurisdictions.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2016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research and development-focused biotechnology company that uses our robust, chemistry-driven approach and drug discovery capabilities to create small molecule drugs primarily for the treatment of viral infections and liver diseases. Our success to date has been built on protease inhibitors we discovered for the treatment of hepatitis C virus, or HCV, which are licensed to AbbVie and included in its HCV treatment regimens. Our research and development programs are currently focused primarily on the following disease areas:</w:t>
      </w:r>
    </w:p>
    <w:p>
      <w:pPr>
        <w:spacing w:after="0" w:line="79"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1 year of age in the U.S., resulting in an estimated 75,000 to 125,000 hospitalizations each year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Under our development and licensing collaboration with AbbVie we have produced two licensed protease inhibitor products designed for use against HCV.</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first licensed product, paritaprevir, is a key compound in AbbVie’s direct-acting-antiviral, or DAA, HCV treatment regimens. These regimens,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contain either 3-DAAs or 2-DAAs, depending on the patient’s genotype of HCV and the presence of compensated cirrhosis, are currently on the market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HCV under various brand names worldwide, including VIEKIRA PAK</w:t>
      </w:r>
      <w:r>
        <w:rPr>
          <w:rFonts w:ascii="Arial" w:cs="Arial" w:eastAsia="Arial" w:hAnsi="Arial"/>
          <w:sz w:val="14"/>
          <w:szCs w:val="14"/>
          <w:color w:val="auto"/>
        </w:rPr>
        <w:t>®</w:t>
      </w:r>
      <w:r>
        <w:rPr>
          <w:rFonts w:ascii="Arial" w:cs="Arial" w:eastAsia="Arial" w:hAnsi="Arial"/>
          <w:sz w:val="17"/>
          <w:szCs w:val="17"/>
          <w:color w:val="auto"/>
        </w:rPr>
        <w:t>, VIEKIRAX</w:t>
      </w:r>
      <w:r>
        <w:rPr>
          <w:rFonts w:ascii="Arial" w:cs="Arial" w:eastAsia="Arial" w:hAnsi="Arial"/>
          <w:sz w:val="14"/>
          <w:szCs w:val="14"/>
          <w:color w:val="auto"/>
        </w:rPr>
        <w:t>®</w:t>
      </w:r>
      <w:r>
        <w:rPr>
          <w:rFonts w:ascii="Arial" w:cs="Arial" w:eastAsia="Arial" w:hAnsi="Arial"/>
          <w:sz w:val="17"/>
          <w:szCs w:val="17"/>
          <w:color w:val="auto"/>
        </w:rPr>
        <w:t>, VIEKIRAX XR™ and TECHNIVIE</w:t>
      </w:r>
      <w:r>
        <w:rPr>
          <w:rFonts w:ascii="Arial" w:cs="Arial" w:eastAsia="Arial" w:hAnsi="Arial"/>
          <w:sz w:val="14"/>
          <w:szCs w:val="14"/>
          <w:color w:val="auto"/>
        </w:rPr>
        <w:t>®</w:t>
      </w:r>
      <w:r>
        <w:rPr>
          <w:rFonts w:ascii="Arial" w:cs="Arial" w:eastAsia="Arial" w:hAnsi="Arial"/>
          <w:sz w:val="17"/>
          <w:szCs w:val="17"/>
          <w:color w:val="auto"/>
        </w:rPr>
        <w:t>. AbbVie has developed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second HCV protease inhibitor, glecaprevir (ABT-493), with pibrentasvir, AbbVie’s second NS5A inhibitor, in a combination known as G/P. In July 2017,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AbbVie received marketing authorization in the European Union for this combination under the name MAVIRET™, and in August 2017 received regulatory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approval under the name MAVYRET™ from the U.S. Food and Drug Administration (“FDA”). In connection with these approvals, we earned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$65.0 million in milestone payments in the third calendar quarter of 2017. AbbVie anticipates commercialization regulatory approval of G/P in Japan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calendar quarter of 2017 for which we are eligible to earn a $15.0 million milestone payment upon comparable approval of G/P in Japan,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annually tiered, double-digit, per-product royalties on 50% of the net sales of this 2-DAA combination.</w:t>
      </w:r>
    </w:p>
    <w:p>
      <w:pPr>
        <w:spacing w:after="0" w:line="21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had $235.3 million in cash and marketable securities at June 30, 2017. In our third fiscal quarter of 2017, we earned $7.5 million in royalties on the portion of AbbVie’s net sales of its HCV regimens allocated to paritaprevir. We expect our existing financial resources and cash flows will allow us to continue to invest for the foreseeable future in our wholly owned research and development programs.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31" w:lineRule="exact"/>
        <w:rPr>
          <w:sz w:val="20"/>
          <w:szCs w:val="20"/>
          <w:color w:val="auto"/>
        </w:rPr>
      </w:pPr>
    </w:p>
    <w:p>
      <w:pPr>
        <w:ind w:left="1040" w:right="160" w:hanging="519"/>
        <w:spacing w:after="0" w:line="27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34290" cy="146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74" w:lineRule="exact"/>
        <w:rPr>
          <w:rFonts w:ascii="Arial" w:cs="Arial" w:eastAsia="Arial" w:hAnsi="Arial"/>
          <w:sz w:val="16"/>
          <w:szCs w:val="16"/>
          <w:color w:val="auto"/>
        </w:rPr>
      </w:pPr>
    </w:p>
    <w:p>
      <w:pPr>
        <w:ind w:left="1540" w:right="300" w:hanging="513"/>
        <w:spacing w:after="0" w:line="308" w:lineRule="auto"/>
        <w:rPr>
          <w:rFonts w:ascii="Arial" w:cs="Arial" w:eastAsia="Arial" w:hAnsi="Arial"/>
          <w:sz w:val="16"/>
          <w:szCs w:val="16"/>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In September 2016, we initiated a Phase 1 clinical study of EDP-305, which includes healthy subjects and subjects with presumptive non-alcoholic fatty liver disease, or NAFLD, who are obese and may also have pre-diabetes or type 2 diabetes.</w:t>
      </w:r>
    </w:p>
    <w:p>
      <w:pPr>
        <w:spacing w:after="0" w:line="38" w:lineRule="exact"/>
        <w:rPr>
          <w:rFonts w:ascii="Arial" w:cs="Arial" w:eastAsia="Arial" w:hAnsi="Arial"/>
          <w:sz w:val="16"/>
          <w:szCs w:val="16"/>
          <w:color w:val="auto"/>
        </w:rPr>
      </w:pPr>
    </w:p>
    <w:p>
      <w:pPr>
        <w:ind w:left="1540" w:hanging="513"/>
        <w:spacing w:after="0" w:line="259" w:lineRule="auto"/>
        <w:rPr>
          <w:rFonts w:ascii="Arial" w:cs="Arial" w:eastAsia="Arial" w:hAnsi="Arial"/>
          <w:sz w:val="16"/>
          <w:szCs w:val="16"/>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 xml:space="preserve">Since November 2016, we presented data at the annual meeting of the American Association of the Study of Liver Diseases (AASLD), the NASH-Tag conference and the International Liver Congress (ILC) that demonstrated that EDP-305 is a highly selective FXR agonist and shows more potent activity in a variety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NASH models compared to the most advanced NASH candidate in development today, obeticholic acid, or OCA.</w:t>
      </w:r>
    </w:p>
    <w:p>
      <w:pPr>
        <w:spacing w:after="0" w:line="78" w:lineRule="exact"/>
        <w:rPr>
          <w:rFonts w:ascii="Arial" w:cs="Arial" w:eastAsia="Arial" w:hAnsi="Arial"/>
          <w:sz w:val="16"/>
          <w:szCs w:val="16"/>
          <w:color w:val="auto"/>
        </w:rPr>
      </w:pPr>
    </w:p>
    <w:p>
      <w:pPr>
        <w:ind w:left="1040" w:right="1760"/>
        <w:spacing w:after="0" w:line="348" w:lineRule="auto"/>
        <w:rPr>
          <w:rFonts w:ascii="Arial" w:cs="Arial" w:eastAsia="Arial" w:hAnsi="Arial"/>
          <w:sz w:val="16"/>
          <w:szCs w:val="16"/>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EDP-305 was granted Fast Track designation by the FDA for the treatment of NASH patients with liver fibrosis.</w:t>
      </w:r>
      <w:r>
        <w:rPr>
          <w:rFonts w:ascii="Courier New" w:cs="Courier New" w:eastAsia="Courier New" w:hAnsi="Courier New"/>
          <w:sz w:val="18"/>
          <w:szCs w:val="18"/>
          <w:color w:val="auto"/>
        </w:rPr>
        <w:t xml:space="preserve"> o </w:t>
      </w:r>
      <w:r>
        <w:rPr>
          <w:rFonts w:ascii="Arial" w:cs="Arial" w:eastAsia="Arial" w:hAnsi="Arial"/>
          <w:sz w:val="18"/>
          <w:szCs w:val="18"/>
          <w:color w:val="auto"/>
        </w:rPr>
        <w:t>We intend to study EDP-305 in PBC patients beginning in the fourth quarter of calendar 2017.</w:t>
      </w:r>
    </w:p>
    <w:p>
      <w:pPr>
        <w:spacing w:after="0" w:line="1" w:lineRule="exact"/>
        <w:rPr>
          <w:rFonts w:ascii="Arial" w:cs="Arial" w:eastAsia="Arial" w:hAnsi="Arial"/>
          <w:sz w:val="16"/>
          <w:szCs w:val="16"/>
          <w:color w:val="auto"/>
        </w:rPr>
      </w:pPr>
    </w:p>
    <w:p>
      <w:pPr>
        <w:ind w:left="1540" w:right="300" w:hanging="513"/>
        <w:spacing w:after="0" w:line="277" w:lineRule="auto"/>
        <w:rPr>
          <w:rFonts w:ascii="Arial" w:cs="Arial" w:eastAsia="Arial" w:hAnsi="Arial"/>
          <w:sz w:val="16"/>
          <w:szCs w:val="16"/>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are conducting further studies of EDP-305 to enable us to conduct a Phase 2 clinical study with it in NASH patients beginning in 2018.</w:t>
      </w:r>
    </w:p>
    <w:p>
      <w:pPr>
        <w:spacing w:after="0" w:line="62" w:lineRule="exact"/>
        <w:rPr>
          <w:rFonts w:ascii="Arial" w:cs="Arial" w:eastAsia="Arial" w:hAnsi="Arial"/>
          <w:sz w:val="16"/>
          <w:szCs w:val="16"/>
          <w:color w:val="auto"/>
        </w:rPr>
      </w:pPr>
    </w:p>
    <w:p>
      <w:pPr>
        <w:ind w:left="1540" w:right="60" w:hanging="513"/>
        <w:spacing w:after="0" w:line="277" w:lineRule="auto"/>
        <w:rPr>
          <w:rFonts w:ascii="Arial" w:cs="Arial" w:eastAsia="Arial" w:hAnsi="Arial"/>
          <w:sz w:val="16"/>
          <w:szCs w:val="16"/>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addition, we are pursuing research in other classes of FXR agonists as well as other mechanisms that may provide therapeutic benefit in NASH.</w:t>
      </w:r>
    </w:p>
    <w:p>
      <w:pPr>
        <w:spacing w:after="0" w:line="62" w:lineRule="exact"/>
        <w:rPr>
          <w:rFonts w:ascii="Arial" w:cs="Arial" w:eastAsia="Arial" w:hAnsi="Arial"/>
          <w:sz w:val="16"/>
          <w:szCs w:val="16"/>
          <w:color w:val="auto"/>
        </w:rPr>
      </w:pPr>
    </w:p>
    <w:p>
      <w:pPr>
        <w:ind w:left="1040" w:hanging="519"/>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Our initial efforts in RSV are concentrated on non-fusion inhibitors which we believe will differentiate our compounds from fusion inhibitors currently in development for RSV because non-fusion inhibitors directly target the virus replication process and have demonstrated high barriers to resistance against the virus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develop successful therapies for RSV, we believe that it may be necessary to utilize more than one compound/mechanism and therefore, we are pursuing multiple approaches and compounds that provide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evidence of synergistic potential. We have selected EDP-938, a potent non-fusion, N-protein inhibitor of both RSV-A and RSV-B activity, as our first development candidate for RSV.</w:t>
      </w:r>
    </w:p>
    <w:p>
      <w:pPr>
        <w:spacing w:after="0" w:line="85" w:lineRule="exact"/>
        <w:rPr>
          <w:sz w:val="20"/>
          <w:szCs w:val="20"/>
          <w:color w:val="auto"/>
        </w:rPr>
      </w:pPr>
    </w:p>
    <w:p>
      <w:pPr>
        <w:ind w:left="1520" w:hanging="378"/>
        <w:spacing w:after="0" w:line="269" w:lineRule="auto"/>
        <w:tabs>
          <w:tab w:leader="none" w:pos="1520" w:val="left"/>
        </w:tabs>
        <w:numPr>
          <w:ilvl w:val="1"/>
          <w:numId w:val="17"/>
        </w:numPr>
        <w:rPr>
          <w:rFonts w:ascii="Courier New" w:cs="Courier New" w:eastAsia="Courier New" w:hAnsi="Courier New"/>
          <w:sz w:val="17"/>
          <w:szCs w:val="17"/>
          <w:color w:val="auto"/>
        </w:rPr>
      </w:pPr>
      <w:r>
        <w:rPr>
          <w:rFonts w:ascii="Arial" w:cs="Arial" w:eastAsia="Arial" w:hAnsi="Arial"/>
          <w:sz w:val="17"/>
          <w:szCs w:val="17"/>
          <w:color w:val="auto"/>
        </w:rPr>
        <w:t xml:space="preserve">In June 2017, we presented preclinical data demonstrating that EDP-938 is a potent inhibitor of both RSV-A and RSV-B activity, maintaining antiviral activity post-infection while presenting a high barrier to resistance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EDP-938 demonstrated a greater than 4-log reduction in viral load in an animal model challenged with RSV. Further, EDP-938 maintained antiviral potency across all clinical isolates tested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 well as virus that was resistant to fusion inhibitors. The compound inhibited RSV at a post-entry, replication step and maintained its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when given 24 hours post infection. In addition, combination studies of EDP-938 with other types of RSV inhibitors, e.g. fusion inhibitors, showed synergistic antiviral effects.</w:t>
      </w:r>
    </w:p>
    <w:p>
      <w:pPr>
        <w:spacing w:after="0" w:line="73" w:lineRule="exact"/>
        <w:rPr>
          <w:rFonts w:ascii="Courier New" w:cs="Courier New" w:eastAsia="Courier New" w:hAnsi="Courier New"/>
          <w:sz w:val="17"/>
          <w:szCs w:val="17"/>
          <w:color w:val="auto"/>
        </w:rPr>
      </w:pPr>
    </w:p>
    <w:p>
      <w:pPr>
        <w:ind w:left="1520" w:hanging="378"/>
        <w:spacing w:after="0"/>
        <w:tabs>
          <w:tab w:leader="none" w:pos="152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We plan to begin a Phase 1 clinical study of EDP-938 in the fourth quarter of calendar 2017.</w:t>
      </w:r>
    </w:p>
    <w:p>
      <w:pPr>
        <w:spacing w:after="0" w:line="101" w:lineRule="exact"/>
        <w:rPr>
          <w:rFonts w:ascii="Courier New" w:cs="Courier New" w:eastAsia="Courier New" w:hAnsi="Courier New"/>
          <w:sz w:val="18"/>
          <w:szCs w:val="18"/>
          <w:color w:val="auto"/>
        </w:rPr>
      </w:pPr>
    </w:p>
    <w:p>
      <w:pPr>
        <w:ind w:left="1040" w:right="40" w:hanging="519"/>
        <w:spacing w:after="0" w:line="25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core inhibitors of HBV with the goal of identifying a development candidate in 2017. In addition, we are conducting preclinical experiments with other mechanisms that target HBV.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Licensed Product/Candidate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our Collaborative Development and License Agreement with AbbVie, we have developed and licensed to AbbVie:</w:t>
      </w:r>
    </w:p>
    <w:p>
      <w:pPr>
        <w:spacing w:after="0" w:line="144" w:lineRule="exact"/>
        <w:rPr>
          <w:sz w:val="20"/>
          <w:szCs w:val="20"/>
          <w:color w:val="auto"/>
        </w:rPr>
      </w:pPr>
    </w:p>
    <w:p>
      <w:pPr>
        <w:ind w:left="1040" w:right="80" w:hanging="519"/>
        <w:spacing w:after="0" w:line="25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AbbVie’s HCV treatment regimens currently marketed in the U.S., E.U., Japan and other countries around the world under the trade names VIEKIRA PAK</w:t>
      </w:r>
      <w:r>
        <w:rPr>
          <w:rFonts w:ascii="Arial" w:cs="Arial" w:eastAsia="Arial" w:hAnsi="Arial"/>
          <w:sz w:val="15"/>
          <w:szCs w:val="15"/>
          <w:color w:val="auto"/>
        </w:rPr>
        <w:t>®</w:t>
      </w:r>
      <w:r>
        <w:rPr>
          <w:rFonts w:ascii="Arial" w:cs="Arial" w:eastAsia="Arial" w:hAnsi="Arial"/>
          <w:sz w:val="18"/>
          <w:szCs w:val="18"/>
          <w:color w:val="auto"/>
        </w:rPr>
        <w:t>, VIEKIRAX</w:t>
      </w:r>
      <w:r>
        <w:rPr>
          <w:rFonts w:ascii="Arial" w:cs="Arial" w:eastAsia="Arial" w:hAnsi="Arial"/>
          <w:sz w:val="15"/>
          <w:szCs w:val="15"/>
          <w:color w:val="auto"/>
        </w:rPr>
        <w:t>®</w:t>
      </w:r>
      <w:r>
        <w:rPr>
          <w:rFonts w:ascii="Arial" w:cs="Arial" w:eastAsia="Arial" w:hAnsi="Arial"/>
          <w:sz w:val="18"/>
          <w:szCs w:val="18"/>
          <w:color w:val="auto"/>
        </w:rPr>
        <w:t xml:space="preserve"> VIEKIRAX XR™ and TECHNIVIE</w:t>
      </w:r>
      <w:r>
        <w:rPr>
          <w:rFonts w:ascii="Arial" w:cs="Arial" w:eastAsia="Arial" w:hAnsi="Arial"/>
          <w:sz w:val="15"/>
          <w:szCs w:val="15"/>
          <w:color w:val="auto"/>
        </w:rPr>
        <w:t>®</w:t>
      </w:r>
      <w:r>
        <w:rPr>
          <w:rFonts w:ascii="Arial" w:cs="Arial" w:eastAsia="Arial" w:hAnsi="Arial"/>
          <w:sz w:val="18"/>
          <w:szCs w:val="18"/>
          <w:color w:val="auto"/>
        </w:rPr>
        <w:t>. First approved and sold in the U.S. in December 2014 for treatment of genotype 1, or GT-1, HCV, AbbVie’s HCV regimens containing paritaprevir are now also approved for GT-4 HCV and are available in most major markets. AbbVie’s net sales of these regimens provided us $57.7 million in royalty revenue in our 2016 fiscal year.</w:t>
      </w:r>
    </w:p>
    <w:p>
      <w:pPr>
        <w:spacing w:after="0" w:line="80" w:lineRule="exact"/>
        <w:rPr>
          <w:rFonts w:ascii="Arial" w:cs="Arial" w:eastAsia="Arial" w:hAnsi="Arial"/>
          <w:sz w:val="18"/>
          <w:szCs w:val="18"/>
          <w:color w:val="auto"/>
        </w:rPr>
      </w:pPr>
    </w:p>
    <w:p>
      <w:pPr>
        <w:ind w:left="1040" w:right="80" w:hanging="519"/>
        <w:spacing w:after="0" w:line="272"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Glecaprevir (ABT-493):</w:t>
      </w:r>
      <w:r>
        <w:rPr>
          <w:rFonts w:ascii="Arial" w:cs="Arial" w:eastAsia="Arial" w:hAnsi="Arial"/>
          <w:sz w:val="17"/>
          <w:szCs w:val="17"/>
          <w:color w:val="auto"/>
        </w:rPr>
        <w:t xml:space="preserve"> Our second protease inhibitor, glecaprevir, was developed by AbbVie with its second NS5A inhibitor, pibrentasvir (ABT-530), as AbbVie’s next treatment regimen for HCV. This combination, currently referred to as G/P, is a new once daily, all oral, fixed-dose, ribavirin-free treatment for HCV genotypes 1-6, which is referred to as being pan-genotypic. In July 2017, the European Commission granted AbbVie marketing authorization for this combination under the trade name MAVIRET™ as a once-daily, ribavirin-free treatment for adults with chronic HCV infection across all major genotypes (GT1-6), and as an 8-week treatment for patients without cirrhosis and new to treatment. In August 2017, the FDA approved the same combination under the trade name MAVYRET™. The EU and the U.S. authorizations, and AbbVie’s application for approval in Japan, are supported by the following studies:</w:t>
      </w:r>
    </w:p>
    <w:p>
      <w:pPr>
        <w:spacing w:after="0" w:line="69" w:lineRule="exact"/>
        <w:rPr>
          <w:rFonts w:ascii="Arial" w:cs="Arial" w:eastAsia="Arial" w:hAnsi="Arial"/>
          <w:sz w:val="17"/>
          <w:szCs w:val="17"/>
          <w:color w:val="auto"/>
        </w:rPr>
      </w:pPr>
    </w:p>
    <w:p>
      <w:pPr>
        <w:ind w:left="1540" w:hanging="513"/>
        <w:spacing w:after="0" w:line="275"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November 2016, results from several Phase 3 studies of this combination demonstrated 97.5 percent of chronic HCV infected patients without cirrhosis and new to treatment across all major genotypes (GT1-6) achieved sustained virologic response at 12 weeks post-treatment (SVR</w:t>
      </w:r>
      <w:r>
        <w:rPr>
          <w:rFonts w:ascii="Arial" w:cs="Arial" w:eastAsia="Arial" w:hAnsi="Arial"/>
          <w:sz w:val="15"/>
          <w:szCs w:val="15"/>
          <w:color w:val="auto"/>
        </w:rPr>
        <w:t>12</w:t>
      </w:r>
      <w:r>
        <w:rPr>
          <w:rFonts w:ascii="Arial" w:cs="Arial" w:eastAsia="Arial" w:hAnsi="Arial"/>
          <w:sz w:val="18"/>
          <w:szCs w:val="18"/>
          <w:color w:val="auto"/>
        </w:rPr>
        <w:t>) with just 8 weeks of G/P treatment.</w:t>
      </w:r>
    </w:p>
    <w:p>
      <w:pPr>
        <w:spacing w:after="0" w:line="44" w:lineRule="exact"/>
        <w:rPr>
          <w:rFonts w:ascii="Arial" w:cs="Arial" w:eastAsia="Arial" w:hAnsi="Arial"/>
          <w:sz w:val="17"/>
          <w:szCs w:val="17"/>
          <w:color w:val="auto"/>
        </w:rPr>
      </w:pPr>
    </w:p>
    <w:p>
      <w:pPr>
        <w:ind w:left="1540" w:right="280" w:hanging="513"/>
        <w:spacing w:after="0" w:line="352"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Results were also presented from AbbVie’s EXPEDITION-4 study in chronic HCV patients with chronic kidney disease (CKD), in which 98 percent of patients (n=102/104) across all major genotypes (GT-1-6) achieved SVR</w:t>
      </w:r>
      <w:r>
        <w:rPr>
          <w:rFonts w:ascii="Arial" w:cs="Arial" w:eastAsia="Arial" w:hAnsi="Arial"/>
          <w:sz w:val="13"/>
          <w:szCs w:val="13"/>
          <w:color w:val="auto"/>
        </w:rPr>
        <w:t>12</w:t>
      </w:r>
      <w:r>
        <w:rPr>
          <w:rFonts w:ascii="Arial" w:cs="Arial" w:eastAsia="Arial" w:hAnsi="Arial"/>
          <w:sz w:val="16"/>
          <w:szCs w:val="16"/>
          <w:color w:val="auto"/>
        </w:rPr>
        <w:t xml:space="preserve"> with 12 weeks of treatment with G/P.</w:t>
      </w:r>
    </w:p>
    <w:p>
      <w:pPr>
        <w:ind w:left="1540" w:right="80" w:hanging="513"/>
        <w:spacing w:after="0" w:line="275"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Data from AbbVie’s ENDURANCE-3 study were also presented at the International Liver Congress, or ILC, demonstrating that 95 percent of patients with challenging-to-treat, genotype 3 (GT3) chronic HCV infection, without cirrhosis and new to treatment achieved SVR</w:t>
      </w:r>
      <w:r>
        <w:rPr>
          <w:rFonts w:ascii="Arial" w:cs="Arial" w:eastAsia="Arial" w:hAnsi="Arial"/>
          <w:sz w:val="15"/>
          <w:szCs w:val="15"/>
          <w:color w:val="auto"/>
        </w:rPr>
        <w:t>12</w:t>
      </w:r>
      <w:r>
        <w:rPr>
          <w:rFonts w:ascii="Arial" w:cs="Arial" w:eastAsia="Arial" w:hAnsi="Arial"/>
          <w:sz w:val="18"/>
          <w:szCs w:val="18"/>
          <w:color w:val="auto"/>
        </w:rPr>
        <w:t xml:space="preserve"> after 8 weeks of treatment with G/P.</w:t>
      </w:r>
    </w:p>
    <w:p>
      <w:pPr>
        <w:spacing w:after="0" w:line="44" w:lineRule="exact"/>
        <w:rPr>
          <w:rFonts w:ascii="Arial" w:cs="Arial" w:eastAsia="Arial" w:hAnsi="Arial"/>
          <w:sz w:val="17"/>
          <w:szCs w:val="17"/>
          <w:color w:val="auto"/>
        </w:rPr>
      </w:pPr>
    </w:p>
    <w:p>
      <w:pPr>
        <w:ind w:left="1540" w:right="160" w:hanging="513"/>
        <w:spacing w:after="0" w:line="264"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April 2017, data from AbbVie’s EXPEDITION-1 study were presented at the ILC, demonstrating that 99 percent of HCV-infected patients with genotype 1, 2, 4, 5 or 6 and compensated cirrhosis (Child-Pugh A) achieved SVR</w:t>
      </w:r>
      <w:r>
        <w:rPr>
          <w:rFonts w:ascii="Arial" w:cs="Arial" w:eastAsia="Arial" w:hAnsi="Arial"/>
          <w:sz w:val="15"/>
          <w:szCs w:val="15"/>
          <w:color w:val="auto"/>
        </w:rPr>
        <w:t>12</w:t>
      </w:r>
      <w:r>
        <w:rPr>
          <w:rFonts w:ascii="Arial" w:cs="Arial" w:eastAsia="Arial" w:hAnsi="Arial"/>
          <w:sz w:val="18"/>
          <w:szCs w:val="18"/>
          <w:color w:val="auto"/>
        </w:rPr>
        <w:t xml:space="preserve"> following 12 weeks of G/P treatment without ribavirin.</w:t>
      </w:r>
    </w:p>
    <w:p>
      <w:pPr>
        <w:spacing w:after="0" w:line="73" w:lineRule="exact"/>
        <w:rPr>
          <w:rFonts w:ascii="Arial" w:cs="Arial" w:eastAsia="Arial" w:hAnsi="Arial"/>
          <w:sz w:val="17"/>
          <w:szCs w:val="17"/>
          <w:color w:val="auto"/>
        </w:rPr>
      </w:pPr>
    </w:p>
    <w:p>
      <w:pPr>
        <w:ind w:left="1540" w:right="100" w:hanging="513"/>
        <w:spacing w:after="0" w:line="257" w:lineRule="auto"/>
        <w:rPr>
          <w:rFonts w:ascii="Arial" w:cs="Arial" w:eastAsia="Arial" w:hAnsi="Arial"/>
          <w:sz w:val="17"/>
          <w:szCs w:val="17"/>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AbbVie anticipates commercialization regulatory approval of G/P in Japan in the fourth calendar quarter of 2017, which will then earn us a $15.0 million milestone payment (in addition to the total of $65.0 million milestone payments we earned upon similar approvals in the E.U. and the U.S.) under our collaboration with AbbVie. We are also eligible to receive annually tiered, double-digit, per-product royalties on 50% of the net sales of this 2-DAA combination in addition to the separate royalty stream on AbbVie’s paritaprevir-containing regimen.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425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6585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continuing collaboration agreement with AbbVie. In addition, from September 2011 through August 2015, we had a contract with the National Institute of Allergy and Infectious Diseases, or NIAID, which funded the preclinical and early clinical development of an antibiotic product candidate for potential use in biodefense.</w:t>
      </w:r>
    </w:p>
    <w:p>
      <w:pPr>
        <w:spacing w:after="0" w:line="18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the first quarter of fiscal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and our government contract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3"/>
          </w:tcPr>
          <w:p>
            <w:pPr>
              <w:jc w:val="right"/>
              <w:ind w:right="285"/>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45"/>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2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40" w:type="dxa"/>
            <w:vAlign w:val="bottom"/>
            <w:gridSpan w:val="3"/>
          </w:tcPr>
          <w:p>
            <w:pPr>
              <w:jc w:val="right"/>
              <w:ind w:right="359"/>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38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182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7,511</w:t>
            </w:r>
          </w:p>
        </w:tc>
        <w:tc>
          <w:tcPr>
            <w:tcW w:w="118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13,978</w:t>
            </w:r>
          </w:p>
        </w:tc>
        <w:tc>
          <w:tcPr>
            <w:tcW w:w="12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26,887</w:t>
            </w:r>
          </w:p>
        </w:tc>
        <w:tc>
          <w:tcPr>
            <w:tcW w:w="9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44,851</w:t>
            </w:r>
          </w:p>
        </w:tc>
        <w:tc>
          <w:tcPr>
            <w:tcW w:w="120" w:type="dxa"/>
            <w:vAlign w:val="bottom"/>
          </w:tcPr>
          <w:p>
            <w:pPr>
              <w:spacing w:after="0"/>
              <w:rPr>
                <w:sz w:val="19"/>
                <w:szCs w:val="19"/>
                <w:color w:val="auto"/>
              </w:rPr>
            </w:pPr>
          </w:p>
        </w:tc>
      </w:tr>
      <w:tr>
        <w:trPr>
          <w:trHeight w:val="230"/>
        </w:trPr>
        <w:tc>
          <w:tcPr>
            <w:tcW w:w="2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r>
      <w:tr>
        <w:trPr>
          <w:trHeight w:val="230"/>
        </w:trPr>
        <w:tc>
          <w:tcPr>
            <w:tcW w:w="2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NIAID contract:</w:t>
            </w:r>
          </w:p>
        </w:tc>
        <w:tc>
          <w:tcPr>
            <w:tcW w:w="9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FF0FC"/>
            </w:tcBorders>
          </w:tcPr>
          <w:p>
            <w:pPr>
              <w:spacing w:after="0"/>
              <w:rPr>
                <w:sz w:val="19"/>
                <w:szCs w:val="19"/>
                <w:color w:val="auto"/>
              </w:rPr>
            </w:pPr>
          </w:p>
        </w:tc>
      </w:tr>
      <w:tr>
        <w:trPr>
          <w:trHeight w:val="223"/>
        </w:trPr>
        <w:tc>
          <w:tcPr>
            <w:tcW w:w="2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13,978</w:t>
            </w:r>
          </w:p>
        </w:tc>
        <w:tc>
          <w:tcPr>
            <w:tcW w:w="3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26,887</w:t>
            </w:r>
          </w:p>
        </w:tc>
        <w:tc>
          <w:tcPr>
            <w:tcW w:w="3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Since all of our research obligations under the AbbVie agreement were concluded by June 30, 2011, all milestone payments received since then have been recognized as revenue upon achievement of each milestone by AbbVie. During the nine months ended June 30, 2016, we earned and recognized as revenue the last milestone payment for paritaprevir, which was a $30.0 million milestone payment upon AbbVie’s achievement of commercialization regulatory approval of a paritaprevir-containing regimen in Japan. We did not earn any milestones during the same period in 2017. Under the terms of the AbbVie agreement, we earned a total of $65.0 million in connection with the commercialization regulatory approvals in the E.U. and the U.S. in the third calendar quarter of 2017. We are also eligible to earn an additional $15.0 million milestone payment from AbbVie related to the successful commercialization regulatory approval of G/P in Japan, which is expected in the fourth calendar quarter of 2017.</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receive annually tiered, double-digit royalties per-product on AbbVie’s net sales allocable to any one of our collaboration’s protease inhibitors. Our royalty revenue under the AbbVie agreement has declined year over year due to lower net sales of paritaprevir-containing regimens as a result of increased competition from other HCV products on the market. Under the terms of our agreement, as amended in October 2014, 30% of net sales of 3-DAA regimens containing paritaprevir and 45% of net sales of 2-DAA regimens containing paritaprevir are allocated to paritaprevir for purposes of calculating our annually tiered royalties. We will receive annually tiered, double-digit, per-product royalties on 50% of net sales of MAVIRET, a 2-DAA combination, in the E.U. and MAVYRET in the U.S., and in any other jurisdictions where G/P may subsequently be approved and commercialized. Beginning with each January 1, the cumulative net sales of a given royalty-bearing product start at zero for purposes of calculating the tiered royalties on a product-by-product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2017 and 2016:</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3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15,407</w:t>
            </w:r>
          </w:p>
        </w:tc>
        <w:tc>
          <w:tcPr>
            <w:tcW w:w="5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10,785</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120" w:type="dxa"/>
            <w:vAlign w:val="bottom"/>
            <w:shd w:val="clear" w:color="auto" w:fill="CFF0FC"/>
          </w:tcPr>
          <w:p>
            <w:pPr>
              <w:spacing w:after="0"/>
              <w:rPr>
                <w:sz w:val="19"/>
                <w:szCs w:val="19"/>
                <w:color w:val="auto"/>
              </w:rPr>
            </w:pPr>
          </w:p>
        </w:tc>
      </w:tr>
      <w:tr>
        <w:trPr>
          <w:trHeight w:val="230"/>
        </w:trPr>
        <w:tc>
          <w:tcPr>
            <w:tcW w:w="3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tcBorders>
              <w:bottom w:val="single" w:sz="8" w:color="CFF0FC"/>
            </w:tcBorders>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15,067</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62" w:lineRule="exact"/>
        <w:rPr>
          <w:sz w:val="20"/>
          <w:szCs w:val="20"/>
          <w:color w:val="auto"/>
        </w:rPr>
      </w:pPr>
    </w:p>
    <w:p>
      <w:pPr>
        <w:ind w:left="1040" w:right="8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 We expect that our research and development expenses will continue to increase in the future as we advance our NASH, PBC,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of interest expense related to our capital lease obligation.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We record the changes in the fair value of the warrants and Series 1 nonconvertible preferred stock as a component of other income (expense), net.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tax (expense) benefit is based on our best estimate of applicable income tax rates for the entire fiscal year applied to pre-tax profit or loss reported for the year-to-date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2016 (referred to as our 2016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of warrants and related preferred stock.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2016. For further information, please see the discussion of critical accounting policies included in our 2016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13,978</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10,785</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5"/>
        </w:trPr>
        <w:tc>
          <w:tcPr>
            <w:tcW w:w="1720" w:type="dxa"/>
            <w:vAlign w:val="bottom"/>
          </w:tcPr>
          <w:p>
            <w:pPr>
              <w:spacing w:after="0"/>
              <w:rPr>
                <w:sz w:val="18"/>
                <w:szCs w:val="18"/>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 Series 1</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nonconvertible preferred stock, net</w:t>
            </w: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17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r>
      <w:tr>
        <w:trPr>
          <w:trHeight w:val="580"/>
        </w:trPr>
        <w:tc>
          <w:tcPr>
            <w:tcW w:w="6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7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9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7,511</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13,978</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NIAID contract: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7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7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recognized revenue of $7.5 million during the three months ended June 30, 2017 as compared to $14.0 million during the three months ended June 30, 2016. During the three months ended June 30, 2017 and 2016, revenue consisted of royalties on the portion of AbbVie’s net sales of its HCV treatment regimens allocable to paritaprevir. Our royalty revenue is generated through our collaboration with AbbVie and has declined year over year due to lower net sales of paritaprevir-containing regimens as a result of increased competition from other HCV products on the market. Our collaboration’s newest product, G/P, a pan-genotypic treatment combining two DAAs, is just beginning commercialization in the third calendar quarter of 2017, following its approval in the E.U. and the U.S. We are entitled to annually tiered, double digit, per product royalties on 50% of net sales of all G/P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10,281</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15,407</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Research and development expenses increased $4.6 million for the three months ended June 30, 2017 as compared to the same period in 2016. The increase was primarily due to progression of preclinical and clinical activities in our liver disease and virology programs. Increases were driven by an increase in headcount to support our preclinical activities and an increase in external costs for clinical and preclinical activities.</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$1.0 million for the three months ended June 30, 2017 as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same period in 2016. The increase was primarily due to an increase in compensation expense due to increased headcount.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increase in interest income for the three months ended June 30, 2017 as compared to the same period in 2016 was due to higher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balances and changes in interest rates for the period ended June 30, 2017 as compared to the same period in 2016.</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The expense recorded during the three months ended June 30,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was due to an increase in the fair value of the warrant liability and Series 1 nonconvertible preferred stock as a result of the remeasurement of these instruments from quarter to quarter.</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For the three months ended June 30, 2017 and 2016, we recorded an income tax (expense) benefit of $4.1 million and ($0.4)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For the three months ended June 30, 2017, we recorded an income tax benefit due to the Company’s pre-tax loss for the quarter. For the three months ended June 30, 2016, we increased our estimated annual effective tax rate for fiscal 2016, which resulted in an income tax provision despite our pre-tax loss for the quarter.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June 30, 2017 and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Nine Months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5"/>
        </w:trPr>
        <w:tc>
          <w:tcPr>
            <w:tcW w:w="17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left="4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7000" w:type="dxa"/>
            <w:vAlign w:val="bottom"/>
            <w:gridSpan w:val="2"/>
          </w:tcPr>
          <w:p>
            <w:pPr>
              <w:ind w:left="17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26,887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75,427</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40,937</w:t>
            </w: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15,631</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12,526</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1,749</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 and Series 1</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nonconvertible preferred stock, net</w:t>
            </w:r>
          </w:p>
        </w:tc>
        <w:tc>
          <w:tcPr>
            <w:tcW w:w="24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9,210</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(11,720)</w:t>
            </w:r>
          </w:p>
        </w:tc>
        <w:tc>
          <w:tcPr>
            <w:tcW w:w="1740" w:type="dxa"/>
            <w:vAlign w:val="bottom"/>
          </w:tcPr>
          <w:p>
            <w:pPr>
              <w:spacing w:after="0"/>
              <w:rPr>
                <w:sz w:val="19"/>
                <w:szCs w:val="19"/>
                <w:color w:val="auto"/>
              </w:rPr>
            </w:pPr>
          </w:p>
        </w:tc>
      </w:tr>
      <w:tr>
        <w:trPr>
          <w:trHeight w:val="432"/>
        </w:trPr>
        <w:tc>
          <w:tcPr>
            <w:tcW w:w="7000" w:type="dxa"/>
            <w:vAlign w:val="bottom"/>
            <w:gridSpan w:val="2"/>
          </w:tcPr>
          <w:p>
            <w:pPr>
              <w:jc w:val="right"/>
              <w:ind w:right="111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Revenue.</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26,887</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44,851</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NIAID contract:</w:t>
            </w: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recognized revenue of $26.9 million during the nine months ended June 30, 2017 as compared to $75.4 million during the nine months ended June 30, 2016. During the nine months ended June 30, 2017, revenue consisted exclusively of royalties on the portion of AbbVie’s net sales of its HCV treatment regimens allocable to paritaprevir. During the nine months ended June 30, 2016, revenue consisted of a $30.0 million milestone earned upon AbbVie’s achievement of commercialization regulatory approval of a paritaprevir-containing regimen in Japan, royalties on the portion of AbbVie’s net sales of its HCV treatment regimen allocable to paritaprevir of $44.9 million, and $0.6 million of revenue earned under our contract with NIAID.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24,393</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13,183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Research and development expenses increased $12.0 million for the nine months ended June 30, 2017 as compared to the same period in 2016. The increase was primarily due to progression of preclinical and clinical activities in our virology and liver disease programs. Increases were driven by an increase in headcount to support our preclinical activities and an increase in external costs for clinical and preclinical activities.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$3.1 million for the nine months ended June 30, 2017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2016. The increase was primarily due to an increase in compensation expense due to increased headcount as well as the achievement of milestones under existing performance-based stock awards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increase in interest income for the nine months ended June 30, 2017 as compared to the same period in 2016 was due to higher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balances and changes in interest rates for the period ended June 30, 2017 as compared to the same period in 2016.</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Change in fair value of warrant liability and Series 1 nonconvertible preferred stock. </w:t>
      </w:r>
      <w:r>
        <w:rPr>
          <w:rFonts w:ascii="Arial" w:cs="Arial" w:eastAsia="Arial" w:hAnsi="Arial"/>
          <w:sz w:val="16"/>
          <w:szCs w:val="16"/>
          <w:color w:val="auto"/>
        </w:rPr>
        <w:t>The expense recorded during the nine months ended June 30, 2017 was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an increase in the fair value of the warrant liability and Series 1 nonconvertible preferred stock as a result of the remeasurement of these instruments from quarter to quarter. The income recorded during the nine months ended June 30, 2016, was due to a decrease in the fair value of the warrant liability and Series 1 nonconvertible preferred stock as a result of the remeasurement of our warrant liability and Series 1 nonconvertible preferred stock.</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For the nine months ended June 30, 2017 and 2016, we recorded an income tax (expense) benefit of $9.2 million and $(11.7)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Our estimated annual effective tax rate of 32.9%, used for the nine months ended June 30, 2017 differs from our statutory rate of 35.0% due to research and development tax credits which reduced taxes payable slightly below our statutory rate. For the nine months ended June 30, 2016, our estimated annual effective tax rate of 33.3% differed from the statutory rate of 35.0% primarily due to reinstatement of the federal research and development tax credits which are included in our annual effective tax rate.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June 30, 2017, our principal sources of liquidity were cash, cash equivalents and short-term and long-term marketable securities totaling $235.3 million.</w:t>
      </w:r>
    </w:p>
    <w:p>
      <w:pPr>
        <w:spacing w:after="0" w:line="24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From our inception through June 30, 2017, we have financed our operations primarily through contract payments under our collaborations, government research and development contracts, and the net proceeds from our initial public offering of our equity. The following table shows a summary of our cash flows for the nine months ended June 30, 2017 and 2016:</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93"/>
              </w:rPr>
              <w:t>Nine Months Ended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2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vMerge w:val="restart"/>
          </w:tcPr>
          <w:p>
            <w:pPr>
              <w:ind w:left="240"/>
              <w:spacing w:after="0"/>
              <w:rPr>
                <w:sz w:val="20"/>
                <w:szCs w:val="20"/>
                <w:color w:val="auto"/>
              </w:rPr>
            </w:pPr>
            <w:r>
              <w:rPr>
                <w:rFonts w:ascii="Arial" w:cs="Arial" w:eastAsia="Arial" w:hAnsi="Arial"/>
                <w:sz w:val="18"/>
                <w:szCs w:val="18"/>
                <w:color w:val="auto"/>
              </w:rPr>
              <w:t>Cash provided by (used in):</w:t>
            </w:r>
          </w:p>
        </w:tc>
        <w:tc>
          <w:tcPr>
            <w:tcW w:w="220" w:type="dxa"/>
            <w:vAlign w:val="bottom"/>
          </w:tcPr>
          <w:p>
            <w:pPr>
              <w:spacing w:after="0"/>
              <w:rPr>
                <w:sz w:val="15"/>
                <w:szCs w:val="15"/>
                <w:color w:val="auto"/>
              </w:rPr>
            </w:pPr>
          </w:p>
        </w:tc>
        <w:tc>
          <w:tcPr>
            <w:tcW w:w="1780" w:type="dxa"/>
            <w:vAlign w:val="bottom"/>
            <w:gridSpan w:val="4"/>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10,329</w:t>
            </w:r>
          </w:p>
        </w:tc>
        <w:tc>
          <w:tcPr>
            <w:tcW w:w="60" w:type="dxa"/>
            <w:vAlign w:val="bottom"/>
          </w:tcPr>
          <w:p>
            <w:pPr>
              <w:spacing w:after="0"/>
              <w:rPr>
                <w:sz w:val="19"/>
                <w:szCs w:val="19"/>
                <w:color w:val="auto"/>
              </w:rPr>
            </w:pPr>
          </w:p>
        </w:tc>
        <w:tc>
          <w:tcPr>
            <w:tcW w:w="9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(37,516)</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cash provided by operating activities of $42.6 million for the nine months ended June 30, 2017 as compared to the same period in 2016 is driven primarily by the absence in 2017 of the $30.0 million milestone payment we received from AbbVie in the 2016 period. In addition, we increased cash spending on research and development during the nine months ended June 30, 2017 compared to the same period in 2016, which was reflected in our net loss, in order to progress clinical development and preclinical research in our proprietary programs. These decreases to our operating income were partially offset by a decrease in tax payments, net of refunds received, as reflected in our income tax expense, based on lower projected income before income tax in the current year compared to the same period in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increase in cash provided by investing activities of $47.8 million for the nine months ended June 30, 2017 as compared to the same period in 2016 was driven by timing of purchases, sales and maturities of marketable securities as well as a decrease of $2.1 million in capital asset outlay in 2017 compared to our investment in the expansion of our research facility, which was completed in fiscal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decrease in net cash provided by financing activities of $2.6 million for the nine months ended June 30, 2017 as compared to the same period in 2016 was driven by a decrease in exercises of stock options in 2017, as well as payments of tax withholding for settlement of performance stock units in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2017, we had $235.3 million in cash, cash equivalents and short-term and long-term marketable securities. We believe that our existing cash, cash equivalents and marketable securities as of June 30, 2017,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2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5" w:name="page26"/>
    <w:bookmarkEnd w:id="25"/>
    <w:p>
      <w:pPr>
        <w:ind w:left="1040" w:hanging="55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receipt and amount of royalties on paritaprevir and glecaprevir and any sales of our product candidates, if any, or royalties thereon;</w:t>
      </w:r>
    </w:p>
    <w:p>
      <w:pPr>
        <w:spacing w:after="0" w:line="140" w:lineRule="exact"/>
        <w:rPr>
          <w:rFonts w:ascii="Arial" w:cs="Arial" w:eastAsia="Arial" w:hAnsi="Arial"/>
          <w:sz w:val="16"/>
          <w:szCs w:val="16"/>
          <w:color w:val="auto"/>
        </w:rPr>
      </w:pPr>
    </w:p>
    <w:p>
      <w:pPr>
        <w:ind w:left="1040" w:hanging="55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20" w:hanging="55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20" w:hanging="55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40" w:hanging="55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40" w:hanging="55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2016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nine months ended June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$235.3 million at June 30, 2017 consisting of cash, money market funds, commercial paper, corporate bonds and government securities. Interest income is sensitive to changes in the general level of interest rates; however, due to the nature of these investments, a 1% change in market interest rates would not be expected to have a material impact on our financial condition or results of operations. Other than our capital lease obligation, we had no debt outstanding as of June 30, 2017.</w:t>
      </w: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380"/>
          </w:cols>
          <w:pgMar w:left="240" w:top="328" w:right="27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40"/>
          </w:cols>
          <w:pgMar w:left="240" w:top="328" w:right="279" w:bottom="1440" w:gutter="0" w:footer="0" w:header="0"/>
          <w:type w:val="continuous"/>
        </w:sect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our protease inhibitors paritaprevir or glecaprevir (ABT-493) for the treatment of HCV. AbbVie may act in its best interest rather than in our best interest, which could adversely affect our business.</w:t>
      </w:r>
    </w:p>
    <w:p>
      <w:pPr>
        <w:spacing w:after="0" w:line="7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rely on AbbVie to fund and conduct the clinical development and commercialization of regimens containing paritaprevir or glecaprevir (ABT-493) (our second protease inhibitor, currently approved in the E.U. and the U.S. and under regulatory review in Japan), over which we have granted AbbVie complete control. Our ability to generate significant revenue in the near term will depend primarily on the success of AbbVie’s continued efforts to commercialize its paritaprevir-containing regimens in markets worldwide, as well as the successful regulatory approval, marketing and commercialization by AbbVie of its G/P combination approved as MAVIRET™ in the E.U. and MAVYRET™ in the U.S. Such successes are subject to significant uncertainty, and we have no control over the resources, time and effort that AbbVie may devote to its regimens containing paritaprevir or glecaprevir. Any of several events or factors could have a material adverse effect on our ability to generate revenue from AbbVie’s commercialization of paritaprevir or glecaprevir in combination therapies. For example, AbbVie:</w:t>
      </w:r>
    </w:p>
    <w:p>
      <w:pPr>
        <w:spacing w:after="0" w:line="84" w:lineRule="exact"/>
        <w:rPr>
          <w:sz w:val="20"/>
          <w:szCs w:val="20"/>
          <w:color w:val="auto"/>
        </w:rPr>
      </w:pPr>
    </w:p>
    <w:p>
      <w:pPr>
        <w:ind w:left="1040" w:right="1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inhibitors in the various markets of the world where these therapies are being introduced and sold by AbbVie;</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compete successfully with its combination therapies against other products and therapies for HCV, especially as new therapies are introduced into the market over the next few years;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experience different competitive challenges and market opportunity for its paritaprevir-containing regimens as it begins to commercialize its HCV combination containing glecaprevir in the U.S. and the E.U.;</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regimens containing paritaprevir or glecaprevir;</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not commit sufficient resources to the regulatory approval of regimens containing glecaprevir or to the marketing and distribution of regimens containing paritaprevir or glecaprevir, whether for competitive or strategic reasons or otherwise due to a change in business priorities;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glecaprevir in the treatment of HCV.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type w:val="continuous"/>
        </w:sectPr>
      </w:pPr>
    </w:p>
    <w:bookmarkStart w:id="27" w:name="page28"/>
    <w:bookmarkEnd w:id="27"/>
    <w:p>
      <w:pPr>
        <w:ind w:right="40"/>
        <w:spacing w:after="0" w:line="271" w:lineRule="auto"/>
        <w:rPr>
          <w:sz w:val="20"/>
          <w:szCs w:val="20"/>
          <w:color w:val="auto"/>
        </w:rPr>
      </w:pPr>
      <w:r>
        <w:rPr>
          <w:rFonts w:ascii="Arial" w:cs="Arial" w:eastAsia="Arial" w:hAnsi="Arial"/>
          <w:sz w:val="17"/>
          <w:szCs w:val="17"/>
          <w:color w:val="auto"/>
        </w:rPr>
        <w:t>We do not have access to all information regarding the products being developed and commercialized by AbbVie, including certain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global commercialization of paritaprevir and the regulatory approval and commercialization efforts related to glecaprevir could be delayed or terminated or be commercially unsuccessful. In addition, AbbVie has the right to make decisions regarding the development and commercialization of product candidates without consulting us, and may make decisions with which we do not agree. If AbbVie acts in a manner that is not in our best interest, then it could adversely affect our business and prospects.</w:t>
      </w:r>
    </w:p>
    <w:p>
      <w:pPr>
        <w:spacing w:after="0" w:line="2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maintain current levels of sales of these regimens, our royalty revenues and results of operations would be adversely affected.</w:t>
      </w:r>
    </w:p>
    <w:p>
      <w:pPr>
        <w:spacing w:after="0" w:line="6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quarterly royalty revenue from AbbVie’s net sales of HCV treatment regimens containing paritaprevir has declined since those sales peaked in the first quarter of our fiscal 2016. While commercialization of these regimens is exclusively in AbbVie’s control without any input from us, we believe it is possible that prices will decline further due to payers obtaining additional discounts, a shift in AbbVie’s payer mix toward more deeply discounted segments, particularly outside of the United States, and a decline in AbbVie’s market share due to increased competition. We also note that AbbVie’s principal competitor in HCV has reported a decline across all major geographic markets in the number of new patients starting on DAA treatments for HCV.</w:t>
      </w:r>
    </w:p>
    <w:p>
      <w:pPr>
        <w:spacing w:after="0" w:line="15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regimens from their formulary coverage lists or limit the types of patients for whom coverage will be provided. Any such change in formulary coverage, discounts or rebates or reimbursement for AbbVie’s HCV regimens would negatively affect the demand for such regimens and our royalty revenues from them.</w:t>
      </w:r>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HBV and RSV, as well as other liver diseases and viral infections, which may result in others discovering, developing or commercializing products before we do or doing so more successfully than we or our collaborators.</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HBV, RSV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We expect AbbVie’s HCV treatment regimens containing any of our licensed protease inhibitors to face intense and increasing competition due to existing approved products and any new products that may enter the HCV market. AbbVie’s HCV treatment regimens currently face competition in various world markets and subpopulations of HCV from Gilead’s Sovaldi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(sofosbuvir), Harvoni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fixed-dose combination of sofosbuvir and ledipasvirm), Epclusa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fixed dose combination of sofosbuvir and velpatasvir) and Vosevi™ (a triple combination therapy of sofosbuvir, velpatasvir and voxilaprevir approved by the FDA in July 2017 for specified sofosbuvir -treatment failures and NS5A-inhibitor treatment failures); Merck’s Zepatier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 fixed-dose combination of grazoprevir and elbasvir); Bristol-Myers Squibb’s Daklinza™ (daclatasvir) and daclatasvir in combination with asunaprevir; and Johnson &amp; Johnson’s Olysio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(simeprevir). Other all-oral treatment regimens are under development at Merck and Johnson &amp; Johnson and may obtain regulatory approvals for the treatment of HCV in the next one to three years. These other potential new treatment regimens may render AbbVie’s initial HCV approved treatment regimens or its next combination regimen (G/P) recently approved 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t>the E.U. under the trade name MAVIRET and in the U.S. under the trade name MAVYRET, and currently under regulatory review in Japan, noncompetitive or less competitive.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AbbVie, obsolete or noncompetitive. Even if successfully developed and subsequently approved by the FDA, AbbVie’s regimens that contain one of our collaboration’s protease inhibitors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also expect our other product candidates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Gilead, and Tobira (Allergan). In May 2016, the FDA approved Intercept’s FXR agonist (brand name Ocaliva</w:t>
      </w:r>
      <w:r>
        <w:rPr>
          <w:rFonts w:ascii="Arial" w:cs="Arial" w:eastAsia="Arial" w:hAnsi="Arial"/>
          <w:sz w:val="25"/>
          <w:szCs w:val="25"/>
          <w:color w:val="auto"/>
          <w:vertAlign w:val="superscript"/>
        </w:rPr>
        <w:t>®</w:t>
      </w:r>
      <w:r>
        <w:rPr>
          <w:rFonts w:ascii="Arial" w:cs="Arial" w:eastAsia="Arial" w:hAnsi="Arial"/>
          <w:sz w:val="17"/>
          <w:szCs w:val="17"/>
          <w:color w:val="auto"/>
        </w:rPr>
        <w:t>) for the treatment of primary biliary cholangitis (PBC). In addition, a number of companies are in Phase 2 clinical trials for NASH or related conditions. These companies include Alberio, Arisaph, Astra-Zeneca, BMS, Conatus, Cirius, Galectin, Galmed, Gilead, GlaxoSmithKline, Immuron, Inventiva, Medicinova, Novartis, NGM Novo Nordisk, Shire, and Viking. A significant number of other companies are conducting earlier clinical trials that may be applicable in NASH and other cholestatic diseases, including Bird Rock Bio, Arena Pharmaceuticals, Fast Forward Pharmaceuticals, Boehringer Ingelheim, Can-Fite Biopharma, Cymabay, Durect, Genkyotex, Ionis, and Islet, and there are additional companies conducting preclinical studies in these disease areas.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Ionis, Johnson &amp; Johnson, Maxwell, Replicor, Roche and Spring Bank have Phase 2 programs in progress, and a number of companies have Phase 1 or earlier stage HBV programs, including Aicuris, Alnylam, Atlimmune, Arbutus, Assembly, Enyo, Johnson &amp; Johnson, Roche, Transgene, Ionis, Spring Bank and Replicor.</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settings. Ark Bioscienes, Aviragen (formerly Biota), Johnson &amp; Johnson and Gilead each have compounds in Phase 2 development, as does Ablynx with a potential therapeutic antibody. Earlier stage, small molecule programs have also been reported by Medivir, Pulmocide, and ReViral. A prophylactic, monoclonal-antibody-based treatment from MedImmune, which is commercialized by AbbVie outside of the U.S., is approved for infants considered at high risk for RSV infection; however studies have found that most young children affected by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AbbVie has been and will continue to be responsible for all of the clinical development of our paritaprevir and glecaprevir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HBV and RSV programs, we will need to successfully:</w:t>
      </w:r>
    </w:p>
    <w:p>
      <w:pPr>
        <w:spacing w:after="0" w:line="63" w:lineRule="exact"/>
        <w:rPr>
          <w:sz w:val="20"/>
          <w:szCs w:val="20"/>
          <w:color w:val="auto"/>
        </w:rPr>
      </w:pPr>
    </w:p>
    <w:p>
      <w:pPr>
        <w:ind w:left="1040" w:right="1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glecaprevir, EDP-305, and EDP-938, our ability to expand our business and achieve our strategic objectives will be impaired.</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ind w:right="360"/>
        <w:spacing w:after="0" w:line="259" w:lineRule="auto"/>
        <w:rPr>
          <w:sz w:val="20"/>
          <w:szCs w:val="20"/>
          <w:color w:val="auto"/>
        </w:rPr>
      </w:pPr>
      <w:r>
        <w:rPr>
          <w:rFonts w:ascii="Arial" w:cs="Arial" w:eastAsia="Arial" w:hAnsi="Arial"/>
          <w:sz w:val="18"/>
          <w:szCs w:val="18"/>
          <w:color w:val="auto"/>
        </w:rPr>
        <w:t>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30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each of our 2016, 2015 and 2014 fiscal years our net income resulted primarily from license payments, including milestone payments we earned from AbbVie and royalties we earned since December 2014 on AbbVie’s net sales allocated to paritaprevir. There is no assurance, however, that we will report net income in subsequent years. To date, we have not commercialized any products ourselves.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products containing paritaprevir or glecaprevir are uncertain given the competitive nature of the market for HCV therapies, the emergence of new, and in some cases, not yet approved, therapies for HCV, price competition, the changing nature of payer contracts of AbbVie and others, and the varying rates of reimbursement in different countries. At any time, AbbVie may choose not to continue its commercialization activities for the G/P combination.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the G/P combination may not be accepted in the market. If we are unable to develop and commercialize any more of our product candidates, either alone or with a collaborator, or if any such product candidate does not achieve market acceptance, we may not generate sufficient product royalties or product sales. In addition, for any of our product candidates other than paritaprevir or glecaprevir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9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may require substantial additional financing in the longer term to achieve our goals if the further commercialization of paritaprevir is curtailed or if any regulatory approval or commercialization of glecaprevir is delayed, terminated or is not successful. A failure to obtain this necessary capital when needed could force us to delay, limit, reduce or terminate some or all of our product development efforts.</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glecaprevir. In addition, we may seek opportunities to in-license or otherwise acquire new therapeutic candidates and therapies.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hanging="55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40" w:hanging="55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5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receipt and amount of royalties on paritaprevir and glecaprevir and any sales of our product candidates, if any, or royalties thereon;</w:t>
      </w:r>
    </w:p>
    <w:p>
      <w:pPr>
        <w:spacing w:after="0" w:line="140" w:lineRule="exact"/>
        <w:rPr>
          <w:rFonts w:ascii="Arial" w:cs="Arial" w:eastAsia="Arial" w:hAnsi="Arial"/>
          <w:sz w:val="16"/>
          <w:szCs w:val="16"/>
          <w:color w:val="auto"/>
        </w:rPr>
      </w:pPr>
    </w:p>
    <w:p>
      <w:pPr>
        <w:ind w:left="1040" w:hanging="55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20" w:hanging="55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20" w:hanging="55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40" w:hanging="55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40" w:hanging="55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uncertain timelines and uncertain outcomes. If clinical trials are prolonged or delayed, we or any future collaborator may be unable to commercialize our product candidates on a timely basis.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Phase 2 clinical trials. Any future clinical trials of our other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1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HBV, HCV, NASH, PBC or RSV;</w:t>
      </w:r>
    </w:p>
    <w:p>
      <w:pPr>
        <w:spacing w:after="0" w:line="62" w:lineRule="exact"/>
        <w:rPr>
          <w:rFonts w:ascii="Arial" w:cs="Arial" w:eastAsia="Arial" w:hAnsi="Arial"/>
          <w:sz w:val="18"/>
          <w:szCs w:val="18"/>
          <w:color w:val="auto"/>
        </w:rPr>
      </w:pPr>
    </w:p>
    <w:p>
      <w:pPr>
        <w:ind w:left="1040" w:right="300" w:hanging="519"/>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of any Phase 3 clinical trial may not be adequate to support marketing approval for AbbVie’s G/P combination regimen in jurisdictions where G/P has yet to receive regulatory approval. In addition, if regulatory authorities outside the E.U. and the U.S. disagree with AbbVie’s choice of the key testing criteria, or primary endpoint, or the results for the primary endpoint are subject to confounding factors, the regulatory authorities may refuse to approve AbbVie’s G/P combination regimen. Regulatory authorities outside the E.U. and the U.S. may also require additional clinical trials as a condition for approving AbbVie’s G/P combination regimen.</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7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EDP-305 or any other product candidate emerging from our current NASH, PBC, HBV and RSV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6"/>
          <w:szCs w:val="26"/>
          <w:color w:val="auto"/>
          <w:vertAlign w:val="superscript"/>
        </w:rPr>
        <w:t>®</w:t>
      </w:r>
      <w:r>
        <w:rPr>
          <w:rFonts w:ascii="Arial" w:cs="Arial" w:eastAsia="Arial" w:hAnsi="Arial"/>
          <w:sz w:val="18"/>
          <w:szCs w:val="18"/>
          <w:color w:val="auto"/>
        </w:rPr>
        <w:t>, approved in May 2016 for PBC, and an older drug not commonly used but approved to treat cholesterol gallstone (by dissolving them) and a rare lipid storage disease. Unforeseen side effects from any of our product candidates could arise either during clinical development or, if approved, after the approved product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has been marketed. The range and potential severity of possible side effects from systemic therapies like FXR agonists could be significant.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right="20"/>
        <w:spacing w:after="0" w:line="308" w:lineRule="auto"/>
        <w:rPr>
          <w:sz w:val="20"/>
          <w:szCs w:val="20"/>
          <w:color w:val="auto"/>
        </w:rPr>
      </w:pPr>
      <w:r>
        <w:rPr>
          <w:rFonts w:ascii="Arial" w:cs="Arial" w:eastAsia="Arial" w:hAnsi="Arial"/>
          <w:sz w:val="17"/>
          <w:szCs w:val="17"/>
          <w:color w:val="auto"/>
        </w:rPr>
        <w:t>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25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and is responsible for obtaining regulatory approvals for glecaprevir.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right="8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40" w:hanging="519"/>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38" w:lineRule="exact"/>
        <w:rPr>
          <w:rFonts w:ascii="Arial" w:cs="Arial" w:eastAsia="Arial" w:hAnsi="Arial"/>
          <w:sz w:val="17"/>
          <w:szCs w:val="17"/>
          <w:color w:val="auto"/>
        </w:rPr>
      </w:pPr>
    </w:p>
    <w:p>
      <w:pPr>
        <w:ind w:left="1040" w:right="4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14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we or our collaborator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Even if AbbVie successfully commercializes G/P, or even if we are able to commercialize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3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will continue to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19 that have rejected the expansion of Medicaid eligibility for low income citizens, and some members of the</w:t>
      </w:r>
    </w:p>
    <w:p>
      <w:pPr>
        <w:spacing w:after="0" w:line="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U.S. Congress are still working to repeal the ACA. More recently, President Trump and the Republican majorities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AbbVie’s commercialization of its HCV regimens.</w:t>
      </w:r>
    </w:p>
    <w:p>
      <w:pPr>
        <w:spacing w:after="0" w:line="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AbbVie and our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developed under our collaboration with AbbVie. The implementation of cost containment measures or other healthcare reforms may limit our ability to generate revenue, maintain profitability or commercialize our product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glecaprevir, as well as similar market acceptance of any other product candidates we plan to develop independently or in collaboration with others.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Paritaprevir, glecaprevir, as well as EDP-305,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80" w:lineRule="exact"/>
        <w:rPr>
          <w:sz w:val="20"/>
          <w:szCs w:val="20"/>
          <w:color w:val="auto"/>
        </w:rPr>
      </w:pPr>
    </w:p>
    <w:p>
      <w:pPr>
        <w:ind w:left="1040" w:right="36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8" w:name="page39"/>
    <w:bookmarkEnd w:id="38"/>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or any collaborator’s sales and marketing efforts.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manufacturing for our lead product candidates paritaprevir and glecaprevir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spacing w:after="0" w:line="253" w:lineRule="auto"/>
        <w:rPr>
          <w:sz w:val="20"/>
          <w:szCs w:val="20"/>
          <w:color w:val="auto"/>
        </w:rPr>
      </w:pPr>
      <w:r>
        <w:rPr>
          <w:rFonts w:ascii="Arial" w:cs="Arial" w:eastAsia="Arial" w:hAnsi="Arial"/>
          <w:sz w:val="18"/>
          <w:szCs w:val="18"/>
          <w:color w:val="auto"/>
        </w:rPr>
        <w:t>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30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ind w:right="60"/>
        <w:spacing w:after="0" w:line="259" w:lineRule="auto"/>
        <w:rPr>
          <w:sz w:val="20"/>
          <w:szCs w:val="20"/>
          <w:color w:val="auto"/>
        </w:rPr>
      </w:pPr>
      <w:r>
        <w:rPr>
          <w:rFonts w:ascii="Arial" w:cs="Arial" w:eastAsia="Arial" w:hAnsi="Arial"/>
          <w:sz w:val="18"/>
          <w:szCs w:val="18"/>
          <w:color w:val="auto"/>
        </w:rPr>
        <w:t>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right="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73"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20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63" w:lineRule="exact"/>
        <w:rPr>
          <w:rFonts w:ascii="Arial" w:cs="Arial" w:eastAsia="Arial" w:hAnsi="Arial"/>
          <w:sz w:val="17"/>
          <w:szCs w:val="17"/>
          <w:color w:val="auto"/>
        </w:rPr>
      </w:pPr>
    </w:p>
    <w:p>
      <w:pPr>
        <w:ind w:left="1040" w:right="2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right="26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63" w:lineRule="exact"/>
        <w:rPr>
          <w:rFonts w:ascii="Arial" w:cs="Arial" w:eastAsia="Arial" w:hAnsi="Arial"/>
          <w:sz w:val="17"/>
          <w:szCs w:val="17"/>
          <w:color w:val="auto"/>
        </w:rPr>
      </w:pPr>
    </w:p>
    <w:p>
      <w:pPr>
        <w:ind w:left="1040" w:right="88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has been widely reported, global credit and financial markets experienced extreme disruptions in several prior years, including declines in consumer confidence and declines in economic growth, and there is uncertainty about future economic growth and stability. There can be no assurance that deterioration in credit or financial markets and confidence in economic conditions will not recur. Our general business strategy may be adversely affected by any such recurrence of volatile business environment or unpredictable and unstable market conditions, particularly for securities of biotechnology companies such as our common stock. There is a possibility that our stock price may decline, due in part to any volatility of the stock market or any general economic downturn. If the current equity and credit markets become more volatile and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6" w:name="page47"/>
    <w:bookmarkEnd w:id="46"/>
    <w:p>
      <w:pPr>
        <w:ind w:right="2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4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60" w:hanging="519"/>
        <w:spacing w:after="0" w:line="28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4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8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10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80" w:hanging="519"/>
        <w:spacing w:after="0" w:line="27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240"/>
        <w:spacing w:after="0" w:line="277" w:lineRule="auto"/>
        <w:rPr>
          <w:sz w:val="20"/>
          <w:szCs w:val="20"/>
          <w:color w:val="auto"/>
        </w:rPr>
      </w:pPr>
      <w:r>
        <w:rPr>
          <w:rFonts w:ascii="Arial" w:cs="Arial" w:eastAsia="Arial" w:hAnsi="Arial"/>
          <w:sz w:val="18"/>
          <w:szCs w:val="18"/>
          <w:color w:val="auto"/>
        </w:rPr>
        <w:t>hazardous materials, we could be held liable for any resulting damages, and any liability could exceed our resources. We also could incur significant costs associated with civil or criminal fines and penalties.</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with HCV therapies on the market or developing potential therapies for NASH and other liver diseases in particular, have experienced extreme volatility that has often been unrelated to the operating performance of specific companies. As a result of this volatility, you may not be able to sell your common stock at or above your purchase price, if at all. The market price for our common stock may be influenced by many factors, including:</w:t>
      </w:r>
    </w:p>
    <w:p>
      <w:pPr>
        <w:spacing w:after="0" w:line="70" w:lineRule="exact"/>
        <w:rPr>
          <w:sz w:val="20"/>
          <w:szCs w:val="20"/>
          <w:color w:val="auto"/>
        </w:rPr>
      </w:pPr>
    </w:p>
    <w:p>
      <w:pPr>
        <w:ind w:left="1040" w:right="1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actions by AbbVie regarding its HCV treatment regimens containing paritaprevir or glecaprevir, including announcements regarding clinical, regulatory or commercial developments or our collaboration;</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HCV treatment regimens containing paritaprevir or glecaprevir or competitive HCV drugs;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G/P combination to achieve commercial success;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collaborator’s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48" w:name="page49"/>
    <w:bookmarkEnd w:id="48"/>
    <w:p>
      <w:pPr>
        <w:ind w:left="1040" w:right="5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$4.1 million for severance and other non-equity-based benefits in the event of a termination of employment in connection with a change of control of our company. In addition, based on the June 30, 2017 closing price of our common stock of $35.98 per share, the aggregate intrinsic value of unvested stock options and other equity awards subject to accelerated vesting upon these events was $9.8 million as of June 30, 2017.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Based on the market value of our common stock at March 31, 2017 and the number of shares of our common stock held by non-affiliates, we will continue to be an “emerging growth company” until our fiscal 2018.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will continue to be an “emerging growth company” until our fiscal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2017, we had 19,089,729 outstanding shares of common stock. In addition, at that date 2,280,031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280"/>
        <w:spacing w:after="0" w:line="312" w:lineRule="auto"/>
        <w:rPr>
          <w:sz w:val="20"/>
          <w:szCs w:val="20"/>
          <w:color w:val="auto"/>
        </w:rPr>
      </w:pPr>
      <w:r>
        <w:rPr>
          <w:rFonts w:ascii="Arial" w:cs="Arial" w:eastAsia="Arial" w:hAnsi="Arial"/>
          <w:sz w:val="16"/>
          <w:szCs w:val="16"/>
          <w:color w:val="auto"/>
        </w:rPr>
        <w:t>249,356 shares of common stock that are subject to outstanding options or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Restated Certificate of Incorporation of Enanta Pharmaceuticals, Inc.</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Amended and Restated Bylaws of Enanta Pharmaceuticals, Inc.</w:t>
            </w:r>
          </w:p>
        </w:tc>
        <w:tc>
          <w:tcPr>
            <w:tcW w:w="0" w:type="dxa"/>
            <w:vAlign w:val="bottom"/>
          </w:tcPr>
          <w:p>
            <w:pPr>
              <w:spacing w:after="0"/>
              <w:rPr>
                <w:sz w:val="1"/>
                <w:szCs w:val="1"/>
                <w:color w:val="auto"/>
              </w:rPr>
            </w:pPr>
          </w:p>
        </w:tc>
      </w:tr>
      <w:tr>
        <w:trPr>
          <w:trHeight w:val="3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or 15d-14(a) of the Securities Exchange Act of 1934.</w:t>
            </w:r>
          </w:p>
        </w:tc>
        <w:tc>
          <w:tcPr>
            <w:tcW w:w="0" w:type="dxa"/>
            <w:vAlign w:val="bottom"/>
          </w:tcPr>
          <w:p>
            <w:pPr>
              <w:spacing w:after="0"/>
              <w:rPr>
                <w:sz w:val="1"/>
                <w:szCs w:val="1"/>
                <w:color w:val="auto"/>
              </w:rPr>
            </w:pPr>
          </w:p>
        </w:tc>
      </w:tr>
      <w:tr>
        <w:trPr>
          <w:trHeight w:val="3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Rule 13a-14(a) or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15d-14(a) of the Securities Exchange Act of 1934.</w:t>
            </w:r>
          </w:p>
        </w:tc>
        <w:tc>
          <w:tcPr>
            <w:tcW w:w="0" w:type="dxa"/>
            <w:vAlign w:val="bottom"/>
          </w:tcPr>
          <w:p>
            <w:pPr>
              <w:spacing w:after="0"/>
              <w:rPr>
                <w:sz w:val="1"/>
                <w:szCs w:val="1"/>
                <w:color w:val="auto"/>
              </w:rPr>
            </w:pPr>
          </w:p>
        </w:tc>
      </w:tr>
      <w:tr>
        <w:trPr>
          <w:trHeight w:val="3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Certification of the Chief Executive Officer and Chief Financial Officer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0"/>
              </w:rPr>
              <w:t>pursuant to 18 U.S.C. Section 1350, as adopted pursuant to Section 906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200" w:hanging="708"/>
        <w:spacing w:after="0" w:line="288"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of June 30, 2017, formatted in XBRL (eXtensible Business Reporting Language):</w:t>
      </w:r>
    </w:p>
    <w:p>
      <w:pPr>
        <w:ind w:left="1040" w:right="20"/>
        <w:spacing w:after="0" w:line="287" w:lineRule="auto"/>
        <w:rPr>
          <w:rFonts w:ascii="Arial" w:cs="Arial" w:eastAsia="Arial" w:hAnsi="Arial"/>
          <w:sz w:val="16"/>
          <w:szCs w:val="16"/>
          <w:color w:val="auto"/>
        </w:rPr>
      </w:pPr>
      <w:r>
        <w:rPr>
          <w:rFonts w:ascii="Arial" w:cs="Arial" w:eastAsia="Arial" w:hAnsi="Arial"/>
          <w:sz w:val="16"/>
          <w:szCs w:val="16"/>
          <w:color w:val="auto"/>
        </w:rPr>
        <w:t>(i) Consolidated Balance Sheets as of June 30, 2017 and September 30, 2016 of Enanta Pharmaceuticals, Inc., (ii) Consolidated Statements of Operations for the three and nine months ended June 30, 2017 and 2016 of Enanta Pharmaceuticals, Inc., (iii) Consolidated Statements of Comprehensive Income (Loss) for the three and nine months ended June 30, 2017 and 2016 of Enanta Pharmaceuticals, Inc., (iv) Consolidated Statements of Cash Flows for the nine months ended June 30, 2017 and 2016 of Enanta Pharmaceuticals, Inc., and (v) Notes to Consolidated Financial Statements of Enanta Pharmaceuticals, Inc.</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20"/>
            <w:col w:w="500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51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00" w:type="dxa"/>
            <w:vAlign w:val="bottom"/>
            <w:vMerge w:val="restart"/>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5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1"/>
        </w:trPr>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5"/>
              </w:rPr>
              <w:t>Restated Certificate of Incorporation of Enanta Pharmaceuticals, Inc.</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w w:val="97"/>
              </w:rPr>
              <w:t>001-35839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Amended and Restated Bylaws of Enanta Pharmaceuticals, Inc.</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w w:val="97"/>
              </w:rPr>
              <w:t>001-35839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or 15d-14(a) of the Securities Exchange Act of 1934.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Rule 13a-14(a) or</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15d-14(a) of the Securities Exchange Act of 1934.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and Chief Financial</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Officer pursuant to 18 U.S.C. Section 1350, as adopted pursuant to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The following materials from the Quarterly Report of Enanta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4"/>
              </w:rPr>
              <w:t>Pharmaceuticals, Inc. on Form 10-Q for the quarter ended of 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5"/>
              </w:rPr>
              <w:t>2017, formatted in XBRL (eXtensible Business Reporting Language):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5240" w:firstLine="8"/>
        <w:spacing w:after="0" w:line="287" w:lineRule="auto"/>
        <w:tabs>
          <w:tab w:leader="none" w:pos="1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Consolidated Balance Sheets as of June 30, 2017 and September 30, 2016 of Enanta Pharmaceuticals, Inc., (ii) Consolidated Statements of Operations for the three and nine months ended June 30, 2017 and 2016 of Enanta Pharmaceuticals, Inc., (iii) Consolidated Statements of Comprehensive Income (Loss) for the three and nine months ended June 30, 2017 and 2016 of Enanta Pharmaceuticals, Inc., (iv) Consolidated Statements of Cash Flows for the nine months ended June 30, 2017 and 2016 of Enanta Pharmaceuticals, Inc., and (v) Notes to Consolidated Financial Statements of Enanta Pharmaceuticals, Inc.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2017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Dated: August 9, 2017</w:t>
            </w:r>
          </w:p>
        </w:tc>
        <w:tc>
          <w:tcPr>
            <w:tcW w:w="306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Dated: August 9, 2017</w:t>
            </w:r>
          </w:p>
        </w:tc>
        <w:tc>
          <w:tcPr>
            <w:tcW w:w="306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0"/>
    </w:lvl>
  </w:abstractNum>
  <w:abstractNum w:abstractNumId="12">
    <w:nsid w:val="7C3DBD3D"/>
    <w:multiLevelType w:val="hybridMultilevel"/>
    <w:lvl w:ilvl="0">
      <w:lvlJc w:val="left"/>
      <w:lvlText w:val="%1."/>
      <w:numFmt w:val="decimal"/>
      <w:start w:val="11"/>
    </w:lvl>
  </w:abstractNum>
  <w:abstractNum w:abstractNumId="13">
    <w:nsid w:val="737B8DDC"/>
    <w:multiLevelType w:val="hybridMultilevel"/>
    <w:lvl w:ilvl="0">
      <w:lvlJc w:val="left"/>
      <w:lvlText w:val="%1."/>
      <w:numFmt w:val="decimal"/>
      <w:start w:val="12"/>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o"/>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2"/>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01"/>
    </w:lvl>
  </w:abstractNum>
  <w:abstractNum w:abstractNumId="46">
    <w:nsid w:val="7644A45C"/>
    <w:multiLevelType w:val="hybridMultilevel"/>
    <w:lvl w:ilvl="0">
      <w:lvlJc w:val="left"/>
      <w:lvlText w:val="(%1)"/>
      <w:numFmt w:val="lowerRoman"/>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2019-12-29T04:46:28Z</dcterms:created>
  <dcterms:modified xsi:type="dcterms:W3CDTF">2019-12-29T04:46:28Z</dcterms:modified>
</cp:coreProperties>
</file>