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p>
      <w:pPr>
        <w:ind w:left="580" w:right="160" w:hanging="559"/>
        <w:spacing w:after="0" w:line="262"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80" w:right="140" w:hanging="559"/>
        <w:spacing w:after="0" w:line="262" w:lineRule="auto"/>
        <w:tabs>
          <w:tab w:leader="none" w:pos="5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ENANTA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8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1940" w:type="dxa"/>
            <w:vAlign w:val="bottom"/>
          </w:tcPr>
          <w:p>
            <w:pPr>
              <w:spacing w:after="0"/>
              <w:rPr>
                <w:sz w:val="20"/>
                <w:szCs w:val="20"/>
                <w:color w:val="auto"/>
              </w:rPr>
            </w:pPr>
          </w:p>
        </w:tc>
        <w:tc>
          <w:tcPr>
            <w:tcW w:w="4500" w:type="dxa"/>
            <w:vAlign w:val="bottom"/>
            <w:gridSpan w:val="2"/>
          </w:tcPr>
          <w:p>
            <w:pPr>
              <w:jc w:val="right"/>
              <w:ind w:right="1344"/>
              <w:spacing w:after="0"/>
              <w:rPr>
                <w:sz w:val="20"/>
                <w:szCs w:val="20"/>
                <w:color w:val="auto"/>
              </w:rPr>
            </w:pPr>
            <w:r>
              <w:rPr>
                <w:rFonts w:ascii="Times New Roman" w:cs="Times New Roman" w:eastAsia="Times New Roman" w:hAnsi="Times New Roman"/>
                <w:sz w:val="18"/>
                <w:szCs w:val="18"/>
                <w:b w:val="1"/>
                <w:bCs w:val="1"/>
                <w:color w:val="auto"/>
              </w:rPr>
              <w:t>04-3205099</w:t>
            </w:r>
          </w:p>
        </w:tc>
      </w:tr>
      <w:tr>
        <w:trPr>
          <w:trHeight w:val="151"/>
        </w:trPr>
        <w:tc>
          <w:tcPr>
            <w:tcW w:w="4800" w:type="dxa"/>
            <w:vAlign w:val="bottom"/>
            <w:gridSpan w:val="3"/>
          </w:tcPr>
          <w:p>
            <w:pPr>
              <w:jc w:val="center"/>
              <w:ind w:right="1080"/>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0" w:type="dxa"/>
            <w:vAlign w:val="bottom"/>
          </w:tcPr>
          <w:p>
            <w:pPr>
              <w:jc w:val="center"/>
              <w:ind w:left="244"/>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80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636"/>
        </w:trPr>
        <w:tc>
          <w:tcPr>
            <w:tcW w:w="48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500 Arsenal Street</w:t>
            </w: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38"/>
        </w:trPr>
        <w:tc>
          <w:tcPr>
            <w:tcW w:w="480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1940" w:type="dxa"/>
            <w:vAlign w:val="bottom"/>
          </w:tcPr>
          <w:p>
            <w:pPr>
              <w:spacing w:after="0"/>
              <w:rPr>
                <w:sz w:val="20"/>
                <w:szCs w:val="20"/>
                <w:color w:val="auto"/>
              </w:rPr>
            </w:pPr>
          </w:p>
        </w:tc>
        <w:tc>
          <w:tcPr>
            <w:tcW w:w="4500" w:type="dxa"/>
            <w:vAlign w:val="bottom"/>
            <w:gridSpan w:val="2"/>
          </w:tcPr>
          <w:p>
            <w:pPr>
              <w:jc w:val="right"/>
              <w:ind w:right="154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3"/>
        </w:trPr>
        <w:tc>
          <w:tcPr>
            <w:tcW w:w="480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28"/>
        </w:trPr>
        <w:tc>
          <w:tcPr>
            <w:tcW w:w="11240" w:type="dxa"/>
            <w:vAlign w:val="bottom"/>
            <w:gridSpan w:val="6"/>
          </w:tcPr>
          <w:p>
            <w:pPr>
              <w:ind w:left="30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607-0800</w:t>
            </w:r>
          </w:p>
        </w:tc>
      </w:tr>
      <w:tr>
        <w:trPr>
          <w:trHeight w:val="135"/>
        </w:trPr>
        <w:tc>
          <w:tcPr>
            <w:tcW w:w="3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0" w:type="dxa"/>
            <w:vAlign w:val="bottom"/>
          </w:tcPr>
          <w:p>
            <w:pPr>
              <w:spacing w:after="0"/>
              <w:rPr>
                <w:sz w:val="11"/>
                <w:szCs w:val="11"/>
                <w:color w:val="auto"/>
              </w:rPr>
            </w:pPr>
          </w:p>
        </w:tc>
      </w:tr>
      <w:tr>
        <w:trPr>
          <w:trHeight w:val="287"/>
        </w:trPr>
        <w:tc>
          <w:tcPr>
            <w:tcW w:w="48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r>
        <w:trPr>
          <w:trHeight w:val="223"/>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80" w:type="dxa"/>
            <w:vAlign w:val="bottom"/>
            <w:tcBorders>
              <w:bottom w:val="single" w:sz="8" w:color="auto"/>
            </w:tcBorders>
            <w:gridSpan w:val="2"/>
          </w:tcPr>
          <w:p>
            <w:pPr>
              <w:spacing w:after="0"/>
              <w:rPr>
                <w:sz w:val="19"/>
                <w:szCs w:val="19"/>
                <w:color w:val="auto"/>
              </w:rPr>
            </w:pPr>
          </w:p>
        </w:tc>
        <w:tc>
          <w:tcPr>
            <w:tcW w:w="1940" w:type="dxa"/>
            <w:vAlign w:val="bottom"/>
            <w:tcBorders>
              <w:bottom w:val="single" w:sz="8" w:color="auto"/>
            </w:tcBorders>
          </w:tcPr>
          <w:p>
            <w:pPr>
              <w:jc w:val="center"/>
              <w:ind w:right="47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0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53"/>
        </w:trPr>
        <w:tc>
          <w:tcPr>
            <w:tcW w:w="3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980" w:type="dxa"/>
            <w:vAlign w:val="bottom"/>
            <w:gridSpan w:val="2"/>
          </w:tcPr>
          <w:p>
            <w:pPr>
              <w:spacing w:after="0"/>
              <w:rPr>
                <w:sz w:val="22"/>
                <w:szCs w:val="22"/>
                <w:color w:val="auto"/>
              </w:rPr>
            </w:pPr>
          </w:p>
        </w:tc>
        <w:tc>
          <w:tcPr>
            <w:tcW w:w="1940" w:type="dxa"/>
            <w:vAlign w:val="bottom"/>
          </w:tcPr>
          <w:p>
            <w:pPr>
              <w:jc w:val="center"/>
              <w:ind w:right="479"/>
              <w:spacing w:after="0"/>
              <w:rPr>
                <w:sz w:val="20"/>
                <w:szCs w:val="20"/>
                <w:color w:val="auto"/>
              </w:rPr>
            </w:pPr>
            <w:r>
              <w:rPr>
                <w:rFonts w:ascii="Times New Roman" w:cs="Times New Roman" w:eastAsia="Times New Roman" w:hAnsi="Times New Roman"/>
                <w:sz w:val="18"/>
                <w:szCs w:val="18"/>
                <w:color w:val="auto"/>
                <w:w w:val="95"/>
              </w:rPr>
              <w:t>ENTA</w:t>
            </w:r>
          </w:p>
        </w:tc>
        <w:tc>
          <w:tcPr>
            <w:tcW w:w="500" w:type="dxa"/>
            <w:vAlign w:val="bottom"/>
            <w:tcBorders>
              <w:right w:val="single" w:sz="8" w:color="auto"/>
            </w:tcBorders>
          </w:tcPr>
          <w:p>
            <w:pPr>
              <w:spacing w:after="0"/>
              <w:rPr>
                <w:sz w:val="22"/>
                <w:szCs w:val="22"/>
                <w:color w:val="auto"/>
              </w:rPr>
            </w:pPr>
          </w:p>
        </w:tc>
        <w:tc>
          <w:tcPr>
            <w:tcW w:w="4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68"/>
        </w:trPr>
        <w:tc>
          <w:tcPr>
            <w:tcW w:w="382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4000" w:type="dxa"/>
            <w:vAlign w:val="bottom"/>
            <w:tcBorders>
              <w:bottom w:val="single" w:sz="8" w:color="auto"/>
              <w:right w:val="single" w:sz="8" w:color="auto"/>
            </w:tcBorders>
          </w:tcPr>
          <w:p>
            <w:pPr>
              <w:spacing w:after="0"/>
              <w:rPr>
                <w:sz w:val="5"/>
                <w:szCs w:val="5"/>
                <w:color w:val="auto"/>
              </w:rPr>
            </w:pPr>
          </w:p>
        </w:tc>
      </w:tr>
    </w:tbl>
    <w:p>
      <w:pPr>
        <w:spacing w:after="0" w:line="90"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75" w:lineRule="exact"/>
        <w:rPr>
          <w:sz w:val="24"/>
          <w:szCs w:val="24"/>
          <w:color w:val="auto"/>
        </w:rPr>
      </w:pPr>
    </w:p>
    <w:p>
      <w:pPr>
        <w:ind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520" w:right="120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30, 2024, the registrant had 21,179,400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33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9"/>
              </w:rPr>
              <w:t>UNAUDITED FINANCIAL INFORMATION</w:t>
            </w:r>
          </w:p>
        </w:tc>
        <w:tc>
          <w:tcPr>
            <w:tcW w:w="5920" w:type="dxa"/>
            <w:vAlign w:val="bottom"/>
            <w:gridSpan w:val="8"/>
            <w:vMerge w:val="restart"/>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gridSpan w:val="2"/>
            <w:vMerge w:val="continue"/>
          </w:tcPr>
          <w:p>
            <w:pPr>
              <w:spacing w:after="0"/>
              <w:rPr>
                <w:sz w:val="14"/>
                <w:szCs w:val="14"/>
                <w:color w:val="auto"/>
              </w:rPr>
            </w:pPr>
          </w:p>
        </w:tc>
        <w:tc>
          <w:tcPr>
            <w:tcW w:w="3380" w:type="dxa"/>
            <w:vAlign w:val="bottom"/>
            <w:tcBorders>
              <w:bottom w:val="single" w:sz="8" w:color="0000FF"/>
            </w:tcBorders>
            <w:gridSpan w:val="10"/>
            <w:vMerge w:val="continue"/>
          </w:tcPr>
          <w:p>
            <w:pPr>
              <w:spacing w:after="0"/>
              <w:rPr>
                <w:sz w:val="14"/>
                <w:szCs w:val="14"/>
                <w:color w:val="auto"/>
              </w:rPr>
            </w:pPr>
          </w:p>
        </w:tc>
        <w:tc>
          <w:tcPr>
            <w:tcW w:w="5920" w:type="dxa"/>
            <w:vAlign w:val="bottom"/>
            <w:gridSpan w:val="8"/>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w:t>
            </w:r>
          </w:p>
        </w:tc>
        <w:tc>
          <w:tcPr>
            <w:tcW w:w="594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80" w:type="dxa"/>
            <w:vAlign w:val="bottom"/>
            <w:tcBorders>
              <w:right w:val="single" w:sz="8" w:color="0000EE"/>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w:t>
            </w:r>
          </w:p>
        </w:tc>
        <w:tc>
          <w:tcPr>
            <w:tcW w:w="490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92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44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8"/>
                <w:szCs w:val="18"/>
                <w:color w:val="auto"/>
              </w:rPr>
            </w:pPr>
          </w:p>
        </w:tc>
        <w:tc>
          <w:tcPr>
            <w:tcW w:w="2560" w:type="dxa"/>
            <w:vAlign w:val="bottom"/>
            <w:tcBorders>
              <w:top w:val="single" w:sz="8" w:color="0000FF"/>
            </w:tcBorders>
            <w:gridSpan w:val="7"/>
          </w:tcPr>
          <w:p>
            <w:pPr>
              <w:spacing w:after="0"/>
              <w:rPr>
                <w:sz w:val="18"/>
                <w:szCs w:val="18"/>
                <w:color w:val="auto"/>
              </w:rPr>
            </w:pPr>
          </w:p>
        </w:tc>
        <w:tc>
          <w:tcPr>
            <w:tcW w:w="49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1"/>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("Quarterly Report")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or the negative of these terms or other similar expressions. We caution you that the foregoing list may not encompass all of the forward-looking statements made in this Quarterly Report.</w:t>
      </w:r>
    </w:p>
    <w:p>
      <w:pPr>
        <w:spacing w:after="0" w:line="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in our Annual Report on Form 10-K for the fiscal year ended September 30, 2023, our subsequently filed Quarterly Reports on Form 10-Q and as updated in Item 1A herein.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I—UNAUDITED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5"/>
                <w:szCs w:val="15"/>
                <w:color w:val="auto"/>
              </w:rPr>
            </w:pP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7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63,542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85,388</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236,768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284,522</w:t>
            </w: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100" w:type="dxa"/>
            <w:vAlign w:val="bottom"/>
          </w:tcPr>
          <w:p>
            <w:pPr>
              <w:spacing w:after="0"/>
              <w:rPr>
                <w:sz w:val="20"/>
                <w:szCs w:val="20"/>
                <w:color w:val="auto"/>
              </w:rPr>
            </w:pPr>
          </w:p>
        </w:tc>
      </w:tr>
      <w:tr>
        <w:trPr>
          <w:trHeight w:val="243"/>
        </w:trPr>
        <w:tc>
          <w:tcPr>
            <w:tcW w:w="7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receivable</w:t>
            </w:r>
          </w:p>
        </w:tc>
        <w:tc>
          <w:tcPr>
            <w:tcW w:w="3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32,031</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351,029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422,791</w:t>
            </w: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15,479</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20"/>
                <w:szCs w:val="20"/>
                <w:color w:val="auto"/>
              </w:rPr>
            </w:pPr>
          </w:p>
        </w:tc>
      </w:tr>
      <w:tr>
        <w:trPr>
          <w:trHeight w:val="276"/>
        </w:trPr>
        <w:tc>
          <w:tcPr>
            <w:tcW w:w="73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413,557</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462,275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6,726</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18,339</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35,076</w:t>
            </w:r>
          </w:p>
        </w:tc>
        <w:tc>
          <w:tcPr>
            <w:tcW w:w="100" w:type="dxa"/>
            <w:vAlign w:val="bottom"/>
          </w:tcPr>
          <w:p>
            <w:pPr>
              <w:spacing w:after="0"/>
              <w:rPr>
                <w:sz w:val="20"/>
                <w:szCs w:val="20"/>
                <w:color w:val="auto"/>
              </w:rPr>
            </w:pPr>
          </w:p>
        </w:tc>
      </w:tr>
      <w:tr>
        <w:trPr>
          <w:trHeight w:val="243"/>
        </w:trPr>
        <w:tc>
          <w:tcPr>
            <w:tcW w:w="7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62,787</w:t>
            </w: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related to the sale of future royalties, net of current portion</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147,776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159,429</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21,238</w:t>
            </w: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0"/>
                <w:szCs w:val="20"/>
                <w:color w:val="auto"/>
              </w:rPr>
            </w:pPr>
          </w:p>
        </w:tc>
      </w:tr>
      <w:tr>
        <w:trPr>
          <w:trHeight w:val="237"/>
        </w:trPr>
        <w:tc>
          <w:tcPr>
            <w:tcW w:w="73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247,443</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245,540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$0.01 par value per share, 100,000 shares authorized;</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21,179 and 21,059 shares issued and outstanding at March 31, 2024</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September 30, 2023, respectively</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r>
      <w:tr>
        <w:trPr>
          <w:trHeight w:val="250"/>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438,128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424,693</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20"/>
                <w:szCs w:val="20"/>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(667 )</w:t>
            </w:r>
          </w:p>
        </w:tc>
        <w:tc>
          <w:tcPr>
            <w:tcW w:w="26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(1,174 )</w:t>
            </w:r>
          </w:p>
        </w:tc>
      </w:tr>
      <w:tr>
        <w:trPr>
          <w:trHeight w:val="243"/>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(271,559 )</w:t>
            </w:r>
          </w:p>
        </w:tc>
        <w:tc>
          <w:tcPr>
            <w:tcW w:w="2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(206,995 )</w:t>
            </w:r>
          </w:p>
        </w:tc>
      </w:tr>
      <w:tr>
        <w:trPr>
          <w:trHeight w:val="236"/>
        </w:trPr>
        <w:tc>
          <w:tcPr>
            <w:tcW w:w="73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166,114</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216,735</w:t>
            </w:r>
          </w:p>
        </w:tc>
        <w:tc>
          <w:tcPr>
            <w:tcW w:w="100" w:type="dxa"/>
            <w:vAlign w:val="bottom"/>
            <w:tcBorders>
              <w:top w:val="single" w:sz="8" w:color="CFF0FC"/>
            </w:tcBorders>
          </w:tcPr>
          <w:p>
            <w:pPr>
              <w:spacing w:after="0"/>
              <w:rPr>
                <w:sz w:val="20"/>
                <w:szCs w:val="20"/>
                <w:color w:val="auto"/>
              </w:rPr>
            </w:pPr>
          </w:p>
        </w:tc>
      </w:tr>
      <w:tr>
        <w:trPr>
          <w:trHeight w:val="277"/>
        </w:trPr>
        <w:tc>
          <w:tcPr>
            <w:tcW w:w="73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413,557</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462,275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-4396740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-4396740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-3453765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-3436620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-3453765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-2502535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-1559560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-350520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27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3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22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22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14,235</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13,778</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30,753</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49,820</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57,246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102,709</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(32,766 )</w:t>
            </w: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(39,451 )</w:t>
            </w: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(67,652 )</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(69,464 )</w:t>
            </w:r>
          </w:p>
        </w:tc>
        <w:tc>
          <w:tcPr>
            <w:tcW w:w="0" w:type="dxa"/>
            <w:vAlign w:val="bottom"/>
          </w:tcPr>
          <w:p>
            <w:pPr>
              <w:spacing w:after="0"/>
              <w:rPr>
                <w:sz w:val="1"/>
                <w:szCs w:val="1"/>
                <w:color w:val="auto"/>
              </w:rPr>
            </w:pPr>
          </w:p>
        </w:tc>
      </w:tr>
      <w:tr>
        <w:trPr>
          <w:trHeight w:val="232"/>
        </w:trPr>
        <w:tc>
          <w:tcPr>
            <w:tcW w:w="5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(2,563 )</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(6,004 )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(31,520 )</w:t>
            </w:r>
          </w:p>
        </w:tc>
        <w:tc>
          <w:tcPr>
            <w:tcW w:w="3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(37,614 )</w:t>
            </w:r>
          </w:p>
        </w:tc>
        <w:tc>
          <w:tcPr>
            <w:tcW w:w="3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(65,549 )</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(66,634 )</w:t>
            </w: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(31,157 )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(37,658 )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(64,564 )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(66,644 )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(1.47 )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(1.79 )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(3.06 )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(3.19 )</w:t>
            </w:r>
          </w:p>
        </w:tc>
        <w:tc>
          <w:tcPr>
            <w:tcW w:w="0" w:type="dxa"/>
            <w:vAlign w:val="bottom"/>
          </w:tcPr>
          <w:p>
            <w:pPr>
              <w:spacing w:after="0"/>
              <w:rPr>
                <w:sz w:val="1"/>
                <w:szCs w:val="1"/>
                <w:color w:val="auto"/>
              </w:rPr>
            </w:pPr>
          </w:p>
        </w:tc>
      </w:tr>
      <w:tr>
        <w:trPr>
          <w:trHeight w:val="192"/>
        </w:trPr>
        <w:tc>
          <w:tcPr>
            <w:tcW w:w="5080" w:type="dxa"/>
            <w:vAlign w:val="bottom"/>
            <w:tcBorders>
              <w:top w:val="single" w:sz="8" w:color="CFF0FC"/>
            </w:tcBorders>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21,167</w:t>
            </w:r>
          </w:p>
        </w:tc>
        <w:tc>
          <w:tcPr>
            <w:tcW w:w="24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21,035</w:t>
            </w:r>
          </w:p>
        </w:tc>
        <w:tc>
          <w:tcPr>
            <w:tcW w:w="22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21,128</w:t>
            </w:r>
          </w:p>
        </w:tc>
        <w:tc>
          <w:tcPr>
            <w:tcW w:w="22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20,882</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-2571115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-2571115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-2571115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-1936750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-1936750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-1936750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-1610995</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-1610995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-1610995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-976630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-976630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-976630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-659765</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-659765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-659765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-316230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-299720</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-316230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-299720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-316230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-299720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25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69"/>
        </w:trPr>
        <w:tc>
          <w:tcPr>
            <w:tcW w:w="55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(31,157 )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(37,658 )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(64,564 )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(66,644 )</w:t>
            </w:r>
          </w:p>
        </w:tc>
      </w:tr>
      <w:tr>
        <w:trPr>
          <w:trHeight w:val="23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unrealized gain (loss) on marketable securities</w:t>
            </w:r>
          </w:p>
        </w:tc>
        <w:tc>
          <w:tcPr>
            <w:tcW w:w="2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(133 )</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shd w:val="clear" w:color="auto" w:fill="CFF0FC"/>
          </w:tcPr>
          <w:p>
            <w:pPr>
              <w:spacing w:after="0"/>
              <w:rPr>
                <w:sz w:val="21"/>
                <w:szCs w:val="21"/>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(133 )</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Pr>
          <w:p>
            <w:pPr>
              <w:spacing w:after="0"/>
              <w:rPr>
                <w:sz w:val="20"/>
                <w:szCs w:val="20"/>
                <w:color w:val="auto"/>
              </w:rPr>
            </w:pPr>
          </w:p>
        </w:tc>
      </w:tr>
      <w:tr>
        <w:trPr>
          <w:trHeight w:val="20"/>
        </w:trPr>
        <w:tc>
          <w:tcPr>
            <w:tcW w:w="5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(31,290 )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(36,798 )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(64,057 )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(64,735 )</w:t>
            </w: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-350520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-350520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-350520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Balances, September 30, 2023</w:t>
      </w:r>
    </w:p>
    <w:p>
      <w:pPr>
        <w:spacing w:after="0" w:line="40" w:lineRule="exact"/>
        <w:rPr>
          <w:sz w:val="20"/>
          <w:szCs w:val="20"/>
          <w:color w:val="auto"/>
        </w:rPr>
      </w:pPr>
    </w:p>
    <w:p>
      <w:pPr>
        <w:ind w:left="20" w:right="300"/>
        <w:spacing w:after="0" w:line="272" w:lineRule="auto"/>
        <w:rPr>
          <w:sz w:val="20"/>
          <w:szCs w:val="20"/>
          <w:color w:val="auto"/>
        </w:rPr>
      </w:pPr>
      <w:r>
        <w:rPr>
          <w:rFonts w:ascii="Times New Roman" w:cs="Times New Roman" w:eastAsia="Times New Roman" w:hAnsi="Times New Roman"/>
          <w:sz w:val="18"/>
          <w:szCs w:val="18"/>
          <w:color w:val="auto"/>
        </w:rPr>
        <w:t>Vesting of restricted stock units, net of withholding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114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87"/>
        </w:trPr>
        <w:tc>
          <w:tcPr>
            <w:tcW w:w="2360" w:type="dxa"/>
            <w:vAlign w:val="bottom"/>
            <w:tcBorders>
              <w:bottom w:val="single" w:sz="8" w:color="auto"/>
            </w:tcBorders>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6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300" w:type="dxa"/>
            <w:vAlign w:val="bottom"/>
            <w:gridSpan w:val="3"/>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69"/>
        </w:trPr>
        <w:tc>
          <w:tcPr>
            <w:tcW w:w="108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114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00" w:type="dxa"/>
            <w:vAlign w:val="bottom"/>
            <w:gridSpan w:val="3"/>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28"/>
        </w:trPr>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21,059</w:t>
            </w:r>
          </w:p>
        </w:tc>
        <w:tc>
          <w:tcPr>
            <w:tcW w:w="2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424,693</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(206,995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216,735</w:t>
            </w:r>
          </w:p>
        </w:tc>
        <w:tc>
          <w:tcPr>
            <w:tcW w:w="60" w:type="dxa"/>
            <w:vAlign w:val="bottom"/>
          </w:tcPr>
          <w:p>
            <w:pPr>
              <w:spacing w:after="0"/>
              <w:rPr>
                <w:sz w:val="19"/>
                <w:szCs w:val="19"/>
                <w:color w:val="auto"/>
              </w:rPr>
            </w:pPr>
          </w:p>
        </w:tc>
      </w:tr>
      <w:tr>
        <w:trPr>
          <w:trHeight w:val="346"/>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(184 )</w:t>
            </w:r>
          </w:p>
        </w:tc>
        <w:tc>
          <w:tcPr>
            <w:tcW w:w="120" w:type="dxa"/>
            <w:vAlign w:val="bottom"/>
          </w:tcPr>
          <w:p>
            <w:pPr>
              <w:spacing w:after="0"/>
              <w:rPr>
                <w:sz w:val="24"/>
                <w:szCs w:val="24"/>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-368300</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3100" w:space="720"/>
            <w:col w:w="742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(33,407 )</w:t>
            </w:r>
          </w:p>
        </w:tc>
        <w:tc>
          <w:tcPr>
            <w:tcW w:w="2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(33,407 )</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21,156</w:t>
            </w:r>
          </w:p>
        </w:tc>
        <w:tc>
          <w:tcPr>
            <w:tcW w:w="26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432,608</w:t>
            </w:r>
          </w:p>
        </w:tc>
        <w:tc>
          <w:tcPr>
            <w:tcW w:w="2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(240,402 )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 net of</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(92 )</w:t>
            </w:r>
          </w:p>
        </w:tc>
        <w:tc>
          <w:tcPr>
            <w:tcW w:w="400" w:type="dxa"/>
            <w:vAlign w:val="bottom"/>
          </w:tcPr>
          <w:p>
            <w:pPr>
              <w:spacing w:after="0"/>
              <w:rPr>
                <w:sz w:val="18"/>
                <w:szCs w:val="18"/>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126"/>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withholding</w:t>
            </w:r>
          </w:p>
        </w:tc>
        <w:tc>
          <w:tcPr>
            <w:tcW w:w="10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8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(133 )</w:t>
            </w:r>
          </w:p>
        </w:tc>
        <w:tc>
          <w:tcPr>
            <w:tcW w:w="2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43"/>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(31,157 )</w:t>
            </w:r>
          </w:p>
        </w:tc>
        <w:tc>
          <w:tcPr>
            <w:tcW w:w="2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(31,157 )</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March 31,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21,179</w:t>
            </w:r>
          </w:p>
        </w:tc>
        <w:tc>
          <w:tcPr>
            <w:tcW w:w="26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438,128</w:t>
            </w:r>
          </w:p>
        </w:tc>
        <w:tc>
          <w:tcPr>
            <w:tcW w:w="2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(271,559 )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-1285240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-1285240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-1285240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-1285240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-1285240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-187960</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-187960</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-187960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-187960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-187960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right="800"/>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Balances, September 30, 2022 </w:t>
      </w:r>
      <w:r>
        <w:rPr>
          <w:rFonts w:ascii="Times New Roman" w:cs="Times New Roman" w:eastAsia="Times New Roman" w:hAnsi="Times New Roman"/>
          <w:sz w:val="18"/>
          <w:szCs w:val="18"/>
          <w:color w:val="auto"/>
        </w:rPr>
        <w:t>Exercise of stock options</w:t>
      </w:r>
    </w:p>
    <w:p>
      <w:pPr>
        <w:ind w:left="20" w:right="300"/>
        <w:spacing w:after="0" w:line="266" w:lineRule="auto"/>
        <w:rPr>
          <w:sz w:val="20"/>
          <w:szCs w:val="20"/>
          <w:color w:val="auto"/>
        </w:rPr>
      </w:pPr>
      <w:r>
        <w:rPr>
          <w:rFonts w:ascii="Times New Roman" w:cs="Times New Roman" w:eastAsia="Times New Roman" w:hAnsi="Times New Roman"/>
          <w:sz w:val="18"/>
          <w:szCs w:val="18"/>
          <w:color w:val="auto"/>
        </w:rPr>
        <w:t>Vesting of restricted stock units, net of withholding</w:t>
      </w:r>
    </w:p>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46" w:lineRule="exact"/>
        <w:rPr>
          <w:sz w:val="20"/>
          <w:szCs w:val="20"/>
          <w:color w:val="auto"/>
        </w:rPr>
      </w:pPr>
    </w:p>
    <w:p>
      <w:pPr>
        <w:ind w:left="20" w:right="860"/>
        <w:spacing w:after="0" w:line="300" w:lineRule="auto"/>
        <w:rPr>
          <w:sz w:val="20"/>
          <w:szCs w:val="20"/>
          <w:color w:val="auto"/>
        </w:rPr>
      </w:pPr>
      <w:r>
        <w:rPr>
          <w:rFonts w:ascii="Times New Roman" w:cs="Times New Roman" w:eastAsia="Times New Roman" w:hAnsi="Times New Roman"/>
          <w:sz w:val="17"/>
          <w:szCs w:val="17"/>
          <w:b w:val="1"/>
          <w:bCs w:val="1"/>
          <w:color w:val="auto"/>
        </w:rPr>
        <w:t xml:space="preserve">Balances, December 31, 2022 </w:t>
      </w:r>
      <w:r>
        <w:rPr>
          <w:rFonts w:ascii="Times New Roman" w:cs="Times New Roman" w:eastAsia="Times New Roman" w:hAnsi="Times New Roman"/>
          <w:sz w:val="17"/>
          <w:szCs w:val="17"/>
          <w:color w:val="auto"/>
        </w:rPr>
        <w:t>Exercise of stock options</w:t>
      </w:r>
    </w:p>
    <w:p>
      <w:pPr>
        <w:spacing w:after="0" w:line="1" w:lineRule="exact"/>
        <w:rPr>
          <w:sz w:val="20"/>
          <w:szCs w:val="20"/>
          <w:color w:val="auto"/>
        </w:rPr>
      </w:pPr>
    </w:p>
    <w:p>
      <w:pPr>
        <w:ind w:left="20" w:right="300"/>
        <w:spacing w:after="0" w:line="266" w:lineRule="auto"/>
        <w:rPr>
          <w:sz w:val="20"/>
          <w:szCs w:val="20"/>
          <w:color w:val="auto"/>
        </w:rPr>
      </w:pPr>
      <w:r>
        <w:rPr>
          <w:rFonts w:ascii="Times New Roman" w:cs="Times New Roman" w:eastAsia="Times New Roman" w:hAnsi="Times New Roman"/>
          <w:sz w:val="18"/>
          <w:szCs w:val="18"/>
          <w:color w:val="auto"/>
        </w:rPr>
        <w:t>Vesting of restricted stock units, net of withholding</w:t>
      </w:r>
    </w:p>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2023</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114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87"/>
        </w:trPr>
        <w:tc>
          <w:tcPr>
            <w:tcW w:w="236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6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0" w:type="dxa"/>
            <w:vAlign w:val="bottom"/>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69"/>
        </w:trPr>
        <w:tc>
          <w:tcPr>
            <w:tcW w:w="10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114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4"/>
                <w:szCs w:val="14"/>
                <w:color w:val="auto"/>
              </w:rPr>
            </w:pPr>
          </w:p>
        </w:tc>
        <w:tc>
          <w:tcPr>
            <w:tcW w:w="1000" w:type="dxa"/>
            <w:vAlign w:val="bottom"/>
            <w:gridSpan w:val="2"/>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28"/>
        </w:trPr>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20,791</w:t>
            </w:r>
          </w:p>
        </w:tc>
        <w:tc>
          <w:tcPr>
            <w:tcW w:w="2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398,029</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(73,179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321,334</w:t>
            </w:r>
          </w:p>
        </w:tc>
        <w:tc>
          <w:tcPr>
            <w:tcW w:w="60" w:type="dxa"/>
            <w:vAlign w:val="bottom"/>
          </w:tcPr>
          <w:p>
            <w:pPr>
              <w:spacing w:after="0"/>
              <w:rPr>
                <w:sz w:val="19"/>
                <w:szCs w:val="19"/>
                <w:color w:val="auto"/>
              </w:rPr>
            </w:pPr>
          </w:p>
        </w:tc>
      </w:tr>
      <w:tr>
        <w:trPr>
          <w:trHeight w:val="238"/>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60" w:type="dxa"/>
            <w:vAlign w:val="bottom"/>
          </w:tcPr>
          <w:p>
            <w:pPr>
              <w:spacing w:after="0"/>
              <w:rPr>
                <w:sz w:val="20"/>
                <w:szCs w:val="20"/>
                <w:color w:val="auto"/>
              </w:rPr>
            </w:pPr>
          </w:p>
        </w:tc>
      </w:tr>
      <w:tr>
        <w:trPr>
          <w:trHeight w:val="351"/>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(825 )</w:t>
            </w:r>
          </w:p>
        </w:tc>
        <w:tc>
          <w:tcPr>
            <w:tcW w:w="120" w:type="dxa"/>
            <w:vAlign w:val="bottom"/>
          </w:tcPr>
          <w:p>
            <w:pPr>
              <w:spacing w:after="0"/>
              <w:rPr>
                <w:sz w:val="24"/>
                <w:szCs w:val="24"/>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(825 )</w:t>
            </w:r>
          </w:p>
        </w:tc>
      </w:tr>
      <w:tr>
        <w:trPr>
          <w:trHeight w:val="351"/>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60" w:type="dxa"/>
            <w:vAlign w:val="bottom"/>
          </w:tcPr>
          <w:p>
            <w:pPr>
              <w:spacing w:after="0"/>
              <w:rPr>
                <w:sz w:val="24"/>
                <w:szCs w:val="24"/>
                <w:color w:val="auto"/>
              </w:rPr>
            </w:pPr>
          </w:p>
        </w:tc>
      </w:tr>
      <w:tr>
        <w:trPr>
          <w:trHeight w:val="243"/>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60" w:type="dxa"/>
            <w:vAlign w:val="bottom"/>
          </w:tcPr>
          <w:p>
            <w:pPr>
              <w:spacing w:after="0"/>
              <w:rPr>
                <w:sz w:val="21"/>
                <w:szCs w:val="21"/>
                <w:color w:val="auto"/>
              </w:rPr>
            </w:pPr>
          </w:p>
        </w:tc>
      </w:tr>
      <w:tr>
        <w:trPr>
          <w:trHeight w:val="250"/>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(28,986 )</w:t>
            </w: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(28,986 )</w:t>
            </w:r>
          </w:p>
        </w:tc>
      </w:tr>
      <w:tr>
        <w:trPr>
          <w:trHeight w:val="234"/>
        </w:trPr>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20,884</w:t>
            </w:r>
          </w:p>
        </w:tc>
        <w:tc>
          <w:tcPr>
            <w:tcW w:w="2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405,468</w:t>
            </w:r>
          </w:p>
        </w:tc>
        <w:tc>
          <w:tcPr>
            <w:tcW w:w="2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(102,165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300,837</w:t>
            </w:r>
          </w:p>
        </w:tc>
        <w:tc>
          <w:tcPr>
            <w:tcW w:w="60" w:type="dxa"/>
            <w:vAlign w:val="bottom"/>
          </w:tcPr>
          <w:p>
            <w:pPr>
              <w:spacing w:after="0"/>
              <w:rPr>
                <w:sz w:val="20"/>
                <w:szCs w:val="20"/>
                <w:color w:val="auto"/>
              </w:rPr>
            </w:pPr>
          </w:p>
        </w:tc>
      </w:tr>
      <w:tr>
        <w:trPr>
          <w:trHeight w:val="238"/>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60" w:type="dxa"/>
            <w:vAlign w:val="bottom"/>
          </w:tcPr>
          <w:p>
            <w:pPr>
              <w:spacing w:after="0"/>
              <w:rPr>
                <w:sz w:val="20"/>
                <w:szCs w:val="20"/>
                <w:color w:val="auto"/>
              </w:rPr>
            </w:pPr>
          </w:p>
        </w:tc>
      </w:tr>
      <w:tr>
        <w:trPr>
          <w:trHeight w:val="351"/>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(2,909 )</w:t>
            </w:r>
          </w:p>
        </w:tc>
        <w:tc>
          <w:tcPr>
            <w:tcW w:w="120" w:type="dxa"/>
            <w:vAlign w:val="bottom"/>
          </w:tcPr>
          <w:p>
            <w:pPr>
              <w:spacing w:after="0"/>
              <w:rPr>
                <w:sz w:val="24"/>
                <w:szCs w:val="24"/>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(2,909 )</w:t>
            </w:r>
          </w:p>
        </w:tc>
      </w:tr>
      <w:tr>
        <w:trPr>
          <w:trHeight w:val="351"/>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60" w:type="dxa"/>
            <w:vAlign w:val="bottom"/>
          </w:tcPr>
          <w:p>
            <w:pPr>
              <w:spacing w:after="0"/>
              <w:rPr>
                <w:sz w:val="24"/>
                <w:szCs w:val="24"/>
                <w:color w:val="auto"/>
              </w:rPr>
            </w:pPr>
          </w:p>
        </w:tc>
      </w:tr>
      <w:tr>
        <w:trPr>
          <w:trHeight w:val="243"/>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60" w:type="dxa"/>
            <w:vAlign w:val="bottom"/>
          </w:tcPr>
          <w:p>
            <w:pPr>
              <w:spacing w:after="0"/>
              <w:rPr>
                <w:sz w:val="21"/>
                <w:szCs w:val="21"/>
                <w:color w:val="auto"/>
              </w:rPr>
            </w:pPr>
          </w:p>
        </w:tc>
      </w:tr>
      <w:tr>
        <w:trPr>
          <w:trHeight w:val="250"/>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(37,658 )</w:t>
            </w: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(37,658 )</w:t>
            </w:r>
          </w:p>
        </w:tc>
      </w:tr>
      <w:tr>
        <w:trPr>
          <w:trHeight w:val="239"/>
        </w:trPr>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21,049</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410,803</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(139,823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269,375</w:t>
            </w:r>
          </w:p>
        </w:tc>
        <w:tc>
          <w:tcPr>
            <w:tcW w:w="60" w:type="dxa"/>
            <w:vAlign w:val="bottom"/>
          </w:tcPr>
          <w:p>
            <w:pPr>
              <w:spacing w:after="0"/>
              <w:rPr>
                <w:sz w:val="20"/>
                <w:szCs w:val="20"/>
                <w:color w:val="auto"/>
              </w:rPr>
            </w:pP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-2322195</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-2013585</wp:posOffset>
            </wp:positionV>
            <wp:extent cx="7132320" cy="291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-1567815</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-1250950</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-942340</wp:posOffset>
            </wp:positionV>
            <wp:extent cx="7132320" cy="291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-496570</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-179070</wp:posOffset>
            </wp:positionV>
            <wp:extent cx="7132320"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720"/>
            <w:col w:w="7420"/>
          </w:cols>
          <w:pgMar w:left="320" w:top="981"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0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0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5"/>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2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(64,564 )</w:t>
            </w:r>
          </w:p>
        </w:tc>
        <w:tc>
          <w:tcPr>
            <w:tcW w:w="1080" w:type="dxa"/>
            <w:vAlign w:val="bottom"/>
          </w:tcPr>
          <w:p>
            <w:pPr>
              <w:jc w:val="right"/>
              <w:ind w:right="897"/>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(66,644 )</w:t>
            </w:r>
          </w:p>
        </w:tc>
      </w:tr>
      <w:tr>
        <w:trPr>
          <w:trHeight w:val="251"/>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7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13,660</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14,502</w:t>
            </w:r>
          </w:p>
        </w:tc>
        <w:tc>
          <w:tcPr>
            <w:tcW w:w="100" w:type="dxa"/>
            <w:vAlign w:val="bottom"/>
          </w:tcPr>
          <w:p>
            <w:pPr>
              <w:spacing w:after="0"/>
              <w:rPr>
                <w:sz w:val="20"/>
                <w:szCs w:val="20"/>
                <w:color w:val="auto"/>
              </w:rPr>
            </w:pPr>
          </w:p>
        </w:tc>
      </w:tr>
      <w:tr>
        <w:trPr>
          <w:trHeight w:val="251"/>
        </w:trPr>
        <w:tc>
          <w:tcPr>
            <w:tcW w:w="7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1,051</w:t>
            </w:r>
          </w:p>
        </w:tc>
        <w:tc>
          <w:tcPr>
            <w:tcW w:w="100" w:type="dxa"/>
            <w:vAlign w:val="bottom"/>
            <w:shd w:val="clear" w:color="auto" w:fill="CFF0FC"/>
          </w:tcPr>
          <w:p>
            <w:pPr>
              <w:spacing w:after="0"/>
              <w:rPr>
                <w:sz w:val="21"/>
                <w:szCs w:val="21"/>
                <w:color w:val="auto"/>
              </w:rPr>
            </w:pPr>
          </w:p>
        </w:tc>
      </w:tr>
      <w:tr>
        <w:trPr>
          <w:trHeight w:val="235"/>
        </w:trPr>
        <w:tc>
          <w:tcPr>
            <w:tcW w:w="7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Non-cash interest expense associated with the sale of future royalties</w:t>
            </w:r>
          </w:p>
        </w:tc>
        <w:tc>
          <w:tcPr>
            <w:tcW w:w="10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(531 )</w:t>
            </w:r>
          </w:p>
        </w:tc>
        <w:tc>
          <w:tcPr>
            <w:tcW w:w="108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7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Non-cash royalty revenue</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7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Premium paid on marketable securities</w:t>
            </w:r>
          </w:p>
        </w:tc>
        <w:tc>
          <w:tcPr>
            <w:tcW w:w="10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(42 )</w:t>
            </w:r>
          </w:p>
        </w:tc>
      </w:tr>
      <w:tr>
        <w:trPr>
          <w:trHeight w:val="251"/>
        </w:trPr>
        <w:tc>
          <w:tcPr>
            <w:tcW w:w="7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Amortization (accretion) of premiums (discounts) on marketable securities</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(1,345 )</w:t>
            </w:r>
          </w:p>
        </w:tc>
      </w:tr>
      <w:tr>
        <w:trPr>
          <w:trHeight w:val="235"/>
        </w:trPr>
        <w:tc>
          <w:tcPr>
            <w:tcW w:w="7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10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r>
      <w:tr>
        <w:trPr>
          <w:trHeight w:val="251"/>
        </w:trPr>
        <w:tc>
          <w:tcPr>
            <w:tcW w:w="7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75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Accounts receivable</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2,523</w:t>
            </w:r>
          </w:p>
        </w:tc>
        <w:tc>
          <w:tcPr>
            <w:tcW w:w="100" w:type="dxa"/>
            <w:vAlign w:val="bottom"/>
          </w:tcPr>
          <w:p>
            <w:pPr>
              <w:spacing w:after="0"/>
              <w:rPr>
                <w:sz w:val="20"/>
                <w:szCs w:val="20"/>
                <w:color w:val="auto"/>
              </w:rPr>
            </w:pPr>
          </w:p>
        </w:tc>
      </w:tr>
      <w:tr>
        <w:trPr>
          <w:trHeight w:val="251"/>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2,331</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(1,039 )</w:t>
            </w:r>
          </w:p>
        </w:tc>
      </w:tr>
      <w:tr>
        <w:trPr>
          <w:trHeight w:val="235"/>
        </w:trPr>
        <w:tc>
          <w:tcPr>
            <w:tcW w:w="75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Income tax receivable</w:t>
            </w:r>
          </w:p>
        </w:tc>
        <w:tc>
          <w:tcPr>
            <w:tcW w:w="10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(1,027 )</w:t>
            </w:r>
          </w:p>
        </w:tc>
        <w:tc>
          <w:tcPr>
            <w:tcW w:w="10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(56 )</w:t>
            </w:r>
          </w:p>
        </w:tc>
      </w:tr>
      <w:tr>
        <w:trPr>
          <w:trHeight w:val="251"/>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2,517</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1,891</w:t>
            </w:r>
          </w:p>
        </w:tc>
        <w:tc>
          <w:tcPr>
            <w:tcW w:w="100" w:type="dxa"/>
            <w:vAlign w:val="bottom"/>
            <w:shd w:val="clear" w:color="auto" w:fill="CFF0FC"/>
          </w:tcPr>
          <w:p>
            <w:pPr>
              <w:spacing w:after="0"/>
              <w:rPr>
                <w:sz w:val="21"/>
                <w:szCs w:val="21"/>
                <w:color w:val="auto"/>
              </w:rPr>
            </w:pPr>
          </w:p>
        </w:tc>
      </w:tr>
      <w:tr>
        <w:trPr>
          <w:trHeight w:val="235"/>
        </w:trPr>
        <w:tc>
          <w:tcPr>
            <w:tcW w:w="75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Other long-term assets</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Accounts payable</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5,963</w:t>
            </w:r>
          </w:p>
        </w:tc>
        <w:tc>
          <w:tcPr>
            <w:tcW w:w="100" w:type="dxa"/>
            <w:vAlign w:val="bottom"/>
            <w:shd w:val="clear" w:color="auto" w:fill="CFF0FC"/>
          </w:tcPr>
          <w:p>
            <w:pPr>
              <w:spacing w:after="0"/>
              <w:rPr>
                <w:sz w:val="21"/>
                <w:szCs w:val="21"/>
                <w:color w:val="auto"/>
              </w:rPr>
            </w:pPr>
          </w:p>
        </w:tc>
      </w:tr>
      <w:tr>
        <w:trPr>
          <w:trHeight w:val="235"/>
        </w:trPr>
        <w:tc>
          <w:tcPr>
            <w:tcW w:w="75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Accrued expenses</w:t>
            </w:r>
          </w:p>
        </w:tc>
        <w:tc>
          <w:tcPr>
            <w:tcW w:w="10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(7,709 )</w:t>
            </w:r>
          </w:p>
        </w:tc>
        <w:tc>
          <w:tcPr>
            <w:tcW w:w="10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(6,052 )</w:t>
            </w:r>
          </w:p>
        </w:tc>
      </w:tr>
      <w:tr>
        <w:trPr>
          <w:trHeight w:val="251"/>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0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(2,137 )</w:t>
            </w:r>
          </w:p>
        </w:tc>
        <w:tc>
          <w:tcPr>
            <w:tcW w:w="108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(137 )</w:t>
            </w:r>
          </w:p>
        </w:tc>
      </w:tr>
      <w:tr>
        <w:trPr>
          <w:trHeight w:val="228"/>
        </w:trPr>
        <w:tc>
          <w:tcPr>
            <w:tcW w:w="75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0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(439 )</w:t>
            </w:r>
          </w:p>
        </w:tc>
        <w:tc>
          <w:tcPr>
            <w:tcW w:w="10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(46 )</w:t>
            </w:r>
          </w:p>
        </w:tc>
      </w:tr>
      <w:tr>
        <w:trPr>
          <w:trHeight w:val="20"/>
        </w:trPr>
        <w:tc>
          <w:tcPr>
            <w:tcW w:w="75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(53,589 )</w:t>
            </w:r>
          </w:p>
        </w:tc>
        <w:tc>
          <w:tcPr>
            <w:tcW w:w="10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(49,424 )</w:t>
            </w:r>
          </w:p>
        </w:tc>
      </w:tr>
      <w:tr>
        <w:trPr>
          <w:trHeight w:val="230"/>
        </w:trPr>
        <w:tc>
          <w:tcPr>
            <w:tcW w:w="75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51"/>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 of marketable securities</w:t>
            </w:r>
          </w:p>
        </w:tc>
        <w:tc>
          <w:tcPr>
            <w:tcW w:w="10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(212,134 )</w:t>
            </w:r>
          </w:p>
        </w:tc>
        <w:tc>
          <w:tcPr>
            <w:tcW w:w="108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(90,627 )</w:t>
            </w:r>
          </w:p>
        </w:tc>
      </w:tr>
      <w:tr>
        <w:trPr>
          <w:trHeight w:val="235"/>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maturities and sale of marketable securities</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260,096</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176,500</w:t>
            </w:r>
          </w:p>
        </w:tc>
        <w:tc>
          <w:tcPr>
            <w:tcW w:w="100" w:type="dxa"/>
            <w:vAlign w:val="bottom"/>
          </w:tcPr>
          <w:p>
            <w:pPr>
              <w:spacing w:after="0"/>
              <w:rPr>
                <w:sz w:val="20"/>
                <w:szCs w:val="20"/>
                <w:color w:val="auto"/>
              </w:rPr>
            </w:pPr>
          </w:p>
        </w:tc>
      </w:tr>
      <w:tr>
        <w:trPr>
          <w:trHeight w:val="23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10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(2,455 )</w:t>
            </w:r>
          </w:p>
        </w:tc>
        <w:tc>
          <w:tcPr>
            <w:tcW w:w="10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(5,539 )</w:t>
            </w:r>
          </w:p>
        </w:tc>
      </w:tr>
      <w:tr>
        <w:trPr>
          <w:trHeight w:val="223"/>
        </w:trPr>
        <w:tc>
          <w:tcPr>
            <w:tcW w:w="750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10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45,507</w:t>
            </w:r>
          </w:p>
        </w:tc>
        <w:tc>
          <w:tcPr>
            <w:tcW w:w="220" w:type="dxa"/>
            <w:vAlign w:val="bottom"/>
            <w:tcBorders>
              <w:top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80,334</w:t>
            </w:r>
          </w:p>
        </w:tc>
        <w:tc>
          <w:tcPr>
            <w:tcW w:w="100" w:type="dxa"/>
            <w:vAlign w:val="bottom"/>
            <w:tcBorders>
              <w:top w:val="single" w:sz="8" w:color="CFF0FC"/>
            </w:tcBorders>
          </w:tcPr>
          <w:p>
            <w:pPr>
              <w:spacing w:after="0"/>
              <w:rPr>
                <w:sz w:val="19"/>
                <w:szCs w:val="19"/>
                <w:color w:val="auto"/>
              </w:rPr>
            </w:pPr>
          </w:p>
        </w:tc>
      </w:tr>
      <w:tr>
        <w:trPr>
          <w:trHeight w:val="238"/>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5"/>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on royalty sale liability, net of imputed interest</w:t>
            </w:r>
          </w:p>
        </w:tc>
        <w:tc>
          <w:tcPr>
            <w:tcW w:w="10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(13,540 )</w:t>
            </w:r>
          </w:p>
        </w:tc>
        <w:tc>
          <w:tcPr>
            <w:tcW w:w="108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Payments for settlement of share-based awards</w:t>
            </w:r>
          </w:p>
        </w:tc>
        <w:tc>
          <w:tcPr>
            <w:tcW w:w="10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(275 )</w:t>
            </w:r>
          </w:p>
        </w:tc>
        <w:tc>
          <w:tcPr>
            <w:tcW w:w="108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(3,734 )</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the exercise of stock options</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2,008</w:t>
            </w:r>
          </w:p>
        </w:tc>
        <w:tc>
          <w:tcPr>
            <w:tcW w:w="100" w:type="dxa"/>
            <w:vAlign w:val="bottom"/>
          </w:tcPr>
          <w:p>
            <w:pPr>
              <w:spacing w:after="0"/>
              <w:rPr>
                <w:sz w:val="19"/>
                <w:szCs w:val="19"/>
                <w:color w:val="auto"/>
              </w:rPr>
            </w:pPr>
          </w:p>
        </w:tc>
      </w:tr>
      <w:tr>
        <w:trPr>
          <w:trHeight w:val="223"/>
        </w:trPr>
        <w:tc>
          <w:tcPr>
            <w:tcW w:w="7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(13,764 )</w:t>
            </w:r>
          </w:p>
        </w:tc>
        <w:tc>
          <w:tcPr>
            <w:tcW w:w="10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(1,726 )</w:t>
            </w:r>
          </w:p>
        </w:tc>
      </w:tr>
      <w:tr>
        <w:trPr>
          <w:trHeight w:val="20"/>
        </w:trPr>
        <w:tc>
          <w:tcPr>
            <w:tcW w:w="75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(decrease) in cash, cash equivalents and restricted cash</w:t>
            </w:r>
          </w:p>
        </w:tc>
        <w:tc>
          <w:tcPr>
            <w:tcW w:w="10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(21,846 )</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29,184</w:t>
            </w:r>
          </w:p>
        </w:tc>
        <w:tc>
          <w:tcPr>
            <w:tcW w:w="100" w:type="dxa"/>
            <w:vAlign w:val="bottom"/>
          </w:tcPr>
          <w:p>
            <w:pPr>
              <w:spacing w:after="0"/>
              <w:rPr>
                <w:sz w:val="19"/>
                <w:szCs w:val="19"/>
                <w:color w:val="auto"/>
              </w:rPr>
            </w:pPr>
          </w:p>
        </w:tc>
      </w:tr>
      <w:tr>
        <w:trPr>
          <w:trHeight w:val="236"/>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0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89,356</w:t>
            </w:r>
          </w:p>
        </w:tc>
        <w:tc>
          <w:tcPr>
            <w:tcW w:w="2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47,962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4"/>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02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67,510</w:t>
            </w:r>
          </w:p>
        </w:tc>
        <w:tc>
          <w:tcPr>
            <w:tcW w:w="220" w:type="dxa"/>
            <w:vAlign w:val="bottom"/>
          </w:tcPr>
          <w:p>
            <w:pPr>
              <w:spacing w:after="0"/>
              <w:rPr>
                <w:sz w:val="19"/>
                <w:szCs w:val="19"/>
                <w:color w:val="auto"/>
              </w:rPr>
            </w:pPr>
          </w:p>
        </w:tc>
        <w:tc>
          <w:tcPr>
            <w:tcW w:w="108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77,146</w:t>
            </w:r>
          </w:p>
        </w:tc>
        <w:tc>
          <w:tcPr>
            <w:tcW w:w="10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information:</w:t>
            </w: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4"/>
        </w:trPr>
        <w:tc>
          <w:tcPr>
            <w:tcW w:w="750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Purchases of fixed assets included in accounts payable and</w:t>
            </w: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7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expenses</w:t>
            </w:r>
          </w:p>
        </w:tc>
        <w:tc>
          <w:tcPr>
            <w:tcW w:w="102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2,792</w:t>
            </w:r>
          </w:p>
        </w:tc>
        <w:tc>
          <w:tcPr>
            <w:tcW w:w="220" w:type="dxa"/>
            <w:vAlign w:val="bottom"/>
          </w:tcPr>
          <w:p>
            <w:pPr>
              <w:spacing w:after="0"/>
              <w:rPr>
                <w:sz w:val="20"/>
                <w:szCs w:val="20"/>
                <w:color w:val="auto"/>
              </w:rPr>
            </w:pPr>
          </w:p>
        </w:tc>
        <w:tc>
          <w:tcPr>
            <w:tcW w:w="1080" w:type="dxa"/>
            <w:vAlign w:val="bottom"/>
          </w:tcPr>
          <w:p>
            <w:pPr>
              <w:jc w:val="right"/>
              <w:ind w:right="8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1,611</w:t>
            </w:r>
          </w:p>
        </w:tc>
        <w:tc>
          <w:tcPr>
            <w:tcW w:w="100" w:type="dxa"/>
            <w:vAlign w:val="bottom"/>
          </w:tcPr>
          <w:p>
            <w:pPr>
              <w:spacing w:after="0"/>
              <w:rPr>
                <w:sz w:val="20"/>
                <w:szCs w:val="20"/>
                <w:color w:val="auto"/>
              </w:rPr>
            </w:pPr>
          </w:p>
        </w:tc>
      </w:tr>
      <w:tr>
        <w:trPr>
          <w:trHeight w:val="237"/>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Operating lease liabilities arising from obtaining right-of-use assets</w:t>
            </w:r>
          </w:p>
        </w:tc>
        <w:tc>
          <w:tcPr>
            <w:tcW w:w="1020" w:type="dxa"/>
            <w:vAlign w:val="bottom"/>
            <w:shd w:val="clear" w:color="auto" w:fill="CFF0FC"/>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22,617</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8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2,870</w:t>
            </w:r>
          </w:p>
        </w:tc>
        <w:tc>
          <w:tcPr>
            <w:tcW w:w="100" w:type="dxa"/>
            <w:vAlign w:val="bottom"/>
            <w:shd w:val="clear" w:color="auto" w:fill="CFF0FC"/>
          </w:tcPr>
          <w:p>
            <w:pPr>
              <w:spacing w:after="0"/>
              <w:rPr>
                <w:sz w:val="20"/>
                <w:szCs w:val="20"/>
                <w:color w:val="auto"/>
              </w:rPr>
            </w:pPr>
          </w:p>
        </w:tc>
      </w:tr>
      <w:tr>
        <w:trPr>
          <w:trHeight w:val="228"/>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Cash paid for interest</w:t>
            </w:r>
          </w:p>
        </w:tc>
        <w:tc>
          <w:tcPr>
            <w:tcW w:w="1020" w:type="dxa"/>
            <w:vAlign w:val="bottom"/>
            <w:shd w:val="clear" w:color="auto" w:fill="CFF0FC"/>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6,575</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897"/>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-2896870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-2279650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-1353820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-1045210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3"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Enanta Pharmaceuticals, Inc. (collectively with its subsidiary, the “Company”), incorporated in Delaware in 1995, is a biotechnology company that uses its robust, chemistry-driven approach and drug discovery capabilities to discover and develop small molecule drugs with an emphasis on virology and immunology indications. The Company discovered glecaprevir, the second of two protease inhibitors discovered and developed through its collaboration with AbbVie for the treatment of chronic infection with hepatitis C virus (“HCV”). Glecaprevir is co-formulated as part of AbbVie’s leading direct-acting antiviral (“DAA”) combination treatment for HCV, which is marketed under the tradenames MAVYRET® (U.S.) and MAVIRET®(ex-U.S.) (glecaprevir/pibrentasvir). The Company’s existing financial resources, as well as the retained portion of its royalties from the AbbVie collaboration, provide funding to support the Company’s wholly-owned research and development programs, which have been primarily focused on the following disease targets: respiratory syncytial virus (“RSV”), SARS-CoV-2, hepatitis B virus (“HBV”) and chronic spontaneous urticaria (“CSU”).</w:t>
      </w:r>
    </w:p>
    <w:p>
      <w:pPr>
        <w:spacing w:after="0" w:line="8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and infrastructure, and extensive compliance reporting capabilities.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condensed consolidated balance sheet as of September 30, 2023 was derived from audited financial statements but does not include all disclosures required by accounting principles generally accepted in the United States of America (“GAAP”). The accompanying unaudited condensed consolidated financial statements as of March 31, 2024 and for the three and six months ended March 31, 2024 and 2023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condensed consolidated financial statements should be read in conjunction with the Company’s audited consolidated financial statements and the notes thereto included in the Company’s Annual Report on Form 10-K for the fiscal year ended September 30, 2023.</w:t>
      </w:r>
    </w:p>
    <w:p>
      <w:pPr>
        <w:spacing w:after="0" w:line="8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adjustments necessary for a fair statement of the Company’s financial position as of March 31, 2024 and results of operations for the three and six months ended March 31, 2024 and 2023 and cash flows for the six months ended March 31, 2024 and 2023 have been made. The results of operations for the three and six months ended March 31, 2024 are not necessarily indicative of the results of operations that may be expected for subsequent quarters or the year ending September 30, 2024.</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GAAP. All amounts in the condensed consolidated financial statements and in the notes to the condensed consolidated financial statements, except per share amounts, are in thousands unless otherwise indicated.</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based on continuity of operations, realization of assets and the satisfaction of liabilities and commitments in the ordinary course of business. The Company began reporting a net loss in fiscal 2020 and reported a net loss of $64,564 for the six months ended March 31, 2024 and $133,816 for the year ended September 30, 2023. As of March 31, 2024, the Company had an accumulated deficit of $271,559. The Company expects to continue to generate operating losses for the foreseeable future as the Company continues to advance its wholly-owned programs. As of March 31, 2024, the Company had $300,310 in cash, cash equivalents and short-term marketable securities. The Company expects that its cash, cash equivalents and short-term marketable securities will be sufficient to fund its operating expenses and capital expenditure requirements for at least 12 months from the issuance date of the interim condensed consolidated financial statements. The Company may seek additional funding through equity offerings, non-dilutive financings, collaborations, strategic alliances or licensing agreements. The Company may not be able to obtain sufficient financing on acceptable terms, or at all, and the Company may not be able to enter into collaborations or other arrangements. The terms of any financing may adversely affect the holdings or the rights of the Company’s stockholders. If the Company is unable to obtain funding, the Company could be forced to delay, reduce or eliminate some or all of its research and development programs, product expansion or commercialization efforts, or the Company may be unable to continue operations.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For the Company’s Significant Accounting Policies, please refer to its Annual Report on Form 10-K for the fiscal year ended September 30, 2023. Any reference in these notes to applicable guidance is meant to refer to the authoritative GAAP as found in the Accounting Standards Codification and Accounting Standards Update (“ASU”) of the Financial Accounting Standards Board (“FASB”).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Significant estimates and assumptions reflected in these condensed consolidated financial statements include, but are not limited to, management’s judgments with respect to its revenue arrangements; liability related to the sale of future royalties; valuation of stock-based awards and the accrual of research and development expenses. Estimates are periodically reviewed in light of changes in circumstances, facts and experience.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computed by dividing the net loss by the weighted average number of shares of common stock outstanding for the period. In periods in which the Company has reported a net loss, diluted net loss per common share is the same as basic net loss per common share since dilutive common shares are not assumed to have been issued if their effect is anti-dilutive. Therefore, the Company excluded the following potential common shares, presented based on amounts outstanding at each period end, from the computation of diluted net loss as its effect would have been anti-dilutive:</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320" w:type="dxa"/>
            <w:vAlign w:val="bottom"/>
          </w:tcPr>
          <w:p>
            <w:pPr>
              <w:spacing w:after="0"/>
              <w:rPr>
                <w:sz w:val="15"/>
                <w:szCs w:val="15"/>
                <w:color w:val="auto"/>
              </w:rPr>
            </w:pPr>
          </w:p>
        </w:tc>
        <w:tc>
          <w:tcPr>
            <w:tcW w:w="11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96"/>
        </w:trPr>
        <w:tc>
          <w:tcPr>
            <w:tcW w:w="7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8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2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100" w:type="dxa"/>
            <w:vAlign w:val="bottom"/>
            <w:shd w:val="clear" w:color="auto" w:fill="CFF0FC"/>
          </w:tcPr>
          <w:p>
            <w:pPr>
              <w:spacing w:after="0"/>
              <w:rPr>
                <w:sz w:val="21"/>
                <w:szCs w:val="21"/>
                <w:color w:val="auto"/>
              </w:rPr>
            </w:pPr>
          </w:p>
        </w:tc>
      </w:tr>
      <w:tr>
        <w:trPr>
          <w:trHeight w:val="239"/>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rTSRUs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r>
      <w:tr>
        <w:trPr>
          <w:trHeight w:val="247"/>
        </w:trPr>
        <w:tc>
          <w:tcPr>
            <w:tcW w:w="8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PSUs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21"/>
                <w:szCs w:val="21"/>
                <w:color w:val="auto"/>
              </w:rPr>
            </w:pPr>
          </w:p>
        </w:tc>
      </w:tr>
      <w:tr>
        <w:trPr>
          <w:trHeight w:val="25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2"/>
                <w:szCs w:val="22"/>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This amendment is effective for the Company in the fiscal year beginning October 1, 2024, with early adoption permitted. The Company is currently evaluating the potential impact that ASU 2023-07 may have on its financial statement disclosures.</w:t>
      </w:r>
    </w:p>
    <w:p>
      <w:pPr>
        <w:spacing w:after="0" w:line="7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public entities, on an annual basis, to provide disclosure of specific categories in the rate reconciliation, as well as disclosure of income taxes paid disaggregated by jurisdiction. ASU 2023-09 is effective for the Company in the fiscal year beginning October 1, 2025, with early adoption permitted. The Company is currently evaluating the potential impact that ASU 2023-09 may have on its financial statement disclosures.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 w:name="page10"/>
    <w:bookmarkEnd w:id="9"/>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121" w:lineRule="exact"/>
        <w:rPr>
          <w:sz w:val="20"/>
          <w:szCs w:val="20"/>
          <w:color w:val="auto"/>
        </w:rPr>
      </w:pPr>
    </w:p>
    <w:p>
      <w:pPr>
        <w:jc w:val="both"/>
        <w:ind w:right="320"/>
        <w:spacing w:after="0" w:line="312" w:lineRule="auto"/>
        <w:rPr>
          <w:sz w:val="20"/>
          <w:szCs w:val="20"/>
          <w:color w:val="auto"/>
        </w:rPr>
      </w:pPr>
      <w:r>
        <w:rPr>
          <w:rFonts w:ascii="Times New Roman" w:cs="Times New Roman" w:eastAsia="Times New Roman" w:hAnsi="Times New Roman"/>
          <w:sz w:val="17"/>
          <w:szCs w:val="17"/>
          <w:color w:val="auto"/>
        </w:rPr>
        <w:t>The following tables present information about the Company’s financial assets and liabilities that were subject to fair value measurement on a recurring basis as of March 31, 2024 and September 30, 2023, and indicate the fair value hierarchy of the valuation inputs utilized to determine such fair value: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2024 Using:</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63,272</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63,272</w:t>
            </w:r>
          </w:p>
        </w:tc>
        <w:tc>
          <w:tcPr>
            <w:tcW w:w="100" w:type="dxa"/>
            <w:vAlign w:val="bottom"/>
            <w:shd w:val="clear" w:color="auto" w:fill="CFF0FC"/>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notes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218,371</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218,371</w:t>
            </w:r>
          </w:p>
        </w:tc>
        <w:tc>
          <w:tcPr>
            <w:tcW w:w="100" w:type="dxa"/>
            <w:vAlign w:val="bottom"/>
            <w:shd w:val="clear" w:color="auto" w:fill="CFF0FC"/>
          </w:tcPr>
          <w:p>
            <w:pPr>
              <w:spacing w:after="0"/>
              <w:rPr>
                <w:sz w:val="21"/>
                <w:szCs w:val="21"/>
                <w:color w:val="auto"/>
              </w:rPr>
            </w:pPr>
          </w:p>
        </w:tc>
      </w:tr>
      <w:tr>
        <w:trPr>
          <w:trHeight w:val="239"/>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18,397</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18,397</w:t>
            </w:r>
          </w:p>
        </w:tc>
        <w:tc>
          <w:tcPr>
            <w:tcW w:w="100" w:type="dxa"/>
            <w:vAlign w:val="bottom"/>
          </w:tcPr>
          <w:p>
            <w:pPr>
              <w:spacing w:after="0"/>
              <w:rPr>
                <w:sz w:val="20"/>
                <w:szCs w:val="20"/>
                <w:color w:val="auto"/>
              </w:rPr>
            </w:pPr>
          </w:p>
        </w:tc>
      </w:tr>
      <w:tr>
        <w:trPr>
          <w:trHeight w:val="277"/>
        </w:trPr>
        <w:tc>
          <w:tcPr>
            <w:tcW w:w="470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281,643</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18,397</w:t>
            </w:r>
          </w:p>
        </w:tc>
        <w:tc>
          <w:tcPr>
            <w:tcW w:w="6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300,040</w:t>
            </w:r>
          </w:p>
        </w:tc>
        <w:tc>
          <w:tcPr>
            <w:tcW w:w="100" w:type="dxa"/>
            <w:vAlign w:val="bottom"/>
            <w:shd w:val="clear" w:color="auto" w:fill="CFF0FC"/>
          </w:tcPr>
          <w:p>
            <w:pPr>
              <w:spacing w:after="0"/>
              <w:rPr>
                <w:sz w:val="24"/>
                <w:szCs w:val="24"/>
                <w:color w:val="auto"/>
              </w:rPr>
            </w:pPr>
          </w:p>
        </w:tc>
      </w:tr>
      <w:tr>
        <w:trPr>
          <w:trHeight w:val="225"/>
        </w:trPr>
        <w:tc>
          <w:tcPr>
            <w:tcW w:w="4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1"/>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7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2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6"/>
        </w:trPr>
        <w:tc>
          <w:tcPr>
            <w:tcW w:w="4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9"/>
          </w:tcPr>
          <w:p>
            <w:pPr>
              <w:jc w:val="center"/>
              <w:ind w:left="733"/>
              <w:spacing w:after="0"/>
              <w:rPr>
                <w:sz w:val="20"/>
                <w:szCs w:val="20"/>
                <w:color w:val="auto"/>
              </w:rPr>
            </w:pPr>
            <w:r>
              <w:rPr>
                <w:rFonts w:ascii="Times New Roman" w:cs="Times New Roman" w:eastAsia="Times New Roman" w:hAnsi="Times New Roman"/>
                <w:sz w:val="14"/>
                <w:szCs w:val="14"/>
                <w:b w:val="1"/>
                <w:bCs w:val="1"/>
                <w:color w:val="auto"/>
              </w:rPr>
              <w:t>Fair Value Measurements as of September 30, 2023 Using:</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55,357</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55,357</w:t>
            </w:r>
          </w:p>
        </w:tc>
        <w:tc>
          <w:tcPr>
            <w:tcW w:w="100" w:type="dxa"/>
            <w:vAlign w:val="bottom"/>
            <w:shd w:val="clear" w:color="auto" w:fill="CFF0FC"/>
          </w:tcPr>
          <w:p>
            <w:pPr>
              <w:spacing w:after="0"/>
              <w:rPr>
                <w:sz w:val="21"/>
                <w:szCs w:val="21"/>
                <w:color w:val="auto"/>
              </w:rPr>
            </w:pPr>
          </w:p>
        </w:tc>
      </w:tr>
      <w:tr>
        <w:trPr>
          <w:trHeight w:val="239"/>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notes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29,755</w:t>
            </w: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notes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236,782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236,782</w:t>
            </w: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26,435</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26,435</w:t>
            </w:r>
          </w:p>
        </w:tc>
        <w:tc>
          <w:tcPr>
            <w:tcW w:w="100" w:type="dxa"/>
            <w:vAlign w:val="bottom"/>
            <w:shd w:val="clear" w:color="auto" w:fill="CFF0FC"/>
          </w:tcPr>
          <w:p>
            <w:pPr>
              <w:spacing w:after="0"/>
              <w:rPr>
                <w:sz w:val="21"/>
                <w:szCs w:val="21"/>
                <w:color w:val="auto"/>
              </w:rPr>
            </w:pPr>
          </w:p>
        </w:tc>
      </w:tr>
      <w:tr>
        <w:trPr>
          <w:trHeight w:val="239"/>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100" w:type="dxa"/>
            <w:vAlign w:val="bottom"/>
          </w:tcPr>
          <w:p>
            <w:pPr>
              <w:spacing w:after="0"/>
              <w:rPr>
                <w:sz w:val="20"/>
                <w:szCs w:val="20"/>
                <w:color w:val="auto"/>
              </w:rPr>
            </w:pPr>
          </w:p>
        </w:tc>
      </w:tr>
      <w:tr>
        <w:trPr>
          <w:trHeight w:val="276"/>
        </w:trPr>
        <w:tc>
          <w:tcPr>
            <w:tcW w:w="470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321,894</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47,740</w:t>
            </w:r>
          </w:p>
        </w:tc>
        <w:tc>
          <w:tcPr>
            <w:tcW w:w="6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369,634</w:t>
            </w:r>
          </w:p>
        </w:tc>
        <w:tc>
          <w:tcPr>
            <w:tcW w:w="100" w:type="dxa"/>
            <w:vAlign w:val="bottom"/>
            <w:shd w:val="clear" w:color="auto" w:fill="CFF0FC"/>
          </w:tcPr>
          <w:p>
            <w:pPr>
              <w:spacing w:after="0"/>
              <w:rPr>
                <w:sz w:val="24"/>
                <w:szCs w:val="24"/>
                <w:color w:val="auto"/>
              </w:rPr>
            </w:pPr>
          </w:p>
        </w:tc>
      </w:tr>
      <w:tr>
        <w:trPr>
          <w:trHeight w:val="225"/>
        </w:trPr>
        <w:tc>
          <w:tcPr>
            <w:tcW w:w="4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1"/>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7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-2931160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-2914015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-2931160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-2914015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-2931160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-2914015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-2596515</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-2596515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-2596515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-522605</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-505460</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-522605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-505460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-522605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-505460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-187960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-187960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March 31, 2024 and 2023 there were no transfers between Level 1, Level 2 and Level 3.</w:t>
      </w:r>
    </w:p>
    <w:p>
      <w:pPr>
        <w:spacing w:after="0" w:line="22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fair value of Level 2 instruments classified as marketable securities were determined through third-party pricing services. The pricing services use many observable market inputs to determine value, including reportable trades, benchmark yields, credit spreads, broker/dealer quotes, bids, offers, and current spot rates.</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outstanding shares of Series 1 nonconvertible preferred stock as of March 31, 2024 and September 30, 2023 are measured at fair value. These outstanding shares are financial instruments that might require a transfer of assets because of the liquidation features in the contract and are therefore recorded as liabilities and measured at fair value. The fair value of the outstanding shares is based on significant inputs not observable in the market, which represent a Level 3 measurement within the fair value hierarchy. The Company utilizes a probability-weighted valuation model which takes into consideration various outcomes that may require the Company to transfer assets upon liquidation. Changes in the fair values of the Series 1 nonconvertible preferred stock are recognized in other income (expense) in the condensed consolidated statements of operations.</w:t>
      </w:r>
    </w:p>
    <w:p>
      <w:pPr>
        <w:spacing w:after="0" w:line="7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Range</w:t>
            </w:r>
          </w:p>
        </w:tc>
      </w:tr>
      <w:tr>
        <w:trPr>
          <w:trHeight w:val="267"/>
        </w:trPr>
        <w:tc>
          <w:tcPr>
            <w:tcW w:w="6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4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26"/>
        </w:trPr>
        <w:tc>
          <w:tcPr>
            <w:tcW w:w="648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20" w:type="dxa"/>
            <w:vAlign w:val="bottom"/>
          </w:tcPr>
          <w:p>
            <w:pPr>
              <w:spacing w:after="0"/>
              <w:rPr>
                <w:sz w:val="19"/>
                <w:szCs w:val="19"/>
                <w:color w:val="auto"/>
              </w:rPr>
            </w:pPr>
          </w:p>
        </w:tc>
        <w:tc>
          <w:tcPr>
            <w:tcW w:w="174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57"/>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Probabilities of payout</w:t>
            </w:r>
          </w:p>
        </w:tc>
        <w:tc>
          <w:tcPr>
            <w:tcW w:w="1740" w:type="dxa"/>
            <w:vAlign w:val="bottom"/>
          </w:tcPr>
          <w:p>
            <w:pPr>
              <w:jc w:val="center"/>
              <w:ind w:left="379"/>
              <w:spacing w:after="0"/>
              <w:rPr>
                <w:sz w:val="20"/>
                <w:szCs w:val="20"/>
                <w:color w:val="auto"/>
              </w:rPr>
            </w:pPr>
            <w:r>
              <w:rPr>
                <w:rFonts w:ascii="Times New Roman" w:cs="Times New Roman" w:eastAsia="Times New Roman" w:hAnsi="Times New Roman"/>
                <w:sz w:val="18"/>
                <w:szCs w:val="18"/>
                <w:color w:val="auto"/>
              </w:rPr>
              <w:t>0%-65%</w:t>
            </w:r>
          </w:p>
        </w:tc>
        <w:tc>
          <w:tcPr>
            <w:tcW w:w="2800" w:type="dxa"/>
            <w:vAlign w:val="bottom"/>
            <w:gridSpan w:val="3"/>
          </w:tcPr>
          <w:p>
            <w:pPr>
              <w:jc w:val="center"/>
              <w:ind w:left="496"/>
              <w:spacing w:after="0"/>
              <w:rPr>
                <w:sz w:val="20"/>
                <w:szCs w:val="20"/>
                <w:color w:val="auto"/>
              </w:rPr>
            </w:pPr>
            <w:r>
              <w:rPr>
                <w:rFonts w:ascii="Times New Roman" w:cs="Times New Roman" w:eastAsia="Times New Roman" w:hAnsi="Times New Roman"/>
                <w:sz w:val="18"/>
                <w:szCs w:val="18"/>
                <w:color w:val="auto"/>
                <w:w w:val="98"/>
              </w:rPr>
              <w:t>0%-65%</w:t>
            </w:r>
          </w:p>
        </w:tc>
      </w:tr>
      <w:tr>
        <w:trPr>
          <w:trHeight w:val="277"/>
        </w:trPr>
        <w:tc>
          <w:tcPr>
            <w:tcW w:w="6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740" w:type="dxa"/>
            <w:vAlign w:val="bottom"/>
            <w:shd w:val="clear" w:color="auto" w:fill="CFF0FC"/>
          </w:tcPr>
          <w:p>
            <w:pPr>
              <w:jc w:val="center"/>
              <w:ind w:left="399"/>
              <w:spacing w:after="0"/>
              <w:rPr>
                <w:sz w:val="20"/>
                <w:szCs w:val="20"/>
                <w:color w:val="auto"/>
              </w:rPr>
            </w:pPr>
            <w:r>
              <w:rPr>
                <w:rFonts w:ascii="Times New Roman" w:cs="Times New Roman" w:eastAsia="Times New Roman" w:hAnsi="Times New Roman"/>
                <w:sz w:val="18"/>
                <w:szCs w:val="18"/>
                <w:color w:val="auto"/>
                <w:w w:val="98"/>
              </w:rPr>
              <w:t>7.25%</w:t>
            </w:r>
          </w:p>
        </w:tc>
        <w:tc>
          <w:tcPr>
            <w:tcW w:w="2800" w:type="dxa"/>
            <w:vAlign w:val="bottom"/>
            <w:gridSpan w:val="3"/>
            <w:shd w:val="clear" w:color="auto" w:fill="CFF0FC"/>
          </w:tcPr>
          <w:p>
            <w:pPr>
              <w:jc w:val="center"/>
              <w:ind w:left="496"/>
              <w:spacing w:after="0"/>
              <w:rPr>
                <w:sz w:val="20"/>
                <w:szCs w:val="20"/>
                <w:color w:val="auto"/>
              </w:rPr>
            </w:pPr>
            <w:r>
              <w:rPr>
                <w:rFonts w:ascii="Times New Roman" w:cs="Times New Roman" w:eastAsia="Times New Roman" w:hAnsi="Times New Roman"/>
                <w:sz w:val="18"/>
                <w:szCs w:val="18"/>
                <w:color w:val="auto"/>
                <w:w w:val="98"/>
              </w:rPr>
              <w:t>7.25%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the fair value of nonconvertible preferred stock during the three months ended March 31, 2024 and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ind w:right="100"/>
        <w:spacing w:after="0" w:line="256" w:lineRule="auto"/>
        <w:rPr>
          <w:sz w:val="20"/>
          <w:szCs w:val="20"/>
          <w:color w:val="auto"/>
        </w:rPr>
      </w:pPr>
      <w:r>
        <w:rPr>
          <w:rFonts w:ascii="Times New Roman" w:cs="Times New Roman" w:eastAsia="Times New Roman" w:hAnsi="Times New Roman"/>
          <w:sz w:val="18"/>
          <w:szCs w:val="18"/>
          <w:color w:val="auto"/>
        </w:rPr>
        <w:t>In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 The Company accounted for the upfront payment as a liability related to the sale of future royalties. The carrying value of the liability related to the sale of future royalties approximates fair value as of March 31, 2024 and is based on current estimates of future royalties expected to be paid to OMERS over the next 10 years, which are considered Level 3 inputs. See Note 7 for a rollforward of the liability.</w:t>
      </w:r>
    </w:p>
    <w:p>
      <w:pPr>
        <w:spacing w:after="0" w:line="75"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September 30, 2023, the fair value of available-for-sale marketable securities, by type of security, was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218,561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21"/>
                <w:szCs w:val="21"/>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1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237,051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236,880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(692 )</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1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285,312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(802 )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-1396365</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-1379220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-1396365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-1379220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-1396365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-1379220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-1396365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-1379220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-24765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September 30, 2023, marketable securities consisted of investments that mature within one year.</w:t>
      </w:r>
    </w:p>
    <w:p>
      <w:pPr>
        <w:spacing w:after="0" w:line="329"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March 31, 2024 and September 30,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6820" w:type="dxa"/>
            <w:vAlign w:val="bottom"/>
          </w:tcPr>
          <w:p>
            <w:pPr>
              <w:spacing w:after="0"/>
              <w:rPr>
                <w:sz w:val="16"/>
                <w:szCs w:val="16"/>
                <w:color w:val="auto"/>
              </w:rPr>
            </w:pPr>
          </w:p>
        </w:tc>
        <w:tc>
          <w:tcPr>
            <w:tcW w:w="14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6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400" w:type="dxa"/>
            <w:vAlign w:val="bottom"/>
            <w:shd w:val="clear" w:color="auto" w:fill="CFF0FC"/>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100" w:type="dxa"/>
            <w:vAlign w:val="bottom"/>
          </w:tcPr>
          <w:p>
            <w:pPr>
              <w:spacing w:after="0"/>
              <w:rPr>
                <w:sz w:val="20"/>
                <w:szCs w:val="20"/>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4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pharmaceutical drug manufacturing</w:t>
            </w:r>
          </w:p>
        </w:tc>
        <w:tc>
          <w:tcPr>
            <w:tcW w:w="1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spacing w:after="0"/>
              <w:rPr>
                <w:sz w:val="20"/>
                <w:szCs w:val="20"/>
                <w:color w:val="auto"/>
              </w:rPr>
            </w:pPr>
          </w:p>
        </w:tc>
      </w:tr>
      <w:tr>
        <w:trPr>
          <w:trHeight w:val="247"/>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4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3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820" w:type="dxa"/>
            <w:vAlign w:val="bottom"/>
          </w:tcPr>
          <w:p>
            <w:pPr>
              <w:spacing w:after="0"/>
              <w:rPr>
                <w:sz w:val="20"/>
                <w:szCs w:val="20"/>
                <w:color w:val="auto"/>
              </w:rPr>
            </w:pPr>
          </w:p>
        </w:tc>
        <w:tc>
          <w:tcPr>
            <w:tcW w:w="1400" w:type="dxa"/>
            <w:vAlign w:val="bottom"/>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18,339</w:t>
            </w:r>
          </w:p>
        </w:tc>
        <w:tc>
          <w:tcPr>
            <w:tcW w:w="100" w:type="dxa"/>
            <w:vAlign w:val="bottom"/>
          </w:tcPr>
          <w:p>
            <w:pPr>
              <w:spacing w:after="0"/>
              <w:rPr>
                <w:sz w:val="20"/>
                <w:szCs w:val="20"/>
                <w:color w:val="auto"/>
              </w:rPr>
            </w:pPr>
          </w:p>
        </w:tc>
      </w:tr>
      <w:tr>
        <w:trPr>
          <w:trHeight w:val="20"/>
        </w:trPr>
        <w:tc>
          <w:tcPr>
            <w:tcW w:w="68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-187960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AbbVie Collaboration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$1,304,000 through March 31, 2024. Since the Company satisfied all of its performance obligations under the AbbVie Agreement by the end of fiscal 2011, all milestone payments received since then have been recognized as revenue when the milestones were achieved by AbbVie.</w:t>
      </w:r>
    </w:p>
    <w:p>
      <w:pPr>
        <w:spacing w:after="0" w:line="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spacing w:after="0" w:line="95"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Related to the Sale of Future Royalties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right="280"/>
        <w:spacing w:after="0" w:line="266" w:lineRule="auto"/>
        <w:rPr>
          <w:sz w:val="20"/>
          <w:szCs w:val="20"/>
          <w:color w:val="auto"/>
        </w:rPr>
      </w:pPr>
      <w:r>
        <w:rPr>
          <w:rFonts w:ascii="Times New Roman" w:cs="Times New Roman" w:eastAsia="Times New Roman" w:hAnsi="Times New Roman"/>
          <w:sz w:val="18"/>
          <w:szCs w:val="18"/>
          <w:color w:val="auto"/>
        </w:rPr>
        <w:t>In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Because the royalty sale agreement will be paid back to OMERS up to a capped amount as well as the Company’s significant continuing involvement in the generation of future cash flows under its AbbVie Agreement, the Company recorded the proceeds from the transaction as a liability on its condensed consolidated balance sheets which will be amortized as interest expense in the condensed consolidated statements of operations under the effective interest rate method over the life of the royalty sale agreement. The Company will continue to record the full amount of royalties earned on MAVYRET/MAVIRET sales as royalty revenue in the condensed consolidated statements of operations.</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liability related to the sale of future royalties is estimated based on forecasted worldwide MAVYRET/MAVYRET royalties to be paid to OMERS over the course of the royalty sale agreement. This estimate requires significant judgment, including the amount and timing of royalty payments up until the end of the royalty sale agreement, which is estimated to be the stated term of June 30, 2032. As royalties are earned by OMERS, the liability is reduced on the Company’s condensed consolidated balance sheets.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the estimated future cash flows resulted in an effective annual imputed interest rate of approximately 5.6%.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of the liability related to the sale of future royalties: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 related to the sale of future</w:t>
            </w:r>
          </w:p>
        </w:tc>
      </w:tr>
      <w:tr>
        <w:trPr>
          <w:trHeight w:val="187"/>
        </w:trPr>
        <w:tc>
          <w:tcPr>
            <w:tcW w:w="8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royalties</w:t>
            </w:r>
          </w:p>
        </w:tc>
        <w:tc>
          <w:tcPr>
            <w:tcW w:w="100" w:type="dxa"/>
            <w:vAlign w:val="bottom"/>
          </w:tcPr>
          <w:p>
            <w:pPr>
              <w:spacing w:after="0"/>
              <w:rPr>
                <w:sz w:val="16"/>
                <w:szCs w:val="16"/>
                <w:color w:val="auto"/>
              </w:rPr>
            </w:pPr>
          </w:p>
        </w:tc>
      </w:tr>
      <w:tr>
        <w:trPr>
          <w:trHeight w:val="237"/>
        </w:trPr>
        <w:tc>
          <w:tcPr>
            <w:tcW w:w="8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194,505</w:t>
            </w:r>
          </w:p>
        </w:tc>
        <w:tc>
          <w:tcPr>
            <w:tcW w:w="100" w:type="dxa"/>
            <w:vAlign w:val="bottom"/>
            <w:shd w:val="clear" w:color="auto" w:fill="CFF0FC"/>
          </w:tcPr>
          <w:p>
            <w:pPr>
              <w:spacing w:after="0"/>
              <w:rPr>
                <w:sz w:val="21"/>
                <w:szCs w:val="21"/>
                <w:color w:val="auto"/>
              </w:rPr>
            </w:pPr>
          </w:p>
        </w:tc>
      </w:tr>
      <w:tr>
        <w:trPr>
          <w:trHeight w:val="239"/>
        </w:trPr>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Royalty payable to purchaser</w:t>
            </w:r>
          </w:p>
        </w:tc>
        <w:tc>
          <w:tcPr>
            <w:tcW w:w="160" w:type="dxa"/>
            <w:vAlign w:val="bottom"/>
          </w:tcPr>
          <w:p>
            <w:pPr>
              <w:spacing w:after="0"/>
              <w:rPr>
                <w:sz w:val="20"/>
                <w:szCs w:val="20"/>
                <w:color w:val="auto"/>
              </w:rPr>
            </w:pPr>
          </w:p>
        </w:tc>
        <w:tc>
          <w:tcPr>
            <w:tcW w:w="2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(9,297 )</w:t>
            </w:r>
          </w:p>
        </w:tc>
      </w:tr>
      <w:tr>
        <w:trPr>
          <w:trHeight w:val="247"/>
        </w:trPr>
        <w:tc>
          <w:tcPr>
            <w:tcW w:w="8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 on royalty sale liability</w:t>
            </w:r>
          </w:p>
        </w:tc>
        <w:tc>
          <w:tcPr>
            <w:tcW w:w="160" w:type="dxa"/>
            <w:vAlign w:val="bottom"/>
            <w:shd w:val="clear" w:color="auto" w:fill="CFF0FC"/>
          </w:tcPr>
          <w:p>
            <w:pPr>
              <w:spacing w:after="0"/>
              <w:rPr>
                <w:sz w:val="21"/>
                <w:szCs w:val="21"/>
                <w:color w:val="auto"/>
              </w:rPr>
            </w:pPr>
          </w:p>
        </w:tc>
        <w:tc>
          <w:tcPr>
            <w:tcW w:w="2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(9,822 )</w:t>
            </w:r>
          </w:p>
        </w:tc>
      </w:tr>
      <w:tr>
        <w:trPr>
          <w:trHeight w:val="243"/>
        </w:trPr>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1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00" w:type="dxa"/>
            <w:vAlign w:val="bottom"/>
          </w:tcPr>
          <w:p>
            <w:pPr>
              <w:spacing w:after="0"/>
              <w:rPr>
                <w:sz w:val="21"/>
                <w:szCs w:val="21"/>
                <w:color w:val="auto"/>
              </w:rPr>
            </w:pPr>
          </w:p>
        </w:tc>
      </w:tr>
      <w:tr>
        <w:trPr>
          <w:trHeight w:val="277"/>
        </w:trPr>
        <w:tc>
          <w:tcPr>
            <w:tcW w:w="8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181,447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1 Nonconvertible Preferred Stock</w:t>
      </w:r>
    </w:p>
    <w:p>
      <w:pPr>
        <w:spacing w:after="0" w:line="121"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As of March 31, 2024, 1,930 shares of Series 1 nonconvertible preferred stock were issued and outstanding. The outstanding shares are financial instruments that might require a transfer of assets because of the liquidation features in the contract and are carried at fair value as a liability on the Company’s condensed consolidated balance sheets.</w:t>
      </w:r>
    </w:p>
    <w:p>
      <w:pPr>
        <w:spacing w:after="0" w:line="280"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Awards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grants stock-based awards, including stock options, restricted stock units and other unit awards under its 2019 Equity Incentive Plan (the “2019 Plan”), which was approved by its stockholders on February 28, 2019 and amended in March 2021, March 2022, March 2023 and March 2024, and its 2024 Inducement Stock Incentive Plan, which was adopted by the Board of Directors in April 2024 for awards to new employees. The Company also has outstanding stock option awards under its 2012 Equity Incentive Plan (the “2012 Plan”) but is no longer granting awards under this plan.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including performance-based options, for the year-to-date period ending March 31,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3"/>
                <w:szCs w:val="13"/>
                <w:color w:val="auto"/>
              </w:rPr>
            </w:pPr>
          </w:p>
        </w:tc>
        <w:tc>
          <w:tcPr>
            <w:tcW w:w="106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240" w:type="dxa"/>
            <w:vAlign w:val="bottom"/>
          </w:tcPr>
          <w:p>
            <w:pPr>
              <w:spacing w:after="0"/>
              <w:rPr>
                <w:sz w:val="12"/>
                <w:szCs w:val="12"/>
                <w:color w:val="auto"/>
              </w:rPr>
            </w:pPr>
          </w:p>
        </w:tc>
        <w:tc>
          <w:tcPr>
            <w:tcW w:w="10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240" w:type="dxa"/>
            <w:vAlign w:val="bottom"/>
          </w:tcPr>
          <w:p>
            <w:pPr>
              <w:spacing w:after="0"/>
              <w:rPr>
                <w:sz w:val="12"/>
                <w:szCs w:val="12"/>
                <w:color w:val="auto"/>
              </w:rPr>
            </w:pPr>
          </w:p>
        </w:tc>
        <w:tc>
          <w:tcPr>
            <w:tcW w:w="10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482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20" w:type="dxa"/>
            <w:vAlign w:val="bottom"/>
          </w:tcPr>
          <w:p>
            <w:pPr>
              <w:spacing w:after="0"/>
              <w:rPr>
                <w:sz w:val="15"/>
                <w:szCs w:val="15"/>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2023</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(318 )</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6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82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Options vested and expected to vest as of</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31, 2024</w:t>
            </w:r>
          </w:p>
        </w:tc>
        <w:tc>
          <w:tcPr>
            <w:tcW w:w="15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as of March 31, 2024</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6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629"/>
        </w:trPr>
        <w:tc>
          <w:tcPr>
            <w:tcW w:w="4820" w:type="dxa"/>
            <w:vAlign w:val="bottom"/>
          </w:tcPr>
          <w:p>
            <w:pPr>
              <w:spacing w:after="0"/>
              <w:rPr>
                <w:sz w:val="24"/>
                <w:szCs w:val="24"/>
                <w:color w:val="auto"/>
              </w:rPr>
            </w:pPr>
          </w:p>
        </w:tc>
        <w:tc>
          <w:tcPr>
            <w:tcW w:w="1540" w:type="dxa"/>
            <w:vAlign w:val="bottom"/>
          </w:tcPr>
          <w:p>
            <w:pPr>
              <w:jc w:val="right"/>
              <w:ind w:right="557"/>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48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-1396365</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-1379220</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-925195</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-908050</wp:posOffset>
            </wp:positionV>
            <wp:extent cx="774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Market and Performance-Based Stock Unit Awards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awards both performance share units, or PSUs, and relative total stockholder return units, or rTSRUs, to its executive officers. The number of units granted represents the target number of shares of common stock that may be earned; however, the actual number of shares that may be earned ranges from 0% to 150% of the target number. The number of shares cancelled represents the target number of shares, less any shares that vested. The following table summarizes PSU and rTSRU activity for the year-to-date period ending March 31,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rTSRUs</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61"/>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6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7"/>
        </w:trPr>
        <w:tc>
          <w:tcPr>
            <w:tcW w:w="48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7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260" w:type="dxa"/>
            <w:vAlign w:val="bottom"/>
            <w:tcBorders>
              <w:top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3"/>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September 30, 2023</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45.82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8"/>
              </w:rPr>
              <w:t>(25 )</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26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(19 )</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47.25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March 31, 2024</w:t>
            </w:r>
          </w:p>
        </w:tc>
        <w:tc>
          <w:tcPr>
            <w:tcW w:w="1260" w:type="dxa"/>
            <w:vAlign w:val="bottom"/>
            <w:tcBorders>
              <w:top w:val="single" w:sz="8" w:color="auto"/>
              <w:bottom w:val="single" w:sz="8" w:color="auto"/>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25.50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The following table summarizes the restricted stock unit activity for the year-to-date period ending March 31, 2024:</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8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3"/>
            <w:vMerge w:val="restart"/>
          </w:tcPr>
          <w:p>
            <w:pPr>
              <w:jc w:val="center"/>
              <w:ind w:left="441"/>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September 30, 2023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51.78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(116 )</w:t>
            </w: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52.00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(19 )</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0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March 31, 2024</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36.68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-1842770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-1824990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-1842770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-1824990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March 31, 2024 and 2023, the Company recognized the following stock-based compensation expense: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80" w:type="dxa"/>
            <w:vAlign w:val="bottom"/>
          </w:tcPr>
          <w:p>
            <w:pPr>
              <w:spacing w:after="0"/>
              <w:rPr>
                <w:sz w:val="16"/>
                <w:szCs w:val="16"/>
                <w:color w:val="auto"/>
              </w:rPr>
            </w:pPr>
          </w:p>
        </w:tc>
        <w:tc>
          <w:tcPr>
            <w:tcW w:w="2600" w:type="dxa"/>
            <w:vAlign w:val="bottom"/>
            <w:gridSpan w:val="4"/>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83"/>
        </w:trPr>
        <w:tc>
          <w:tcPr>
            <w:tcW w:w="488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69"/>
        </w:trPr>
        <w:tc>
          <w:tcPr>
            <w:tcW w:w="4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20" w:type="dxa"/>
            <w:vAlign w:val="bottom"/>
            <w:gridSpan w:val="3"/>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12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100" w:type="dxa"/>
            <w:vAlign w:val="bottom"/>
            <w:shd w:val="clear" w:color="auto" w:fill="CFF0FC"/>
          </w:tcPr>
          <w:p>
            <w:pPr>
              <w:spacing w:after="0"/>
              <w:rPr>
                <w:sz w:val="21"/>
                <w:szCs w:val="2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24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100" w:type="dxa"/>
            <w:vAlign w:val="bottom"/>
          </w:tcPr>
          <w:p>
            <w:pPr>
              <w:spacing w:after="0"/>
              <w:rPr>
                <w:sz w:val="21"/>
                <w:szCs w:val="21"/>
                <w:color w:val="auto"/>
              </w:rPr>
            </w:pPr>
          </w:p>
        </w:tc>
      </w:tr>
      <w:tr>
        <w:trPr>
          <w:trHeight w:val="272"/>
        </w:trPr>
        <w:tc>
          <w:tcPr>
            <w:tcW w:w="488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24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2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2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14,502</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565"/>
        </w:trPr>
        <w:tc>
          <w:tcPr>
            <w:tcW w:w="4880" w:type="dxa"/>
            <w:vAlign w:val="bottom"/>
          </w:tcPr>
          <w:p>
            <w:pPr>
              <w:spacing w:after="0"/>
              <w:rPr>
                <w:sz w:val="24"/>
                <w:szCs w:val="24"/>
                <w:color w:val="auto"/>
              </w:rPr>
            </w:pPr>
          </w:p>
        </w:tc>
        <w:tc>
          <w:tcPr>
            <w:tcW w:w="2600" w:type="dxa"/>
            <w:vAlign w:val="bottom"/>
            <w:gridSpan w:val="4"/>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83"/>
        </w:trPr>
        <w:tc>
          <w:tcPr>
            <w:tcW w:w="488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69"/>
        </w:trPr>
        <w:tc>
          <w:tcPr>
            <w:tcW w:w="4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20" w:type="dxa"/>
            <w:vAlign w:val="bottom"/>
            <w:gridSpan w:val="3"/>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12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8,173</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00" w:type="dxa"/>
            <w:vAlign w:val="bottom"/>
            <w:shd w:val="clear" w:color="auto" w:fill="CFF0FC"/>
          </w:tcPr>
          <w:p>
            <w:pPr>
              <w:spacing w:after="0"/>
              <w:rPr>
                <w:sz w:val="21"/>
                <w:szCs w:val="21"/>
                <w:color w:val="auto"/>
              </w:rPr>
            </w:pPr>
          </w:p>
        </w:tc>
      </w:tr>
      <w:tr>
        <w:trPr>
          <w:trHeight w:val="23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tcPr>
          <w:p>
            <w:pPr>
              <w:spacing w:after="0"/>
              <w:rPr>
                <w:sz w:val="20"/>
                <w:szCs w:val="20"/>
                <w:color w:val="auto"/>
              </w:rPr>
            </w:pPr>
          </w:p>
        </w:tc>
      </w:tr>
      <w:tr>
        <w:trPr>
          <w:trHeight w:val="247"/>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rTSRUs</w:t>
            </w:r>
          </w:p>
        </w:tc>
        <w:tc>
          <w:tcPr>
            <w:tcW w:w="9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FF0FC"/>
          </w:tcPr>
          <w:p>
            <w:pPr>
              <w:spacing w:after="0"/>
              <w:rPr>
                <w:sz w:val="21"/>
                <w:szCs w:val="2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1"/>
                <w:szCs w:val="21"/>
                <w:color w:val="auto"/>
              </w:rPr>
            </w:pPr>
          </w:p>
        </w:tc>
      </w:tr>
      <w:tr>
        <w:trPr>
          <w:trHeight w:val="272"/>
        </w:trPr>
        <w:tc>
          <w:tcPr>
            <w:tcW w:w="488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24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2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2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-1447800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-1431290</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-1447800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-1431290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-1447800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-1431290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-25400</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-8255</wp:posOffset>
            </wp:positionV>
            <wp:extent cx="77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March 31, 2024 and 2023, the Company recognized stock-based compensation expense for performance-based stock units for which vesting became probable upon achievement of performance-based targets that occurred during the performance period.</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an aggregate of $52,286 of unrecognized stock-based compensation cost, which is expected to be recognized over a weighted average period of 2.1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six months ended March 31, 2024, the Company recorded an income tax benefit of $985 due to interest recorded on a pending federal income tax refund as compared to income tax expense of $10 during the six months ended March 31,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Contingencies Related to Use of Intellectual Property</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claims and litigation arising in the ordinary course of business. Except as described below, the Company currently is not a party to any material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8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In June 2022, the Company announced that it filed suit in the United States District Court for the District of Massachusetts on June 21, 2022, against Pfizer, Inc. seeking damages for infringement of U.S. Patent No. 11,358,953 (the ’953 Patent) in the manufacture, use and sale of Pfizer’s COVID-19 antiviral, Paxlovid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(nirmatrelvir tablets; ritonavir tablets). The United States Patent and Trademark Office awarded the '953 Patent to the Company in June 2022 based on the Company's July 2020 patent application describing coronavirus protease inhibitors invented by the Company. The Company is seeking fair compensation for Pfizer’s use of a coronavirus protease inhibitor claimed in the ‘953 patent. The Company records all legal expenses associated with the patent infringement suit as incurred in the condensed consolidated statements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directors’ and officers’ insurance coverage. The Company does not believe that the outcome of any claims under indemnification arrangements will have a material effect on its financial position, results of operations or cash flows, and has not accrued any liabilities related to such obligations in its condensed consolidated financial statements as of March 31,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laboratory and office space under various non-cancelable operating leases.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May 2022, the Company entered into a new ten-year lease agreement with its existing landlord for laboratory and office space in Watertown, Massachusetts, adjacent to its 400 Talcott Avenue premises. The new lab and office space is located at Arsenal on the Charles in Watertown, Massachusetts at 4 Kingsbury Avenue. Construction of the facility shell was completed by the landlord and the Company gained access to the building to construct tenant improvements during the three months ended March 31, 2024. The estimated minimum lease payments for the 4 Kingsbury Avenue facility total $76,470 over the ten-year term. The lease also contains a tenant improvement allowance of $15,205. The Company recorded a right-of-use asset of $32,499 and lease liability of $31,939 upon commencement of the lease during the three months ended March 31, 2024.</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conjunction with the new lease agreement at 4 Kingsbury Avenue, the Company amended its 500 Arsenal Street lease to shorten the term of the lease from September 2027 to the date the 4 Kingsbury Avenue facility is ready for the Company’s occupancy which is expected to be by the end of November 2024. The Company remeasured the lease term and remaining lease payments for the 500 Arsenal Street facility during the three months ended March 31, 2024 when the Company gained access to the 4 Kingsbury Avenue building. The Company recorded an adjustment to the right-of-use asset and lease liability for 500 Arsenal Street of $9,322.</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noncash change arising from the new 4 Kingsbury Avenue lease, net of the remeasurement of the 500 Arsenal lease liability totaled $22,617 during the six months ended March 31,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14" w:name="page15"/>
    <w:bookmarkEnd w:id="14"/>
    <w:p>
      <w:pPr>
        <w:ind w:right="140"/>
        <w:spacing w:after="0" w:line="282" w:lineRule="auto"/>
        <w:rPr>
          <w:sz w:val="20"/>
          <w:szCs w:val="20"/>
          <w:color w:val="auto"/>
        </w:rPr>
      </w:pPr>
      <w:r>
        <w:rPr>
          <w:rFonts w:ascii="Times New Roman" w:cs="Times New Roman" w:eastAsia="Times New Roman" w:hAnsi="Times New Roman"/>
          <w:sz w:val="18"/>
          <w:szCs w:val="18"/>
          <w:color w:val="auto"/>
        </w:rPr>
        <w:t>Future annual minimum facility and equipment lease payments, net of the tenant improvement allowance under the Company’s 4 Kingsbury Avenue lease as of March 31, 2024, are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ended September 30,</w:t>
            </w:r>
          </w:p>
        </w:tc>
        <w:tc>
          <w:tcPr>
            <w:tcW w:w="46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14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4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(34,763 )</w:t>
            </w:r>
          </w:p>
        </w:tc>
        <w:tc>
          <w:tcPr>
            <w:tcW w:w="0" w:type="dxa"/>
            <w:vAlign w:val="bottom"/>
          </w:tcPr>
          <w:p>
            <w:pPr>
              <w:spacing w:after="0"/>
              <w:rPr>
                <w:sz w:val="1"/>
                <w:szCs w:val="1"/>
                <w:color w:val="auto"/>
              </w:rPr>
            </w:pPr>
          </w:p>
        </w:tc>
      </w:tr>
      <w:tr>
        <w:trPr>
          <w:trHeight w:val="243"/>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tenant improvement allowance</w:t>
            </w:r>
          </w:p>
        </w:tc>
        <w:tc>
          <w:tcPr>
            <w:tcW w:w="4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(15,053 )</w:t>
            </w:r>
          </w:p>
        </w:tc>
        <w:tc>
          <w:tcPr>
            <w:tcW w:w="0" w:type="dxa"/>
            <w:vAlign w:val="bottom"/>
          </w:tcPr>
          <w:p>
            <w:pPr>
              <w:spacing w:after="0"/>
              <w:rPr>
                <w:sz w:val="1"/>
                <w:szCs w:val="1"/>
                <w:color w:val="auto"/>
              </w:rPr>
            </w:pPr>
          </w:p>
        </w:tc>
      </w:tr>
      <w:tr>
        <w:trPr>
          <w:trHeight w:val="241"/>
        </w:trPr>
        <w:tc>
          <w:tcPr>
            <w:tcW w:w="4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820" w:type="dxa"/>
            <w:vAlign w:val="bottom"/>
            <w:tcBorders>
              <w:top w:val="single" w:sz="8" w:color="CFF0FC"/>
            </w:tcBorders>
            <w:gridSpan w:val="2"/>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60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14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4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notes thereto included elsewhere in this Quarterly Report on Form 10-Q, or Form 10-Q, and the audited consolidated financial statements and notes thereto for our fiscal year ended September 30, 2023 included in our Annual Report on Form 10-K for that fiscal year, which is referred to as our 2023 Form 10-K. Please refer to our note regarding forward-looking statements on page 2 of this Form 10-Q, which is incorporated herein by this reference.</w:t>
      </w:r>
    </w:p>
    <w:p>
      <w:pPr>
        <w:spacing w:after="0" w:line="75"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The Enanta name and logo are our trademarks. This Form 10-Q also includes trademarks, trade names and service marks of other persons. All other trademarks, trade names and service marks appearing in this Form 10-Q are the property of their respective owners.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We are a biotechnology company that uses our robust, chemistry-driven approach and drug discovery capabilities to discover and develop small molecule drugs with an emphasis on virology and immunology indications. We discovered glecaprevir, the second of two protease inhibitors discovered and developed through our collaboration with AbbVie for the treatment of chronic infection with hepatitis C virus, or HCV. Glecaprevir is co-formulated as part of AbbVie’s leading brand of direct-acting antiviral, or DAA, combination treatment for HCV, which is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(glecaprevir/pibrentasvir). The ongoing royalties from our AbbVie collaboration, combined with the proceeds from our 2023 royalty sale transaction, have provided us funding to support our wholly-owned research and development programs primarily focused on the following disease targets: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Virology:</w:t>
      </w:r>
    </w:p>
    <w:p>
      <w:pPr>
        <w:spacing w:after="0" w:line="119" w:lineRule="exact"/>
        <w:rPr>
          <w:sz w:val="20"/>
          <w:szCs w:val="20"/>
          <w:color w:val="auto"/>
        </w:rPr>
      </w:pPr>
    </w:p>
    <w:p>
      <w:pPr>
        <w:jc w:val="both"/>
        <w:ind w:left="1020" w:right="34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Respiratory syncytial virus, or RSV, the most common cause of bronchiolitis and pneumonia in young children and a significant cause of respiratory illness in older adults, with estimates suggesting that on average each year RSV leads to 3 million hospitalizations globally in children under 5 years old and 177,000 hospitalizations in the U.S. in adults over the age of 65;</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SARS-CoV-2, the virus that causes COVID-19, with estimates suggesting that COVID-19 continues to have a disease burden greater than influenza, including persistent cases of infection often referred to as long COVID and hospitalization and death among the elderly and those with comorbidities, while new variants continue to emerge on a regular basis; and</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Hepatitis B virus, or HBV, the most prevalent chronic hepatitis, which is estimated by the World Health Organization to affect close to 300 million individuals worldwide.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Immunology:</w:t>
      </w:r>
    </w:p>
    <w:p>
      <w:pPr>
        <w:spacing w:after="0" w:line="119" w:lineRule="exact"/>
        <w:rPr>
          <w:sz w:val="20"/>
          <w:szCs w:val="20"/>
          <w:color w:val="auto"/>
        </w:rPr>
      </w:pPr>
    </w:p>
    <w:p>
      <w:pPr>
        <w:ind w:left="1020" w:right="40" w:hanging="503"/>
        <w:spacing w:after="0" w:line="25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spontaneous urticaria (CSU) is a severely debilitating, chronic inflammatory skin disease with no identified triggers. Clinical manifestations include hives, angioedema, or both. Patients with CSU also experience symptoms beyond the skin manifestations, including sleep disturbances, fatigue, irritability, anxiety and depression. The estimated global prevalence is between 0.5% – 1% of the population, which means that at any given time in the U.S. alone approximately 1.75-3.5 million people are experiencing this condition. Standard of care treatment for CSU is antihistamines, however in approximately half the patients, symptom alleviation is not adequate. There is a substantial unmet need for an efficacious oral agent as only a minority of these uncontrolled cases are treated with one indicated biologic (&lt;28%).</w:t>
      </w:r>
    </w:p>
    <w:p>
      <w:pPr>
        <w:spacing w:after="0" w:line="7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March 31, 2024, we had $300.3 million in cash, cash equivalents and short-term marketable securities. We expect that our existing cash, cash equivalents, short-term marketable securities and our retained portion of future HCV royalties, will enable us to fund our operating expenses and capital expenditure requirements through the third quarter of fiscal 2027.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Wholly-Owned Programs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primary wholly-owned research and development programs are in virology and immunology. Our virology programs have been focused on RSV, SARS-CoV-2 and HBV and our immunology program is focused on oral inhibitors of the receptor tyrosine kinase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6" w:name="page17"/>
    <w:bookmarkEnd w:id="16"/>
    <w:p>
      <w:pPr>
        <w:ind w:right="360"/>
        <w:spacing w:after="0" w:line="282" w:lineRule="auto"/>
        <w:rPr>
          <w:sz w:val="20"/>
          <w:szCs w:val="20"/>
          <w:color w:val="auto"/>
        </w:rPr>
      </w:pPr>
      <w:r>
        <w:rPr>
          <w:rFonts w:ascii="Times New Roman" w:cs="Times New Roman" w:eastAsia="Times New Roman" w:hAnsi="Times New Roman"/>
          <w:sz w:val="18"/>
          <w:szCs w:val="18"/>
          <w:color w:val="auto"/>
        </w:rPr>
        <w:t>known as KIT for the treatment of CSU, and potentially other mast-cell-driven diseases. The programs currently in active development are in RSV and CSU.</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Virology Programs:</w:t>
      </w:r>
    </w:p>
    <w:p>
      <w:pPr>
        <w:spacing w:after="0" w:line="119" w:lineRule="exact"/>
        <w:rPr>
          <w:sz w:val="20"/>
          <w:szCs w:val="20"/>
          <w:color w:val="auto"/>
        </w:rPr>
      </w:pPr>
    </w:p>
    <w:p>
      <w:pPr>
        <w:ind w:left="1020" w:right="100" w:hanging="503"/>
        <w:spacing w:after="0" w:line="25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RSV:</w:t>
      </w:r>
      <w:r>
        <w:rPr>
          <w:rFonts w:ascii="Times New Roman" w:cs="Times New Roman" w:eastAsia="Times New Roman" w:hAnsi="Times New Roman"/>
          <w:sz w:val="18"/>
          <w:szCs w:val="18"/>
          <w:color w:val="auto"/>
        </w:rPr>
        <w:t xml:space="preserve"> We have two clinical stage programs for RSV – zelicapavir (formerly EDP-938) and EDP-323. Both of these compounds are replication inhibitors that work by shutting down replication and the production of new virions, as opposed to the other mechanism in development of fusion inhibition that only blocks viral entry. Zelicapivir, which has Fast Track designation from the U.S. Food and Drug Administration, or FDA, is a potent inhibitor of the RSV N-protein being studied in two ongoing Phase 2 studies, each in a different patient population. EDP-323, which also has a Fast Track designation from the FDA is an inhibitor of the RSV L-protein that is currently in a Phase 2 challenge study.</w:t>
      </w:r>
    </w:p>
    <w:p>
      <w:pPr>
        <w:spacing w:after="0" w:line="293" w:lineRule="exact"/>
        <w:rPr>
          <w:sz w:val="20"/>
          <w:szCs w:val="20"/>
          <w:color w:val="auto"/>
        </w:rPr>
      </w:pPr>
    </w:p>
    <w:p>
      <w:pPr>
        <w:ind w:left="1800" w:hanging="384"/>
        <w:spacing w:after="0" w:line="253" w:lineRule="auto"/>
        <w:tabs>
          <w:tab w:leader="none" w:pos="1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Zelicapavir - N-protein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studied zelicapavir in two Phase 2 studies that were designed to be proof-of-concept and exploratory studies to understand the viral response in the context of RSV infection. With these studies, zelicapavir has demonstrated a favorable safety profile, consistent with that observed in over 500 subjects exposed to zelicapavir to date. These studies were conducted in otherwise healthy young adults (not at high-risk for serious outcomes with RSV) infected with RSV. The first study was a challenge study, in which healthy adults were infected with RSV in a clinical setting and statistically significant effects on viral load and symptoms were observed. The second study, known as RSVP, was in an otherwise healthy young adult outpatient population with community-acquired RSV infection and showed that this population resolves quickly from infection and is not in need of treatment. We believe that zelicapavir has the greatest potential to show optimal efficacy in high-risk populations since these patients have reduced RSV immunity, which manifests in a higher and longer duration of viral load and greater disease severity, allowing a bigger window to realize the full potential of zelicapavir. Based on its growing safety profile, we are continuing to evaluate zelicapavir in high-risk populations in the following ongoing clinical studies, including pediatric patients and high-risk adults, all of which have significant unmet need:</w:t>
      </w:r>
    </w:p>
    <w:p>
      <w:pPr>
        <w:spacing w:after="0" w:line="81" w:lineRule="exact"/>
        <w:rPr>
          <w:rFonts w:ascii="Times New Roman" w:cs="Times New Roman" w:eastAsia="Times New Roman" w:hAnsi="Times New Roman"/>
          <w:sz w:val="18"/>
          <w:szCs w:val="18"/>
          <w:color w:val="auto"/>
        </w:rPr>
      </w:pPr>
    </w:p>
    <w:p>
      <w:pPr>
        <w:ind w:left="2540" w:right="240" w:hanging="375"/>
        <w:spacing w:after="0" w:line="261" w:lineRule="auto"/>
        <w:tabs>
          <w:tab w:leader="none" w:pos="254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RSVPEDs: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RSVPEDs is a Phase 2 study in pediatric patients, aged &gt;28 days to &lt;36 months. This dose-ranging,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randomized, double-blind, placebo-controlled study, is evaluating multiple ascending doses for five days in two age cohorts to determine safety, tolerability, and pharmacokinetics, as well as a second part evaluating antiviral activity at the selected dose.</w:t>
      </w:r>
    </w:p>
    <w:p>
      <w:pPr>
        <w:spacing w:after="0" w:line="71" w:lineRule="exact"/>
        <w:rPr>
          <w:rFonts w:ascii="Times New Roman" w:cs="Times New Roman" w:eastAsia="Times New Roman" w:hAnsi="Times New Roman"/>
          <w:sz w:val="18"/>
          <w:szCs w:val="18"/>
          <w:color w:val="auto"/>
        </w:rPr>
      </w:pPr>
    </w:p>
    <w:p>
      <w:pPr>
        <w:ind w:left="2540" w:right="220" w:hanging="375"/>
        <w:spacing w:after="0" w:line="261" w:lineRule="auto"/>
        <w:tabs>
          <w:tab w:leader="none" w:pos="254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RSVHR: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RSVHR is a Phase 2b study in high-risk adults, including those who are older than 65 years of age and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have asthma, chronic obstructive pulmonary disease, or COPD, or congestive heart failure. Approximately 180 patients will be treated with zelicapavir or placebo for five days with a primary endpoint of time to resolution of RSV lower respiratory tract disease symptoms.</w:t>
      </w:r>
    </w:p>
    <w:p>
      <w:pPr>
        <w:spacing w:after="0" w:line="71" w:lineRule="exact"/>
        <w:rPr>
          <w:rFonts w:ascii="Times New Roman" w:cs="Times New Roman" w:eastAsia="Times New Roman" w:hAnsi="Times New Roman"/>
          <w:sz w:val="18"/>
          <w:szCs w:val="18"/>
          <w:color w:val="auto"/>
        </w:rPr>
      </w:pPr>
    </w:p>
    <w:p>
      <w:pPr>
        <w:ind w:left="2540" w:right="40" w:hanging="375"/>
        <w:spacing w:after="0" w:line="267" w:lineRule="auto"/>
        <w:tabs>
          <w:tab w:leader="none" w:pos="254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Next steps: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Enrollment is ongoing in the Southern Hemisphere for both RSVPEDs and RSVHR. We anticipate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topline data in the RSVPEDs study in the second half of calendar 2024 and will provide updates on RSVHR as the Southern Hemisphere season progresses.</w:t>
      </w:r>
    </w:p>
    <w:p>
      <w:pPr>
        <w:spacing w:after="0" w:line="65" w:lineRule="exact"/>
        <w:rPr>
          <w:rFonts w:ascii="Times New Roman" w:cs="Times New Roman" w:eastAsia="Times New Roman" w:hAnsi="Times New Roman"/>
          <w:sz w:val="18"/>
          <w:szCs w:val="18"/>
          <w:color w:val="auto"/>
        </w:rPr>
      </w:pPr>
    </w:p>
    <w:p>
      <w:pPr>
        <w:ind w:left="1800" w:right="20" w:hanging="384"/>
        <w:spacing w:after="0" w:line="254" w:lineRule="auto"/>
        <w:tabs>
          <w:tab w:leader="none" w:pos="1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EDP-323 - L-protein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second clinical RSV candidate, EDP-323, is a novel oral, direct-acting antiviral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selectively targeting the RSV L-protein, a viral RNA-dependent RNA polymerase enzyme that contains multiple enzymatic activities required for RSV replication. EDP-323 has sub-nanomolar potency against RSV-A and RSV-B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protected mice in a dose-dependent manner from RSV infection as demonstrated by both virological and pathological endpoints. EDP-323 is not expected to have cross-resistance to other classes of inhibitors and has the potential to be used alone, or in combination with other RSV mechanisms, to broaden the treatment window or addressable patient populations. In June 2023, we completed a Phase 1 clinical study and reported positive topline results, which demonstrated that EDP-323 was safe and well-tolerated with pharmacokinetics supportive of once-daily dosing and target exposures achieved with no food effect. Based on these positive data, we initiated a Phase 2 challenge study of EDP-323 in the fourth quarter of calendar 2023 and anticipate topline data in the third quarter of calendar 2024.</w:t>
      </w:r>
    </w:p>
    <w:p>
      <w:pPr>
        <w:spacing w:after="0" w:line="79" w:lineRule="exact"/>
        <w:rPr>
          <w:rFonts w:ascii="Times New Roman" w:cs="Times New Roman" w:eastAsia="Times New Roman" w:hAnsi="Times New Roman"/>
          <w:sz w:val="18"/>
          <w:szCs w:val="18"/>
          <w:color w:val="auto"/>
        </w:rPr>
      </w:pPr>
    </w:p>
    <w:p>
      <w:pPr>
        <w:ind w:left="1040" w:right="80" w:hanging="377"/>
        <w:spacing w:after="0" w:line="254"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We leveraged our expertise in developing protease inhibitors to discover compounds specifically designed to target the SARS-CoV-2 virus and potentially other coronaviruses. We selected EDP-235, an oral inhibitor of the coronavirus 3CL protease, also referred to as 3CLpro or the main coronavirus protease, or Mpro, for clinical development. In addition to nanomolar activity against all SARS-CoV-2 variants tested to date, EDP-235 has potent antiviral activity against other human coronaviruses, enabling the potential for a pan-coronavirus treatment, including possibly coronaviruses that may infect human populations in the future. Furthermore, EDP-235 has good tissue distribution, and is projected to have four times higher drug levels in lung tissue compared to plasma. A robust treatment effect and prevention of transmission was observed in a ferret model. A Phase 1 study demonstrated EDP-235 was generally safe and well-tolerated in doses up to 400 mg for seven days, adverse events were infrequent and mild, and pharmacokinetics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ind w:left="1040"/>
        <w:spacing w:after="0" w:line="248" w:lineRule="auto"/>
        <w:rPr>
          <w:sz w:val="20"/>
          <w:szCs w:val="20"/>
          <w:color w:val="auto"/>
        </w:rPr>
      </w:pPr>
      <w:r>
        <w:rPr>
          <w:rFonts w:ascii="Times New Roman" w:cs="Times New Roman" w:eastAsia="Times New Roman" w:hAnsi="Times New Roman"/>
          <w:sz w:val="18"/>
          <w:szCs w:val="18"/>
          <w:color w:val="auto"/>
        </w:rPr>
        <w:t>were supportive of once-daily dosing without ritonavir and without regard to food and achieved target exposure levels of up to 13-fold over the plasma protein-adjusted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In May 2023, we reported topline results from a Phase 2 clinical trial of EDP-235 in non-hospitalized, symptomatic patients with mild to moderate COVID-19 who were not at increased risk for developing severe disease. EDP-235 met the primary endpoint of the trial and was generally safe and well-tolerated. A dose-dependent improvement in total symptom score was observed with EDP-235 treatment compared to placebo, which achieved statistical significance (p&lt;0.05) in the 400 mg treatment group at multiple time points, starting as early as one day after the first dose. An analysis of a subset of six symptoms showed a two-day shorter time (5 days to 3 days) to improvement in patients receiving EDP-235 400 mg who were enrolled within three days of symptom onset (p&lt;0.01). No effect on virologic endpoints as measured in the nose was detected due to the rapid viral decline in the placebo arm of this highly immunologically-experienced, standard risk population. However, in the subset of patients who were nucleocapsid seronegative (indicating no recent natural infection with SARS-CoV-2), a viral load decline was observed at day five in the 400 mg group of 0.8 log overall and 1 log in the patients with symptom onset within three days before treatment with EDP-235.</w:t>
      </w:r>
    </w:p>
    <w:p>
      <w:pPr>
        <w:spacing w:after="0" w:line="85" w:lineRule="exact"/>
        <w:rPr>
          <w:sz w:val="20"/>
          <w:szCs w:val="20"/>
          <w:color w:val="auto"/>
        </w:rPr>
      </w:pPr>
    </w:p>
    <w:p>
      <w:pPr>
        <w:ind w:left="1800" w:right="40" w:hanging="384"/>
        <w:spacing w:after="0" w:line="284" w:lineRule="auto"/>
        <w:tabs>
          <w:tab w:leader="none" w:pos="18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Next Steps: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Going forward, we will continue to focus on potential collaborations to progress EDP-235, as we will not advance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 into Phase 3 studies on our own.</w:t>
      </w:r>
    </w:p>
    <w:p>
      <w:pPr>
        <w:spacing w:after="0" w:line="52" w:lineRule="exact"/>
        <w:rPr>
          <w:rFonts w:ascii="Times New Roman" w:cs="Times New Roman" w:eastAsia="Times New Roman" w:hAnsi="Times New Roman"/>
          <w:sz w:val="18"/>
          <w:szCs w:val="18"/>
          <w:color w:val="auto"/>
        </w:rPr>
      </w:pPr>
    </w:p>
    <w:p>
      <w:pPr>
        <w:ind w:left="1040" w:right="40" w:hanging="373"/>
        <w:spacing w:after="0" w:line="255"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HBV:</w:t>
      </w:r>
      <w:r>
        <w:rPr>
          <w:rFonts w:ascii="Times New Roman" w:cs="Times New Roman" w:eastAsia="Times New Roman" w:hAnsi="Times New Roman"/>
          <w:sz w:val="18"/>
          <w:szCs w:val="18"/>
          <w:color w:val="auto"/>
        </w:rPr>
        <w:t xml:space="preserve"> Our lead clinical candidate for the treatment of chronic infection with hepatitis B virus, or HBV, is EDP-514, a core inhibitor that displays potent anti-HBV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at multiple points in the HBV lifecycle. Our goal has been to develop a combination therapy approach, including existing approved treatments such as a nucleoside reverse transcriptase inhibitor, or NUC, with EDP-514 and one or more other mechanisms, which could lead to a functional cure for patients with chronic HBV infection. Final data from two Phase 1b studies of EDP-514 demonstrate the compound is safe with strong antiviral activity in two different chronic HBV patient populations – those who have a high viral load and those who are on a treatment with a nucleoside reverse transcriptase inhibitor. Advancement of this program is dependent upon our accessing another compound that could be developed with EDP-514 for such a treatment regimen.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Immunology Program:</w:t>
      </w:r>
    </w:p>
    <w:p>
      <w:pPr>
        <w:spacing w:after="0" w:line="119" w:lineRule="exact"/>
        <w:rPr>
          <w:sz w:val="20"/>
          <w:szCs w:val="20"/>
          <w:color w:val="auto"/>
        </w:rPr>
      </w:pPr>
    </w:p>
    <w:p>
      <w:pPr>
        <w:ind w:left="1040" w:hanging="373"/>
        <w:spacing w:after="0" w:line="25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CSU:</w:t>
      </w:r>
      <w:r>
        <w:rPr>
          <w:rFonts w:ascii="Times New Roman" w:cs="Times New Roman" w:eastAsia="Times New Roman" w:hAnsi="Times New Roman"/>
          <w:sz w:val="18"/>
          <w:szCs w:val="18"/>
          <w:color w:val="auto"/>
        </w:rPr>
        <w:t xml:space="preserve"> We have a discovery stage program to develop KIT inhibitors to treat CSU by depleting mast cells, thereby addressing a primary driver of this disease. We have discovered novel, potent and selective oral inhibitors of KIT, which are now being optimized in preclinical development. Our prototype inhibitors demonstrate potent nanomolar activity in both binding and cellular function assays and are highly selective for KIT versus other kinases. These inhibitors also demonstrate strong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ADME properties. Our goal is to select a lead candidate for KIT in calendar Q4 2024 and to move into the clinic shortly thereafter, as well as introduce a second immunology program in 2024.</w:t>
      </w:r>
    </w:p>
    <w:p>
      <w:pPr>
        <w:spacing w:after="0" w:line="7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We have utilized our internal chemistry and drug discovery capabilities to generate all of our development-stage programs. We continue to invest substantial resources in research programs to discover compounds targeting new disease areas.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product development pipeline in our virology and immunology programs: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6172200" cy="28975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Royalty Revenue Collaboration and Royalty Sale Agreement</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royalty revenue is generated through our Collaborative Development and License Agreement with AbbVie, under which we have discovered and out-licensed to AbbVie two protease inhibitor compounds that have been clinically tested, manufactured, and commercialized by AbbVie as part of its combination regimens for HCV.</w:t>
      </w:r>
    </w:p>
    <w:p>
      <w:pPr>
        <w:spacing w:after="0" w:line="6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Glecaprevir is the HCV protease inhibitor we discovered that was developed by AbbVie in a fixed-dose combination with its NS5A inhibitor, pibrentasvir, for the treatment of chronic HCV. This patented combination, currently marketed under the brand 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is referred to in this report as MAVYRET/MAVIRET. The first protease inhibitor developed through this collaboration, paritaprevir, is part of Abbvie’s initial HCV regimens, which have been almost entirely replaced by MAVYRET/MAVIRET. 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 annual royalty tiers return to the lowest tier for sales on and after each January 1.</w:t>
      </w:r>
    </w:p>
    <w:p>
      <w:pPr>
        <w:spacing w:after="0" w:line="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2023, we entered into a royalty sale agreement with an affiliate of OMERS, a Canadian public employee pension fund, pursuant to which we were paid a $200.0 million cash purchase price in exchange for 54.5% of our future quarterly royalty payments on net sales of MAVYRET/MAVIRET, after June 30, 2023, through June 30, 2032, subject to a cap on aggregate payments to OMERS equal to 1.42 times the purchase price.</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accounting purposes, we continue to record 100% of HCV royalties earned under the AbbVie agreement as royalty revenue in our condensed consolidated statements of operations. The $200.0 million received in April 2023 was recognized on our condensed consolidated balance sheets as a liability, which will be reduced by the payments made to OMERS over the term of the Agreement. We recognize imputed interest expense over the life of the royalty sale agreement based on our estimated future MAVYRET/MAVIRET royalties.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currently funding all research and development for our wholly-owned programs, which are targeted toward the discovery and development of novel compounds. As of the date of this report, we are conducting two Phase 2 studies for zelicapavir and a Phase 2 challenge study of EDP-323. We are also conducting preclinical discovery research efforts in other disease areas.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timing of our clinical and preclinical development programs, we expect our research and development expenses will fluctuate from period to period. However, in the next 12 months, we expect our external research and development expenses generally to decrease since we will not conduct any further development of EDP-235 into Phase 3 studies and we have made important adjustments to reduce our spending significantly in 2024.</w:t>
      </w:r>
    </w:p>
    <w:p>
      <w:pPr>
        <w:spacing w:after="0" w:line="6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To date, we have funded our operations primarily through royalty payments received under our collaboration agreement with AbbVie, a $200.0 million payment received in 2023 from our royalty sale agreement, and our existing cash, cash equivalents, and short-term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and long-term marketable securities. We believe that our existing cash, cash equivalents and short-term marketable securities, as well as our retained portion of future HCV royalties, will enable us to fund our operating expenses and capital expenditure requirements through the third quarter of fiscal 2027.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revenue is primarily derived from our collaboration agreement with AbbVie and AbbVie’s sales of MAVYRET/MAVIRET, an 8-week treatment regimen for chronic HCV. During the first quarter of fiscal 2023, we also generated $1.0 million of license revenue from an upfront payment related to a license agreement for one of the antibacterial compounds we are no longer developing.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revenue recognized for the three months ended March 31,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4"/>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69"/>
        </w:trPr>
        <w:tc>
          <w:tcPr>
            <w:tcW w:w="53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Royalty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40,380</w:t>
            </w:r>
          </w:p>
        </w:tc>
        <w:tc>
          <w:tcPr>
            <w:tcW w:w="100" w:type="dxa"/>
            <w:vAlign w:val="bottom"/>
          </w:tcPr>
          <w:p>
            <w:pPr>
              <w:spacing w:after="0"/>
              <w:rPr>
                <w:sz w:val="20"/>
                <w:szCs w:val="20"/>
                <w:color w:val="auto"/>
              </w:rPr>
            </w:pPr>
          </w:p>
        </w:tc>
      </w:tr>
      <w:tr>
        <w:trPr>
          <w:trHeight w:val="247"/>
        </w:trPr>
        <w:tc>
          <w:tcPr>
            <w:tcW w:w="5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License revenue</w:t>
            </w: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41,380</w:t>
            </w:r>
          </w:p>
        </w:tc>
        <w:tc>
          <w:tcPr>
            <w:tcW w:w="10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-187960</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AbbVie Agreement</w:t>
      </w:r>
    </w:p>
    <w:p>
      <w:pPr>
        <w:spacing w:after="0" w:line="121"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To date, we have received annually tiered, double-digit royalties on our protease inhibitor product glecaprevir included in AbbVie’s net sales of MAVYRET/MAVIRET. Under the terms of our AbbVie Agreement, 50% of AbbVie’s net sales of MAVYRET/MAVIRET are allocated to glecaprevir. Beginning with each January 1, the cumulative net sales of MAVYRET/MAVIRET start at zero for purposes of calculating the tiered royalties. As disclosed above regarding the OMERS royalty sale agreement, we only retain 45.5% of the cash payments from royalties on net sales of MAVYRET/MAVIRET occurring after June 30, 2023 through June 30, 2032, subject to a cap on aggregate payments to OMERS equal to 1.42 times OMERS’ purchase price.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Programs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our internal product candidates are currently in Phase 1 or Phase 2 clinical development, we have not generated any revenue from our own product sales. We do not expect to generate any revenue from product sales derived from these product candidates for at least the next several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are comprised of research and development expenses and general and administrative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68"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preclinical study, and clinical trial activities;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including salaries, related benefits, and stock-based compensation for employees engaged in scientific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license fees.</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At any given time, we have later stage programs in clinical development as well as several active early-stage research and drug discovery projects. Our internal resources, employees and infrastructure are utilized across multiple projects, including our early stage discovery projects. As such, we report information regarding costs incurred based on our programs (i.e., disease area) rather than on a project specific basis. All indirect costs are allocated to programs based on headcount and square footage of our facilities. We expect that our research and development expenses will fluctuate from period to period as we advance our research and development programs. However, in the next 12 months, we expect our external research and development expenses generally to decrease since we will not advance EDP-235 into Phase 3 studies on our own. To date, we have not identified any significant impact of inflation on spending in research and development, but it is uncertain whether there will be inflationary impacts in future periods.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right="180"/>
        <w:spacing w:after="0" w:line="255" w:lineRule="auto"/>
        <w:rPr>
          <w:sz w:val="20"/>
          <w:szCs w:val="20"/>
          <w:color w:val="auto"/>
        </w:rPr>
      </w:pPr>
      <w:r>
        <w:rPr>
          <w:rFonts w:ascii="Times New Roman" w:cs="Times New Roman" w:eastAsia="Times New Roman" w:hAnsi="Times New Roman"/>
          <w:sz w:val="18"/>
          <w:szCs w:val="18"/>
          <w:color w:val="auto"/>
        </w:rPr>
        <w:t>Our research and drug discovery and development programs are in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professional fees for auditing, tax, and legal services, patent expenses and litigation expenses associated with prosecuting our patent infringement suit.</w:t>
      </w:r>
    </w:p>
    <w:p>
      <w:pPr>
        <w:spacing w:after="0" w:line="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expect that general and administrative expenses may increase in the long term. To date we have not experienced a significant impact of inflation on general and administrative expenses, but we anticipate inflation may impact future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Other income (expense) consists of interest expense, interest and investment income, net and the change in fair value of our outstanding Series 1 nonconvertible preferred stock. Interest expense consists of the non-cash interest expense and amortization of debt issuance costs associated with the royalty sale agreement with an affiliate of OMERS. Interest income consists of interest earned on our cash equivalents and short-term marketable securities balances. Investment income consists of the amortization or accretion of any purchased premium or discount, respectively, on our short-term marketable securities. The change in fair value of our Series 1 nonconvertible preferred stock relates to the remeasurement of these financial instruments from period to period as these instruments may require a transfer of assets because of the liquidation preference features of the underlying instrument.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benefit for the six months ended March 31, 2024 was driven by interest recorded on a pending federal income tax refund.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2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(in</w:t>
            </w:r>
          </w:p>
        </w:tc>
        <w:tc>
          <w:tcPr>
            <w:tcW w:w="1360" w:type="dxa"/>
            <w:vAlign w:val="bottom"/>
            <w:gridSpan w:val="2"/>
          </w:tcPr>
          <w:p>
            <w:pPr>
              <w:jc w:val="center"/>
              <w:ind w:right="736"/>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center"/>
              <w:ind w:right="9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35,585</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43,468</w:t>
            </w: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14,235</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13,778</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tcPr>
          <w:p>
            <w:pPr>
              <w:spacing w:after="0"/>
              <w:rPr>
                <w:sz w:val="20"/>
                <w:szCs w:val="20"/>
                <w:color w:val="auto"/>
              </w:rPr>
            </w:pP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(2,563 )</w:t>
            </w:r>
          </w:p>
        </w:tc>
        <w:tc>
          <w:tcPr>
            <w:tcW w:w="1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1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shd w:val="clear" w:color="auto" w:fill="CFF0FC"/>
          </w:tcPr>
          <w:p>
            <w:pPr>
              <w:spacing w:after="0"/>
              <w:rPr>
                <w:sz w:val="21"/>
                <w:szCs w:val="21"/>
                <w:color w:val="auto"/>
              </w:rPr>
            </w:pPr>
          </w:p>
        </w:tc>
      </w:tr>
      <w:tr>
        <w:trPr>
          <w:trHeight w:val="24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(44 )</w:t>
            </w:r>
          </w:p>
        </w:tc>
      </w:tr>
      <w:tr>
        <w:trPr>
          <w:trHeight w:val="20"/>
        </w:trPr>
        <w:tc>
          <w:tcPr>
            <w:tcW w:w="7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(31,157 )</w:t>
            </w:r>
          </w:p>
        </w:tc>
        <w:tc>
          <w:tcPr>
            <w:tcW w:w="1160" w:type="dxa"/>
            <w:vAlign w:val="bottom"/>
            <w:shd w:val="clear" w:color="auto" w:fill="CFF0FC"/>
          </w:tcPr>
          <w:p>
            <w:pPr>
              <w:jc w:val="center"/>
              <w:ind w:right="9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(37,658 )</w:t>
            </w:r>
          </w:p>
        </w:tc>
      </w:tr>
      <w:tr>
        <w:trPr>
          <w:trHeight w:val="20"/>
        </w:trPr>
        <w:tc>
          <w:tcPr>
            <w:tcW w:w="72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We recognized revenue of $17.1 million during the three months ended March 31, 2024 as compared to $17.8 million during the three months ended March 31, 2023. The $0.7 million decrease in revenue was primarily due to AbbVie’s lower reported HCV sales as compared to the comparable period in 2023.</w:t>
      </w:r>
    </w:p>
    <w:p>
      <w:pPr>
        <w:spacing w:after="0" w:line="3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royalty revenues eligible to be earned in the future will depend on AbbVie’s HCV market share, the pricing of the MAVYRET/MAVIRET regimen and the number of patients treated. In addition, at the beginning of each calendar year (the second quarter of our fiscal year), our royalty rate resets to the lowest tier for each of our royalty-bearing products licensed to AbbVie.</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Beginning with the quarter ended September 30, 2023, 54.5% of our quarterly royalty payments on net sales of MAVYRET/MAVIRET that are included in our total revenue are paid to OMERS through June 30, 2032, subject to a cap on aggregate payments equal to 1.42 times the purchase price. The $200.0 million received in 2023 was recognized on our condensed consolidated balance sheets as a liability which will be reduced by the payments made to OMERS over the term of the royalty sale agreement. We will continue to record 100% of HCV royalties earned under the AbbVie Agreement as royalty revenue in our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220"/>
        <w:spacing w:after="0" w:line="379" w:lineRule="auto"/>
        <w:rPr>
          <w:sz w:val="20"/>
          <w:szCs w:val="20"/>
          <w:color w:val="auto"/>
        </w:rPr>
      </w:pPr>
      <w:r>
        <w:rPr>
          <w:rFonts w:ascii="Times New Roman" w:cs="Times New Roman" w:eastAsia="Times New Roman" w:hAnsi="Times New Roman"/>
          <w:sz w:val="18"/>
          <w:szCs w:val="18"/>
          <w:color w:val="auto"/>
        </w:rPr>
        <w:t xml:space="preserve">condensed consolidated statements of operations since the AbbVie Agreement has not been amended and is independent of our agreement with OMERS. </w:t>
      </w:r>
      <w:r>
        <w:rPr>
          <w:rFonts w:ascii="Times New Roman" w:cs="Times New Roman" w:eastAsia="Times New Roman" w:hAnsi="Times New Roman"/>
          <w:sz w:val="18"/>
          <w:szCs w:val="18"/>
          <w:b w:val="1"/>
          <w:bCs w:val="1"/>
          <w:i w:val="1"/>
          <w:iCs w:val="1"/>
          <w:color w:val="auto"/>
        </w:rPr>
        <w:t>Research and development expenses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280" w:type="dxa"/>
            <w:vAlign w:val="bottom"/>
          </w:tcPr>
          <w:p>
            <w:pPr>
              <w:spacing w:after="0"/>
              <w:rPr>
                <w:sz w:val="14"/>
                <w:szCs w:val="14"/>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(in</w:t>
            </w:r>
          </w:p>
        </w:tc>
        <w:tc>
          <w:tcPr>
            <w:tcW w:w="1400" w:type="dxa"/>
            <w:vAlign w:val="bottom"/>
            <w:gridSpan w:val="2"/>
          </w:tcPr>
          <w:p>
            <w:pPr>
              <w:jc w:val="center"/>
              <w:ind w:right="779"/>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R&amp;D programs:</w:t>
            </w:r>
          </w:p>
        </w:tc>
        <w:tc>
          <w:tcPr>
            <w:tcW w:w="1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Virology</w:t>
            </w: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2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RSV</w:t>
            </w:r>
          </w:p>
        </w:tc>
        <w:tc>
          <w:tcPr>
            <w:tcW w:w="1180" w:type="dxa"/>
            <w:vAlign w:val="bottom"/>
            <w:shd w:val="clear" w:color="auto" w:fill="CFF0FC"/>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25,707</w:t>
            </w:r>
          </w:p>
        </w:tc>
        <w:tc>
          <w:tcPr>
            <w:tcW w:w="1400" w:type="dxa"/>
            <w:vAlign w:val="bottom"/>
            <w:gridSpan w:val="2"/>
            <w:shd w:val="clear" w:color="auto" w:fill="CFF0FC"/>
          </w:tcPr>
          <w:p>
            <w:pPr>
              <w:jc w:val="center"/>
              <w:ind w:right="77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18,695</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COVID-19</w:t>
            </w:r>
          </w:p>
        </w:tc>
        <w:tc>
          <w:tcPr>
            <w:tcW w:w="1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20,564</w:t>
            </w:r>
          </w:p>
        </w:tc>
        <w:tc>
          <w:tcPr>
            <w:tcW w:w="100" w:type="dxa"/>
            <w:vAlign w:val="bottom"/>
          </w:tcPr>
          <w:p>
            <w:pPr>
              <w:spacing w:after="0"/>
              <w:rPr>
                <w:sz w:val="20"/>
                <w:szCs w:val="20"/>
                <w:color w:val="auto"/>
              </w:rPr>
            </w:pPr>
          </w:p>
        </w:tc>
      </w:tr>
      <w:tr>
        <w:trPr>
          <w:trHeight w:val="247"/>
        </w:trPr>
        <w:tc>
          <w:tcPr>
            <w:tcW w:w="72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HBV</w:t>
            </w:r>
          </w:p>
        </w:tc>
        <w:tc>
          <w:tcPr>
            <w:tcW w:w="11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3"/>
        </w:trPr>
        <w:tc>
          <w:tcPr>
            <w:tcW w:w="72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Total Virology</w:t>
            </w:r>
          </w:p>
        </w:tc>
        <w:tc>
          <w:tcPr>
            <w:tcW w:w="1180" w:type="dxa"/>
            <w:vAlign w:val="bottom"/>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26,545</w:t>
            </w:r>
          </w:p>
        </w:tc>
        <w:tc>
          <w:tcPr>
            <w:tcW w:w="1400" w:type="dxa"/>
            <w:vAlign w:val="bottom"/>
            <w:gridSpan w:val="2"/>
          </w:tcPr>
          <w:p>
            <w:pPr>
              <w:jc w:val="center"/>
              <w:ind w:right="77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41,384</w:t>
            </w:r>
          </w:p>
        </w:tc>
        <w:tc>
          <w:tcPr>
            <w:tcW w:w="100" w:type="dxa"/>
            <w:vAlign w:val="bottom"/>
          </w:tcPr>
          <w:p>
            <w:pPr>
              <w:spacing w:after="0"/>
              <w:rPr>
                <w:sz w:val="20"/>
                <w:szCs w:val="20"/>
                <w:color w:val="auto"/>
              </w:rPr>
            </w:pPr>
          </w:p>
        </w:tc>
      </w:tr>
      <w:tr>
        <w:trPr>
          <w:trHeight w:val="246"/>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Immunology</w:t>
            </w:r>
          </w:p>
        </w:tc>
        <w:tc>
          <w:tcPr>
            <w:tcW w:w="1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CSU</w:t>
            </w:r>
          </w:p>
        </w:tc>
        <w:tc>
          <w:tcPr>
            <w:tcW w:w="1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20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6"/>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i w:val="1"/>
                <w:iCs w:val="1"/>
                <w:color w:val="auto"/>
              </w:rPr>
              <w:t>Total Immunology</w:t>
            </w:r>
          </w:p>
        </w:tc>
        <w:tc>
          <w:tcPr>
            <w:tcW w:w="1180" w:type="dxa"/>
            <w:vAlign w:val="bottom"/>
            <w:shd w:val="clear" w:color="auto" w:fill="CFF0FC"/>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400" w:type="dxa"/>
            <w:vAlign w:val="bottom"/>
            <w:gridSpan w:val="2"/>
            <w:shd w:val="clear" w:color="auto" w:fill="CFF0FC"/>
          </w:tcPr>
          <w:p>
            <w:pPr>
              <w:jc w:val="center"/>
              <w:ind w:right="77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Programs</w:t>
            </w: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2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NASH</w:t>
            </w:r>
          </w:p>
        </w:tc>
        <w:tc>
          <w:tcPr>
            <w:tcW w:w="1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FF0FC"/>
          </w:tcPr>
          <w:p>
            <w:pPr>
              <w:spacing w:after="0"/>
              <w:rPr>
                <w:sz w:val="21"/>
                <w:szCs w:val="21"/>
                <w:color w:val="auto"/>
              </w:rPr>
            </w:pPr>
          </w:p>
        </w:tc>
      </w:tr>
      <w:tr>
        <w:trPr>
          <w:trHeight w:val="243"/>
        </w:trPr>
        <w:tc>
          <w:tcPr>
            <w:tcW w:w="7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Early discovery</w:t>
            </w:r>
          </w:p>
        </w:tc>
        <w:tc>
          <w:tcPr>
            <w:tcW w:w="1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20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21"/>
                <w:szCs w:val="21"/>
                <w:color w:val="auto"/>
              </w:rPr>
            </w:pPr>
          </w:p>
        </w:tc>
      </w:tr>
      <w:tr>
        <w:trPr>
          <w:trHeight w:val="237"/>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i w:val="1"/>
                <w:iCs w:val="1"/>
                <w:color w:val="auto"/>
              </w:rPr>
              <w:t>Total Other Programs</w:t>
            </w:r>
          </w:p>
        </w:tc>
        <w:tc>
          <w:tcPr>
            <w:tcW w:w="1180" w:type="dxa"/>
            <w:vAlign w:val="bottom"/>
            <w:shd w:val="clear" w:color="auto" w:fill="CFF0FC"/>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1400" w:type="dxa"/>
            <w:vAlign w:val="bottom"/>
            <w:gridSpan w:val="2"/>
            <w:shd w:val="clear" w:color="auto" w:fill="CFF0FC"/>
          </w:tcPr>
          <w:p>
            <w:pPr>
              <w:jc w:val="center"/>
              <w:ind w:right="77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shd w:val="clear" w:color="auto" w:fill="CFF0FC"/>
          </w:tcPr>
          <w:p>
            <w:pPr>
              <w:spacing w:after="0"/>
              <w:rPr>
                <w:sz w:val="20"/>
                <w:szCs w:val="20"/>
                <w:color w:val="auto"/>
              </w:rPr>
            </w:pPr>
          </w:p>
        </w:tc>
      </w:tr>
      <w:tr>
        <w:trPr>
          <w:trHeight w:val="243"/>
        </w:trPr>
        <w:tc>
          <w:tcPr>
            <w:tcW w:w="728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77"/>
        </w:trPr>
        <w:tc>
          <w:tcPr>
            <w:tcW w:w="7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80" w:type="dxa"/>
            <w:vAlign w:val="bottom"/>
            <w:tcBorders>
              <w:bottom w:val="single" w:sz="8" w:color="auto"/>
            </w:tcBorders>
            <w:shd w:val="clear" w:color="auto" w:fill="CFF0FC"/>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35,585</w:t>
            </w:r>
          </w:p>
        </w:tc>
        <w:tc>
          <w:tcPr>
            <w:tcW w:w="2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center"/>
              <w:ind w:right="97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43,468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-1602105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level of research and development expenses for the three months ended March 31, 2024 decreased by $7.9 million compared to the same period in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Virology</w:t>
      </w:r>
    </w:p>
    <w:p>
      <w:pPr>
        <w:spacing w:after="0" w:line="11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costs in our virology program decreased $14.8 million primarily due to a decrease in costs associated with our COVID-19 program as we stopped further internal development and will only progress the program in the context of one or more collaborations. This decrease was offset by an increase in costs for our RSV clinical programs as we had two ongoing Phase 2 studies of zelicapavir and a challenge study initiated for EDP-323 in 2024. Costs associated with HBV decreased as we continued to wind down this program.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Immunology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in our immunology increased by $4.2 million as this is a new therapeutic area of focus for the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Programs</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Other program costs increased by $2.8 million as we focused on early stage drug discovery programs, offset by a decrease in costs for our NASH program as we continued to wind down this program.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associated with our COVID-19, HBV and NASH programs will continue as we complete all the required procedures for concluded clinical trials.</w:t>
      </w:r>
    </w:p>
    <w:p>
      <w:pPr>
        <w:spacing w:after="0" w:line="11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 the next 12 months, we expect our external research and development expenses generally to decrease since we will not advance our COVID-19 candidate, EDP-235, into Phase 3 studies on our own.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$0.5 million for the three months ended March 31, 2024 compared to the same period in 2023. The change was primarily due to an increase in legal expenses related to our patent infringement suit against Pfizer.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components of other income (expense) were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Interest expense increased $2.6 million for the three months ended March 31, 2024, as compared to the same period in 2023 due to interest expense and amortization of debt issuance costs associated with the royalty sale agreement entered into during April 2023 with an affiliate of OMERS.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investment income, net</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Interest and investment income, net, increased $2.0 million for the three months ended March 31, 2024, as compared to the same period in 2023. The increase was due to an increase in our cash balance due to receipt of the $200.0 million from OMERS in 2023 as well as changes in interest rates year over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we recorded an income tax benefit of $0.4 million representing interest recorded on a pending federal tax refund.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March 31, 2024 and 2023</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6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w:t>
            </w:r>
          </w:p>
        </w:tc>
        <w:tc>
          <w:tcPr>
            <w:tcW w:w="1060" w:type="dxa"/>
            <w:vAlign w:val="bottom"/>
            <w:gridSpan w:val="2"/>
          </w:tcPr>
          <w:p>
            <w:pPr>
              <w:jc w:val="center"/>
              <w:ind w:right="4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80" w:type="dxa"/>
            <w:vAlign w:val="bottom"/>
            <w:shd w:val="clear" w:color="auto" w:fill="CFF0FC"/>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center"/>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40,380</w:t>
            </w: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1280" w:type="dxa"/>
            <w:vAlign w:val="bottom"/>
          </w:tcPr>
          <w:p>
            <w:pPr>
              <w:spacing w:after="0"/>
              <w:rPr>
                <w:sz w:val="20"/>
                <w:szCs w:val="20"/>
                <w:color w:val="auto"/>
              </w:rPr>
            </w:pPr>
          </w:p>
        </w:tc>
        <w:tc>
          <w:tcPr>
            <w:tcW w:w="10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71,956</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84,370</w:t>
            </w: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30,753</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26,474</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(6,004 )</w:t>
            </w:r>
          </w:p>
        </w:tc>
        <w:tc>
          <w:tcPr>
            <w:tcW w:w="8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1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r>
      <w:tr>
        <w:trPr>
          <w:trHeight w:val="20"/>
        </w:trPr>
        <w:tc>
          <w:tcPr>
            <w:tcW w:w="666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(64,564 )</w:t>
            </w:r>
          </w:p>
        </w:tc>
        <w:tc>
          <w:tcPr>
            <w:tcW w:w="84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(66,644 )</w:t>
            </w:r>
          </w:p>
        </w:tc>
      </w:tr>
      <w:tr>
        <w:trPr>
          <w:trHeight w:val="20"/>
        </w:trPr>
        <w:tc>
          <w:tcPr>
            <w:tcW w:w="66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-187960</wp:posOffset>
            </wp:positionV>
            <wp:extent cx="774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We recognized revenue of $35.1 million during the six months ended March 31, 2024 as compared to $41.4 million during the six months ended March 31, 2023. The $6.3 million decrease in revenue was primarily due to AbbVie’s lower reported HCV sales as compared to the comparable period in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4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w:t>
            </w:r>
          </w:p>
        </w:tc>
        <w:tc>
          <w:tcPr>
            <w:tcW w:w="10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R&amp;D programs:</w:t>
            </w:r>
          </w:p>
        </w:tc>
        <w:tc>
          <w:tcPr>
            <w:tcW w:w="2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Virology</w:t>
            </w:r>
          </w:p>
        </w:tc>
        <w:tc>
          <w:tcPr>
            <w:tcW w:w="2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RSV</w:t>
            </w:r>
          </w:p>
        </w:tc>
        <w:tc>
          <w:tcPr>
            <w:tcW w:w="358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50,001</w:t>
            </w:r>
          </w:p>
        </w:tc>
        <w:tc>
          <w:tcPr>
            <w:tcW w:w="1060" w:type="dxa"/>
            <w:vAlign w:val="bottom"/>
            <w:gridSpan w:val="2"/>
            <w:shd w:val="clear" w:color="auto" w:fill="CFF0FC"/>
          </w:tcPr>
          <w:p>
            <w:pPr>
              <w:jc w:val="center"/>
              <w:ind w:right="50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36,505</w:t>
            </w:r>
          </w:p>
        </w:tc>
        <w:tc>
          <w:tcPr>
            <w:tcW w:w="100" w:type="dxa"/>
            <w:vAlign w:val="bottom"/>
            <w:shd w:val="clear" w:color="auto" w:fill="CFF0FC"/>
          </w:tcPr>
          <w:p>
            <w:pPr>
              <w:spacing w:after="0"/>
              <w:rPr>
                <w:sz w:val="21"/>
                <w:szCs w:val="21"/>
                <w:color w:val="auto"/>
              </w:rPr>
            </w:pPr>
          </w:p>
        </w:tc>
      </w:tr>
      <w:tr>
        <w:trPr>
          <w:trHeight w:val="239"/>
        </w:trPr>
        <w:tc>
          <w:tcPr>
            <w:tcW w:w="4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COVID-19</w:t>
            </w:r>
          </w:p>
        </w:tc>
        <w:tc>
          <w:tcPr>
            <w:tcW w:w="2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39,514</w:t>
            </w:r>
          </w:p>
        </w:tc>
        <w:tc>
          <w:tcPr>
            <w:tcW w:w="100" w:type="dxa"/>
            <w:vAlign w:val="bottom"/>
          </w:tcPr>
          <w:p>
            <w:pPr>
              <w:spacing w:after="0"/>
              <w:rPr>
                <w:sz w:val="20"/>
                <w:szCs w:val="20"/>
                <w:color w:val="auto"/>
              </w:rPr>
            </w:pPr>
          </w:p>
        </w:tc>
      </w:tr>
      <w:tr>
        <w:trPr>
          <w:trHeight w:val="247"/>
        </w:trPr>
        <w:tc>
          <w:tcPr>
            <w:tcW w:w="43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HBV</w:t>
            </w:r>
          </w:p>
        </w:tc>
        <w:tc>
          <w:tcPr>
            <w:tcW w:w="2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3"/>
        </w:trPr>
        <w:tc>
          <w:tcPr>
            <w:tcW w:w="436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Total Virology</w:t>
            </w:r>
          </w:p>
        </w:tc>
        <w:tc>
          <w:tcPr>
            <w:tcW w:w="3580" w:type="dxa"/>
            <w:vAlign w:val="bottom"/>
            <w:gridSpan w:val="2"/>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54,156</w:t>
            </w:r>
          </w:p>
        </w:tc>
        <w:tc>
          <w:tcPr>
            <w:tcW w:w="10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80,142</w:t>
            </w:r>
          </w:p>
        </w:tc>
        <w:tc>
          <w:tcPr>
            <w:tcW w:w="100" w:type="dxa"/>
            <w:vAlign w:val="bottom"/>
          </w:tcPr>
          <w:p>
            <w:pPr>
              <w:spacing w:after="0"/>
              <w:rPr>
                <w:sz w:val="20"/>
                <w:szCs w:val="20"/>
                <w:color w:val="auto"/>
              </w:rPr>
            </w:pPr>
          </w:p>
        </w:tc>
      </w:tr>
      <w:tr>
        <w:trPr>
          <w:trHeight w:val="246"/>
        </w:trPr>
        <w:tc>
          <w:tcPr>
            <w:tcW w:w="4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Immunology</w:t>
            </w:r>
          </w:p>
        </w:tc>
        <w:tc>
          <w:tcPr>
            <w:tcW w:w="2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CSU</w:t>
            </w:r>
          </w:p>
        </w:tc>
        <w:tc>
          <w:tcPr>
            <w:tcW w:w="230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2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6"/>
        </w:trPr>
        <w:tc>
          <w:tcPr>
            <w:tcW w:w="4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i w:val="1"/>
                <w:iCs w:val="1"/>
                <w:color w:val="auto"/>
              </w:rPr>
              <w:t>Total Immunology</w:t>
            </w:r>
          </w:p>
        </w:tc>
        <w:tc>
          <w:tcPr>
            <w:tcW w:w="358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1060" w:type="dxa"/>
            <w:vAlign w:val="bottom"/>
            <w:gridSpan w:val="2"/>
            <w:shd w:val="clear" w:color="auto" w:fill="CFF0FC"/>
          </w:tcPr>
          <w:p>
            <w:pPr>
              <w:jc w:val="center"/>
              <w:ind w:right="50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Programs</w:t>
            </w:r>
          </w:p>
        </w:tc>
        <w:tc>
          <w:tcPr>
            <w:tcW w:w="2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NASH</w:t>
            </w:r>
          </w:p>
        </w:tc>
        <w:tc>
          <w:tcPr>
            <w:tcW w:w="2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FF0FC"/>
          </w:tcPr>
          <w:p>
            <w:pPr>
              <w:spacing w:after="0"/>
              <w:rPr>
                <w:sz w:val="21"/>
                <w:szCs w:val="21"/>
                <w:color w:val="auto"/>
              </w:rPr>
            </w:pPr>
          </w:p>
        </w:tc>
      </w:tr>
      <w:tr>
        <w:trPr>
          <w:trHeight w:val="243"/>
        </w:trPr>
        <w:tc>
          <w:tcPr>
            <w:tcW w:w="4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Early discovery</w:t>
            </w:r>
          </w:p>
        </w:tc>
        <w:tc>
          <w:tcPr>
            <w:tcW w:w="230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2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tcPr>
          <w:p>
            <w:pPr>
              <w:spacing w:after="0"/>
              <w:rPr>
                <w:sz w:val="21"/>
                <w:szCs w:val="21"/>
                <w:color w:val="auto"/>
              </w:rPr>
            </w:pPr>
          </w:p>
        </w:tc>
      </w:tr>
      <w:tr>
        <w:trPr>
          <w:trHeight w:val="236"/>
        </w:trPr>
        <w:tc>
          <w:tcPr>
            <w:tcW w:w="4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i w:val="1"/>
                <w:iCs w:val="1"/>
                <w:color w:val="auto"/>
              </w:rPr>
              <w:t>Total Other Programs</w:t>
            </w:r>
          </w:p>
        </w:tc>
        <w:tc>
          <w:tcPr>
            <w:tcW w:w="358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1060" w:type="dxa"/>
            <w:vAlign w:val="bottom"/>
            <w:gridSpan w:val="2"/>
            <w:shd w:val="clear" w:color="auto" w:fill="CFF0FC"/>
          </w:tcPr>
          <w:p>
            <w:pPr>
              <w:jc w:val="center"/>
              <w:ind w:right="50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shd w:val="clear" w:color="auto" w:fill="CFF0FC"/>
          </w:tcPr>
          <w:p>
            <w:pPr>
              <w:spacing w:after="0"/>
              <w:rPr>
                <w:sz w:val="20"/>
                <w:szCs w:val="20"/>
                <w:color w:val="auto"/>
              </w:rPr>
            </w:pPr>
          </w:p>
        </w:tc>
      </w:tr>
      <w:tr>
        <w:trPr>
          <w:trHeight w:val="243"/>
        </w:trPr>
        <w:tc>
          <w:tcPr>
            <w:tcW w:w="43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4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58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71,956</w:t>
            </w:r>
          </w:p>
        </w:tc>
        <w:tc>
          <w:tcPr>
            <w:tcW w:w="1060" w:type="dxa"/>
            <w:vAlign w:val="bottom"/>
            <w:gridSpan w:val="2"/>
            <w:shd w:val="clear" w:color="auto" w:fill="CFF0FC"/>
          </w:tcPr>
          <w:p>
            <w:pPr>
              <w:jc w:val="center"/>
              <w:ind w:right="50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84,370</w:t>
            </w:r>
          </w:p>
        </w:tc>
        <w:tc>
          <w:tcPr>
            <w:tcW w:w="100" w:type="dxa"/>
            <w:vAlign w:val="bottom"/>
            <w:shd w:val="clear" w:color="auto" w:fill="CFF0FC"/>
          </w:tcPr>
          <w:p>
            <w:pPr>
              <w:spacing w:after="0"/>
              <w:rPr>
                <w:sz w:val="24"/>
                <w:szCs w:val="24"/>
                <w:color w:val="auto"/>
              </w:rPr>
            </w:pPr>
          </w:p>
        </w:tc>
      </w:tr>
      <w:tr>
        <w:trPr>
          <w:trHeight w:val="628"/>
        </w:trPr>
        <w:tc>
          <w:tcPr>
            <w:tcW w:w="4360" w:type="dxa"/>
            <w:vAlign w:val="bottom"/>
            <w:tcBorders>
              <w:top w:val="single" w:sz="8" w:color="CFF0FC"/>
            </w:tcBorders>
          </w:tcPr>
          <w:p>
            <w:pPr>
              <w:spacing w:after="0"/>
              <w:rPr>
                <w:sz w:val="24"/>
                <w:szCs w:val="24"/>
                <w:color w:val="auto"/>
              </w:rPr>
            </w:pPr>
          </w:p>
        </w:tc>
        <w:tc>
          <w:tcPr>
            <w:tcW w:w="2300" w:type="dxa"/>
            <w:vAlign w:val="bottom"/>
            <w:tcBorders>
              <w:top w:val="single" w:sz="8" w:color="CFF0FC"/>
            </w:tcBorders>
          </w:tcPr>
          <w:p>
            <w:pPr>
              <w:jc w:val="right"/>
              <w:ind w:right="850"/>
              <w:spacing w:after="0"/>
              <w:rPr>
                <w:sz w:val="20"/>
                <w:szCs w:val="20"/>
                <w:color w:val="auto"/>
              </w:rPr>
            </w:pPr>
            <w:r>
              <w:rPr>
                <w:rFonts w:ascii="Times New Roman" w:cs="Times New Roman" w:eastAsia="Times New Roman" w:hAnsi="Times New Roman"/>
                <w:sz w:val="18"/>
                <w:szCs w:val="18"/>
                <w:color w:val="auto"/>
              </w:rPr>
              <w:t>23</w:t>
            </w:r>
          </w:p>
        </w:tc>
        <w:tc>
          <w:tcPr>
            <w:tcW w:w="1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3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-2510790</wp:posOffset>
            </wp:positionV>
            <wp:extent cx="774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-933450</wp:posOffset>
            </wp:positionV>
            <wp:extent cx="774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-916305</wp:posOffset>
            </wp:positionV>
            <wp:extent cx="774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946" w:gutter="0" w:footer="0" w:header="0"/>
        </w:sectPr>
      </w:pPr>
    </w:p>
    <w:bookmarkStart w:id="23" w:name="page24"/>
    <w:bookmarkEnd w:id="23"/>
    <w:p>
      <w:pPr>
        <w:ind w:right="380"/>
        <w:spacing w:after="0" w:line="282" w:lineRule="auto"/>
        <w:rPr>
          <w:sz w:val="20"/>
          <w:szCs w:val="20"/>
          <w:color w:val="auto"/>
        </w:rPr>
      </w:pPr>
      <w:r>
        <w:rPr>
          <w:rFonts w:ascii="Times New Roman" w:cs="Times New Roman" w:eastAsia="Times New Roman" w:hAnsi="Times New Roman"/>
          <w:sz w:val="18"/>
          <w:szCs w:val="18"/>
          <w:color w:val="auto"/>
        </w:rPr>
        <w:t>The level of research and development expenses for the six months ended March 31, 2024 decreased by $12.4 million compared to the same period in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Virology</w:t>
      </w:r>
    </w:p>
    <w:p>
      <w:pPr>
        <w:spacing w:after="0" w:line="1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costs in our virology program decreased $26.0 million primarily due to a decrease in costs associated with our COVID-19 program as we stopped further internal development and will only progress the program in the context of one or more collaborations. This decrease was offset by an increase in costs for our RSV clinical programs as we had two ongoing Phase 2 studies of zelicapavir and a challenge study initiated for EDP-323 in the six months ended March 31, 2024. Costs associated with HBV decreased as we continued to wind down this program.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Immunology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in our immunology increased by $8.1 million as this is a new therapeutic area of focus for the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Programs</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Other program costs increased by $5.5 million as we focused on early stage drug discovery programs, offset by a decrease in costs for our NASH program as we continued to wind down this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$4.3 million for the six months ended March 31, 2024 compared to the same period in 2023. The change was primarily due to an increase in legal expenses related to our patent infringement suit against Pfizer.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components of other income (expense) were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Interest expense increased $6.0 million for the six months ended March 31, 2024 as compared to the same period in 2023 due to interest expense and amortization of debt issuance costs associated with the royalty sale agreement entered into during April 2023 with an affiliate of OMERS.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investment income, net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and investment income, net, increased $5.3 million for the six months ended March 31, 2024 as compared to the same period in 2023. The increase was due to an increase in our cash balance due to receipt of the $200.0 million from OMERS as well as changes in interest rates year over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2024 we recorded an income tax benefit of $1.0 million driven by interest recorded on a pending federal tax refund.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fund our operations with cash flows from our retained portion of our royalty revenue and our existing financial resources. At March 31, 2024, our principal sources of liquidity were cash and cash equivalents and short-term marketable securities of $300.3 million.</w:t>
      </w:r>
    </w:p>
    <w:p>
      <w:pPr>
        <w:sectPr>
          <w:pgSz w:w="11900" w:h="16838" w:orient="portrait"/>
          <w:cols w:equalWidth="0" w:num="1">
            <w:col w:w="11200"/>
          </w:cols>
          <w:pgMar w:left="320" w:top="1093" w:right="379"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provided by (used in):</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r>
      <w:tr>
        <w:trPr>
          <w:trHeight w:val="184"/>
        </w:trPr>
        <w:tc>
          <w:tcPr>
            <w:tcW w:w="400" w:type="dxa"/>
            <w:vAlign w:val="bottom"/>
          </w:tcPr>
          <w:p>
            <w:pPr>
              <w:spacing w:after="0"/>
              <w:rPr>
                <w:sz w:val="15"/>
                <w:szCs w:val="15"/>
                <w:color w:val="auto"/>
              </w:rPr>
            </w:pP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458"/>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(53,589 )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(49,424 )</w:t>
            </w:r>
          </w:p>
        </w:tc>
      </w:tr>
      <w:tr>
        <w:trPr>
          <w:trHeight w:val="243"/>
        </w:trPr>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45,507</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80,334</w:t>
            </w:r>
          </w:p>
        </w:tc>
        <w:tc>
          <w:tcPr>
            <w:tcW w:w="60" w:type="dxa"/>
            <w:vAlign w:val="bottom"/>
          </w:tcPr>
          <w:p>
            <w:pPr>
              <w:spacing w:after="0"/>
              <w:rPr>
                <w:sz w:val="21"/>
                <w:szCs w:val="21"/>
                <w:color w:val="auto"/>
              </w:rPr>
            </w:pPr>
          </w:p>
        </w:tc>
      </w:tr>
      <w:tr>
        <w:trPr>
          <w:trHeight w:val="250"/>
        </w:trPr>
        <w:tc>
          <w:tcPr>
            <w:tcW w:w="400" w:type="dxa"/>
            <w:vAlign w:val="bottom"/>
          </w:tcPr>
          <w:p>
            <w:pPr>
              <w:spacing w:after="0"/>
              <w:rPr>
                <w:sz w:val="21"/>
                <w:szCs w:val="21"/>
                <w:color w:val="auto"/>
              </w:rPr>
            </w:pPr>
          </w:p>
        </w:tc>
        <w:tc>
          <w:tcPr>
            <w:tcW w:w="156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(13,764 )</w:t>
            </w:r>
          </w:p>
        </w:tc>
        <w:tc>
          <w:tcPr>
            <w:tcW w:w="4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(1,726 )</w:t>
            </w:r>
          </w:p>
        </w:tc>
      </w:tr>
      <w:tr>
        <w:trPr>
          <w:trHeight w:val="239"/>
        </w:trPr>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(21,846</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29,184</w:t>
            </w:r>
          </w:p>
        </w:tc>
        <w:tc>
          <w:tcPr>
            <w:tcW w:w="60" w:type="dxa"/>
            <w:vAlign w:val="bottom"/>
          </w:tcPr>
          <w:p>
            <w:pPr>
              <w:spacing w:after="0"/>
              <w:rPr>
                <w:sz w:val="20"/>
                <w:szCs w:val="20"/>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40" w:space="720"/>
            <w:col w:w="3640"/>
          </w:cols>
          <w:pgMar w:left="320" w:top="1093" w:right="379" w:bottom="1440" w:gutter="0" w:footer="0" w:header="0"/>
          <w:type w:val="continuous"/>
        </w:sect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was $53.6 million for the six months ended March 31, 2024 as compared to cash used in operating activities of $49.4 million for the same period in 2023. Our cash used in operating activities increased $4.2 million primarily due to timing of our research and development payments, offset by lower cash receipts associated with our AbbVie agreement as we now only retain 45.5% of cash royalties following the royalty sale agreement with 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investing activities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was $45.5 million for the six months ended March 31, 2024 as compared to cash provided by investing activities of $80.3 million for the same period in 2023. Our cash provided by investing activities decreased $34.8 million, driven by the timing of purchases, sales and maturities of marketable securities in 2024 compared to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$13.8 million for the six months ended March 31, 2024 as compared to cash used in financing activities of $1.7 million for the same period in 2023. Our cash used in financing activities increased $12.1 million, driven primarily by our payments to OMERS for our royalty sale agreement which began in fiscal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March 31, 2024, we had $300.3 million in cash, cash equivalents and short-term marketable securities. We believe that our existing cash, cash equivalents and short-term marketable securities as of March 31, 2024, as well as the cash flows from our retained portion of future HCV royalties will be sufficient to meet our anticipated cash requirements through the third quarter of fiscal 2027. However, our projection of the period of time through which our financial resources will be adequate to support our operations is a forward-looking statement that involves risks and uncertainties, and actual results could vary materially.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on our own, including conducting advanced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collaborations, licensing or other arrangements, if any, and the financial terms of such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retained portion of royalties generated from MAVYRET/MAVIRET sales under our existing collaboration with AbbVie;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additional expenses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for clinical development and any products we successfully commercialize independently;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to in-license or otherwise acquire new technologies and therapeutic candidates;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prosecuting our patent infringement suit regarding use of a coronavirus 3CL protease inhibitor in Paxlovid, Pfizer's antiviral treatment for COVID-19;</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any product candidates we develop independently;</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any product candidates we develop independently that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sales of our product candidates, if any, or royalties thereon;</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patents, including any litigation costs and the outcomes of any such litigation;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in foreign currency exchange rates.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Leases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currently lease space in Watertown, Massachusetts, under two separate lease agreements with one landlord and entered into a third lease agreement with the same landlord in May 2022 to lease additional laboratory and office space located at a to-be-constructed facility at Arsenal on the Charles in Watertown, Massachusetts.</w:t>
      </w:r>
    </w:p>
    <w:p>
      <w:pPr>
        <w:spacing w:after="0" w:line="6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first lease for office and laboratory space at 500 Arsenal Street expires on September 1, 2027. In May 2022, we entered into a new ten-year lease for laboratory and office space in Watertown, Massachusetts, adjacent to our 400 Talcott Avenue premises at Arsenal on the Charles at 4 Kingsbury Avenue. The construction of the facility shell was completed and we gained access to the building to construct tenant improvements during the three months ended March 31, 2024. Upon gaining access to the 4 Kingsbury Avenue building, we capitalized a right-of-use asset and lease liability of approximately $32 million on our consolidated balance sheets which reflects our fixed base rent payments, net of approximately $15 million of a tenant improvement allowance provided by the landlord, over the 10-year term of the lease.</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conjunction with the commencement of our lease at 4 Kingsbury Avenue during the quarter, we adjusted our 500 Arsenal Street lease liability to shorten the expiration date from September 2027 to the date the Kingsbury Avenue facility is ready for our occupancy which is expected to be by the end of November 2024. This resulted in a decrease in the lease liability and right-of-use asset on our consolidated balance sheets by approximately $9 million.</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Total estimated minimum lease payments for the next 5 years and thereafter under our existing facility and leased equipment agreements are $8.1 million in 2025, $8.5 million in 2026, $8.7 million in 2027, $9.0 million in 2028 and $59.2 million thereafter.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OMERS Agreement</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2023, we entered into a royalty sale agreement with an affiliate of OMERS, pursuant to which we were paid a $200.0 million cash purchase price in exchange for 54.5% of our future quarterly royalty payments on net sales of MAVYRET/MAVIRET after June 30, 2023, through June 30, 2032, subject to a cap on aggregate payments equal to 1.42 times the purchase price.</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$200.0 million received in 2023 was recognized on our condensed consolidated balance sheets as a liability which will be reduced by the payments made to OMERS over the term of the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Our condensed consolidated financial statements are prepared in accordance with accounting principles generally accepted in the United States of America. The preparation of our condensed consolidated financial statements and related disclosures requires us to make estimates and assumptions that affect the reported amount of assets, liabilities, revenue, costs and expenses, and related disclosures. We evaluate our estimates and assumptions on an ongoing basis. Our actual results may differ from these estimates under different assumptions and conditions. See our 2023 Form 10-K for </w:t>
      </w:r>
      <w:r>
        <w:rPr>
          <w:rFonts w:ascii="Times New Roman" w:cs="Times New Roman" w:eastAsia="Times New Roman" w:hAnsi="Times New Roman"/>
          <w:sz w:val="18"/>
          <w:szCs w:val="18"/>
          <w:color w:val="212529"/>
        </w:rPr>
        <w:t>information about our critical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accounting policies as well as a description of our other significant accounting policies</w:t>
      </w:r>
      <w:r>
        <w:rPr>
          <w:rFonts w:ascii="Times New Roman" w:cs="Times New Roman" w:eastAsia="Times New Roman" w:hAnsi="Times New Roman"/>
          <w:sz w:val="18"/>
          <w:szCs w:val="18"/>
          <w:color w:val="000000"/>
        </w:rPr>
        <w:t>. There have been no significant changes to our critical accounting</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policies since the beginning of this fiscal year.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set forth in Note 2 to the condensed consolidated financial statements included in this Form 10-Q.</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2024, there were no material changes to our market risk disclosures as set forth in Part II, Item 7A “Quantitative and Qualitative Disclosures About Market Risk” in our Annual Report on Form 10-K for the fiscal year ended September 30,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33" w:lineRule="exact"/>
        <w:rPr>
          <w:sz w:val="20"/>
          <w:szCs w:val="20"/>
          <w:color w:val="auto"/>
        </w:rPr>
      </w:pPr>
    </w:p>
    <w:p>
      <w:pPr>
        <w:ind w:right="48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and Internal Control over Financial Reporting </w:t>
      </w:r>
      <w:r>
        <w:rPr>
          <w:rFonts w:ascii="Times New Roman" w:cs="Times New Roman" w:eastAsia="Times New Roman" w:hAnsi="Times New Roman"/>
          <w:sz w:val="18"/>
          <w:szCs w:val="18"/>
          <w:i w:val="1"/>
          <w:iCs w:val="1"/>
          <w:color w:val="auto"/>
        </w:rPr>
        <w:t>Evaluation of Disclosure Controls and Procedures.</w:t>
      </w:r>
    </w:p>
    <w:p>
      <w:pPr>
        <w:ind w:right="100"/>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or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2024 that have materially affected, or are reasonably likely to materially affect, our internal control over financial reporting.</w:t>
      </w:r>
    </w:p>
    <w:p>
      <w:pPr>
        <w:spacing w:after="0" w:line="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the fiscal year ending September 30, 2024, we will be a non-accelerated filer and, as such, we will no longer be required to conduct internal controls testing and auditing under Section 404(b) of the Sarbanes-Oxley Act. However, we will continue to maintain our internal control environment and management will continue to attest to 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detailed discussion of risk factors included in our 2023 Form 10-K and our Quarterly Report for the period ended December 31, 2023.</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such risk factors during the quarter ended March 31, 2024. Other events that we do not currently anticipate or that we currently deem immaterial may also affect our business, prospects,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Rule 10b5-1 Trading Arrangements. </w:t>
      </w:r>
      <w:r>
        <w:rPr>
          <w:rFonts w:ascii="Times New Roman" w:cs="Times New Roman" w:eastAsia="Times New Roman" w:hAnsi="Times New Roman"/>
          <w:sz w:val="18"/>
          <w:szCs w:val="18"/>
          <w:color w:val="auto"/>
        </w:rPr>
        <w:t>During the three months ended March 31, 2024, the following officers (as defined in Rule 16a-1(f)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of the Company adopted a “Rule 10b5-1 trading arrangement” as that term is defined in Item 408(a) of Regulation S-K, all of which were entered into during an open trading window in accordance with the Company’s Securities Trading Policy and all of which were intended to satisfy Rule 10b5-1(c):</w:t>
      </w:r>
    </w:p>
    <w:p>
      <w:pPr>
        <w:spacing w:after="0" w:line="74" w:lineRule="exact"/>
        <w:rPr>
          <w:sz w:val="20"/>
          <w:szCs w:val="20"/>
          <w:color w:val="auto"/>
        </w:rPr>
      </w:pPr>
    </w:p>
    <w:p>
      <w:pPr>
        <w:ind w:left="1020" w:right="40" w:hanging="503"/>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14, 2024, Tara L. Kieffer, Ph.D., our Chief Product Strategy Officer, adopted a Rule 10b5-1 trading plan providing for the sale of up to 37, 288 shares of our common stock, including shares vested under performance stock units and restricted stock units, as well as shares vesting under outstanding stock options, so long as the market price of our common stock is higher than certain minimum threshold prices specified in the plan in various periods between June 17, 2024 and May 30, 2025, or such earlier date as all authorized sales under the plan are completed;</w:t>
      </w:r>
    </w:p>
    <w:p>
      <w:pPr>
        <w:spacing w:after="0" w:line="75"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15, 2024, Yat Sun Or, our Chief Scientific Officer, adopted a Rule 10b5-1 trading plan providing for the sale of up to (i) 25,171 shares of our common stock and (ii) 36,500 shares of our common stock subject to vested stock options with an exercise price of $44.00 that are due to expire on November 20, 2024, so long as in each case the market price of our common stock is higher than certain minimum threshold prices specified in the plan, in various periods between June 17, 2024 and December 31, 2024, or such earlier date as all authorized sales under the plan are completed; and</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7" w:name="page28"/>
    <w:bookmarkEnd w:id="27"/>
    <w:p>
      <w:pPr>
        <w:ind w:left="1020" w:right="100" w:hanging="503"/>
        <w:spacing w:after="0" w:line="25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15, 2024, Scott T. Rottinghaus, M.D., our Chief Medical Officer, adopted a Rule 10b5-1 trading plan providing for the sale of up to 25,695 shares of our common stock, including shares vested under performance stock units and restricted stock units, as well as shares vesting under outstanding stock options and restricted stock units, so long as the market price of our common stock is higher than certain minimum threshold prices specified in the plan, in various periods between June 17, 2024 and March 31, 2025, or such earlier date as all authorized sales under the plan are completed.</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set forth above, no director or officer (as defined in Rule 16a-1(f) under the Exchange Act) of the Company adopted or terminated a “Rule 10b5-1 trading arrangement” or “non-rule 10b5-1 trading arrangement,” as each term is defined in item 408(a) of Regulation S-K.</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gridSpan w:val="16"/>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7"/>
        </w:trPr>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8"/>
          </w:tcPr>
          <w:p>
            <w:pPr>
              <w:spacing w:after="0"/>
              <w:rPr>
                <w:rFonts w:ascii="Times New Roman" w:cs="Times New Roman" w:eastAsia="Times New Roman" w:hAnsi="Times New Roman"/>
                <w:sz w:val="18"/>
                <w:szCs w:val="18"/>
                <w:color w:val="auto"/>
              </w:rPr>
            </w:pPr>
            <w:hyperlink r:id="rId229">
              <w:r>
                <w:rPr>
                  <w:rFonts w:ascii="Times New Roman" w:cs="Times New Roman" w:eastAsia="Times New Roman" w:hAnsi="Times New Roman"/>
                  <w:sz w:val="18"/>
                  <w:szCs w:val="18"/>
                  <w:color w:val="auto"/>
                </w:rPr>
                <w:t>Restated Certificate of Incorporation of Enanta Pharmaceuticals, Inc.</w:t>
              </w:r>
            </w:hyperlink>
          </w:p>
        </w:tc>
        <w:tc>
          <w:tcPr>
            <w:tcW w:w="0" w:type="dxa"/>
            <w:vAlign w:val="bottom"/>
          </w:tcPr>
          <w:p>
            <w:pPr>
              <w:spacing w:after="0"/>
              <w:rPr>
                <w:sz w:val="1"/>
                <w:szCs w:val="1"/>
                <w:color w:val="auto"/>
              </w:rPr>
            </w:pPr>
          </w:p>
        </w:tc>
      </w:tr>
      <w:tr>
        <w:trPr>
          <w:trHeight w:val="68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auto"/>
              </w:rPr>
            </w:pPr>
            <w:hyperlink r:id="rId230">
              <w:r>
                <w:rPr>
                  <w:rFonts w:ascii="Times New Roman" w:cs="Times New Roman" w:eastAsia="Times New Roman" w:hAnsi="Times New Roman"/>
                  <w:sz w:val="18"/>
                  <w:szCs w:val="18"/>
                  <w:color w:val="auto"/>
                </w:rPr>
                <w:t>Amended and Restated Bylaws of Enanta Pharmaceuticals, Inc. (as</w:t>
              </w:r>
            </w:hyperlink>
          </w:p>
        </w:tc>
        <w:tc>
          <w:tcPr>
            <w:tcW w:w="80" w:type="dxa"/>
            <w:vAlign w:val="bottom"/>
            <w:tcBorders>
              <w:top w:val="single" w:sz="8" w:color="0000EE"/>
            </w:tcBorders>
          </w:tcPr>
          <w:p>
            <w:pPr>
              <w:spacing w:after="0"/>
              <w:rPr>
                <w:sz w:val="24"/>
                <w:szCs w:val="24"/>
                <w:color w:val="auto"/>
              </w:rPr>
            </w:pPr>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gridSpan w:val="18"/>
          </w:tcPr>
          <w:p>
            <w:pPr>
              <w:spacing w:after="0" w:line="196" w:lineRule="exact"/>
              <w:rPr>
                <w:rFonts w:ascii="Times New Roman" w:cs="Times New Roman" w:eastAsia="Times New Roman" w:hAnsi="Times New Roman"/>
                <w:sz w:val="18"/>
                <w:szCs w:val="18"/>
                <w:color w:val="auto"/>
              </w:rPr>
            </w:pPr>
            <w:hyperlink r:id="rId230">
              <w:r>
                <w:rPr>
                  <w:rFonts w:ascii="Times New Roman" w:cs="Times New Roman" w:eastAsia="Times New Roman" w:hAnsi="Times New Roman"/>
                  <w:sz w:val="18"/>
                  <w:szCs w:val="18"/>
                  <w:color w:val="auto"/>
                </w:rPr>
                <w:t>amended and restated in August 2015)</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2019 Equity Incentive Plan (as amended through March 6, 2024)</w:t>
              </w:r>
            </w:hyperlink>
          </w:p>
        </w:tc>
        <w:tc>
          <w:tcPr>
            <w:tcW w:w="20" w:type="dxa"/>
            <w:vAlign w:val="bottom"/>
            <w:tcBorders>
              <w:bottom w:val="single" w:sz="8" w:color="0000EE"/>
            </w:tcBorders>
          </w:tcPr>
          <w:p>
            <w:pPr>
              <w:spacing w:after="0"/>
              <w:rPr>
                <w:sz w:val="24"/>
                <w:szCs w:val="24"/>
                <w:color w:val="auto"/>
              </w:rPr>
            </w:pPr>
          </w:p>
        </w:tc>
        <w:tc>
          <w:tcPr>
            <w:tcW w:w="4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Amended and Restated Employment Agreement dated as of February</w:t>
            </w: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8, 2024 by and between the Company and Nathaniel S. Gardiner,</w:t>
            </w:r>
          </w:p>
        </w:tc>
        <w:tc>
          <w:tcPr>
            <w:tcW w:w="4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effective April 1, 2024</w:t>
            </w:r>
          </w:p>
        </w:tc>
        <w:tc>
          <w:tcPr>
            <w:tcW w:w="20" w:type="dxa"/>
            <w:vAlign w:val="bottom"/>
            <w:tcBorders>
              <w:bottom w:val="single" w:sz="8" w:color="0000EE"/>
            </w:tcBorders>
          </w:tcPr>
          <w:p>
            <w:pPr>
              <w:spacing w:after="0"/>
              <w:rPr>
                <w:sz w:val="17"/>
                <w:szCs w:val="17"/>
                <w:color w:val="auto"/>
              </w:rPr>
            </w:pPr>
          </w:p>
        </w:tc>
        <w:tc>
          <w:tcPr>
            <w:tcW w:w="34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Rule 13a-14(a)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or 15d-14(a) of the Securities Exchange Act of 1934.</w:t>
            </w:r>
          </w:p>
        </w:tc>
        <w:tc>
          <w:tcPr>
            <w:tcW w:w="20" w:type="dxa"/>
            <w:vAlign w:val="bottom"/>
            <w:tcBorders>
              <w:bottom w:val="single" w:sz="8" w:color="0000EE"/>
            </w:tcBorders>
          </w:tcPr>
          <w:p>
            <w:pPr>
              <w:spacing w:after="0"/>
              <w:rPr>
                <w:sz w:val="17"/>
                <w:szCs w:val="17"/>
                <w:color w:val="auto"/>
              </w:rPr>
            </w:pPr>
          </w:p>
        </w:tc>
        <w:tc>
          <w:tcPr>
            <w:tcW w:w="1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or</w:t>
            </w:r>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15d-14(a) of the Securities Exchange Act of 1934.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and Chief Financial</w:t>
            </w:r>
          </w:p>
        </w:tc>
        <w:tc>
          <w:tcPr>
            <w:tcW w:w="5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Officer pursuant to 18 U.S.C. Section 1350, as adopted pursuant to</w:t>
            </w:r>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906 of the Sarbanes-Oxley Act of 2002.</w:t>
            </w:r>
          </w:p>
        </w:tc>
        <w:tc>
          <w:tcPr>
            <w:tcW w:w="16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8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46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left="1100" w:right="440" w:hanging="1018"/>
        <w:spacing w:after="0" w:line="266" w:lineRule="auto"/>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(formatted as Inline XBRL with applicable Taxonomy Extension information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31"/>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1"/>
                <w:szCs w:val="11"/>
                <w:color w:val="auto"/>
              </w:rPr>
            </w:pPr>
          </w:p>
        </w:tc>
        <w:tc>
          <w:tcPr>
            <w:tcW w:w="10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1"/>
                <w:szCs w:val="11"/>
                <w:color w:val="auto"/>
              </w:rPr>
            </w:pPr>
          </w:p>
        </w:tc>
        <w:tc>
          <w:tcPr>
            <w:tcW w:w="900" w:type="dxa"/>
            <w:vAlign w:val="bottom"/>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File</w:t>
            </w: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5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03/28/2013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35839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08/18/2015</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35839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03/12/2024</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35839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91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70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70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91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6240" w:space="120"/>
            <w:col w:w="4820"/>
          </w:cols>
          <w:pgMar w:left="320" w:top="981"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ENANTA PHARMACEUTICALS, INC.</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2024</w:t>
      </w:r>
    </w:p>
    <w:p>
      <w:pPr>
        <w:spacing w:after="0" w:line="30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Paul J. Mellett</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1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color w:val="auto"/>
        </w:rPr>
        <w:t>AMENDED AND RESTATED EMPLOYMENT AGREEMENT</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Amended and Restated Employment Agreement (this ''</w:t>
      </w:r>
      <w:r>
        <w:rPr>
          <w:rFonts w:ascii="Times New Roman" w:cs="Times New Roman" w:eastAsia="Times New Roman" w:hAnsi="Times New Roman"/>
          <w:sz w:val="20"/>
          <w:szCs w:val="20"/>
          <w:u w:val="single" w:color="auto"/>
          <w:color w:val="auto"/>
        </w:rPr>
        <w:t>Agreemen</w:t>
      </w:r>
      <w:r>
        <w:rPr>
          <w:rFonts w:ascii="Times New Roman" w:cs="Times New Roman" w:eastAsia="Times New Roman" w:hAnsi="Times New Roman"/>
          <w:sz w:val="20"/>
          <w:szCs w:val="20"/>
          <w:color w:val="auto"/>
        </w:rPr>
        <w:t>t") dated as of February 8, 2024, by and between Enanta Pharmaceuticals, Inc. (“</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500 Arsenal Street, Watertown, MA 02472, and Nathaniel S. Gardiner (“Employee”) amends and restates the Employment Agreement (the “Original Agreement”) dated as of April 28, 2014, between Employer and Employee, effective April 1, 2024 (the “Effective Date”).</w:t>
      </w:r>
    </w:p>
    <w:p>
      <w:pPr>
        <w:spacing w:after="0" w:line="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RECITALS: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Employee currently is employed by Employer as its Chief Legal Officer pursuant to the Original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Employee is retiring from his employment as Chief Legal Officer of Employer on March 31, 2024; and</w:t>
      </w:r>
    </w:p>
    <w:p>
      <w:pPr>
        <w:spacing w:after="0" w:line="216"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WHEREAS, as of the Effective Date, Employee is willing to serve on a part-time employment basis as Senior Counsel to Employer, and Employer desires to retain Employee in such capacity, on the terms and conditions set forth in this Agreement.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promises and the mutual covenants herein contained and for other good and valuable consideration, the receipt and sufficiency of which are hereby acknowledged, the parties hereto enter into this Agreement and agree as follows:</w:t>
      </w:r>
    </w:p>
    <w:p>
      <w:pPr>
        <w:spacing w:after="0" w:line="183"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EMPLOYMENT.</w:t>
      </w:r>
    </w:p>
    <w:p>
      <w:pPr>
        <w:spacing w:after="0" w:line="170"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Employer shall employ Employee as its Senior Counsel. Employee accepts and agrees to such employment.</w:t>
      </w:r>
    </w:p>
    <w:p>
      <w:pPr>
        <w:spacing w:after="0" w:line="215" w:lineRule="exact"/>
        <w:rPr>
          <w:rFonts w:ascii="Times New Roman" w:cs="Times New Roman" w:eastAsia="Times New Roman" w:hAnsi="Times New Roman"/>
          <w:sz w:val="20"/>
          <w:szCs w:val="20"/>
          <w:color w:val="auto"/>
        </w:rPr>
      </w:pPr>
    </w:p>
    <w:p>
      <w:pPr>
        <w:ind w:left="760" w:right="120" w:hanging="378"/>
        <w:spacing w:after="0" w:line="269" w:lineRule="auto"/>
        <w:tabs>
          <w:tab w:leader="none" w:pos="7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shall, during the term of his employment hereunder, work part-time consistent with the position and office occupied by Employee and on the following schedule:</w:t>
      </w:r>
    </w:p>
    <w:p>
      <w:pPr>
        <w:spacing w:after="0" w:line="172" w:lineRule="exact"/>
        <w:rPr>
          <w:rFonts w:ascii="Times New Roman" w:cs="Times New Roman" w:eastAsia="Times New Roman" w:hAnsi="Times New Roman"/>
          <w:sz w:val="20"/>
          <w:szCs w:val="20"/>
          <w:color w:val="auto"/>
        </w:rPr>
      </w:pPr>
    </w:p>
    <w:p>
      <w:pPr>
        <w:ind w:left="1140" w:right="120" w:hanging="383"/>
        <w:spacing w:after="0" w:line="269" w:lineRule="auto"/>
        <w:tabs>
          <w:tab w:leader="none" w:pos="1162"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87 hours per month (50% time) for up to the first 3 months after the Effective Date (4 days, or portions thereof, per month in the office, with the balance of the time working remotely or in the office); and</w:t>
      </w:r>
    </w:p>
    <w:p>
      <w:pPr>
        <w:spacing w:after="0" w:line="172" w:lineRule="exact"/>
        <w:rPr>
          <w:rFonts w:ascii="Times New Roman" w:cs="Times New Roman" w:eastAsia="Times New Roman" w:hAnsi="Times New Roman"/>
          <w:sz w:val="20"/>
          <w:szCs w:val="20"/>
          <w:color w:val="auto"/>
        </w:rPr>
      </w:pPr>
    </w:p>
    <w:p>
      <w:pPr>
        <w:ind w:left="1140" w:right="120" w:hanging="383"/>
        <w:spacing w:after="0" w:line="269" w:lineRule="auto"/>
        <w:tabs>
          <w:tab w:leader="none" w:pos="1162"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44 hours per month (25% time) thereafter (2 days, or portions thereof, per month in the office, with the balance of the time working remotely or in the office) for the balance of the remaining term of his employment.</w:t>
      </w:r>
    </w:p>
    <w:p>
      <w:pPr>
        <w:spacing w:after="0" w:line="172" w:lineRule="exact"/>
        <w:rPr>
          <w:rFonts w:ascii="Times New Roman" w:cs="Times New Roman" w:eastAsia="Times New Roman" w:hAnsi="Times New Roman"/>
          <w:sz w:val="20"/>
          <w:szCs w:val="20"/>
          <w:color w:val="auto"/>
        </w:rPr>
      </w:pPr>
    </w:p>
    <w:p>
      <w:pPr>
        <w:jc w:val="both"/>
        <w:ind w:left="760" w:right="120" w:hanging="378"/>
        <w:spacing w:after="0" w:line="246" w:lineRule="auto"/>
        <w:tabs>
          <w:tab w:leader="none" w:pos="7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represents and warrants that Employee has executed and delivered to Employer an Employee Non-Disclosure, Non-Competition and Assignment of Intellectual Property Agreement dated as of April 28, 2014 (the “NDA”), and the NDA shall remain in full force and effect during Employee’s employment under this Agreement; provided, however, Employer and Employee agree that Employee shall not be bound by any post-employment, non-competition obligations contained in the NDA as of the Effective Date.</w:t>
      </w:r>
    </w:p>
    <w:p>
      <w:pPr>
        <w:spacing w:after="0" w:line="166"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COMPENSATION.</w:t>
      </w:r>
    </w:p>
    <w:p>
      <w:pPr>
        <w:spacing w:after="0" w:line="307"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31" w:name="page32"/>
    <w:bookmarkEnd w:id="31"/>
    <w:p>
      <w:pPr>
        <w:jc w:val="both"/>
        <w:ind w:left="752" w:right="60" w:hanging="378"/>
        <w:spacing w:after="0" w:line="263" w:lineRule="auto"/>
        <w:tabs>
          <w:tab w:leader="none" w:pos="752"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compensation for the services provided by Employee under this Agreement, Employer will pay Employee at 50% of his base salary in effect immediately before the Effective Date (the "Base Salary"), payable in semi-monthly installments on the fifteenth day and the thirtieth day of each month, until June 30, 2024 or such earlier date as Employer may have determined after 30 days’ notice to Employee that Employee shall thereafter be employed at the rate of 25% time, in which event Employee’s pay shall be reduced to 25% of the Base Salary. The Base Salary will not be subject to annual review during the stated term of this Agreement.</w:t>
      </w:r>
    </w:p>
    <w:p>
      <w:pPr>
        <w:spacing w:after="0" w:line="161" w:lineRule="exact"/>
        <w:rPr>
          <w:rFonts w:ascii="Times New Roman" w:cs="Times New Roman" w:eastAsia="Times New Roman" w:hAnsi="Times New Roman"/>
          <w:sz w:val="19"/>
          <w:szCs w:val="19"/>
          <w:color w:val="auto"/>
        </w:rPr>
      </w:pPr>
    </w:p>
    <w:p>
      <w:pPr>
        <w:ind w:left="352" w:hanging="352"/>
        <w:spacing w:after="0"/>
        <w:tabs>
          <w:tab w:leader="none" w:pos="35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BENEFITS.</w:t>
      </w:r>
    </w:p>
    <w:p>
      <w:pPr>
        <w:spacing w:after="0" w:line="210" w:lineRule="exact"/>
        <w:rPr>
          <w:rFonts w:ascii="Times New Roman" w:cs="Times New Roman" w:eastAsia="Times New Roman" w:hAnsi="Times New Roman"/>
          <w:sz w:val="20"/>
          <w:szCs w:val="20"/>
          <w:color w:val="auto"/>
        </w:rPr>
      </w:pPr>
    </w:p>
    <w:p>
      <w:pPr>
        <w:jc w:val="both"/>
        <w:ind w:left="792" w:right="60" w:hanging="373"/>
        <w:spacing w:after="0" w:line="246" w:lineRule="auto"/>
        <w:tabs>
          <w:tab w:leader="none" w:pos="792" w:val="left"/>
        </w:tabs>
        <w:numPr>
          <w:ilvl w:val="2"/>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Fringe Benefits</w:t>
      </w:r>
      <w:r>
        <w:rPr>
          <w:rFonts w:ascii="Times New Roman" w:cs="Times New Roman" w:eastAsia="Times New Roman" w:hAnsi="Times New Roman"/>
          <w:sz w:val="20"/>
          <w:szCs w:val="20"/>
          <w:color w:val="auto"/>
        </w:rPr>
        <w:t>: Employee shall be entitled to participate in such employee benefits plans for which he is eligible pursuant to the terms of the applicable plan. Employee understands that such employee benefits plans may be amended, enlarged, diminished or terminated by Employer from time to time. Under Employer’s current healthcare benefits plan, Employee shall remain eligible for healthcare benefits provided that he continues to work for Employer at least 87 hours per month (50% time). Further, under Employer’s current 401(k) plan, Employee can participate in that plan as long as he works at least 500 hours per calendar year.</w:t>
      </w:r>
    </w:p>
    <w:p>
      <w:pPr>
        <w:spacing w:after="0" w:line="171" w:lineRule="exact"/>
        <w:rPr>
          <w:rFonts w:ascii="Times New Roman" w:cs="Times New Roman" w:eastAsia="Times New Roman" w:hAnsi="Times New Roman"/>
          <w:sz w:val="20"/>
          <w:szCs w:val="20"/>
          <w:color w:val="auto"/>
        </w:rPr>
      </w:pPr>
    </w:p>
    <w:p>
      <w:pPr>
        <w:ind w:left="792" w:hanging="373"/>
        <w:spacing w:after="0"/>
        <w:tabs>
          <w:tab w:leader="none" w:pos="792" w:val="left"/>
        </w:tabs>
        <w:numPr>
          <w:ilvl w:val="2"/>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Awards:</w:t>
      </w:r>
    </w:p>
    <w:p>
      <w:pPr>
        <w:spacing w:after="0" w:line="242" w:lineRule="exact"/>
        <w:rPr>
          <w:rFonts w:ascii="Times New Roman" w:cs="Times New Roman" w:eastAsia="Times New Roman" w:hAnsi="Times New Roman"/>
          <w:sz w:val="20"/>
          <w:szCs w:val="20"/>
          <w:color w:val="auto"/>
        </w:rPr>
      </w:pPr>
    </w:p>
    <w:p>
      <w:pPr>
        <w:ind w:left="752" w:firstLine="6"/>
        <w:spacing w:after="0" w:line="236" w:lineRule="exact"/>
        <w:tabs>
          <w:tab w:leader="none" w:pos="1038" w:val="left"/>
        </w:tabs>
        <w:numPr>
          <w:ilvl w:val="3"/>
          <w:numId w:val="25"/>
        </w:numPr>
        <w:rPr>
          <w:rFonts w:ascii="Times New Roman" w:cs="Times New Roman" w:eastAsia="Times New Roman" w:hAnsi="Times New Roman"/>
          <w:sz w:val="20"/>
          <w:szCs w:val="20"/>
          <w:color w:val="auto"/>
        </w:rPr>
      </w:pPr>
      <w:r>
        <w:rPr>
          <w:rFonts w:ascii="Calibri" w:cs="Calibri" w:eastAsia="Calibri" w:hAnsi="Calibri"/>
          <w:sz w:val="20"/>
          <w:szCs w:val="20"/>
          <w:color w:val="auto"/>
        </w:rPr>
        <w:t>S</w:t>
      </w:r>
      <w:r>
        <w:rPr>
          <w:rFonts w:ascii="Times New Roman" w:cs="Times New Roman" w:eastAsia="Times New Roman" w:hAnsi="Times New Roman"/>
          <w:sz w:val="20"/>
          <w:szCs w:val="20"/>
          <w:color w:val="auto"/>
        </w:rPr>
        <w:t>tock options and restricted stock units. Employee’s existing stock options granted by Employer and his unvested restricted</w:t>
      </w:r>
      <w:r>
        <w:rPr>
          <w:rFonts w:ascii="Calibri" w:cs="Calibri" w:eastAsia="Calibri" w:hAnsi="Calibri"/>
          <w:sz w:val="20"/>
          <w:szCs w:val="20"/>
          <w:color w:val="auto"/>
        </w:rPr>
        <w:t xml:space="preserve"> </w:t>
      </w:r>
      <w:r>
        <w:rPr>
          <w:rFonts w:ascii="Times New Roman" w:cs="Times New Roman" w:eastAsia="Times New Roman" w:hAnsi="Times New Roman"/>
          <w:sz w:val="20"/>
          <w:szCs w:val="20"/>
          <w:color w:val="auto"/>
        </w:rPr>
        <w:t>stock units (“RSUs”) granted by Employer shall continue to vest during the term of his employment under this Agreement and shall continue to be exercisable in accordance with their terms and conditions; provided, further, that (x) on the Termination Date (as defined below) a portion of any unvested RSUs and unvested stock options on such Termination Date equal to the number of RSUs and stock options, respectively, scheduled to vest during the twelve (12) month</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period commencing the day after the Termination Date shall vest and, with respect to RSUs, settle 10 days after such date and, with respect to stock options, become immediately exercisable, and (y) as of the Effective Date all of his outstanding stock options shall remain exercisable, to the extent they are then vested or become vested pursuant to the terms of this Agreement, until the earlier of (A) one year from the Termination Date or (B) the end of the original 10-year term of the stock option. Employee acknowledges that he shall not be eligible for any new equity grants under the Company's equity incentive plans after the Effective Date.</w:t>
      </w:r>
    </w:p>
    <w:p>
      <w:pPr>
        <w:spacing w:after="0" w:line="221" w:lineRule="exact"/>
        <w:rPr>
          <w:rFonts w:ascii="Times New Roman" w:cs="Times New Roman" w:eastAsia="Times New Roman" w:hAnsi="Times New Roman"/>
          <w:sz w:val="20"/>
          <w:szCs w:val="20"/>
          <w:color w:val="auto"/>
        </w:rPr>
      </w:pPr>
    </w:p>
    <w:p>
      <w:pPr>
        <w:ind w:left="752" w:right="100" w:firstLine="6"/>
        <w:spacing w:after="0" w:line="246" w:lineRule="auto"/>
        <w:tabs>
          <w:tab w:leader="none" w:pos="1048" w:val="left"/>
        </w:tabs>
        <w:numPr>
          <w:ilvl w:val="3"/>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PSUs and rTSRUs</w:t>
      </w:r>
      <w:r>
        <w:rPr>
          <w:rFonts w:ascii="Times New Roman" w:cs="Times New Roman" w:eastAsia="Times New Roman" w:hAnsi="Times New Roman"/>
          <w:sz w:val="20"/>
          <w:szCs w:val="20"/>
          <w:color w:val="auto"/>
        </w:rPr>
        <w:t>. As of the Effective Date, all unvested PSUs and rTSRUs granted to Employee by Employer will terminate without any shares vesting thereunder, and Employee acknowledges that he shall not be eligible for any new awards of PSUs, rTSRUs or comparable performance awards after the Effective Date</w:t>
      </w:r>
      <w:r>
        <w:rPr>
          <w:rFonts w:ascii="Calibri" w:cs="Calibri" w:eastAsia="Calibri" w:hAnsi="Calibri"/>
          <w:sz w:val="20"/>
          <w:szCs w:val="20"/>
          <w:color w:val="auto"/>
        </w:rPr>
        <w:t>.</w:t>
      </w:r>
    </w:p>
    <w:p>
      <w:pPr>
        <w:spacing w:after="0" w:line="223" w:lineRule="exact"/>
        <w:rPr>
          <w:rFonts w:ascii="Times New Roman" w:cs="Times New Roman" w:eastAsia="Times New Roman" w:hAnsi="Times New Roman"/>
          <w:sz w:val="20"/>
          <w:szCs w:val="20"/>
          <w:color w:val="auto"/>
        </w:rPr>
      </w:pPr>
    </w:p>
    <w:p>
      <w:pPr>
        <w:jc w:val="both"/>
        <w:ind w:left="792" w:right="60" w:hanging="373"/>
        <w:spacing w:after="0" w:line="245" w:lineRule="auto"/>
        <w:tabs>
          <w:tab w:leader="none" w:pos="792" w:val="left"/>
        </w:tabs>
        <w:numPr>
          <w:ilvl w:val="2"/>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Variable Compensation</w:t>
      </w:r>
      <w:r>
        <w:rPr>
          <w:rFonts w:ascii="Times New Roman" w:cs="Times New Roman" w:eastAsia="Times New Roman" w:hAnsi="Times New Roman"/>
          <w:sz w:val="20"/>
          <w:szCs w:val="20"/>
          <w:color w:val="auto"/>
        </w:rPr>
        <w:t>: Employee will also receive an additional payment equal to the target amount of his annual variable compensation for 2024, which is 40% of the Base Salary; provided, however, any variable compensation shall be prorated by the percentage of full-time equivalent working hours worked by Employee during the calendar year (the “Variable Compensation Payment”). The Variable Compensation Payment shall be paid in a lump sum at the same time as payments of 2024 variable compensation are paid to the Corporation’s executive officers in December 2024, and, with respect to any Variable Compensation payable for work in calendar year 2025, on Employee’s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-2996565</wp:posOffset>
            </wp:positionV>
            <wp:extent cx="19894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1989455" cy="8890"/>
                    </a:xfrm>
                    <a:prstGeom prst="rect">
                      <a:avLst/>
                    </a:prstGeom>
                    <a:noFill/>
                  </pic:spPr>
                </pic:pic>
              </a:graphicData>
            </a:graphic>
          </wp:anchor>
        </w:drawing>
        <w:drawing>
          <wp:anchor simplePos="0" relativeHeight="251657728" behindDoc="1" locked="0" layoutInCell="0" allowOverlap="1">
            <wp:simplePos x="0" y="0"/>
            <wp:positionH relativeFrom="column">
              <wp:posOffset>3102610</wp:posOffset>
            </wp:positionH>
            <wp:positionV relativeFrom="paragraph">
              <wp:posOffset>-1359535</wp:posOffset>
            </wp:positionV>
            <wp:extent cx="3111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88" w:lineRule="exact"/>
        <w:rPr>
          <w:sz w:val="20"/>
          <w:szCs w:val="20"/>
          <w:color w:val="auto"/>
        </w:rPr>
      </w:pPr>
    </w:p>
    <w:p>
      <w:pPr>
        <w:jc w:val="center"/>
        <w:ind w:right="-31"/>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668655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143" w:right="379" w:bottom="1440" w:gutter="0" w:footer="0" w:header="0"/>
        </w:sectPr>
      </w:pPr>
    </w:p>
    <w:bookmarkStart w:id="32" w:name="page33"/>
    <w:bookmarkEnd w:id="32"/>
    <w:p>
      <w:pPr>
        <w:jc w:val="both"/>
        <w:ind w:left="800" w:right="100" w:hanging="373"/>
        <w:spacing w:after="0" w:line="264" w:lineRule="auto"/>
        <w:tabs>
          <w:tab w:leader="none" w:pos="800"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Vacation</w:t>
      </w:r>
      <w:r>
        <w:rPr>
          <w:rFonts w:ascii="Times New Roman" w:cs="Times New Roman" w:eastAsia="Times New Roman" w:hAnsi="Times New Roman"/>
          <w:sz w:val="19"/>
          <w:szCs w:val="19"/>
          <w:color w:val="auto"/>
        </w:rPr>
        <w:t>. After the Effective Date, Employee shall be entitled to accrue three(3) weeks of paid vacation ( which includes two weeks of Employees personal vacation days and Employer’s year-end holiday) for the balance of the 2024 calendar year, and one</w:t>
      </w:r>
    </w:p>
    <w:p>
      <w:pPr>
        <w:jc w:val="both"/>
        <w:ind w:left="800" w:right="80"/>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 week for each calendar quarter thereafter, accruing at 50% of full-time accrual so long as his commitment is 87 hours per month, and at 25% once it reduces to 44 hours per month, so long as the absence of Employee does not interfere in any material respect with the performance by Employee of Employee's duties hereunder. Employee shall be entitled to use all vacation days accrued before the Effective Date without reduction for his part-time status.</w:t>
      </w:r>
    </w:p>
    <w:p>
      <w:pPr>
        <w:spacing w:after="0" w:line="183" w:lineRule="exact"/>
        <w:rPr>
          <w:rFonts w:ascii="Times New Roman" w:cs="Times New Roman" w:eastAsia="Times New Roman" w:hAnsi="Times New Roman"/>
          <w:sz w:val="19"/>
          <w:szCs w:val="19"/>
          <w:color w:val="auto"/>
        </w:rPr>
      </w:pPr>
    </w:p>
    <w:p>
      <w:pPr>
        <w:ind w:left="380" w:hanging="357"/>
        <w:spacing w:after="0"/>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TERM/TERMINATION</w:t>
      </w:r>
      <w:r>
        <w:rPr>
          <w:rFonts w:ascii="Times New Roman" w:cs="Times New Roman" w:eastAsia="Times New Roman" w:hAnsi="Times New Roman"/>
          <w:sz w:val="21"/>
          <w:szCs w:val="21"/>
          <w:color w:val="auto"/>
        </w:rPr>
        <w:t>.</w:t>
      </w:r>
    </w:p>
    <w:p>
      <w:pPr>
        <w:spacing w:after="0" w:line="208" w:lineRule="exact"/>
        <w:rPr>
          <w:rFonts w:ascii="Times New Roman" w:cs="Times New Roman" w:eastAsia="Times New Roman" w:hAnsi="Times New Roman"/>
          <w:sz w:val="20"/>
          <w:szCs w:val="20"/>
          <w:color w:val="auto"/>
        </w:rPr>
      </w:pPr>
    </w:p>
    <w:p>
      <w:pPr>
        <w:jc w:val="both"/>
        <w:ind w:left="800" w:right="80" w:hanging="373"/>
        <w:spacing w:after="0" w:line="249" w:lineRule="auto"/>
        <w:tabs>
          <w:tab w:leader="none" w:pos="80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Employee's employment under this Agreement shall be on an "at will" basis and shall continue until March 31, 2025, unless extended by mutual written agreement of the Parties, or earlier terminated in accordance with this Section 4 (such date, the “Termination Date”). Either Employer or Employee may terminate this Agreement at any time and for any reason by giving at least 30 days prior written notice to the other party.</w:t>
      </w:r>
    </w:p>
    <w:p>
      <w:pPr>
        <w:spacing w:after="0" w:line="161" w:lineRule="exact"/>
        <w:rPr>
          <w:sz w:val="20"/>
          <w:szCs w:val="20"/>
          <w:color w:val="auto"/>
        </w:rPr>
      </w:pPr>
    </w:p>
    <w:p>
      <w:pPr>
        <w:ind w:left="380" w:hanging="327"/>
        <w:spacing w:after="0"/>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INDEMNIFICATION.</w:t>
      </w:r>
    </w:p>
    <w:p>
      <w:pPr>
        <w:spacing w:after="0" w:line="211" w:lineRule="exact"/>
        <w:rPr>
          <w:sz w:val="20"/>
          <w:szCs w:val="20"/>
          <w:color w:val="auto"/>
        </w:rPr>
      </w:pPr>
    </w:p>
    <w:p>
      <w:pPr>
        <w:ind w:left="760" w:right="140" w:firstLine="4"/>
        <w:spacing w:after="0" w:line="269" w:lineRule="auto"/>
        <w:rPr>
          <w:sz w:val="20"/>
          <w:szCs w:val="20"/>
          <w:color w:val="auto"/>
        </w:rPr>
      </w:pPr>
      <w:r>
        <w:rPr>
          <w:rFonts w:ascii="Times New Roman" w:cs="Times New Roman" w:eastAsia="Times New Roman" w:hAnsi="Times New Roman"/>
          <w:sz w:val="20"/>
          <w:szCs w:val="20"/>
          <w:color w:val="auto"/>
        </w:rPr>
        <w:t>Employee during the term of this Agreement will continue to be entitled to the benefits of the existing Indemnification Agreement with Employer (the "Indemnification Agreement”).</w:t>
      </w:r>
    </w:p>
    <w:p>
      <w:pPr>
        <w:spacing w:after="0" w:line="155"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MISCELLANEOUS</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0"/>
          <w:szCs w:val="20"/>
          <w:color w:val="auto"/>
        </w:rPr>
        <w:t>This Agreement shall be governed by the laws of the Commonwealth of Massachusetts. This</w:t>
      </w:r>
    </w:p>
    <w:p>
      <w:pPr>
        <w:spacing w:after="0" w:line="22" w:lineRule="exact"/>
        <w:rPr>
          <w:sz w:val="20"/>
          <w:szCs w:val="20"/>
          <w:color w:val="auto"/>
        </w:rPr>
      </w:pPr>
    </w:p>
    <w:p>
      <w:pPr>
        <w:ind w:left="760" w:right="240" w:firstLine="4"/>
        <w:spacing w:after="0" w:line="241" w:lineRule="auto"/>
        <w:rPr>
          <w:sz w:val="20"/>
          <w:szCs w:val="20"/>
          <w:color w:val="auto"/>
        </w:rPr>
      </w:pPr>
      <w:r>
        <w:rPr>
          <w:rFonts w:ascii="Times New Roman" w:cs="Times New Roman" w:eastAsia="Times New Roman" w:hAnsi="Times New Roman"/>
          <w:sz w:val="20"/>
          <w:szCs w:val="20"/>
          <w:color w:val="auto"/>
        </w:rPr>
        <w:t>Agreement and the NDA, the Indemnification Agreement, and any agreements governing Employee’s equity awards contain the entire agreement of the parties and there are no other promises or conditions in any other agreement whether oral or written. This Agreement supersedes any prior written or oral agreements between the parties, including without limitation any consulting agreement. Amendments to this Agreement must be made in writing and signed by both parties.</w:t>
      </w:r>
    </w:p>
    <w:p>
      <w:pPr>
        <w:spacing w:after="0" w:line="202" w:lineRule="exact"/>
        <w:rPr>
          <w:sz w:val="20"/>
          <w:szCs w:val="20"/>
          <w:color w:val="auto"/>
        </w:rPr>
      </w:pPr>
    </w:p>
    <w:p>
      <w:pPr>
        <w:jc w:val="both"/>
        <w:ind w:left="760" w:firstLine="4"/>
        <w:spacing w:after="0" w:line="254" w:lineRule="auto"/>
        <w:rPr>
          <w:sz w:val="20"/>
          <w:szCs w:val="20"/>
          <w:color w:val="auto"/>
        </w:rPr>
      </w:pPr>
      <w:r>
        <w:rPr>
          <w:rFonts w:ascii="Times New Roman" w:cs="Times New Roman" w:eastAsia="Times New Roman" w:hAnsi="Times New Roman"/>
          <w:sz w:val="20"/>
          <w:szCs w:val="20"/>
          <w:color w:val="auto"/>
        </w:rPr>
        <w:t>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201" w:lineRule="exact"/>
        <w:rPr>
          <w:sz w:val="20"/>
          <w:szCs w:val="20"/>
          <w:color w:val="auto"/>
        </w:rPr>
      </w:pPr>
    </w:p>
    <w:p>
      <w:pPr>
        <w:ind w:left="760" w:right="220" w:firstLine="4"/>
        <w:spacing w:after="0" w:line="246" w:lineRule="auto"/>
        <w:rPr>
          <w:sz w:val="20"/>
          <w:szCs w:val="20"/>
          <w:color w:val="auto"/>
        </w:rPr>
      </w:pPr>
      <w:r>
        <w:rPr>
          <w:rFonts w:ascii="Times New Roman" w:cs="Times New Roman" w:eastAsia="Times New Roman" w:hAnsi="Times New Roman"/>
          <w:sz w:val="20"/>
          <w:szCs w:val="20"/>
          <w:color w:val="auto"/>
        </w:rPr>
        <w:t xml:space="preserve">This Agreement, and all of Employee’s rights and duties hereunder, shall not be assignable or delegable by Employee. Any purported assignment or delegation by Employee in violation of the foregoing shall be null and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 xml:space="preserve"> and of no force and effect. This Agreement may be assigned by Employer to an affiliate or a successor in interest to substantially all of the business operations of Employer. Upon such assignment, the rights and obligations of Employer hereunder shall become the rights and obligations of such affiliate or successor.</w:t>
      </w:r>
    </w:p>
    <w:p>
      <w:pPr>
        <w:spacing w:after="0" w:line="212" w:lineRule="exact"/>
        <w:rPr>
          <w:sz w:val="20"/>
          <w:szCs w:val="20"/>
          <w:color w:val="auto"/>
        </w:rPr>
      </w:pPr>
    </w:p>
    <w:p>
      <w:pPr>
        <w:ind w:left="760" w:right="160" w:firstLine="4"/>
        <w:spacing w:after="0" w:line="269" w:lineRule="auto"/>
        <w:rPr>
          <w:sz w:val="20"/>
          <w:szCs w:val="20"/>
          <w:color w:val="auto"/>
        </w:rPr>
      </w:pPr>
      <w:r>
        <w:rPr>
          <w:rFonts w:ascii="Times New Roman" w:cs="Times New Roman" w:eastAsia="Times New Roman" w:hAnsi="Times New Roman"/>
          <w:sz w:val="20"/>
          <w:szCs w:val="20"/>
          <w:color w:val="auto"/>
        </w:rPr>
        <w:t>This Agreement may be signed in counterparts, each of which shall be an original, with the same effect as if the signatures thereto and hereto were upon the same instrument.</w:t>
      </w:r>
    </w:p>
    <w:p>
      <w:pPr>
        <w:spacing w:after="0" w:line="8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33" w:name="page34"/>
    <w:bookmarkEnd w:id="33"/>
    <w:p>
      <w:pPr>
        <w:spacing w:after="0" w:line="68" w:lineRule="exact"/>
        <w:rPr>
          <w:sz w:val="20"/>
          <w:szCs w:val="20"/>
          <w:color w:val="auto"/>
        </w:rPr>
      </w:pPr>
    </w:p>
    <w:p>
      <w:pPr>
        <w:ind w:left="760"/>
        <w:spacing w:after="0"/>
        <w:tabs>
          <w:tab w:leader="none" w:pos="4700" w:val="left"/>
        </w:tabs>
        <w:rPr>
          <w:sz w:val="20"/>
          <w:szCs w:val="20"/>
          <w:color w:val="auto"/>
        </w:rPr>
      </w:pPr>
      <w:r>
        <w:rPr>
          <w:rFonts w:ascii="Times New Roman" w:cs="Times New Roman" w:eastAsia="Times New Roman" w:hAnsi="Times New Roman"/>
          <w:sz w:val="20"/>
          <w:szCs w:val="20"/>
          <w:color w:val="auto"/>
        </w:rPr>
        <w:t>ENANTA PHARMACEUTICALS, INC.</w:t>
      </w:r>
      <w:r>
        <w:rPr>
          <w:sz w:val="20"/>
          <w:szCs w:val="20"/>
          <w:color w:val="auto"/>
        </w:rPr>
        <w:tab/>
      </w:r>
      <w:r>
        <w:rPr>
          <w:rFonts w:ascii="Times New Roman" w:cs="Times New Roman" w:eastAsia="Times New Roman" w:hAnsi="Times New Roman"/>
          <w:sz w:val="19"/>
          <w:szCs w:val="19"/>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auto"/>
              </w:rPr>
              <w:t>By: _/s/Jay R. Luly, Ph.D._________</w:t>
            </w:r>
          </w:p>
        </w:tc>
        <w:tc>
          <w:tcPr>
            <w:tcW w:w="678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By: _/s/Nathaniel S. Gardiner________</w:t>
            </w:r>
          </w:p>
        </w:tc>
      </w:tr>
      <w:tr>
        <w:trPr>
          <w:trHeight w:val="20"/>
        </w:trPr>
        <w:tc>
          <w:tcPr>
            <w:tcW w:w="110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27"/>
        </w:trPr>
        <w:tc>
          <w:tcPr>
            <w:tcW w:w="4460" w:type="dxa"/>
            <w:vAlign w:val="bottom"/>
            <w:gridSpan w:val="3"/>
          </w:tcPr>
          <w:p>
            <w:pPr>
              <w:ind w:left="760"/>
              <w:spacing w:after="0" w:line="228" w:lineRule="exact"/>
              <w:rPr>
                <w:sz w:val="20"/>
                <w:szCs w:val="20"/>
                <w:color w:val="auto"/>
              </w:rPr>
            </w:pPr>
            <w:r>
              <w:rPr>
                <w:rFonts w:ascii="Times New Roman" w:cs="Times New Roman" w:eastAsia="Times New Roman" w:hAnsi="Times New Roman"/>
                <w:sz w:val="20"/>
                <w:szCs w:val="20"/>
                <w:color w:val="auto"/>
              </w:rPr>
              <w:t>Name: Jay R. Luly, Ph.D.</w:t>
            </w:r>
          </w:p>
        </w:tc>
        <w:tc>
          <w:tcPr>
            <w:tcW w:w="6780" w:type="dxa"/>
            <w:vAlign w:val="bottom"/>
            <w:gridSpan w:val="3"/>
          </w:tcPr>
          <w:p>
            <w:pPr>
              <w:ind w:left="200"/>
              <w:spacing w:after="0" w:line="228" w:lineRule="exact"/>
              <w:rPr>
                <w:sz w:val="20"/>
                <w:szCs w:val="20"/>
                <w:color w:val="auto"/>
              </w:rPr>
            </w:pPr>
            <w:r>
              <w:rPr>
                <w:rFonts w:ascii="Times New Roman" w:cs="Times New Roman" w:eastAsia="Times New Roman" w:hAnsi="Times New Roman"/>
                <w:sz w:val="20"/>
                <w:szCs w:val="20"/>
                <w:color w:val="auto"/>
              </w:rPr>
              <w:t>Nathaniel S. Gardiner, individually</w:t>
            </w:r>
          </w:p>
        </w:tc>
      </w:tr>
      <w:tr>
        <w:trPr>
          <w:trHeight w:val="258"/>
        </w:trPr>
        <w:tc>
          <w:tcPr>
            <w:tcW w:w="446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auto"/>
              </w:rPr>
              <w:t>Title:  President &amp; Chief Executive Officer</w:t>
            </w:r>
          </w:p>
        </w:tc>
        <w:tc>
          <w:tcPr>
            <w:tcW w:w="5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4180" w:type="dxa"/>
            <w:vAlign w:val="bottom"/>
          </w:tcPr>
          <w:p>
            <w:pPr>
              <w:spacing w:after="0"/>
              <w:rPr>
                <w:sz w:val="22"/>
                <w:szCs w:val="22"/>
                <w:color w:val="auto"/>
              </w:rPr>
            </w:pPr>
          </w:p>
        </w:tc>
      </w:tr>
      <w:tr>
        <w:trPr>
          <w:trHeight w:val="569"/>
        </w:trPr>
        <w:tc>
          <w:tcPr>
            <w:tcW w:w="1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0" w:type="dxa"/>
            <w:vAlign w:val="bottom"/>
            <w:gridSpan w:val="2"/>
          </w:tcPr>
          <w:p>
            <w:pPr>
              <w:jc w:val="right"/>
              <w:ind w:right="1400"/>
              <w:spacing w:after="0"/>
              <w:rPr>
                <w:sz w:val="20"/>
                <w:szCs w:val="20"/>
                <w:color w:val="auto"/>
              </w:rPr>
            </w:pPr>
            <w:r>
              <w:rPr>
                <w:rFonts w:ascii="Calibri" w:cs="Calibri" w:eastAsia="Calibri" w:hAnsi="Calibri"/>
                <w:sz w:val="20"/>
                <w:szCs w:val="20"/>
                <w:color w:val="auto"/>
              </w:rPr>
              <w:t>4</w:t>
            </w:r>
          </w:p>
        </w:tc>
        <w:tc>
          <w:tcPr>
            <w:tcW w:w="4180" w:type="dxa"/>
            <w:vAlign w:val="bottom"/>
          </w:tcPr>
          <w:p>
            <w:pPr>
              <w:spacing w:after="0"/>
              <w:rPr>
                <w:sz w:val="24"/>
                <w:szCs w:val="24"/>
                <w:color w:val="auto"/>
              </w:rPr>
            </w:pPr>
          </w:p>
        </w:tc>
      </w:tr>
      <w:tr>
        <w:trPr>
          <w:trHeight w:val="1079"/>
        </w:trPr>
        <w:tc>
          <w:tcPr>
            <w:tcW w:w="11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R. Luly, Ph.D., certify that:</w:t>
      </w:r>
    </w:p>
    <w:p>
      <w:pPr>
        <w:spacing w:after="0" w:line="117" w:lineRule="exact"/>
        <w:rPr>
          <w:sz w:val="20"/>
          <w:szCs w:val="20"/>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Enanta Pharmaceuticals,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2024</w:t>
      </w:r>
    </w:p>
    <w:p>
      <w:pPr>
        <w:spacing w:after="0" w:line="27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Jay R. Luly, Ph.D.</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Mellett, certify that:</w:t>
      </w:r>
    </w:p>
    <w:p>
      <w:pPr>
        <w:spacing w:after="0" w:line="117" w:lineRule="exact"/>
        <w:rPr>
          <w:sz w:val="20"/>
          <w:szCs w:val="20"/>
          <w:color w:val="auto"/>
        </w:rPr>
      </w:pPr>
    </w:p>
    <w:p>
      <w:pPr>
        <w:ind w:left="360" w:hanging="352"/>
        <w:spacing w:after="0"/>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Enanta Pharmaceuticals,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2024</w:t>
      </w:r>
    </w:p>
    <w:p>
      <w:pPr>
        <w:spacing w:after="0" w:line="27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Paul J. Mellett</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March 31, 2024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93" w:lineRule="exact"/>
        <w:rPr>
          <w:sz w:val="20"/>
          <w:szCs w:val="20"/>
          <w:color w:val="auto"/>
        </w:rPr>
      </w:pPr>
    </w:p>
    <w:p>
      <w:pPr>
        <w:ind w:left="20"/>
        <w:spacing w:after="0"/>
        <w:tabs>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Dated: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Jay R. Luly, Ph.D.</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06" w:lineRule="exact"/>
        <w:rPr>
          <w:sz w:val="20"/>
          <w:szCs w:val="20"/>
          <w:color w:val="auto"/>
        </w:rPr>
      </w:pPr>
    </w:p>
    <w:p>
      <w:pPr>
        <w:ind w:left="20"/>
        <w:spacing w:after="0"/>
        <w:tabs>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Dated: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Paul J. Mellett</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2"/>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4"/>
    </w:lvl>
  </w:abstractNum>
  <w:abstractNum w:abstractNumId="6">
    <w:nsid w:val="7C83E458"/>
    <w:multiLevelType w:val="hybridMultilevel"/>
    <w:lvl w:ilvl="0">
      <w:lvlJc w:val="left"/>
      <w:lvlText w:val="%1."/>
      <w:numFmt w:val="decimal"/>
      <w:start w:val="5"/>
    </w:lvl>
  </w:abstractNum>
  <w:abstractNum w:abstractNumId="7">
    <w:nsid w:val="257130A3"/>
    <w:multiLevelType w:val="hybridMultilevel"/>
    <w:lvl w:ilvl="0">
      <w:lvlJc w:val="left"/>
      <w:lvlText w:val="%1."/>
      <w:numFmt w:val="decimal"/>
      <w:start w:val="6"/>
    </w:lvl>
  </w:abstractNum>
  <w:abstractNum w:abstractNumId="8">
    <w:nsid w:val="62BBD95A"/>
    <w:multiLevelType w:val="hybridMultilevel"/>
    <w:lvl w:ilvl="0">
      <w:lvlJc w:val="left"/>
      <w:lvlText w:val="%1."/>
      <w:numFmt w:val="decimal"/>
      <w:start w:val="7"/>
    </w:lvl>
  </w:abstractNum>
  <w:abstractNum w:abstractNumId="9">
    <w:nsid w:val="436C6125"/>
    <w:multiLevelType w:val="hybridMultilevel"/>
    <w:lvl w:ilvl="0">
      <w:lvlJc w:val="left"/>
      <w:lvlText w:val="%1."/>
      <w:numFmt w:val="decimal"/>
      <w:start w:val="8"/>
    </w:lvl>
  </w:abstractNum>
  <w:abstractNum w:abstractNumId="10">
    <w:nsid w:val="628C895D"/>
    <w:multiLevelType w:val="hybridMultilevel"/>
    <w:lvl w:ilvl="0">
      <w:lvlJc w:val="left"/>
      <w:lvlText w:val="%1."/>
      <w:numFmt w:val="decimal"/>
      <w:start w:val="9"/>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15">
    <w:nsid w:val="6763845E"/>
    <w:multiLevelType w:val="hybridMultilevel"/>
    <w:lvl w:ilvl="0">
      <w:lvlJc w:val="left"/>
      <w:lvlText w:val="•"/>
      <w:numFmt w:val="bullet"/>
      <w:start w:val="1"/>
    </w:lvl>
    <w:lvl w:ilvl="1">
      <w:lvlJc w:val="left"/>
      <w:lvlText w:val="o"/>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04"/>
    </w:lvl>
  </w:abstractNum>
  <w:abstractNum w:abstractNumId="22">
    <w:nsid w:val="54E49EB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
    <w:nsid w:val="71F324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4">
    <w:nsid w:val="2CA8861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5">
    <w:nsid w:val="836C40E"/>
    <w:multiLevelType w:val="hybridMultilevel"/>
    <w:lvl w:ilvl="0">
      <w:lvlJc w:val="left"/>
      <w:lvlText w:val="%1"/>
      <w:numFmt w:val="decimal"/>
      <w:start w:val="1"/>
    </w:lvl>
    <w:lvl w:ilvl="1">
      <w:lvlJc w:val="left"/>
      <w:lvlText w:val="(%2)"/>
      <w:numFmt w:val="lowerLetter"/>
      <w:start w:val="4"/>
    </w:lvl>
  </w:abstractNum>
  <w:abstractNum w:abstractNumId="26">
    <w:nsid w:val="2901D82"/>
    <w:multiLevelType w:val="hybridMultilevel"/>
    <w:lvl w:ilvl="0">
      <w:lvlJc w:val="left"/>
      <w:lvlText w:val="%1."/>
      <w:numFmt w:val="decimal"/>
      <w:start w:val="4"/>
    </w:lvl>
    <w:lvl w:ilvl="1">
      <w:lvlJc w:val="left"/>
      <w:lvlText w:val="(%2)"/>
      <w:numFmt w:val="lowerLetter"/>
      <w:start w:val="1"/>
    </w:lvl>
  </w:abstractNum>
  <w:abstractNum w:abstractNumId="27">
    <w:nsid w:val="3A95F874"/>
    <w:multiLevelType w:val="hybridMultilevel"/>
    <w:lvl w:ilvl="0">
      <w:lvlJc w:val="left"/>
      <w:lvlText w:val="%1."/>
      <w:numFmt w:val="decimal"/>
      <w:start w:val="5"/>
    </w:lvl>
  </w:abstractNum>
  <w:abstractNum w:abstractNumId="28">
    <w:nsid w:val="8138641"/>
    <w:multiLevelType w:val="hybridMultilevel"/>
    <w:lvl w:ilvl="0">
      <w:lvlJc w:val="left"/>
      <w:lvlText w:val="%1."/>
      <w:numFmt w:val="decimal"/>
      <w:start w:val="6"/>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29" Type="http://schemas.openxmlformats.org/officeDocument/2006/relationships/hyperlink" Target="https://www.sec.gov/Archives/edgar/data/1177648/000119312513132679/d511662dex31.htm" TargetMode="External"/><Relationship Id="rId230" Type="http://schemas.openxmlformats.org/officeDocument/2006/relationships/hyperlink" Target="https://www.sec.gov/Archives/edgar/data/1177648/000119312515294582/d95810dex32.htm" TargetMode="External"/><Relationship Id="rId231" Type="http://schemas.openxmlformats.org/officeDocument/2006/relationships/hyperlink" Target="https://www.sec.gov/Archives/edgar/data/1177648/000095017024029889/enta-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2024-05-08T15:21:21Z</dcterms:created>
  <dcterms:modified xsi:type="dcterms:W3CDTF">2024-05-08T15:21:21Z</dcterms:modified>
</cp:coreProperties>
</file>