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2900" w:type="dxa"/>
            <w:vAlign w:val="bottom"/>
          </w:tcPr>
          <w:p>
            <w:pPr>
              <w:jc w:val="center"/>
              <w:ind w:right="922"/>
              <w:spacing w:after="0"/>
              <w:rPr>
                <w:sz w:val="20"/>
                <w:szCs w:val="20"/>
                <w:color w:val="auto"/>
              </w:rPr>
            </w:pPr>
            <w:r>
              <w:rPr>
                <w:rFonts w:ascii="Arial" w:cs="Arial" w:eastAsia="Arial" w:hAnsi="Arial"/>
                <w:sz w:val="18"/>
                <w:szCs w:val="18"/>
                <w:b w:val="1"/>
                <w:bCs w:val="1"/>
                <w:color w:val="auto"/>
                <w:w w:val="9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2500" w:type="dxa"/>
            <w:vAlign w:val="bottom"/>
          </w:tcPr>
          <w:p>
            <w:pPr>
              <w:jc w:val="center"/>
              <w:ind w:left="982"/>
              <w:spacing w:after="0"/>
              <w:rPr>
                <w:sz w:val="20"/>
                <w:szCs w:val="20"/>
                <w:color w:val="auto"/>
              </w:rPr>
            </w:pPr>
            <w:r>
              <w:rPr>
                <w:rFonts w:ascii="Arial" w:cs="Arial" w:eastAsia="Arial" w:hAnsi="Arial"/>
                <w:sz w:val="18"/>
                <w:szCs w:val="18"/>
                <w:b w:val="1"/>
                <w:bCs w:val="1"/>
                <w:color w:val="auto"/>
                <w:w w:val="91"/>
              </w:rPr>
              <w:t>04-3205099</w:t>
            </w:r>
          </w:p>
        </w:tc>
      </w:tr>
      <w:tr>
        <w:trPr>
          <w:trHeight w:val="149"/>
        </w:trPr>
        <w:tc>
          <w:tcPr>
            <w:tcW w:w="290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640" w:space="180"/>
            <w:col w:w="260" w:space="100"/>
            <w:col w:w="160" w:space="180"/>
            <w:col w:w="220" w:space="80"/>
            <w:col w:w="1600"/>
          </w:cols>
          <w:pgMar w:left="240" w:top="230" w:right="239" w:bottom="1440" w:gutter="0" w:footer="0" w:header="0"/>
          <w:type w:val="continuous"/>
        </w:sectPr>
      </w:pPr>
    </w:p>
    <w:p>
      <w:pPr>
        <w:spacing w:after="0" w:line="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of the registrant’s Common Stock, $0.01 par value, outstanding as of May 1, 2016, was 18,957,233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17"/>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5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w:t>
              </w:r>
            </w:hyperlink>
          </w:p>
        </w:tc>
        <w:tc>
          <w:tcPr>
            <w:tcW w:w="738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Income</w:t>
              </w:r>
            </w:hyperlink>
          </w:p>
        </w:tc>
        <w:tc>
          <w:tcPr>
            <w:tcW w:w="534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Notes to Consolidated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42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880" w:type="dxa"/>
            <w:vAlign w:val="bottom"/>
            <w:gridSpan w:val="1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558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20" w:type="dxa"/>
            <w:vAlign w:val="bottom"/>
            <w:gridSpan w:val="17"/>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II—OTHER INFORMATION</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1A.</w:t>
            </w:r>
          </w:p>
        </w:tc>
        <w:tc>
          <w:tcPr>
            <w:tcW w:w="1760" w:type="dxa"/>
            <w:vAlign w:val="bottom"/>
            <w:tcBorders>
              <w:top w:val="single" w:sz="8" w:color="0000EE"/>
            </w:tcBorders>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812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20" w:type="dxa"/>
            <w:vAlign w:val="bottom"/>
            <w:gridSpan w:val="11"/>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880" w:type="dxa"/>
            <w:vAlign w:val="bottom"/>
            <w:gridSpan w:val="1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 from the Sale of Registered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7120" w:type="dxa"/>
            <w:vAlign w:val="bottom"/>
            <w:tcBorders>
              <w:top w:val="single" w:sz="8" w:color="0000EE"/>
            </w:tcBorders>
            <w:gridSpan w:val="1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2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1140" w:type="dxa"/>
            <w:vAlign w:val="bottom"/>
            <w:gridSpan w:val="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12"/>
          </w:tcPr>
          <w:p>
            <w:pPr>
              <w:ind w:left="452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PART I—FINANCIAL INFORMATION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20" w:type="dxa"/>
            <w:vAlign w:val="bottom"/>
          </w:tcPr>
          <w:p>
            <w:pPr>
              <w:ind w:left="340"/>
              <w:spacing w:after="0"/>
              <w:rPr>
                <w:sz w:val="20"/>
                <w:szCs w:val="20"/>
                <w:color w:val="auto"/>
              </w:rPr>
            </w:pPr>
            <w:r>
              <w:rPr>
                <w:rFonts w:ascii="Arial" w:cs="Arial" w:eastAsia="Arial" w:hAnsi="Arial"/>
                <w:sz w:val="18"/>
                <w:szCs w:val="18"/>
                <w:b w:val="1"/>
                <w:bCs w:val="1"/>
                <w:color w:val="auto"/>
              </w:rPr>
              <w:t>CONSOLIDATED 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20" w:type="dxa"/>
            <w:vAlign w:val="bottom"/>
          </w:tcPr>
          <w:p>
            <w:pPr>
              <w:jc w:val="center"/>
              <w:ind w:left="1330"/>
              <w:spacing w:after="0"/>
              <w:rPr>
                <w:sz w:val="20"/>
                <w:szCs w:val="20"/>
                <w:color w:val="auto"/>
              </w:rPr>
            </w:pPr>
            <w:r>
              <w:rPr>
                <w:rFonts w:ascii="Arial" w:cs="Arial" w:eastAsia="Arial" w:hAnsi="Arial"/>
                <w:sz w:val="18"/>
                <w:szCs w:val="18"/>
                <w:b w:val="1"/>
                <w:bCs w:val="1"/>
                <w:color w:val="auto"/>
              </w:rPr>
              <w:t>ENANTA PHARMACEUTICALS,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CONSOLIDATED BALANCE SHEETS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20" w:type="dxa"/>
            <w:vAlign w:val="bottom"/>
          </w:tcPr>
          <w:p>
            <w:pPr>
              <w:jc w:val="center"/>
              <w:ind w:left="13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20" w:type="dxa"/>
            <w:vAlign w:val="bottom"/>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56,360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21,726</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Short-term 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164,062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123,479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13,004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15,289</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Unbilled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7,658</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242,665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7,691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25,224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64,238</w:t>
            </w: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5,407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281,595</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11,988</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Series 1 nonconvertible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15,180</w:t>
            </w: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3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$0.01 par value; 100,000,000 shares authorized; 18,956,602 and 18,716,834 shares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outstanding at March 31, 2016 and September 30, 2015,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235,500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229,957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30,524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266,415</w:t>
            </w:r>
          </w:p>
        </w:tc>
        <w:tc>
          <w:tcPr>
            <w:tcW w:w="4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236,157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281,595</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22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6,961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8,353</w:t>
            </w: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57,367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134,865</w:t>
            </w:r>
          </w:p>
        </w:tc>
      </w:tr>
      <w:tr>
        <w:trPr>
          <w:trHeight w:val="324"/>
        </w:trPr>
        <w:tc>
          <w:tcPr>
            <w:tcW w:w="65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5,368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9,887</w:t>
            </w: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w:t>
            </w: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8,806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16,094</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48,561</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118,771</w:t>
            </w: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02"/>
        </w:trPr>
        <w:tc>
          <w:tcPr>
            <w:tcW w:w="6520" w:type="dxa"/>
            <w:vAlign w:val="bottom"/>
          </w:tcPr>
          <w:p>
            <w:pPr>
              <w:ind w:left="360"/>
              <w:spacing w:after="0" w:line="201" w:lineRule="exact"/>
              <w:rPr>
                <w:sz w:val="20"/>
                <w:szCs w:val="20"/>
                <w:color w:val="auto"/>
              </w:rPr>
            </w:pPr>
            <w:r>
              <w:rPr>
                <w:rFonts w:ascii="Arial" w:cs="Arial" w:eastAsia="Arial" w:hAnsi="Arial"/>
                <w:sz w:val="18"/>
                <w:szCs w:val="18"/>
                <w:color w:val="auto"/>
              </w:rPr>
              <w:t>Change in fair value of warrant liability and Series 1 nonconvertible preferred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520" w:type="dxa"/>
            <w:vAlign w:val="bottom"/>
          </w:tcPr>
          <w:p>
            <w:pPr>
              <w:ind w:left="54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7"/>
        </w:trPr>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48,771</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119,282</w:t>
            </w: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(20,018)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(48,520)</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28,753</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70,762</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r>
      <w:tr>
        <w:trPr>
          <w:trHeight w:val="216"/>
        </w:trPr>
        <w:tc>
          <w:tcPr>
            <w:tcW w:w="6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18,920,790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18,679,898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18,847,775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18,641,060</w:t>
            </w:r>
          </w:p>
        </w:tc>
      </w:tr>
      <w:tr>
        <w:trPr>
          <w:trHeight w:val="230"/>
        </w:trPr>
        <w:tc>
          <w:tcPr>
            <w:tcW w:w="6520" w:type="dxa"/>
            <w:vAlign w:val="bottom"/>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18,920,790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19,268,565</w:t>
            </w: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19,224,721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19,275,969</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(1,645</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28,753</w:t>
            </w: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24,544</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70,762</w:t>
            </w:r>
          </w:p>
        </w:tc>
        <w:tc>
          <w:tcPr>
            <w:tcW w:w="100" w:type="dxa"/>
            <w:vAlign w:val="bottom"/>
            <w:shd w:val="clear" w:color="auto" w:fill="CCEEFF"/>
          </w:tcPr>
          <w:p>
            <w:pPr>
              <w:spacing w:after="0"/>
              <w:rPr>
                <w:sz w:val="18"/>
                <w:szCs w:val="18"/>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gains on marketable securities, net of tax of $0, $55, $135 and $58</w:t>
            </w:r>
          </w:p>
        </w:tc>
        <w:tc>
          <w:tcPr>
            <w:tcW w:w="1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168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Total other comprehensive income</w:t>
            </w:r>
          </w:p>
        </w:tc>
        <w:tc>
          <w:tcPr>
            <w:tcW w:w="10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9"/>
              </w:rPr>
              <w:t>168</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28,831</w:t>
            </w: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24,712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70,845</w:t>
            </w: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w:t>
            </w:r>
          </w:p>
        </w:tc>
      </w:t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ind w:left="280"/>
              <w:spacing w:after="0"/>
              <w:rPr>
                <w:sz w:val="20"/>
                <w:szCs w:val="20"/>
                <w:color w:val="auto"/>
              </w:rPr>
            </w:pPr>
            <w:r>
              <w:rPr>
                <w:rFonts w:ascii="Arial" w:cs="Arial" w:eastAsia="Arial" w:hAnsi="Arial"/>
                <w:sz w:val="14"/>
                <w:szCs w:val="14"/>
                <w:b w:val="1"/>
                <w:bCs w:val="1"/>
                <w:color w:val="auto"/>
              </w:rPr>
              <w:t>Ended March 31,</w:t>
            </w:r>
          </w:p>
        </w:tc>
      </w:tr>
      <w:tr>
        <w:trPr>
          <w:trHeight w:val="142"/>
        </w:trPr>
        <w:tc>
          <w:tcPr>
            <w:tcW w:w="20" w:type="dxa"/>
            <w:vAlign w:val="bottom"/>
          </w:tcPr>
          <w:p>
            <w:pPr>
              <w:spacing w:after="0"/>
              <w:rPr>
                <w:sz w:val="12"/>
                <w:szCs w:val="12"/>
                <w:color w:val="auto"/>
              </w:rPr>
            </w:pPr>
          </w:p>
        </w:tc>
        <w:tc>
          <w:tcPr>
            <w:tcW w:w="81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24,544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70,762</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Depreciation and amortization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interest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Change in fair value of warrant liability and Series 1 nonconvertible preferred stock</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2,457</w:t>
            </w:r>
          </w:p>
        </w:tc>
      </w:tr>
      <w:tr>
        <w:trPr>
          <w:trHeight w:val="216"/>
        </w:trPr>
        <w:tc>
          <w:tcPr>
            <w:tcW w:w="20" w:type="dxa"/>
            <w:vAlign w:val="bottom"/>
          </w:tcPr>
          <w:p>
            <w:pPr>
              <w:spacing w:after="0"/>
              <w:rPr>
                <w:sz w:val="18"/>
                <w:szCs w:val="18"/>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Gain on sale of marketable securities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Premium on marketable securities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r>
      <w:tr>
        <w:trPr>
          <w:trHeight w:val="216"/>
        </w:trPr>
        <w:tc>
          <w:tcPr>
            <w:tcW w:w="20" w:type="dxa"/>
            <w:vAlign w:val="bottom"/>
          </w:tcPr>
          <w:p>
            <w:pPr>
              <w:spacing w:after="0"/>
              <w:rPr>
                <w:sz w:val="18"/>
                <w:szCs w:val="18"/>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Amortization of premium on marketable securities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1,032</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11,864</w:t>
            </w:r>
          </w:p>
        </w:tc>
      </w:tr>
      <w:tr>
        <w:trPr>
          <w:trHeight w:val="216"/>
        </w:trPr>
        <w:tc>
          <w:tcPr>
            <w:tcW w:w="20" w:type="dxa"/>
            <w:vAlign w:val="bottom"/>
          </w:tcPr>
          <w:p>
            <w:pPr>
              <w:spacing w:after="0"/>
              <w:rPr>
                <w:sz w:val="18"/>
                <w:szCs w:val="18"/>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Income tax benefit from exercise of stock options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(1,919)</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(5,357)</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Unbilled receivables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w:t>
            </w:r>
          </w:p>
        </w:tc>
      </w:tr>
      <w:tr>
        <w:trPr>
          <w:trHeight w:val="216"/>
        </w:trPr>
        <w:tc>
          <w:tcPr>
            <w:tcW w:w="20" w:type="dxa"/>
            <w:vAlign w:val="bottom"/>
          </w:tcPr>
          <w:p>
            <w:pPr>
              <w:spacing w:after="0"/>
              <w:rPr>
                <w:sz w:val="18"/>
                <w:szCs w:val="18"/>
                <w:color w:val="auto"/>
              </w:rPr>
            </w:pPr>
          </w:p>
        </w:tc>
        <w:tc>
          <w:tcPr>
            <w:tcW w:w="8100" w:type="dxa"/>
            <w:vAlign w:val="bottom"/>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r>
      <w:tr>
        <w:trPr>
          <w:trHeight w:val="216"/>
        </w:trPr>
        <w:tc>
          <w:tcPr>
            <w:tcW w:w="20" w:type="dxa"/>
            <w:vAlign w:val="bottom"/>
          </w:tcPr>
          <w:p>
            <w:pPr>
              <w:spacing w:after="0"/>
              <w:rPr>
                <w:sz w:val="18"/>
                <w:szCs w:val="18"/>
                <w:color w:val="auto"/>
              </w:rPr>
            </w:pPr>
          </w:p>
        </w:tc>
        <w:tc>
          <w:tcPr>
            <w:tcW w:w="8100" w:type="dxa"/>
            <w:vAlign w:val="bottom"/>
          </w:tcPr>
          <w:p>
            <w:pPr>
              <w:ind w:left="1060"/>
              <w:spacing w:after="0"/>
              <w:rPr>
                <w:sz w:val="20"/>
                <w:szCs w:val="20"/>
                <w:color w:val="auto"/>
              </w:rPr>
            </w:pPr>
            <w:r>
              <w:rPr>
                <w:rFonts w:ascii="Arial" w:cs="Arial" w:eastAsia="Arial" w:hAnsi="Arial"/>
                <w:sz w:val="18"/>
                <w:szCs w:val="18"/>
                <w:color w:val="auto"/>
              </w:rPr>
              <w:t>Accrued expenses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Income taxes payable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14,537</w:t>
            </w:r>
          </w:p>
        </w:tc>
      </w:tr>
      <w:tr>
        <w:trPr>
          <w:trHeight w:val="223"/>
        </w:trPr>
        <w:tc>
          <w:tcPr>
            <w:tcW w:w="20" w:type="dxa"/>
            <w:vAlign w:val="bottom"/>
          </w:tcPr>
          <w:p>
            <w:pPr>
              <w:spacing w:after="0"/>
              <w:rPr>
                <w:sz w:val="19"/>
                <w:szCs w:val="19"/>
                <w:color w:val="auto"/>
              </w:rPr>
            </w:pPr>
          </w:p>
        </w:tc>
        <w:tc>
          <w:tcPr>
            <w:tcW w:w="8100" w:type="dxa"/>
            <w:vAlign w:val="bottom"/>
          </w:tcPr>
          <w:p>
            <w:pPr>
              <w:ind w:left="1060"/>
              <w:spacing w:after="0"/>
              <w:rPr>
                <w:sz w:val="20"/>
                <w:szCs w:val="20"/>
                <w:color w:val="auto"/>
              </w:rPr>
            </w:pPr>
            <w:r>
              <w:rPr>
                <w:rFonts w:ascii="Arial" w:cs="Arial" w:eastAsia="Arial" w:hAnsi="Arial"/>
                <w:sz w:val="18"/>
                <w:szCs w:val="18"/>
                <w:color w:val="auto"/>
              </w:rPr>
              <w:t>Other long-term liabilities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40,047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93,251</w:t>
            </w: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(3,710)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Increase in restricted cash</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marketable securities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(84,561)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(135,832)</w:t>
            </w: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Sales of marketable securities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2,210</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of marketable securities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82,182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33,692</w:t>
            </w:r>
          </w:p>
        </w:tc>
      </w:tr>
      <w:tr>
        <w:trPr>
          <w:trHeight w:val="230"/>
        </w:trPr>
        <w:tc>
          <w:tcPr>
            <w:tcW w:w="20" w:type="dxa"/>
            <w:vAlign w:val="bottom"/>
          </w:tcPr>
          <w:p>
            <w:pPr>
              <w:spacing w:after="0"/>
              <w:rPr>
                <w:sz w:val="20"/>
                <w:szCs w:val="20"/>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(6,089)</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(100,458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capital lease obligations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Income tax benefit from exercise of stock options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2,259</w:t>
            </w: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34,634</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21,726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30,699</w:t>
            </w: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56,360</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25,751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5,711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22,066</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Enanta Pharmaceuticals, Inc. (the “Company”), incorporated in Delaware in 1995, is a research and development-focused biotechnology company that uses its robust chemistry-driven approach and drug discovery capabilities to create small molecule drugs primarily for the treatment of viral infections and liver diseases. The Company’s research and development is currently focused on four disease targets: hepatitis C virus (“HCV”); hepatitis B virus (“HBV”); non-alcoholic steatohepatitis (“NASH”); and respiratory syncytial virus (“RSV”).</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consolidated balance sheet at September 30, 2015 was derived from audited financial statements, but does not include all disclosures required by accounting principles generally accepted in the United States of America (“GAAP”). The accompanying unaudited consolidated financial statements as of March 31, 2016 and for the three and six months ended March 31, 2016 and 2015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2015.</w:t>
      </w:r>
    </w:p>
    <w:p>
      <w:pPr>
        <w:spacing w:after="0" w:line="18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the opinion of management, all adjustments, consisting only of normal recurring adjustments necessary for a fair statement of the Company’s financial position as of March 31, 2016 and results of operations for the three and six months ended March 31, 2016 and 2015 and cash flows for the six months ended March 31, 2016 and 2015 have been made. The results of operations for the three and six months ended March 31, 2016 are not necessarily indicative of the results of operations that may be expected for subsequent quarters or the year ending September 30, 2016.</w:t>
      </w:r>
    </w:p>
    <w:p>
      <w:pPr>
        <w:spacing w:after="0" w:line="171" w:lineRule="exact"/>
        <w:rPr>
          <w:sz w:val="20"/>
          <w:szCs w:val="20"/>
          <w:color w:val="auto"/>
        </w:rPr>
      </w:pPr>
    </w:p>
    <w:p>
      <w:pPr>
        <w:jc w:val="both"/>
        <w:ind w:right="680"/>
        <w:spacing w:after="0" w:line="381" w:lineRule="auto"/>
        <w:rPr>
          <w:sz w:val="20"/>
          <w:szCs w:val="20"/>
          <w:color w:val="auto"/>
        </w:rPr>
      </w:pPr>
      <w:r>
        <w:rPr>
          <w:rFonts w:ascii="Arial" w:cs="Arial" w:eastAsia="Arial" w:hAnsi="Arial"/>
          <w:sz w:val="15"/>
          <w:szCs w:val="15"/>
          <w:color w:val="auto"/>
        </w:rPr>
        <w:t>The accompanying consolidated financial statements have been prepared in conformity with GAAP. All dollar amounts in the consolidated financial statements and in the notes to the consolidated financial statements, except share and per share amounts, are in thousands unless otherwise indicated.</w:t>
      </w:r>
    </w:p>
    <w:p>
      <w:pPr>
        <w:spacing w:after="0" w:line="24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Company’s Significant Accounting Policies refer to its Annual Report on Form 10-K for the fiscal year ended September 30,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of separate units of accounting and best estimate of selling price of those units of accounting within its revenue arrangements; valuation of stock-based awards; the useful lives of property and equipment;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May 2014, the Financial Accounting Standards Board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In addition, in March 2016, the FASB issued ASU No. 2016-08, </w:t>
      </w:r>
      <w:r>
        <w:rPr>
          <w:rFonts w:ascii="Arial" w:cs="Arial" w:eastAsia="Arial" w:hAnsi="Arial"/>
          <w:sz w:val="17"/>
          <w:szCs w:val="17"/>
          <w:i w:val="1"/>
          <w:iCs w:val="1"/>
          <w:color w:val="auto"/>
        </w:rPr>
        <w:t>Revenue from Contracts with Customers: Principal versus Agent Considerations</w:t>
      </w:r>
      <w:r>
        <w:rPr>
          <w:rFonts w:ascii="Arial" w:cs="Arial" w:eastAsia="Arial" w:hAnsi="Arial"/>
          <w:sz w:val="17"/>
          <w:szCs w:val="17"/>
          <w:color w:val="auto"/>
        </w:rPr>
        <w:t xml:space="preserve">. The amendment includes indicators to assist an entity in determining whether it controls a specified good or service before it is transferred to the customers. The FASB also issued ASU No. 2016-10, </w:t>
      </w:r>
      <w:r>
        <w:rPr>
          <w:rFonts w:ascii="Arial" w:cs="Arial" w:eastAsia="Arial" w:hAnsi="Arial"/>
          <w:sz w:val="17"/>
          <w:szCs w:val="17"/>
          <w:i w:val="1"/>
          <w:iCs w:val="1"/>
          <w:color w:val="auto"/>
        </w:rPr>
        <w:t>Revenue from Contracts with Customers: Identifying Performance Obligations and Licensing</w:t>
      </w:r>
      <w:r>
        <w:rPr>
          <w:rFonts w:ascii="Arial" w:cs="Arial" w:eastAsia="Arial" w:hAnsi="Arial"/>
          <w:sz w:val="17"/>
          <w:szCs w:val="17"/>
          <w:color w:val="auto"/>
        </w:rPr>
        <w:t xml:space="preserve"> in April 2016 to clarify guidance from ASU 2014-09. Specifically, this amendment addresses an entity’s identification of its performance obligations in a contract, as well as an entity’s evaluation of the nature of its promise to grant a license of intellectual property and whether or not that revenue is recognized over time or at a point in time. These new standards will be effective for the Company on October 1, 2018. The Company is currently evaluating the potential impact that Topic 606 may have on its financial position and results of operations.</w:t>
      </w:r>
    </w:p>
    <w:p>
      <w:pPr>
        <w:spacing w:after="0" w:line="17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xml:space="preserve"> (“ASU 2015-17”), which simplifies the presentation of deferred income taxes by eliminating the need for entities to separate deferred income tax liabilities and assets into current and noncurrent amounts in a classified statement of financial position. This amendment is effective for the Company in the fiscal year beginning October 1, 2017, but early adoption is permissible. The Company is currently evaluating the potential impact that ASU 2015-17 may have on its financial position.</w:t>
      </w:r>
    </w:p>
    <w:p>
      <w:pPr>
        <w:spacing w:after="0" w:line="15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will replace the existing guidance in ASC 840, “Leases.” The updated standard aims to increase transparency and comparability among organizations by requiring lessees to recognize lease assets and lease liabilities on the balance sheet and requiring disclosure of key information about leasing arrangements. This amendment is effective for the Company in the fiscal year beginning October 1, 2019, but early adoption is permissible. The Company is currently evaluating the potential impact that ASU 2016-02 may have on its financial position and results of operations.</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2016-09”), which intends to simplify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amendment is effective for the Company in the fiscal year beginning October 1, 2017, but early adoption is permissible. The Company is currently evaluating the potential impact that ASU 2016-92 may have on its financial position and results of operations.</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financial statements upon adoption.</w:t>
      </w:r>
    </w:p>
    <w:p>
      <w:pPr>
        <w:spacing w:after="0" w:line="31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following tables present information about the Company’s financial assets and liabilities that were subject to fair value measurement on a recurring basis as of March 31, 2016 and September 30, 2015 and indicate the fair value hierarchy of the valuation inputs utilized to determine such fair value:</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13"/>
          </w:tcPr>
          <w:p>
            <w:pPr>
              <w:jc w:val="right"/>
              <w:ind w:right="380"/>
              <w:spacing w:after="0"/>
              <w:rPr>
                <w:sz w:val="20"/>
                <w:szCs w:val="20"/>
                <w:color w:val="auto"/>
              </w:rPr>
            </w:pPr>
            <w:r>
              <w:rPr>
                <w:rFonts w:ascii="Arial" w:cs="Arial" w:eastAsia="Arial" w:hAnsi="Arial"/>
                <w:sz w:val="14"/>
                <w:szCs w:val="14"/>
                <w:b w:val="1"/>
                <w:bCs w:val="1"/>
                <w:color w:val="auto"/>
                <w:w w:val="97"/>
              </w:rPr>
              <w:t>Fair Value Measurements as of March 31, 2016 Using:</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Level 2</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Cash equivalents</w:t>
            </w:r>
          </w:p>
        </w:tc>
        <w:tc>
          <w:tcPr>
            <w:tcW w:w="3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52,729</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52,729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U.S. Treasury notes</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49,548</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Corporate bonds</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92,692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92,692</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U.S. Agency bonds</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Commercial paper</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15,955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15,955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102,277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139,738</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242,015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200" w:type="dxa"/>
            <w:vAlign w:val="bottom"/>
            <w:vMerge w:val="restart"/>
          </w:tcPr>
          <w:p>
            <w:pPr>
              <w:jc w:val="right"/>
              <w:ind w:right="1130"/>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00" w:type="dxa"/>
            <w:vAlign w:val="bottom"/>
            <w:gridSpan w:val="13"/>
          </w:tcPr>
          <w:p>
            <w:pPr>
              <w:ind w:left="300"/>
              <w:spacing w:after="0"/>
              <w:rPr>
                <w:sz w:val="20"/>
                <w:szCs w:val="20"/>
                <w:color w:val="auto"/>
              </w:rPr>
            </w:pPr>
            <w:r>
              <w:rPr>
                <w:rFonts w:ascii="Arial" w:cs="Arial" w:eastAsia="Arial" w:hAnsi="Arial"/>
                <w:sz w:val="14"/>
                <w:szCs w:val="14"/>
                <w:b w:val="1"/>
                <w:bCs w:val="1"/>
                <w:color w:val="auto"/>
              </w:rPr>
              <w:t>Fair Value Measurements as of March 31, 2016 Using:</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Warrant liability</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1,223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Series 1 nonconvertible preferred stock</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1,379</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13"/>
          </w:tcPr>
          <w:p>
            <w:pPr>
              <w:jc w:val="right"/>
              <w:ind w:right="360"/>
              <w:spacing w:after="0"/>
              <w:rPr>
                <w:sz w:val="20"/>
                <w:szCs w:val="20"/>
                <w:color w:val="auto"/>
              </w:rPr>
            </w:pPr>
            <w:r>
              <w:rPr>
                <w:rFonts w:ascii="Arial" w:cs="Arial" w:eastAsia="Arial" w:hAnsi="Arial"/>
                <w:sz w:val="14"/>
                <w:szCs w:val="14"/>
                <w:b w:val="1"/>
                <w:bCs w:val="1"/>
                <w:color w:val="auto"/>
                <w:w w:val="95"/>
              </w:rPr>
              <w:t>Fair Value Measurements as of September 30, 2015 Using:</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Cash equivalents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21,327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151,020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151,020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U.S. Agency bonds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36,697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36,697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21,327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187,717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209,044</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1,276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March 31, 2016 and 2015, there were no transfers between Level 1, Level 2 and Level 3.</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March 31, 2016 and September 30, 2015, respectively, the warrant liability was comprised of the value of warrants for the purchase of Series 1 nonconvertible preferred stock measured at fair value. The outstanding Series 1 nonconvertible preferred stock was also measured at fair value. The fair value of both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warrant liability and Series 1 nonconvertible preferred stock are recognized in the consolidated statements of operations.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2016 and September 30, 2015, the recurring Level 3 fair value measurements of the Company’s warrant liability and Series 1 nonconvertible preferred stock using probability-weighted discounted cash flow include the following significant unobservable inputs: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2016</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60" w:hanging="179"/>
        <w:spacing w:after="0" w:line="342" w:lineRule="auto"/>
        <w:rPr>
          <w:sz w:val="20"/>
          <w:szCs w:val="20"/>
          <w:color w:val="auto"/>
        </w:rPr>
      </w:pPr>
      <w:r>
        <w:rPr>
          <w:rFonts w:ascii="Arial" w:cs="Arial" w:eastAsia="Arial" w:hAnsi="Arial"/>
          <w:sz w:val="16"/>
          <w:szCs w:val="16"/>
          <w:color w:val="auto"/>
        </w:rPr>
        <w:t>Warrant liability and Series 1 nonconvertible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560" w:hanging="179"/>
        <w:spacing w:after="0" w:line="342" w:lineRule="auto"/>
        <w:rPr>
          <w:sz w:val="20"/>
          <w:szCs w:val="20"/>
          <w:color w:val="auto"/>
        </w:rPr>
      </w:pPr>
      <w:r>
        <w:rPr>
          <w:rFonts w:ascii="Arial" w:cs="Arial" w:eastAsia="Arial" w:hAnsi="Arial"/>
          <w:sz w:val="16"/>
          <w:szCs w:val="16"/>
          <w:color w:val="auto"/>
        </w:rPr>
        <w:t>Warrant liability and Series 1 nonconvertible preferred stock</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vMerge w:val="restart"/>
          </w:tcPr>
          <w:p>
            <w:pPr>
              <w:ind w:left="1680"/>
              <w:spacing w:after="0"/>
              <w:rPr>
                <w:sz w:val="20"/>
                <w:szCs w:val="20"/>
                <w:color w:val="auto"/>
              </w:rPr>
            </w:pPr>
            <w:r>
              <w:rPr>
                <w:rFonts w:ascii="Arial" w:cs="Arial" w:eastAsia="Arial" w:hAnsi="Arial"/>
                <w:sz w:val="14"/>
                <w:szCs w:val="14"/>
                <w:b w:val="1"/>
                <w:bCs w:val="1"/>
                <w:color w:val="auto"/>
              </w:rPr>
              <w:t>Unobservable Input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Probabilities of payout</w:t>
            </w:r>
          </w:p>
        </w:tc>
        <w:tc>
          <w:tcPr>
            <w:tcW w:w="26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0% - 60%</w:t>
            </w: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Periods in which payout is expected to occur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2016 – 2017</w:t>
            </w:r>
          </w:p>
        </w:tc>
        <w:tc>
          <w:tcPr>
            <w:tcW w:w="0" w:type="dxa"/>
            <w:vAlign w:val="bottom"/>
          </w:tcPr>
          <w:p>
            <w:pPr>
              <w:spacing w:after="0"/>
              <w:rPr>
                <w:sz w:val="1"/>
                <w:szCs w:val="1"/>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Discount rate</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4.5%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840" w:type="dxa"/>
            <w:vAlign w:val="bottom"/>
            <w:gridSpan w:val="2"/>
          </w:tcPr>
          <w:p>
            <w:pPr>
              <w:ind w:left="720"/>
              <w:spacing w:after="0"/>
              <w:rPr>
                <w:sz w:val="20"/>
                <w:szCs w:val="20"/>
                <w:color w:val="auto"/>
              </w:rPr>
            </w:pPr>
            <w:r>
              <w:rPr>
                <w:rFonts w:ascii="Arial" w:cs="Arial" w:eastAsia="Arial" w:hAnsi="Arial"/>
                <w:sz w:val="18"/>
                <w:szCs w:val="18"/>
                <w:b w:val="1"/>
                <w:bCs w:val="1"/>
                <w:color w:val="auto"/>
              </w:rPr>
              <w:t>September 30, 2015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vMerge w:val="restart"/>
          </w:tcPr>
          <w:p>
            <w:pPr>
              <w:ind w:left="1680"/>
              <w:spacing w:after="0"/>
              <w:rPr>
                <w:sz w:val="20"/>
                <w:szCs w:val="20"/>
                <w:color w:val="auto"/>
              </w:rPr>
            </w:pPr>
            <w:r>
              <w:rPr>
                <w:rFonts w:ascii="Arial" w:cs="Arial" w:eastAsia="Arial" w:hAnsi="Arial"/>
                <w:sz w:val="14"/>
                <w:szCs w:val="14"/>
                <w:b w:val="1"/>
                <w:bCs w:val="1"/>
                <w:color w:val="auto"/>
              </w:rPr>
              <w:t>Unobservable Input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Probabilities of payout</w:t>
            </w:r>
          </w:p>
        </w:tc>
        <w:tc>
          <w:tcPr>
            <w:tcW w:w="26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5% - 60%</w:t>
            </w: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Periods in which payout is expected to occur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2016 – 2017</w:t>
            </w:r>
          </w:p>
        </w:tc>
        <w:tc>
          <w:tcPr>
            <w:tcW w:w="0" w:type="dxa"/>
            <w:vAlign w:val="bottom"/>
          </w:tcPr>
          <w:p>
            <w:pPr>
              <w:spacing w:after="0"/>
              <w:rPr>
                <w:sz w:val="1"/>
                <w:szCs w:val="1"/>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Discount rate</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4.25%</w:t>
            </w:r>
          </w:p>
        </w:tc>
        <w:tc>
          <w:tcPr>
            <w:tcW w:w="0" w:type="dxa"/>
            <w:vAlign w:val="bottom"/>
          </w:tcPr>
          <w:p>
            <w:pPr>
              <w:spacing w:after="0"/>
              <w:rPr>
                <w:sz w:val="1"/>
                <w:szCs w:val="1"/>
                <w:color w:val="auto"/>
              </w:rPr>
            </w:pPr>
          </w:p>
        </w:tc>
      </w:tr>
      <w:tr>
        <w:trPr>
          <w:trHeight w:val="365"/>
        </w:trPr>
        <w:tc>
          <w:tcPr>
            <w:tcW w:w="4600" w:type="dxa"/>
            <w:vAlign w:val="bottom"/>
            <w:gridSpan w:val="2"/>
          </w:tcPr>
          <w:p>
            <w:pPr>
              <w:ind w:left="144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760" w:space="460"/>
            <w:col w:w="7160"/>
          </w:cols>
          <w:pgMar w:left="240" w:top="459" w:right="2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2015</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Decrease in fair value</w:t>
            </w:r>
          </w:p>
        </w:tc>
        <w:tc>
          <w:tcPr>
            <w:tcW w:w="24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2016</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and September 30, 2015, the fair value of available-for-sale marketable securities by type of security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94"/>
              </w:rPr>
              <w:t>March 31, 2016</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340" w:type="dxa"/>
            <w:vAlign w:val="bottom"/>
          </w:tcPr>
          <w:p>
            <w:pPr>
              <w:spacing w:after="0"/>
              <w:rPr>
                <w:sz w:val="10"/>
                <w:szCs w:val="10"/>
                <w:color w:val="auto"/>
              </w:rPr>
            </w:pPr>
          </w:p>
        </w:tc>
        <w:tc>
          <w:tcPr>
            <w:tcW w:w="1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4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34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9"/>
              </w:rPr>
              <w:t>Losses</w:t>
            </w:r>
          </w:p>
        </w:tc>
        <w:tc>
          <w:tcPr>
            <w:tcW w:w="3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92,646</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$ 92,692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U.S. Agency bonds</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31,081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31,091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U.S. Treasury notes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49,518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49,548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15,955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15,955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189,200</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189,286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9"/>
              </w:rPr>
              <w:t>September 30, 2015</w:t>
            </w: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340" w:type="dxa"/>
            <w:vAlign w:val="bottom"/>
          </w:tcPr>
          <w:p>
            <w:pPr>
              <w:spacing w:after="0"/>
              <w:rPr>
                <w:sz w:val="10"/>
                <w:szCs w:val="10"/>
                <w:color w:val="auto"/>
              </w:rPr>
            </w:pPr>
          </w:p>
        </w:tc>
        <w:tc>
          <w:tcPr>
            <w:tcW w:w="1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4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34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9"/>
              </w:rPr>
              <w:t>Losses</w:t>
            </w:r>
          </w:p>
        </w:tc>
        <w:tc>
          <w:tcPr>
            <w:tcW w:w="3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151,012</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U.S. Agency bonds</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36,652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36,697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187,664</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187,717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31, 2016, marketable securities consisted of investments that mature within one year, with the exception of certain corporate bonds, which have maturities within three years and an aggregate fair value of $25,224.</w:t>
      </w:r>
    </w:p>
    <w:p>
      <w:pPr>
        <w:spacing w:after="0" w:line="3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as well as other long-term liabilities consisted of the following as of March 31, 2016 and September 30, 2015:</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360" w:type="dxa"/>
            <w:vAlign w:val="bottom"/>
            <w:gridSpan w:val="3"/>
          </w:tcPr>
          <w:p>
            <w:pPr>
              <w:ind w:left="2720"/>
              <w:spacing w:after="0"/>
              <w:rPr>
                <w:sz w:val="20"/>
                <w:szCs w:val="20"/>
                <w:color w:val="auto"/>
              </w:rPr>
            </w:pPr>
            <w:r>
              <w:rPr>
                <w:rFonts w:ascii="Arial" w:cs="Arial" w:eastAsia="Arial" w:hAnsi="Arial"/>
                <w:sz w:val="14"/>
                <w:szCs w:val="14"/>
                <w:b w:val="1"/>
                <w:bCs w:val="1"/>
                <w:color w:val="auto"/>
                <w:w w:val="95"/>
              </w:rPr>
              <w:t>March 31,</w:t>
            </w:r>
          </w:p>
        </w:tc>
        <w:tc>
          <w:tcPr>
            <w:tcW w:w="1700" w:type="dxa"/>
            <w:vAlign w:val="bottom"/>
            <w:gridSpan w:val="4"/>
          </w:tcPr>
          <w:p>
            <w:pPr>
              <w:ind w:lef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2016</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Accrued expenses:</w:t>
            </w:r>
          </w:p>
        </w:tc>
        <w:tc>
          <w:tcPr>
            <w:tcW w:w="2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2860" w:type="dxa"/>
            <w:vAlign w:val="bottom"/>
            <w:gridSpan w:val="2"/>
          </w:tcPr>
          <w:p>
            <w:pPr>
              <w:ind w:left="27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884</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Accrued vendor manufacturing</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Accrued fixed assets purchases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306</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Accrued preclinical and clinical expenses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Accrued other</w:t>
            </w:r>
          </w:p>
        </w:tc>
        <w:tc>
          <w:tcPr>
            <w:tcW w:w="2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Other long-term liabilities:</w:t>
            </w:r>
          </w:p>
        </w:tc>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Accrued rent expense</w:t>
            </w:r>
          </w:p>
        </w:tc>
        <w:tc>
          <w:tcPr>
            <w:tcW w:w="286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513</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Asset retirement obligation</w:t>
            </w:r>
          </w:p>
        </w:tc>
        <w:tc>
          <w:tcPr>
            <w:tcW w:w="2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740" w:type="dxa"/>
            <w:vAlign w:val="bottom"/>
            <w:vMerge w:val="restart"/>
          </w:tcPr>
          <w:p>
            <w:pPr>
              <w:ind w:left="62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200" w:firstLine="8"/>
        <w:spacing w:after="0" w:line="378" w:lineRule="auto"/>
        <w:tabs>
          <w:tab w:leader="none" w:pos="44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Ongoing Collaboration Agreements AbbVie Collaboration</w:t>
      </w:r>
    </w:p>
    <w:p>
      <w:pPr>
        <w:spacing w:after="0" w:line="270" w:lineRule="auto"/>
        <w:rPr>
          <w:sz w:val="20"/>
          <w:szCs w:val="20"/>
          <w:color w:val="auto"/>
        </w:rPr>
      </w:pPr>
      <w:r>
        <w:rPr>
          <w:rFonts w:ascii="Arial" w:cs="Arial" w:eastAsia="Arial" w:hAnsi="Arial"/>
          <w:sz w:val="17"/>
          <w:szCs w:val="17"/>
          <w:color w:val="auto"/>
        </w:rPr>
        <w:t>The Company has a Collaborative Development and License Agreement (the “AbbVie Agreement”), as amended, with AbbVie Inc. to identify, develop and commercialize HCV NS3 and NS3/4A protease inhibitor compounds, including paritaprevir, under which it has received license payments, proceeds from a sale of preferred stock, research funding payments, milestone payments and royalties totaling $367,000 through March 31, 2016. As of March 31, 2016 the Company is eligible to receive additional milestone payments totaling up to $80,000 upon AbbVie’s achievement of commercialization regulatory approval in the U.S. and other selected world markets for any additional protease inhibitor commercialized by AbbVie. Since the Company completed all its performance obligations under the AbbVie Agreement by the end of fiscal 2011, any milestone payments received since then have been and will be recognized as revenue when the milestones are achieved by AbbVie. The Company is also receiving annually tiered royalties per product ranging from the low double digits up to twenty percent, or on a blended basis from the low double digits up to the high teens, on calendar year net sales by AbbVie allocated to the collaboration’s protease inhibitors. Beginning with each January 1 the cumulative net sales of a given royalty-bearing product start at zero for purposes of calculating the tiered royalties.</w:t>
      </w:r>
    </w:p>
    <w:p>
      <w:pPr>
        <w:spacing w:after="0" w:line="178" w:lineRule="exact"/>
        <w:rPr>
          <w:sz w:val="20"/>
          <w:szCs w:val="20"/>
          <w:color w:val="auto"/>
        </w:rPr>
      </w:pPr>
    </w:p>
    <w:p>
      <w:pPr>
        <w:ind w:right="540"/>
        <w:spacing w:after="0" w:line="302" w:lineRule="auto"/>
        <w:rPr>
          <w:sz w:val="20"/>
          <w:szCs w:val="20"/>
          <w:color w:val="auto"/>
        </w:rPr>
      </w:pPr>
      <w:r>
        <w:rPr>
          <w:rFonts w:ascii="Arial" w:cs="Arial" w:eastAsia="Arial" w:hAnsi="Arial"/>
          <w:sz w:val="16"/>
          <w:szCs w:val="16"/>
          <w:color w:val="auto"/>
        </w:rPr>
        <w:t>During the three and six months ended March 31, 2016, the Company earned and recognized milestone revenue of $0 and $30,000, respectively, upon AbbVie’s achievement of commercialization regulatory approval of a paritaprevir-containing regimen in Japan. During the three and six months ended March 31, 2015, the Company earned and recognized milestone revenue of $50,000 and $125,000, respectively, upon AbbVie’s achievement of commercialization regulatory approval of VIEKIRAX in Europe in January 2015 and VIEKIRA PAK in the U.S in December 2014.</w:t>
      </w:r>
    </w:p>
    <w:p>
      <w:pPr>
        <w:spacing w:after="0" w:line="29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Series 1 Nonconvertible Preferred Stock and Series 1 Nonconvertible Preferred Stock</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October and November 2010, the Company issued warrants to purchase up to a total of 1,999,989 shares of Series 1 nonconvertible preferred stock, which expire on October 4, 2017. As these warrants are free-standing financial instruments that may require the Company to transfer assets upon exercise, these warrants are classified as liabilities. The Company is required to remeasure the fair value of these preferred stock warrants at each reporting date, with any adjustments recorded within the change in fair value of warrant liability included in other income (expense), net, in the consolidated statement of operations.</w:t>
      </w:r>
    </w:p>
    <w:p>
      <w:pPr>
        <w:spacing w:after="0" w:line="29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Company may grant stock-based awards under its existing 2012 Equity Incentive Plan (the “2012 Plan”) and its Employee Stock Purchase Plan (the “ESPP”). The Company also has outstanding stock-based awards under its 1995 Equity Incentive Plan (the “1995 Plan”), but is no longer granting awards under this plan. As of March 31, 2016, 524,960 shares of common stock are available for issuance under the 2012 Plan based on the target number of units awarded, none of which have yet vested. As of March 31, 2016, a total of 185,614 shares of common stock are available for issuance under the ESPP. As of March 31, 2016, the Company had not commenced any offering under the ESPP and no shares have been issued.</w:t>
      </w:r>
    </w:p>
    <w:p>
      <w:pPr>
        <w:spacing w:after="0" w:line="15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applies the fair value recognition provisions for all stock-based awards granted or modified in accordance with authoritative guidance. Under this guidance the Company records compensation costs over the requisite service period of the award based on the grant-date fair value. The straight-line method is applied to all grants with service conditions, while the graded vesting method is applied to all grants with both service and performance conditions.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7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Issuable</w:t>
            </w:r>
          </w:p>
        </w:tc>
        <w:tc>
          <w:tcPr>
            <w:tcW w:w="20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Average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Under</w:t>
            </w:r>
          </w:p>
        </w:tc>
        <w:tc>
          <w:tcPr>
            <w:tcW w:w="20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2015</w:t>
            </w:r>
          </w:p>
        </w:tc>
        <w:tc>
          <w:tcPr>
            <w:tcW w:w="1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1,752,010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25,093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Granted</w:t>
            </w:r>
          </w:p>
        </w:tc>
        <w:tc>
          <w:tcPr>
            <w:tcW w:w="2540" w:type="dxa"/>
            <w:vAlign w:val="bottom"/>
            <w:gridSpan w:val="3"/>
          </w:tcPr>
          <w:p>
            <w:pPr>
              <w:jc w:val="right"/>
              <w:ind w:right="260"/>
              <w:spacing w:after="0"/>
              <w:rPr>
                <w:sz w:val="20"/>
                <w:szCs w:val="20"/>
                <w:color w:val="auto"/>
              </w:rPr>
            </w:pPr>
            <w:r>
              <w:rPr>
                <w:rFonts w:ascii="Arial" w:cs="Arial" w:eastAsia="Arial" w:hAnsi="Arial"/>
                <w:sz w:val="18"/>
                <w:szCs w:val="18"/>
                <w:color w:val="auto"/>
              </w:rPr>
              <w:t>445,880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30.87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(239,768)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2.76</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4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(21,635)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33.94</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2016</w:t>
            </w:r>
          </w:p>
        </w:tc>
        <w:tc>
          <w:tcPr>
            <w:tcW w:w="1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1,936,487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27.88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Options vested and expected to vest as of March 31, 2016</w:t>
            </w:r>
          </w:p>
        </w:tc>
        <w:tc>
          <w:tcPr>
            <w:tcW w:w="1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vMerge w:val="restart"/>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29.15</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7.8</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8,494</w:t>
            </w:r>
          </w:p>
        </w:tc>
        <w:tc>
          <w:tcPr>
            <w:tcW w:w="0" w:type="dxa"/>
            <w:vAlign w:val="bottom"/>
          </w:tcPr>
          <w:p>
            <w:pPr>
              <w:spacing w:after="0" w:line="20" w:lineRule="exact"/>
              <w:rPr>
                <w:sz w:val="1"/>
                <w:szCs w:val="1"/>
                <w:color w:val="auto"/>
              </w:rPr>
            </w:pPr>
          </w:p>
        </w:tc>
      </w:tr>
      <w:tr>
        <w:trPr>
          <w:trHeight w:val="210"/>
        </w:trPr>
        <w:tc>
          <w:tcPr>
            <w:tcW w:w="476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1,756,147</w:t>
            </w: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as of March 31, 2016</w:t>
            </w:r>
          </w:p>
        </w:tc>
        <w:tc>
          <w:tcPr>
            <w:tcW w:w="2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806,561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21.68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80" w:type="dxa"/>
            <w:vAlign w:val="bottom"/>
            <w:vMerge w:val="restart"/>
          </w:tcPr>
          <w:p>
            <w:pPr>
              <w:jc w:val="right"/>
              <w:ind w:right="810"/>
              <w:spacing w:after="0"/>
              <w:rPr>
                <w:sz w:val="20"/>
                <w:szCs w:val="20"/>
                <w:color w:val="auto"/>
              </w:rPr>
            </w:pPr>
            <w:r>
              <w:rPr>
                <w:rFonts w:ascii="Arial" w:cs="Arial" w:eastAsia="Arial" w:hAnsi="Arial"/>
                <w:sz w:val="18"/>
                <w:szCs w:val="18"/>
                <w:color w:val="auto"/>
              </w:rPr>
              <w:t>11</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2015, the Company awarded certain executive officers a total of 50,000 share units consisting of 25,000 performance share units, or PSUs, and 25,000 relative total shareholder return units, or rTSRUs. The number of units represents the target number of shares of common stock that may be earned; however, the actual number of shares that may be earned ranges from 0% to 200% of the target number. The PSUs will vest and result in issuance, or settlement, of common shares, based upon continued employment and achievement of specified research and development milestones on or before December 31, 2017. The aggregate grant date fair value of the 25,000 PSUs ranges between $0 and $1,602. During the three and six months ended March 31, 2016, the Company recorded no compensation expense related to the PSU awards as none of the performance-based targets was probable of being achieved during this period.</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rTSRUs will vest and result in the issuance of common stock based on continuing employment and the relative ranking of the total shareholder return, or TSR, of the Company’s common stock in relation to the TSR of the component companies in the NASDAQ Biotech Index over a two-year period based on a comparison of average closing stock prices in November 2015 and December 2017. The number of market-based rTSRUs awarded represents the target number of shares of common stock that may be earned; however, the actual number of shares that may be earned ranges from 0% to 200% of the target number.</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used a Monte Carlo simulation model to estimate that the grant-date fair value of the rTSRUs was $942. The table below sets forth the assumptions used to value the awards and the estimated grant-date fair value:</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380" w:type="dxa"/>
            <w:vAlign w:val="bottom"/>
            <w:shd w:val="clear" w:color="auto" w:fill="CCEEFF"/>
          </w:tcPr>
          <w:p>
            <w:pPr>
              <w:jc w:val="center"/>
              <w:ind w:left="1710"/>
              <w:spacing w:after="0"/>
              <w:rPr>
                <w:sz w:val="20"/>
                <w:szCs w:val="20"/>
                <w:color w:val="auto"/>
              </w:rPr>
            </w:pPr>
            <w:r>
              <w:rPr>
                <w:rFonts w:ascii="Arial" w:cs="Arial" w:eastAsia="Arial" w:hAnsi="Arial"/>
                <w:sz w:val="18"/>
                <w:szCs w:val="18"/>
                <w:color w:val="auto"/>
                <w:w w:val="90"/>
              </w:rPr>
              <w:t>0.97%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2380" w:type="dxa"/>
            <w:vAlign w:val="bottom"/>
          </w:tcPr>
          <w:p>
            <w:pPr>
              <w:jc w:val="center"/>
              <w:ind w:left="1690"/>
              <w:spacing w:after="0"/>
              <w:rPr>
                <w:sz w:val="20"/>
                <w:szCs w:val="20"/>
                <w:color w:val="auto"/>
              </w:rPr>
            </w:pPr>
            <w:r>
              <w:rPr>
                <w:rFonts w:ascii="Arial" w:cs="Arial" w:eastAsia="Arial" w:hAnsi="Arial"/>
                <w:sz w:val="18"/>
                <w:szCs w:val="18"/>
                <w:color w:val="auto"/>
                <w:w w:val="92"/>
              </w:rPr>
              <w:t>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380" w:type="dxa"/>
            <w:vAlign w:val="bottom"/>
            <w:shd w:val="clear" w:color="auto" w:fill="CCEEFF"/>
          </w:tcPr>
          <w:p>
            <w:pPr>
              <w:jc w:val="center"/>
              <w:ind w:left="1690"/>
              <w:spacing w:after="0"/>
              <w:rPr>
                <w:sz w:val="20"/>
                <w:szCs w:val="20"/>
                <w:color w:val="auto"/>
              </w:rPr>
            </w:pPr>
            <w:r>
              <w:rPr>
                <w:rFonts w:ascii="Arial" w:cs="Arial" w:eastAsia="Arial" w:hAnsi="Arial"/>
                <w:sz w:val="18"/>
                <w:szCs w:val="18"/>
                <w:color w:val="auto"/>
                <w:w w:val="91"/>
              </w:rPr>
              <w:t>63.95%</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Remaining performance period (years)</w:t>
            </w:r>
          </w:p>
        </w:tc>
        <w:tc>
          <w:tcPr>
            <w:tcW w:w="2380" w:type="dxa"/>
            <w:vAlign w:val="bottom"/>
          </w:tcPr>
          <w:p>
            <w:pPr>
              <w:jc w:val="center"/>
              <w:ind w:left="1690"/>
              <w:spacing w:after="0"/>
              <w:rPr>
                <w:sz w:val="20"/>
                <w:szCs w:val="20"/>
                <w:color w:val="auto"/>
              </w:rPr>
            </w:pPr>
            <w:r>
              <w:rPr>
                <w:rFonts w:ascii="Arial" w:cs="Arial" w:eastAsia="Arial" w:hAnsi="Arial"/>
                <w:sz w:val="18"/>
                <w:szCs w:val="18"/>
                <w:color w:val="auto"/>
                <w:w w:val="91"/>
              </w:rPr>
              <w:t>2.03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per share of rTSRUs granted</w:t>
            </w:r>
          </w:p>
        </w:tc>
        <w:tc>
          <w:tcPr>
            <w:tcW w:w="2380" w:type="dxa"/>
            <w:vAlign w:val="bottom"/>
            <w:shd w:val="clear" w:color="auto" w:fill="CCEEFF"/>
          </w:tcPr>
          <w:p>
            <w:pPr>
              <w:jc w:val="center"/>
              <w:ind w:left="1710"/>
              <w:spacing w:after="0"/>
              <w:rPr>
                <w:sz w:val="20"/>
                <w:szCs w:val="20"/>
                <w:color w:val="auto"/>
              </w:rPr>
            </w:pPr>
            <w:r>
              <w:rPr>
                <w:rFonts w:ascii="Arial" w:cs="Arial" w:eastAsia="Arial" w:hAnsi="Arial"/>
                <w:sz w:val="18"/>
                <w:szCs w:val="18"/>
                <w:color w:val="auto"/>
                <w:w w:val="90"/>
              </w:rPr>
              <w:t>$37.67</w:t>
            </w: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fair value related to the rTSRUs will be recorded as compensation expense over the period from date of grant to December 2017 regardless of whether the target relative total shareholder returns are reached.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in December 2015, the Company awarded an executive officer 5,250 share units consisting of 2,625 PSUs and 2,625 rTSRUs. The number of units represents the target number of shares of common stock that may be earned; however, the actual number of shares that may be earned ranges from 0% to 200% of the target number.</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PSUs will vest and result in issuance, or settlement, of common shares, based upon continued employment and achievement of specified research and development milestones on or before December 31, 2016. The aggregate grant date fair value of the 2,625 PSUs ranges between $0 and $168. During the three and six months ended March 31, 2016, the Company recorded no compensation expense related to the PSU awards as none of the performance-based targets was probable of being achieved during this period.</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rTSRUs will vest and result in the issuance of common stock based on continuing employment and the relative ranking of the total shareholder return, or TSR, of the Company’s common stock in relation to the TSR of the component companies in the NASDAQ Biotech Index over a two-year period based on a comparison of average closing stock prices in December 2014 and December 2016. The number of market-based rTSRUs awarded represents the target number of shares of common stock that may be earned; however, the actual number of shares that may be earned ranges from 0% to 200% of the target number.</w:t>
      </w:r>
    </w:p>
    <w:p>
      <w:pPr>
        <w:spacing w:after="0" w:line="18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used a Monte Carlo simulation model to estimate that the grant-date fair value of the rTSRUs was $44. The table below sets forth the assumptions used to value the awards and the estimated grant-date fair value:</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380" w:type="dxa"/>
            <w:vAlign w:val="bottom"/>
            <w:shd w:val="clear" w:color="auto" w:fill="CCEEFF"/>
          </w:tcPr>
          <w:p>
            <w:pPr>
              <w:jc w:val="center"/>
              <w:ind w:left="1710"/>
              <w:spacing w:after="0"/>
              <w:rPr>
                <w:sz w:val="20"/>
                <w:szCs w:val="20"/>
                <w:color w:val="auto"/>
              </w:rPr>
            </w:pPr>
            <w:r>
              <w:rPr>
                <w:rFonts w:ascii="Arial" w:cs="Arial" w:eastAsia="Arial" w:hAnsi="Arial"/>
                <w:sz w:val="18"/>
                <w:szCs w:val="18"/>
                <w:color w:val="auto"/>
                <w:w w:val="90"/>
              </w:rPr>
              <w:t>0.65%</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2380" w:type="dxa"/>
            <w:vAlign w:val="bottom"/>
          </w:tcPr>
          <w:p>
            <w:pPr>
              <w:jc w:val="center"/>
              <w:ind w:left="1690"/>
              <w:spacing w:after="0"/>
              <w:rPr>
                <w:sz w:val="20"/>
                <w:szCs w:val="20"/>
                <w:color w:val="auto"/>
              </w:rPr>
            </w:pPr>
            <w:r>
              <w:rPr>
                <w:rFonts w:ascii="Arial" w:cs="Arial" w:eastAsia="Arial" w:hAnsi="Arial"/>
                <w:sz w:val="18"/>
                <w:szCs w:val="18"/>
                <w:color w:val="auto"/>
                <w:w w:val="92"/>
              </w:rPr>
              <w:t>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380" w:type="dxa"/>
            <w:vAlign w:val="bottom"/>
            <w:shd w:val="clear" w:color="auto" w:fill="CCEEFF"/>
          </w:tcPr>
          <w:p>
            <w:pPr>
              <w:jc w:val="center"/>
              <w:ind w:left="1690"/>
              <w:spacing w:after="0"/>
              <w:rPr>
                <w:sz w:val="20"/>
                <w:szCs w:val="20"/>
                <w:color w:val="auto"/>
              </w:rPr>
            </w:pPr>
            <w:r>
              <w:rPr>
                <w:rFonts w:ascii="Arial" w:cs="Arial" w:eastAsia="Arial" w:hAnsi="Arial"/>
                <w:sz w:val="18"/>
                <w:szCs w:val="18"/>
                <w:color w:val="auto"/>
                <w:w w:val="91"/>
              </w:rPr>
              <w:t>72.30%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Remaining performance period (years)</w:t>
            </w:r>
          </w:p>
        </w:tc>
        <w:tc>
          <w:tcPr>
            <w:tcW w:w="2380" w:type="dxa"/>
            <w:vAlign w:val="bottom"/>
          </w:tcPr>
          <w:p>
            <w:pPr>
              <w:jc w:val="center"/>
              <w:ind w:left="1690"/>
              <w:spacing w:after="0"/>
              <w:rPr>
                <w:sz w:val="20"/>
                <w:szCs w:val="20"/>
                <w:color w:val="auto"/>
              </w:rPr>
            </w:pPr>
            <w:r>
              <w:rPr>
                <w:rFonts w:ascii="Arial" w:cs="Arial" w:eastAsia="Arial" w:hAnsi="Arial"/>
                <w:sz w:val="18"/>
                <w:szCs w:val="18"/>
                <w:color w:val="auto"/>
                <w:w w:val="91"/>
              </w:rPr>
              <w:t>1.03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per share of rTSRUs granted</w:t>
            </w:r>
          </w:p>
        </w:tc>
        <w:tc>
          <w:tcPr>
            <w:tcW w:w="2380" w:type="dxa"/>
            <w:vAlign w:val="bottom"/>
            <w:shd w:val="clear" w:color="auto" w:fill="CCEEFF"/>
          </w:tcPr>
          <w:p>
            <w:pPr>
              <w:jc w:val="center"/>
              <w:ind w:left="1710"/>
              <w:spacing w:after="0"/>
              <w:rPr>
                <w:sz w:val="20"/>
                <w:szCs w:val="20"/>
                <w:color w:val="auto"/>
              </w:rPr>
            </w:pPr>
            <w:r>
              <w:rPr>
                <w:rFonts w:ascii="Arial" w:cs="Arial" w:eastAsia="Arial" w:hAnsi="Arial"/>
                <w:sz w:val="18"/>
                <w:szCs w:val="18"/>
                <w:color w:val="auto"/>
                <w:w w:val="90"/>
              </w:rPr>
              <w:t>$16.90</w:t>
            </w: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fair value related to the rTSRUs will be recorded as compensation expense over the period from date of grant to December 2016 regardless of whether the target relative total shareholder returns are reached.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stock-based compensation expense on all awards in the following expense categories: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4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7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1,034</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1,820</w:t>
            </w:r>
          </w:p>
        </w:tc>
      </w:tr>
      <w:tr>
        <w:trPr>
          <w:trHeight w:val="27"/>
        </w:trPr>
        <w:tc>
          <w:tcPr>
            <w:tcW w:w="7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1,430</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2,457</w:t>
            </w:r>
          </w:p>
        </w:tc>
      </w:tr>
      <w:tr>
        <w:trPr>
          <w:trHeight w:val="20"/>
        </w:trPr>
        <w:tc>
          <w:tcPr>
            <w:tcW w:w="7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March 31, 2016, the Company had an aggregate of $26,432 of unrecognized stock-based compensation cost, which is expected to be recognized over a weighted average period of 2.5 years.</w:t>
      </w:r>
    </w:p>
    <w:p>
      <w:pPr>
        <w:spacing w:after="0" w:line="31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for the three and six months ended March 31, 2016 and 2015:</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24,544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Weighted average common shares outstanding—basic</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18,920,790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18,679,898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18,847,775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18,641,060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340"/>
              <w:spacing w:after="0"/>
              <w:rPr>
                <w:sz w:val="20"/>
                <w:szCs w:val="20"/>
                <w:color w:val="auto"/>
              </w:rPr>
            </w:pPr>
            <w:r>
              <w:rPr>
                <w:rFonts w:ascii="Arial" w:cs="Arial" w:eastAsia="Arial" w:hAnsi="Arial"/>
                <w:sz w:val="18"/>
                <w:szCs w:val="18"/>
                <w:color w:val="auto"/>
              </w:rPr>
              <w:t>Net income (loss) per share—basic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24,544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Weighted average common shares outstanding—basic</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18,920,790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18,679,898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18,847,775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18,641,060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700"/>
              <w:spacing w:after="0"/>
              <w:rPr>
                <w:sz w:val="20"/>
                <w:szCs w:val="20"/>
                <w:color w:val="auto"/>
              </w:rPr>
            </w:pPr>
            <w:r>
              <w:rPr>
                <w:rFonts w:ascii="Arial" w:cs="Arial" w:eastAsia="Arial" w:hAnsi="Arial"/>
                <w:sz w:val="18"/>
                <w:szCs w:val="18"/>
                <w:color w:val="auto"/>
              </w:rPr>
              <w:t>Dilutive effect of common stock equivalents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588,667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376,946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634,909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Weighted average common shares outstanding—diluted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18,920,790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19,268,565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19,224,721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19,275,969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340"/>
              <w:spacing w:after="0"/>
              <w:rPr>
                <w:sz w:val="20"/>
                <w:szCs w:val="20"/>
                <w:color w:val="auto"/>
              </w:rPr>
            </w:pPr>
            <w:r>
              <w:rPr>
                <w:rFonts w:ascii="Arial" w:cs="Arial" w:eastAsia="Arial" w:hAnsi="Arial"/>
                <w:sz w:val="18"/>
                <w:szCs w:val="18"/>
                <w:color w:val="auto"/>
              </w:rPr>
              <w:t>Net income (loss) per share—diluted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Antidilutive common stock equivalents excluded from above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1,664,065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696,445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1,184,760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489,123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560"/>
        <w:spacing w:after="0" w:line="277" w:lineRule="auto"/>
        <w:rPr>
          <w:sz w:val="20"/>
          <w:szCs w:val="20"/>
          <w:color w:val="auto"/>
        </w:rPr>
      </w:pPr>
      <w:r>
        <w:rPr>
          <w:rFonts w:ascii="Arial" w:cs="Arial" w:eastAsia="Arial" w:hAnsi="Arial"/>
          <w:sz w:val="18"/>
          <w:szCs w:val="18"/>
          <w:color w:val="auto"/>
        </w:rPr>
        <w:t>The impact of dilutive common stock equivalents were excluded from the calculation of diluted net income (loss) per share for the three months ended March 31, 2016 due to the fact that the Company was in a loss position for the period.</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As of March 31, 2016 the Company excluded 72,050 and 139,226 of unvested restricted stock units and performance based options, respectively, from the calculation of diluted net income per share attributable to common stockholders as these awards contain performance and market conditions that would not have been achieved as of March 31, 2016 had the measurement period been as of that date.</w:t>
      </w:r>
    </w:p>
    <w:p>
      <w:pPr>
        <w:spacing w:after="0" w:line="32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three months ended March 31, 2016 and March 31, 2015, the Company recorded an income tax provision of $1,552 and $20,018, respectively. The income tax provision for the three months ended March 31, 2016 and 2015 was primarily attributable to the tax provision on the earnings of the Company’s domestic operations. During the three months ended March 31, 2016, the Company increased its estimate of its annual effective tax rate for fiscal 2016, which resulted in an income tax provision despite a pre-tax loss for the quarter. For the three months ended March 31, 2015 the Company’s effective tax rate of 41.0% differs from the statutory rate of 35% primarily due to state income taxes and certain expenditures which are permanently not deductible for tax purposes.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For the six months ended March 31, 2016 and March 31, 2015, the Company recorded an income tax provision of $11,286 and $48,520, respectively, representing an effective tax rate of 31.5% and 40.7%, respectively. For the six months ended March 31, 2016, the Company’s effective tax rate differs from the statutory rate of 35% primarily due to reinstatement of the federal research and development tax credits which are included in the Company’s annual effective tax rate. For the six months ended March 31, 2015, the Company’s effective tax rate differs from the statutory rate of 35% primarily due to state income taxes and certain expenditures which are permanently not deductible for tax purposes.</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2008 to the present. Earlier years may be examined to the extent that tax credit or net operating loss carryforwards are used in future periods.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had an unrecognized tax benefit of $510 and $448 as of March 31, 2016 and September 30, 2015, respectively. Unrecognized tax benefits represent tax positions for which reserves have been established. The Company’s policy is to record interest and penalties related to uncertain tax positions as part of its income tax provision.</w:t>
      </w:r>
    </w:p>
    <w:p>
      <w:pPr>
        <w:spacing w:after="0" w:line="326" w:lineRule="exact"/>
        <w:rPr>
          <w:sz w:val="20"/>
          <w:szCs w:val="20"/>
          <w:color w:val="auto"/>
        </w:rPr>
      </w:pPr>
    </w:p>
    <w:p>
      <w:pPr>
        <w:ind w:right="8380" w:firstLine="8"/>
        <w:spacing w:after="0" w:line="378" w:lineRule="auto"/>
        <w:tabs>
          <w:tab w:leader="none" w:pos="44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right="120"/>
        <w:spacing w:after="0" w:line="312" w:lineRule="auto"/>
        <w:rPr>
          <w:sz w:val="20"/>
          <w:szCs w:val="20"/>
          <w:color w:val="auto"/>
        </w:rPr>
      </w:pPr>
      <w:r>
        <w:rPr>
          <w:rFonts w:ascii="Arial" w:cs="Arial" w:eastAsia="Arial" w:hAnsi="Arial"/>
          <w:sz w:val="16"/>
          <w:szCs w:val="16"/>
          <w:color w:val="auto"/>
        </w:rPr>
        <w:t>The Company has an office and laboratory lease that expires in September 2022. Payment escalation as specified in the lease agreement is accrued such that rent expense is recognized on a straight-line basis over the term of occupancy. The Company recorded rent expense of $507 and $243 for the three months ended March 31, 2016 and 2015, respectively, and $1,013 and $480 for the six months ended March 31, 2016 and 2015, respectively.</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lease, the Company has outstanding a $608 letter of credit, collateralized by a money market account. As of March 31, 2016 and September 30, 2015, the Company classified $608 related to the letter of credit as restricted cash. Additionally, the lease, as amended, included a $598 tenant improvement allowance from the landlord, which allowance is accounted for as a capital lease obligation.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a non-exclusive intellectual property license agreement with a third party, under which the Company is required to pay (1) annual maintenance fees of $105 for each year that the agreement remains in effect, commencing on the first anniversary of the agreement, in order to maintain the right to use the license, and (2) a one-time fee of $50 in each circumstance in which the Company provides the licensed intellectual property to one of its collaborators with the prior consent of the licensor.</w:t>
      </w:r>
    </w:p>
    <w:p>
      <w:pPr>
        <w:spacing w:after="0" w:line="18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also has a non-exclusive license with respect to patents it uses in its HCV research. Under the license, the Company is obligated to pay milestones totaling up to $5,000, plus low single digit royalties, for the development and regulatory approval of each HCV product outside of the Company’s collaboration with AbbVie and any other collaboration it may enter into in the future with a partner that has already licensed these patents. During the six months ended March 31, 2016 the Company made a $500 milestone payment under this license agreement upon its filing to commence clinical development of its cyclophilin inhibitor candidate. During the three and six months ended March 31, 2015, no events triggering such payment occurred.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from services to be provided by the Company, or from intellectual property infringement claims made by third parties. In addition, the Company has entered into indemnification agreements with members of its board of directors and its executive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March 31, 2016.</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2015 included in our Annual Report on Form 10-K for that fiscal year. This Quarterly Report on Form 10-Q contains “forward-looking statements” within the meaning of Section 21E of the Securities Exchange Act of 1934, as amended, or the Exchange Act.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a research and development-focused biotechnology company that uses its robust chemistry-driven approach and drug discovery capabilities to create small molecule drugs primarily for the treatment of viral infections and liver diseases. Our research and development is currently focused on four disease targets: hepatitis C virus, or HCV; hepatitis B virus, or HBV; non-alcoholic steatohepatitis, or NASH; and respiratory syncytial virus, or RSV. Our lead product, paritaprevir, a protease inhibitor designed for use against HCV, is a key compound in AbbVie’s marketed HCV treatment regimens. We also have a second HCV protease inhibitor in phase 3 development with AbbVie, as well as a wholly-owned HCV program using a different class of molecules known as cyclophilin inhibitors, one of which is now in phase 1 development. In addition, we have a program in NASH, with a lead candidate, EDP-305, which we plan to take into clinical trials in the second half of calendar 2016. EDP-305 may have utility in primary biliary cholangitis, or PBC, as well. We also have research programs targeting HBV and RSV.</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Our HCV protease inhibitors have been discovered and developed through our collaboration with AbbVie (formerly Abbott Laboratories), including:</w:t>
      </w:r>
    </w:p>
    <w:p>
      <w:pPr>
        <w:spacing w:after="0" w:line="142" w:lineRule="exact"/>
        <w:rPr>
          <w:sz w:val="20"/>
          <w:szCs w:val="20"/>
          <w:color w:val="auto"/>
        </w:rPr>
      </w:pPr>
    </w:p>
    <w:p>
      <w:pPr>
        <w:ind w:left="900" w:right="20" w:hanging="446"/>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Paritaprevir:</w:t>
      </w:r>
      <w:r>
        <w:rPr>
          <w:rFonts w:ascii="Arial" w:cs="Arial" w:eastAsia="Arial" w:hAnsi="Arial"/>
          <w:sz w:val="18"/>
          <w:szCs w:val="18"/>
          <w:color w:val="auto"/>
        </w:rPr>
        <w:t xml:space="preserve"> Paritaprevir is the protease inhibitor contained in VIEKIRA PAK</w:t>
      </w:r>
      <w:r>
        <w:rPr>
          <w:rFonts w:ascii="Arial" w:cs="Arial" w:eastAsia="Arial" w:hAnsi="Arial"/>
          <w:sz w:val="15"/>
          <w:szCs w:val="15"/>
          <w:color w:val="auto"/>
        </w:rPr>
        <w:t>®</w:t>
      </w:r>
      <w:r>
        <w:rPr>
          <w:rFonts w:ascii="Arial" w:cs="Arial" w:eastAsia="Arial" w:hAnsi="Arial"/>
          <w:sz w:val="18"/>
          <w:szCs w:val="18"/>
          <w:color w:val="auto"/>
        </w:rPr>
        <w:t xml:space="preserve"> and AbbVie’s other all-oral, interferon-free HCV treatment regimens currently marketed in the U.S., EU, Japan and other countries around the world. VIEKIRA PAK was approved and first sold in the U.S. in December 2014 for treatment of genotype 1 HCV, the most prevalent genotype of HCV in the U.S., EU and Japan. A regimen containing paritaprevir and only one other direct-acting antiviral, or DAA, is now approved in Japan (VIEKIRAX</w:t>
      </w:r>
      <w:r>
        <w:rPr>
          <w:rFonts w:ascii="Arial" w:cs="Arial" w:eastAsia="Arial" w:hAnsi="Arial"/>
          <w:sz w:val="15"/>
          <w:szCs w:val="15"/>
          <w:color w:val="auto"/>
        </w:rPr>
        <w:t>®</w:t>
      </w:r>
      <w:r>
        <w:rPr>
          <w:rFonts w:ascii="Arial" w:cs="Arial" w:eastAsia="Arial" w:hAnsi="Arial"/>
          <w:sz w:val="18"/>
          <w:szCs w:val="18"/>
          <w:color w:val="auto"/>
        </w:rPr>
        <w:t>, September 2015) for the treatment of genotype 1 HCV and in the U.S. (TECHNIVIE™, July 2015), EU (VIEKIRAX, January 2015) and other countries for the treatment of genotype 4 HCV.</w:t>
      </w:r>
    </w:p>
    <w:p>
      <w:pPr>
        <w:spacing w:after="0" w:line="98" w:lineRule="exact"/>
        <w:rPr>
          <w:rFonts w:ascii="Arial" w:cs="Arial" w:eastAsia="Arial" w:hAnsi="Arial"/>
          <w:sz w:val="18"/>
          <w:szCs w:val="18"/>
          <w:color w:val="auto"/>
        </w:rPr>
      </w:pPr>
    </w:p>
    <w:p>
      <w:pPr>
        <w:ind w:left="900" w:hanging="446"/>
        <w:spacing w:after="0" w:line="285"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ABT-493:</w:t>
      </w:r>
      <w:r>
        <w:rPr>
          <w:rFonts w:ascii="Arial" w:cs="Arial" w:eastAsia="Arial" w:hAnsi="Arial"/>
          <w:sz w:val="16"/>
          <w:szCs w:val="16"/>
          <w:color w:val="auto"/>
        </w:rPr>
        <w:t xml:space="preserve"> Our second protease inhibitor, ABT-493, is being developed by AbbVie in combination with its next-generation NS5A inhibitor, ABT-530, as a pan-genotypic, once daily, all oral, fixed-dose combination treatment for HCV. AbbVie is now conducting a series of Phase 2 and 3 registrational trials with this investigational combination treatment, which will investigate 8-week and 12-week courses of this once-daily 2-DAA combination against all six major genotypes of HCV as well as subpopulations of patients with cirrhosis, renal impairment or failure on prior treatment regimens. AbbVie is planning for the first approval of this treatment in the U.S. in calendar 2017. AbbVie has completed several Phase</w:t>
      </w:r>
    </w:p>
    <w:p>
      <w:pPr>
        <w:spacing w:after="0" w:line="2"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6"/>
          <w:szCs w:val="16"/>
          <w:color w:val="auto"/>
        </w:rPr>
        <w:t>2 clinical studies of this investigational 2-DAA treatment and has most recently reported the following results from its Surveyor 1 and 2 studies:</w:t>
      </w:r>
    </w:p>
    <w:p>
      <w:pPr>
        <w:spacing w:after="0" w:line="139" w:lineRule="exact"/>
        <w:rPr>
          <w:rFonts w:ascii="Arial" w:cs="Arial" w:eastAsia="Arial" w:hAnsi="Arial"/>
          <w:sz w:val="16"/>
          <w:szCs w:val="16"/>
          <w:color w:val="auto"/>
        </w:rPr>
      </w:pPr>
    </w:p>
    <w:p>
      <w:pPr>
        <w:ind w:left="1920" w:right="300" w:hanging="440"/>
        <w:spacing w:after="0" w:line="277" w:lineRule="auto"/>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After 8 weeks of treatment with doses at or closest to the Phase 3 clinical dose, SVR</w:t>
      </w:r>
      <w:r>
        <w:rPr>
          <w:rFonts w:ascii="Arial" w:cs="Arial" w:eastAsia="Arial" w:hAnsi="Arial"/>
          <w:sz w:val="15"/>
          <w:szCs w:val="15"/>
          <w:color w:val="auto"/>
        </w:rPr>
        <w:t>12</w:t>
      </w:r>
      <w:r>
        <w:rPr>
          <w:rFonts w:ascii="Arial" w:cs="Arial" w:eastAsia="Arial" w:hAnsi="Arial"/>
          <w:sz w:val="18"/>
          <w:szCs w:val="18"/>
          <w:color w:val="auto"/>
        </w:rPr>
        <w:t xml:space="preserve"> rates were 97-98% in genotype 1, 2 or 3 HCV patients without cirrhosis.</w:t>
      </w:r>
    </w:p>
    <w:p>
      <w:pPr>
        <w:spacing w:after="0" w:line="75" w:lineRule="exact"/>
        <w:rPr>
          <w:rFonts w:ascii="Arial" w:cs="Arial" w:eastAsia="Arial" w:hAnsi="Arial"/>
          <w:sz w:val="18"/>
          <w:szCs w:val="18"/>
          <w:color w:val="auto"/>
        </w:rPr>
      </w:pPr>
    </w:p>
    <w:p>
      <w:pPr>
        <w:ind w:left="1920" w:right="120" w:hanging="440"/>
        <w:spacing w:after="0" w:line="277" w:lineRule="auto"/>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100% percent SVR</w:t>
      </w:r>
      <w:r>
        <w:rPr>
          <w:rFonts w:ascii="Arial" w:cs="Arial" w:eastAsia="Arial" w:hAnsi="Arial"/>
          <w:sz w:val="15"/>
          <w:szCs w:val="15"/>
          <w:color w:val="auto"/>
        </w:rPr>
        <w:t>12</w:t>
      </w:r>
      <w:r>
        <w:rPr>
          <w:rFonts w:ascii="Arial" w:cs="Arial" w:eastAsia="Arial" w:hAnsi="Arial"/>
          <w:sz w:val="18"/>
          <w:szCs w:val="18"/>
          <w:color w:val="auto"/>
        </w:rPr>
        <w:t xml:space="preserve"> rates were achieved within 12 weeks of treatment in genotype 3 patients with compensated cirrhosis (Child-Pugh A) new to therapy.</w:t>
      </w:r>
    </w:p>
    <w:p>
      <w:pPr>
        <w:spacing w:after="0" w:line="75" w:lineRule="exact"/>
        <w:rPr>
          <w:rFonts w:ascii="Arial" w:cs="Arial" w:eastAsia="Arial" w:hAnsi="Arial"/>
          <w:sz w:val="18"/>
          <w:szCs w:val="18"/>
          <w:color w:val="auto"/>
        </w:rPr>
      </w:pPr>
    </w:p>
    <w:p>
      <w:pPr>
        <w:ind w:left="1920" w:right="40" w:hanging="440"/>
        <w:spacing w:after="0" w:line="277" w:lineRule="auto"/>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100% percent SVR</w:t>
      </w:r>
      <w:r>
        <w:rPr>
          <w:rFonts w:ascii="Arial" w:cs="Arial" w:eastAsia="Arial" w:hAnsi="Arial"/>
          <w:sz w:val="15"/>
          <w:szCs w:val="15"/>
          <w:color w:val="auto"/>
        </w:rPr>
        <w:t>12</w:t>
      </w:r>
      <w:r>
        <w:rPr>
          <w:rFonts w:ascii="Arial" w:cs="Arial" w:eastAsia="Arial" w:hAnsi="Arial"/>
          <w:sz w:val="18"/>
          <w:szCs w:val="18"/>
          <w:color w:val="auto"/>
        </w:rPr>
        <w:t xml:space="preserve"> rates were achieved within 12 weeks of treatment in genotypes 4, 5 or 6 patients without cirrhosis; study of 8 week treatment duration in patients with these genotypes is ongoing.</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fiscal 2015, we received $125 million in milestone payments for commercialization regulatory approvals of paritaprevir, and we earned $34.1 million in royalties on the portion of AbbVie’s net sales of its HCV regimens allocated to paritaprevir. In the first six months of our fiscal 2016, we received a $30 million milestone payment for the November 2015 reimbursement approval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paritaprevir in Japan, and earned $30.9 million in royalties on the portion of AbbVie’s net sales of its HCV regimens allocated to paritaprevir. We earned $13.0 million of those royalties in the three months ended March 31, 2016. We had $245.6 million in cash and marketable securities at March 31, 2016, exclusive of the $13.0 million in royalty receivables due to us from AbbVie at that date. These existing resources will allow us to continue to invest for the foreseeable future in our current research and development programs in virology, namely HCV, HBV and RSV, and in liver disease (non-virology), namely NASH and PBC:</w:t>
      </w:r>
    </w:p>
    <w:p>
      <w:pPr>
        <w:spacing w:after="0" w:line="94" w:lineRule="exact"/>
        <w:rPr>
          <w:sz w:val="20"/>
          <w:szCs w:val="20"/>
          <w:color w:val="auto"/>
        </w:rPr>
      </w:pPr>
    </w:p>
    <w:p>
      <w:pPr>
        <w:ind w:left="900" w:right="20" w:hanging="446"/>
        <w:spacing w:after="0" w:line="269"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EDP-494</w:t>
      </w:r>
      <w:r>
        <w:rPr>
          <w:rFonts w:ascii="Arial" w:cs="Arial" w:eastAsia="Arial" w:hAnsi="Arial"/>
          <w:sz w:val="17"/>
          <w:szCs w:val="17"/>
          <w:color w:val="auto"/>
        </w:rPr>
        <w:t>: We have a cyclophilin inhibitor, EDP-494, for which we initiated a clinical trial in HCV in the first quarter of calendar 2016 to demonstrate its potential benefit as a host targeted antiviral, or HTA. Cyclophilin is a protein in the human body that has been shown to be involved in HCV replication. By focusing on this human, or host, target rather than a viral target, we have selected a mechanism shown to be less susceptible to the HCV resistance that can occur due to viral mutation in response to therapy. We believe that cyclophilin inhibitors will be particularly valuable in the setting of resistance associated variants, or RAVs, of HCV. The presence of pre-treatment, or baseline, RAVs in treatment-naïve patients, and the emergence of treatment emergent RAVs in treatment-experienced patients, can result in reduced ability to eradicate the HCV virus. Since cyclophilin is a human host target, and not a viral target, cyclophilin inhibitors are not affected by changes in the virus and, therefore, use of this class of inhibitor may provide a unique solution for a subset of hard-to-treat HCV patients. We plan to develop EDP-494 for use in combination with one or more DAAs for the treatment of any emerging HCV resistance to currently approved therapies and other therapies under development for HCV that use DAAs. It is also possible that an EDP-494-containing regimen may find utility in other hard-to-treat subpopulations of HCV patients.</w:t>
      </w:r>
    </w:p>
    <w:p>
      <w:pPr>
        <w:spacing w:after="0" w:line="88" w:lineRule="exact"/>
        <w:rPr>
          <w:rFonts w:ascii="Arial" w:cs="Arial" w:eastAsia="Arial" w:hAnsi="Arial"/>
          <w:sz w:val="17"/>
          <w:szCs w:val="17"/>
          <w:color w:val="auto"/>
        </w:rPr>
      </w:pPr>
    </w:p>
    <w:p>
      <w:pPr>
        <w:ind w:left="900" w:right="40" w:hanging="446"/>
        <w:spacing w:after="0" w:line="286"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EDP-305</w:t>
      </w:r>
      <w:r>
        <w:rPr>
          <w:rFonts w:ascii="Arial" w:cs="Arial" w:eastAsia="Arial" w:hAnsi="Arial"/>
          <w:sz w:val="17"/>
          <w:szCs w:val="17"/>
          <w:color w:val="auto"/>
        </w:rPr>
        <w:t>: We are also working on multiple compounds that selectively bind to and activate the farnesoid X receptor, referred to as FXR agonists, which we plan to develop for use in the treatment of NASH, and possibly PBC, both of which are liver diseases with very few therapeutic options. We plan to initiate clinical trials of our lead FXR agonist candidate, EDP-305, in the second half of calendar 2016.</w:t>
      </w:r>
    </w:p>
    <w:p>
      <w:pPr>
        <w:spacing w:after="0" w:line="70" w:lineRule="exact"/>
        <w:rPr>
          <w:rFonts w:ascii="Arial" w:cs="Arial" w:eastAsia="Arial" w:hAnsi="Arial"/>
          <w:sz w:val="17"/>
          <w:szCs w:val="17"/>
          <w:color w:val="auto"/>
        </w:rPr>
      </w:pPr>
    </w:p>
    <w:p>
      <w:pPr>
        <w:ind w:left="900" w:right="40" w:hanging="446"/>
        <w:spacing w:after="0" w:line="276"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HBV and RSV</w:t>
      </w:r>
      <w:r>
        <w:rPr>
          <w:rFonts w:ascii="Arial" w:cs="Arial" w:eastAsia="Arial" w:hAnsi="Arial"/>
          <w:sz w:val="17"/>
          <w:szCs w:val="17"/>
          <w:color w:val="auto"/>
        </w:rPr>
        <w:t>: We also have other programs to discover and develop new chemical entities for the treatment of HBV and RSV. In HBV, our initial focus is on core inhibitors, a mechanism with early clinical validation based on a compound from Novira (now part of Johnson &amp; Johnson). In RSV, our initial efforts are concentrated on non-fusion inhibitors. For successful therapy for both HBV and RSV, we believe that it may be necessary to utilize more than one compound/mechanism and therefore are pursuing multiple approaches in those programs. We intend to advance a candidate compound into the clinic in at least one of these two programs in calendar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are currently funding all research and development for our internal programs. We have prioritized our cyclophilin program because we believe that high-barrier-to-resistance mechanisms are going to be increasingly important for the treatment of HCV patients, including those that have failed on current DAA therapies. We expect to incur substantially greater expenses as we continue to advance our cyclophilin inhibitor, EDP-494, through Phase 1 clinical development, which began in January 2016. We are also funding our FXR agonist program, including substantial preclinical development work, which we expect will enable us to initiate clinical development of our lead candidate, EDP-305, in the second half of calendar 2016. In addition, we have increased expenses in fiscal 2016 as we advance other compounds into substantial preclinical development.</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Since commencing our operations in 1995, we have devoted substantially all of our resources to the discovery and development of novel compounds for the treatment of infectious diseases and liver diseases. For the periods included in this report we have funded our operations primarily through payments received under our collaborations and a NIAID government contract, as well as net proceeds of approximately $59.9 million that we received from our March 2013 IPO, after deducting underwriting discounts and commissions.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 from our collaboration agreements has resulted in our reporting net income in each of our past five fiscal years. We expect that our revenue in the near term will continue to be dependent on our collaboration with AbbVie, including royalties from sales of paritaprevir-containing regimens and potential milestone payments and royalties from the development program for ABT-493, our second protease inhibitor being developed with AbbVie. Given the schedule of potential milestone payments and the uncertainties due to the nature and timing of clinical development and regulatory approval and market acceptance of any AbbVie regimen containing ABT-493, as well as uncertainty regarding the extent of royalty payments related to paritaprevir, we cannot be certain as to when or whether we will receive further milestone payments or the extent of our royalty revenues under this collaboration or whether we will continue to report net income in future periods.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205740</wp:posOffset>
            </wp:positionV>
            <wp:extent cx="5831840" cy="4536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31840" cy="453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Since our inception, our revenue has been derived from two primary sources: collaboration agreements with pharmaceutical companies and one government research and development contract. We have entered into three significant collaboration agreements and contracts since 2006, the most significant of which is our collaboration agreement with AbbVie. Our second collaboration was with Novartis, from February 2012 through September 2014. In addition, from September 2011 through August 2015, we had a contract with NIAID, which funded the preclinical and early clinical development of an antibiotic product candidate for potential use in biodefense.</w:t>
      </w:r>
    </w:p>
    <w:p>
      <w:pPr>
        <w:spacing w:after="0" w:line="18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Beginning in our fiscal year ended September 30, 2015, we generated royalty revenue from AbbVie’s net sales allocable to paritaprevir, which is part of AbbVie’s treatment regimens for HCV approved in the U.S. in December 2014, in the EU in January 2015 and in dozens of other countries since then. AbbVie received reimbursement approval for paritaprevir in Japan in November 2015.</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revenue recognized from our collaboration agreement and our government contract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2015:</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March 31,</w:t>
            </w:r>
          </w:p>
        </w:tc>
        <w:tc>
          <w:tcPr>
            <w:tcW w:w="17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$50,000</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$30,000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$125,000</w:t>
            </w: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13,004</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6,961</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30,873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8,353</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NIAID contract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w:t>
            </w:r>
          </w:p>
        </w:tc>
        <w:tc>
          <w:tcPr>
            <w:tcW w:w="4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576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1,512</w:t>
            </w:r>
          </w:p>
        </w:tc>
      </w:tr>
      <w:tr>
        <w:trPr>
          <w:trHeight w:val="27"/>
        </w:trPr>
        <w:tc>
          <w:tcPr>
            <w:tcW w:w="4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13,004</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57,367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61,449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134,865</w:t>
            </w:r>
          </w:p>
        </w:tc>
      </w:tr>
      <w:tr>
        <w:trPr>
          <w:trHeight w:val="20"/>
        </w:trPr>
        <w:tc>
          <w:tcPr>
            <w:tcW w:w="4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Since all of our research obligations under the AbbVie agreement were concluded by June 30, 2011, all milestone payments received since then, have been recognized as revenue upon achievement of each milestone by AbbVie. During the six months ended March 31, 2016 we earned and recognized as revenue a $30.0 million milestone payment upon AbbVie’s achievement of commercialization regulatory approval of a paritaprevir-containing regimen in Japan. During the six months ended March 31, 2015, we earned and recognized as revenue a $75.0 million milestone payment related to AbbVie’s FDA approval of a combination containing paritaprevir. We also earned and recognized as revenue a $50.0 million milestone payment from AbbVie upon commercialization regulatory approval of a similar regimen in Europe during that same period in 2015. Under the terms of the AbbVie agreement, we are eligible to receive additional future milestone payments from AbbVie totaling up to $80.0 million related to the successful commercialization regulatory approvals in major markets of the first HCV treatment regimen incorporating another of our collaboration’s protease inhibitors.</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also receive annually tiered, double-digit royalties per product on AbbVie’s net sales allocable to any one of our collaboration’s protease inhibitors. Under the terms of our agreement, as amended in October 2014, 30% of net sales of 3-DAA regimens containing paritaprevir and 45% of net sales of 2-DAA regimens containing paritaprevir are allocated to paritaprevir for purposes of calculating our annually tiered royalties. Beginning with each January 1 the cumulative net sales of a given royalty-bearing product start at zero for purposes of calculating the tiered royalties.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and six months ended March 31,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Three Months Ended</w:t>
            </w:r>
          </w:p>
        </w:tc>
        <w:tc>
          <w:tcPr>
            <w:tcW w:w="16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9"/>
              </w:rPr>
              <w:t>March 31,</w:t>
            </w:r>
          </w:p>
        </w:tc>
        <w:tc>
          <w:tcPr>
            <w:tcW w:w="16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5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45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9,143</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$ 5,368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$18,176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9,887</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4,426</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3,438</w:t>
            </w:r>
          </w:p>
        </w:tc>
        <w:tc>
          <w:tcPr>
            <w:tcW w:w="3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8,244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6,207</w:t>
            </w:r>
          </w:p>
        </w:tc>
      </w:tr>
      <w:tr>
        <w:trPr>
          <w:trHeight w:val="27"/>
        </w:trPr>
        <w:tc>
          <w:tcPr>
            <w:tcW w:w="45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13,569</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$ 8,806</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26,420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16,094</w:t>
            </w:r>
          </w:p>
        </w:tc>
      </w:tr>
      <w:tr>
        <w:trPr>
          <w:trHeight w:val="20"/>
        </w:trPr>
        <w:tc>
          <w:tcPr>
            <w:tcW w:w="4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We expense all costs of research and development as incurred. These expenses consist primarily of:</w:t>
      </w:r>
    </w:p>
    <w:p>
      <w:pPr>
        <w:spacing w:after="0" w:line="76" w:lineRule="exact"/>
        <w:rPr>
          <w:sz w:val="20"/>
          <w:szCs w:val="20"/>
          <w:color w:val="auto"/>
        </w:rPr>
      </w:pPr>
    </w:p>
    <w:p>
      <w:pPr>
        <w:ind w:left="900" w:right="8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maintain information regarding costs incurred for our early-stage research and drug discovery programs on a project-specific basis.</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expect that our research and development expenses will continue to increase in the future as we advance our cyclophilin inhibitor program for HCV and our research and development efforts in NASH, HBV and RSV.</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of each product candidate, as well as ongoing assessments of the commercial potential of each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consists of interest earned on our cash equivalents and short-term and long-term marketable securities balances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consists of interest expense related to our capital lease obligation and to the value of accrued third-party license fees.</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Change in fair value of warrant liability and Series 1 nonconvertible preferred stock. </w:t>
      </w:r>
      <w:r>
        <w:rPr>
          <w:rFonts w:ascii="Arial" w:cs="Arial" w:eastAsia="Arial" w:hAnsi="Arial"/>
          <w:sz w:val="18"/>
          <w:szCs w:val="18"/>
          <w:color w:val="auto"/>
        </w:rPr>
        <w:t>We have issued warrants for the purchase of our Series 1 nonconvertible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and we have issued Series 1 nonconvertible preferred stock, both of which we believe are financial instruments that may require a transfer of assets because of the liquidation preference features of the underlying stock. Therefore, we have classified these warrants and Series 1 nonconvertible preferred stock as liabilities that we remeasure to fair value at each reporting period and we record the changes in the fair value of the warrants and Series 1 nonconvertible preferred stock as a component of other income (expense).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tax expense is based on our best estimate of applicable income tax rates for the entire fiscal year applied to pre-tax profit reported for the year to date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our Annual Report on Form 10-K for the fiscal year ended September 30, 2015 (referred to as our 2015 Form 10-K) for information about these accounting policies as well as a description of our other significant accounting policies. We believe that of our significant accounting policies, the following accounting policies involve the most judgment and complexity:</w:t>
      </w:r>
    </w:p>
    <w:p>
      <w:pPr>
        <w:spacing w:after="0" w:line="8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of warrants and related preferred stock.</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have been no material changes in our critical accounting policies since September 30, 2015. For further information, please see the discussion of critical accounting policies included in our 2015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2016 and 2015</w:t>
      </w:r>
    </w:p>
    <w:p>
      <w:pPr>
        <w:spacing w:after="0" w:line="244"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 Ended</w:t>
      </w:r>
    </w:p>
    <w:p>
      <w:pPr>
        <w:jc w:val="center"/>
        <w:ind w:left="70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3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4"/>
          </w:tcPr>
          <w:p>
            <w:pPr>
              <w:jc w:val="right"/>
              <w:ind w:right="19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$13,004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$ 57,367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gridSpan w:val="4"/>
          </w:tcPr>
          <w:p>
            <w:pPr>
              <w:jc w:val="right"/>
              <w:ind w:right="120"/>
              <w:spacing w:after="0"/>
              <w:rPr>
                <w:sz w:val="20"/>
                <w:szCs w:val="20"/>
                <w:color w:val="auto"/>
              </w:rPr>
            </w:pPr>
            <w:r>
              <w:rPr>
                <w:rFonts w:ascii="Arial" w:cs="Arial" w:eastAsia="Arial" w:hAnsi="Arial"/>
                <w:sz w:val="18"/>
                <w:szCs w:val="18"/>
                <w:color w:val="auto"/>
              </w:rPr>
              <w:t>9,143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4,426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(11)</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138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 and Series 1 preferred stock</w:t>
            </w:r>
          </w:p>
        </w:tc>
        <w:tc>
          <w:tcPr>
            <w:tcW w:w="1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30"/>
        </w:trPr>
        <w:tc>
          <w:tcPr>
            <w:tcW w:w="138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Income tax provision</w:t>
            </w: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(1,552)</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(20,018)</w:t>
            </w:r>
          </w:p>
        </w:tc>
      </w:tr>
      <w:tr>
        <w:trPr>
          <w:trHeight w:val="418"/>
        </w:trPr>
        <w:tc>
          <w:tcPr>
            <w:tcW w:w="7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3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138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13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8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5"/>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1720" w:type="dxa"/>
            <w:vAlign w:val="bottom"/>
            <w:gridSpan w:val="4"/>
          </w:tcPr>
          <w:p>
            <w:pPr>
              <w:jc w:val="right"/>
              <w:ind w:right="380"/>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13,004</w:t>
            </w: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100" w:type="dxa"/>
            <w:vAlign w:val="bottom"/>
            <w:shd w:val="clear" w:color="auto" w:fill="CCEEFF"/>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NIAID contract</w:t>
            </w: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13,004</w:t>
            </w: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57,367</w:t>
            </w:r>
          </w:p>
        </w:tc>
        <w:tc>
          <w:tcPr>
            <w:tcW w:w="100" w:type="dxa"/>
            <w:vAlign w:val="bottom"/>
            <w:shd w:val="clear" w:color="auto" w:fill="CCEEFF"/>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recognized revenue of $13.0 million during the three months ended March 31, 2016, as compared to $57.4 million during the three months ended March 31, 2015. During the three months ended March 31, 2016, revenue consisted of royalties on the portion of AbbVie’s net sales of its HCV treatment regimens allocable to paritaprevir. During the three months ended March 31, 2015, revenue consisted of a $50.0 million milestone payment from AbbVie upon commercialization regulatory approval of paritaprevir-containing regimens in Europe, $7.0 million in royalties on the portion of AbbVie’s net sales of its HCV treatment regimen allocable to paritaprevir, and $0.4 million under our contract with NIAID, which ended in fiscal 2015.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4"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Three Months Ended</w:t>
      </w:r>
    </w:p>
    <w:p>
      <w:pPr>
        <w:jc w:val="center"/>
        <w:ind w:left="69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5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540" w:type="dxa"/>
            <w:vAlign w:val="bottom"/>
            <w:gridSpan w:val="4"/>
          </w:tcPr>
          <w:p>
            <w:pPr>
              <w:jc w:val="right"/>
              <w:ind w:right="25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R&amp;D programs:</w:t>
            </w:r>
          </w:p>
        </w:tc>
        <w:tc>
          <w:tcPr>
            <w:tcW w:w="1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Virology</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$ 4,668</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2,475</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Liver disease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1,737</w:t>
            </w:r>
          </w:p>
        </w:tc>
        <w:tc>
          <w:tcPr>
            <w:tcW w:w="100" w:type="dxa"/>
            <w:vAlign w:val="bottom"/>
            <w:shd w:val="clear" w:color="auto" w:fill="CCEEFF"/>
          </w:tcPr>
          <w:p>
            <w:pPr>
              <w:spacing w:after="0"/>
              <w:rPr>
                <w:sz w:val="18"/>
                <w:szCs w:val="18"/>
                <w:color w:val="auto"/>
              </w:rPr>
            </w:pPr>
          </w:p>
        </w:tc>
      </w:tr>
      <w:tr>
        <w:trPr>
          <w:trHeight w:val="223"/>
        </w:trPr>
        <w:tc>
          <w:tcPr>
            <w:tcW w:w="5200" w:type="dxa"/>
            <w:vAlign w:val="bottom"/>
          </w:tcPr>
          <w:p>
            <w:pPr>
              <w:ind w:left="360"/>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1,156</w:t>
            </w:r>
          </w:p>
        </w:tc>
        <w:tc>
          <w:tcPr>
            <w:tcW w:w="100" w:type="dxa"/>
            <w:vAlign w:val="bottom"/>
          </w:tcPr>
          <w:p>
            <w:pPr>
              <w:spacing w:after="0"/>
              <w:rPr>
                <w:sz w:val="19"/>
                <w:szCs w:val="19"/>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$ 9,143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5,368</w:t>
            </w:r>
          </w:p>
        </w:tc>
        <w:tc>
          <w:tcPr>
            <w:tcW w:w="100" w:type="dxa"/>
            <w:vAlign w:val="bottom"/>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Research and development expenses increased $3.8 million from the three months ended March 31, 2015, as compared to the same period in 2016. The increase was primarily due to an increase in headcount to support our preclinical activities, expansion of our research facility and an increase in clinical and preclinical activities in our virology and liver disease programs.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increased by $1.0 million from the three months ended March 31, 2015,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same period in 2016. The increase was primarily due to an increase in stock-based compensation expense related to an increase in headcount, additional stock option grants to employees, and achievement of performance-based option milestones granted to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Changes in components of other income (expense), net, were as follows: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The increase in interest income for the three months ended March 31, 2016, as compared to the same period in 2015, was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investment balances in the second fiscal quarter of 2016 as compared to 2015.</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Change in fair value of warrant liability and Series 1 nonconvertible preferred stock</w:t>
      </w:r>
      <w:r>
        <w:rPr>
          <w:rFonts w:ascii="Arial" w:cs="Arial" w:eastAsia="Arial" w:hAnsi="Arial"/>
          <w:sz w:val="16"/>
          <w:szCs w:val="16"/>
          <w:color w:val="auto"/>
        </w:rPr>
        <w:t>. During the three months ended March 31, 2016, we recorded income</w:t>
      </w:r>
      <w:r>
        <w:rPr>
          <w:rFonts w:ascii="Arial" w:cs="Arial" w:eastAsia="Arial" w:hAnsi="Arial"/>
          <w:sz w:val="16"/>
          <w:szCs w:val="16"/>
          <w:i w:val="1"/>
          <w:iCs w:val="1"/>
          <w:color w:val="auto"/>
        </w:rPr>
        <w:t xml:space="preserve"> </w:t>
      </w:r>
      <w:r>
        <w:rPr>
          <w:rFonts w:ascii="Arial" w:cs="Arial" w:eastAsia="Arial" w:hAnsi="Arial"/>
          <w:sz w:val="16"/>
          <w:szCs w:val="16"/>
          <w:color w:val="auto"/>
        </w:rPr>
        <w:t>due to a decrease in the fair value of our warrant liability and Series 1 nonconvertible preferred stock as a result of the remeasurement of our warrant liability and Series 1 nonconvertible preferred stock. During the same period in 2015, we recorded an expense due to an increase in the fair value of our warrant liability and Series 1 nonconvertible preferred stock as a result of the remeasurement of our warrant liability and Series 1 nonconvertible preferred stock.</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For the three months ended March 31, 2016 and March 31, 2015, we recorded an income tax provision of $1.6 million and $20.0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 For the three months ended March 31, 2016 we increased our estimate of our annual effective tax rate for fiscal 2016, which resulted in an income tax provision of $1.6 million, despite our pre-tax loss for the quarter. For the three months ended March 31, 2015 we recorded an income tax provision of $20.0 million, which represented an effective tax rate of 41.0%.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March 31, 2016 and 2015</w:t>
      </w:r>
    </w:p>
    <w:p>
      <w:pPr>
        <w:spacing w:after="0" w:line="244"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Six Months Ended</w:t>
      </w:r>
    </w:p>
    <w:p>
      <w:pPr>
        <w:jc w:val="center"/>
        <w:ind w:left="69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$ 61,449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$134,865</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gridSpan w:val="2"/>
          </w:tcPr>
          <w:p>
            <w:pPr>
              <w:jc w:val="right"/>
              <w:ind w:right="48"/>
              <w:spacing w:after="0"/>
              <w:rPr>
                <w:sz w:val="20"/>
                <w:szCs w:val="20"/>
                <w:color w:val="auto"/>
              </w:rPr>
            </w:pPr>
            <w:r>
              <w:rPr>
                <w:rFonts w:ascii="Arial" w:cs="Arial" w:eastAsia="Arial" w:hAnsi="Arial"/>
                <w:sz w:val="18"/>
                <w:szCs w:val="18"/>
                <w:color w:val="auto"/>
              </w:rPr>
              <w:t>18,176</w:t>
            </w:r>
          </w:p>
        </w:tc>
        <w:tc>
          <w:tcPr>
            <w:tcW w:w="760" w:type="dxa"/>
            <w:vAlign w:val="bottom"/>
          </w:tcPr>
          <w:p>
            <w:pPr>
              <w:jc w:val="right"/>
              <w:spacing w:after="0"/>
              <w:rPr>
                <w:sz w:val="20"/>
                <w:szCs w:val="20"/>
                <w:color w:val="auto"/>
              </w:rPr>
            </w:pPr>
            <w:r>
              <w:rPr>
                <w:rFonts w:ascii="Arial" w:cs="Arial" w:eastAsia="Arial" w:hAnsi="Arial"/>
                <w:sz w:val="18"/>
                <w:szCs w:val="18"/>
                <w:color w:val="auto"/>
              </w:rPr>
              <w:t>9,887</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8,244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6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 and Series 1 preferred stock</w:t>
            </w:r>
          </w:p>
        </w:tc>
        <w:tc>
          <w:tcPr>
            <w:tcW w:w="16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Income tax provision</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(11,286)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(48,520)</w:t>
            </w:r>
          </w:p>
        </w:tc>
      </w:tr>
      <w:tr>
        <w:trPr>
          <w:trHeight w:val="350"/>
        </w:trPr>
        <w:tc>
          <w:tcPr>
            <w:tcW w:w="6160" w:type="dxa"/>
            <w:vAlign w:val="bottom"/>
          </w:tcPr>
          <w:p>
            <w:pPr>
              <w:ind w:left="4240"/>
              <w:spacing w:after="0"/>
              <w:rPr>
                <w:sz w:val="20"/>
                <w:szCs w:val="20"/>
                <w:color w:val="auto"/>
              </w:rPr>
            </w:pPr>
            <w:r>
              <w:rPr>
                <w:rFonts w:ascii="Arial" w:cs="Arial" w:eastAsia="Arial" w:hAnsi="Arial"/>
                <w:sz w:val="18"/>
                <w:szCs w:val="18"/>
                <w:color w:val="auto"/>
              </w:rPr>
              <w:t>22</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43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2016</w:t>
            </w:r>
          </w:p>
        </w:tc>
        <w:tc>
          <w:tcPr>
            <w:tcW w:w="112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7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2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30,873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100" w:type="dxa"/>
            <w:vAlign w:val="bottom"/>
            <w:shd w:val="clear" w:color="auto" w:fill="CCEEFF"/>
          </w:tcPr>
          <w:p>
            <w:pPr>
              <w:spacing w:after="0"/>
              <w:rPr>
                <w:sz w:val="18"/>
                <w:szCs w:val="18"/>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NIAID contract</w:t>
            </w:r>
          </w:p>
        </w:tc>
        <w:tc>
          <w:tcPr>
            <w:tcW w:w="25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19"/>
                <w:szCs w:val="19"/>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61,449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134,865</w:t>
            </w:r>
          </w:p>
        </w:tc>
        <w:tc>
          <w:tcPr>
            <w:tcW w:w="100" w:type="dxa"/>
            <w:vAlign w:val="bottom"/>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recognized revenue of $61.4 million during the six months ended March 31, 2016, as compared to $134.9 million during the six months ended March 31, 2015. During the six months ended March 31, 2016 and 2015, we recognized $30.0 million and $125.0 million, respectively, in milestone payments under our collaboration with AbbVie as a result of regulatory approvals for AbbVie’s paritaprevir-containing regimens in Japan and the U.S. and EU, respectively. We earned royalties of $30.9 million and $8.4 million during the six months ended March 31, 2016 and 2015, respectively, related to net sales of AbbVie’s paritaprevir-containing regimens. Government contract revenue was $0.6 million and $1.5 million during the six months ended March 31, 2016 and 2015, respectively, under our contract with NIAID which ended in fiscal 2015. We recognized revenue under our NIAID contract in the first quarter of fiscal 2016 based on final billings after the contract was completed at the end of fiscal 2015.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5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tcPr>
          <w:p>
            <w:pPr>
              <w:jc w:val="center"/>
              <w:ind w:right="1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R&amp;D programs: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Virology</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Liver disease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8"/>
                <w:szCs w:val="18"/>
                <w:color w:val="auto"/>
              </w:rPr>
            </w:pPr>
          </w:p>
        </w:tc>
      </w:tr>
      <w:tr>
        <w:trPr>
          <w:trHeight w:val="223"/>
        </w:trPr>
        <w:tc>
          <w:tcPr>
            <w:tcW w:w="5200" w:type="dxa"/>
            <w:vAlign w:val="bottom"/>
          </w:tcPr>
          <w:p>
            <w:pPr>
              <w:ind w:left="360"/>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19"/>
                <w:szCs w:val="19"/>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9,887</w:t>
            </w:r>
          </w:p>
        </w:tc>
        <w:tc>
          <w:tcPr>
            <w:tcW w:w="100" w:type="dxa"/>
            <w:vAlign w:val="bottom"/>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increased $8.3 million from the six months ended March 31, 2015, as compared to the same period in 2016. The increase was primarily due to an increase in headcount to support our preclinical activities, expansion of our research facility and an increase in clinical and preclinical activities in our virology and liver disease programs.</w:t>
      </w:r>
    </w:p>
    <w:p>
      <w:pPr>
        <w:spacing w:after="0" w:line="181" w:lineRule="exact"/>
        <w:rPr>
          <w:sz w:val="20"/>
          <w:szCs w:val="20"/>
          <w:color w:val="auto"/>
        </w:rPr>
      </w:pPr>
    </w:p>
    <w:p>
      <w:pPr>
        <w:jc w:val="both"/>
        <w:ind w:right="600"/>
        <w:spacing w:after="0" w:line="31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increased by $2.0 million from the six months ended March 31, 2015,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same period in 2016. The increase was primarily due to an increase in stock-based compensation expense as a result of an increase in headcount, additional stock option grants to employees, and achievement of performance-based option milestones granted to management.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Changes in components of other income (expense), net, were as follows: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The increase in interest income for the six months ended March 31, 2016, as compared to the six months ended March 31, 2015,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average investment balances in the first six months of 2016 as compared to the same period in 2015.</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Change in fair value of warrant liability and Series 1 nonconvertible preferred stock</w:t>
      </w:r>
      <w:r>
        <w:rPr>
          <w:rFonts w:ascii="Arial" w:cs="Arial" w:eastAsia="Arial" w:hAnsi="Arial"/>
          <w:sz w:val="18"/>
          <w:szCs w:val="18"/>
          <w:color w:val="auto"/>
        </w:rPr>
        <w:t>. During the six months ended March 31, 2016 and 2015, we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due to a decrease in the fair value of our warrant liability and Series 1 nonconvertible preferred stock as a result of the remeasurement of our warrant liability and Series 1 nonconvertible preferred stock.</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For the six months ended March 31, 2016 and March 31, 2015, we recorded an income tax provision of $11.3 million and $48.5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respectively, representing an estimated annual effective tax rate of 31.5% and 40.7%, respectively. For the six months ended March 31, 2016 our estimated annual effective tax rate was lower than in the comparable period of 2015 primarily due to Congress’ reinstatement of federal research and development tax credits during the most recent fiscal year which is included in the 2016 annual effective tax rate.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2016, our principal sources of liquidity were cash, cash equivalents and short-term and long-term marketable securities totaling $245.6 million.</w:t>
      </w:r>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From our inception through March 31, 2016, we have financed our operations, primarily through contract payments under our collaborations, government research and development contracts and grants, private placements, and our initial public offering of our equity. The following table shows a summary of our cash flows for the six months ended March 31, 2016 and 2015.</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4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4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0"/>
              <w:spacing w:after="0"/>
              <w:rPr>
                <w:sz w:val="20"/>
                <w:szCs w:val="20"/>
                <w:color w:val="auto"/>
              </w:rPr>
            </w:pPr>
            <w:r>
              <w:rPr>
                <w:rFonts w:ascii="Arial" w:cs="Arial" w:eastAsia="Arial" w:hAnsi="Arial"/>
                <w:sz w:val="18"/>
                <w:szCs w:val="18"/>
                <w:color w:val="auto"/>
                <w:w w:val="87"/>
              </w:rPr>
              <w:t>40,047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93,251</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w w:val="94"/>
              </w:rPr>
              <w:t>(6,089)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(100,458)</w:t>
            </w:r>
          </w:p>
        </w:tc>
      </w:tr>
      <w:tr>
        <w:trPr>
          <w:trHeight w:val="230"/>
        </w:trPr>
        <w:tc>
          <w:tcPr>
            <w:tcW w:w="438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0"/>
              <w:spacing w:after="0"/>
              <w:rPr>
                <w:sz w:val="20"/>
                <w:szCs w:val="20"/>
                <w:color w:val="auto"/>
              </w:rPr>
            </w:pPr>
            <w:r>
              <w:rPr>
                <w:rFonts w:ascii="Arial" w:cs="Arial" w:eastAsia="Arial" w:hAnsi="Arial"/>
                <w:sz w:val="18"/>
                <w:szCs w:val="18"/>
                <w:color w:val="auto"/>
              </w:rPr>
              <w:t>676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decrease in cash provided by operating activities of $53.2 million from the six months ended March 31, 2015 to the same period in 2016 is primarily driven by a decrease in cash receipts of $64.2 million under our collaboration with AbbVie. We received $62.2 million in cash from AbbVie during the first six months of fiscal 2016 compared to $126.4 million during the first six months of 2015. Receipts from AbbVie in the first six months of 2015 were primarily triggered by achievement of milestones upon commercialization regulatory approval in the U.S. and EU for AbbVie’s first HCV treatment regimen containing paritaprevir. In the first six months of 2016, we generated cash receipts from a $30.0 million payment upon commercialization regulatory approval of paritaprevir in Japan and royalties of $32.2 million based on AbbVie’s net sales of its HCV regimens. In addition, we increased cash spending on research and development by $7.6 million during the first six months of 2016 compared to the same period in 2015 in order to progress clinical and preclinical studies in our proprietary programs. This decrease in our cash balance was partially offset by a decrease of $16.4 million in income tax payments in 2016 as compared to 2015.</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decrease in cash used in investing activities of $94.4 million from the six months ended March 31, 2015 to the same period in 2016 was driven by timing of purchases and maturities of marketable securities. During the six months ended March 31, 2016, we utilized $84.6 million of cash to purchase marketable securities, offset by $82.2 million of cash received from the maturity of marketable securities, compared to $135.8 million of cash used to purchase marketable securities, offset by maturities of marketable securities of $33.7 million and sales of marketable securities of $2.2 million in the same comparable period in 2015. During the six months ended March 31, 2016 we also utilized cash of $3.7 million as part of the expansion of our research facility compared to $0.4 million of cash used to purchase fixed assets in the same comparable period in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decrease in net cash provided by financing activities of $1.6 million from the six months ended March 31, 2015 to the same period in 2016 was driven by a lower income tax benefit from the exercise of stock options of $1.9 million, partially offset by an increase in proceeds from exercises of stock options of $0.3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2016, we had $245.6 million in cash, cash equivalents and short-term and long-term marketable securities. We believe that our existing cash, cash equivalents and marketable securities as of March 31, 2016,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31" w:lineRule="exact"/>
        <w:rPr>
          <w:sz w:val="20"/>
          <w:szCs w:val="20"/>
          <w:color w:val="auto"/>
        </w:rPr>
      </w:pPr>
    </w:p>
    <w:p>
      <w:pPr>
        <w:ind w:left="5620" w:right="1880" w:hanging="5166"/>
        <w:spacing w:after="0" w:line="449" w:lineRule="auto"/>
        <w:tabs>
          <w:tab w:leader="none" w:pos="8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significant royalties, to us; 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whether we exercise any opt-in right under the AbbVie Agreement regarding any protease inhibitor other than paritaprevir or ABT-493;</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on our own, and conducting preclinical research and clinical trials;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candidates we develop independently;</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future product candidates we develop independently that are approved for sale, including marketing, sales and distribution costs;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any products we successfully commercialize independently;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paritaprevir, ABT-493 and our future product candidates, if 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our Annual Report on Form 10-K for the year ended September 30, 2015, Part II, Item 7, Management’s Discussion and Analysis of Financial Conditions and Results of Operations, under the heading “Contractual Obligations and Commitments”, we have described our commitments and contingencies. There were no material changes in our commitments and contingencies during the six months ended March 31,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 ABOUT MARKET RISK </w:t>
      </w:r>
      <w:r>
        <w:rPr>
          <w:rFonts w:ascii="Arial" w:cs="Arial" w:eastAsia="Arial" w:hAnsi="Arial"/>
          <w:sz w:val="18"/>
          <w:szCs w:val="18"/>
          <w:b w:val="1"/>
          <w:bCs w:val="1"/>
          <w:i w:val="1"/>
          <w:iCs w:val="1"/>
          <w:color w:val="auto"/>
        </w:rPr>
        <w:t>Interest Rate Sensitivity</w:t>
      </w:r>
    </w:p>
    <w:p>
      <w:pPr>
        <w:ind w:right="280"/>
        <w:spacing w:after="0" w:line="259" w:lineRule="auto"/>
        <w:rPr>
          <w:sz w:val="20"/>
          <w:szCs w:val="20"/>
          <w:color w:val="auto"/>
        </w:rPr>
      </w:pPr>
      <w:r>
        <w:rPr>
          <w:rFonts w:ascii="Arial" w:cs="Arial" w:eastAsia="Arial" w:hAnsi="Arial"/>
          <w:sz w:val="18"/>
          <w:szCs w:val="18"/>
          <w:color w:val="auto"/>
        </w:rPr>
        <w:t>We had cash, cash equivalents and short-term and long-term marketable securities of $245.6 million at March 31, 2016 consisting of cash, money market funds, commercial paper, corporate bonds and government securities. Interest income is sensitive to changes in the general level of interest rates; however, due to the nature of these investments, we do not believe that we have any material exposure to changes in the fair value of our investment portfolio as a result of changes in interest rates. We had no debt outstanding as of March 31, 2016.</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66"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the development and commercialization efforts of AbbVie for combination therapies incorporating the protease inhibitors paritaprevir or ABT-493 for the treatment of HCV. AbbVie may act in its best interest rather than in our best interest, which could adversely affect our business.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rely on AbbVie to fund and conduct the clinical development and commercialization of regimens containing paritaprevir or ABT-493 (our second protease inhibitor, in clinical development), over which AbbVie has complete control. Our ability to generate significant revenue in the near term will depend primarily on the successful development, regulatory approval, marketing and commercialization by AbbVie of combination therapies incorporating paritaprevir or ABT-493. Such success is subject to significant uncertainty, and we have no control over the resources, time and effort that AbbVie may devote to paritaprevir or ABT-493. Any of several events or factors could have a material adverse effect on our ability to generate revenue from AbbVie’s commercialization of paritaprevir or potentially ABT-493 in combination therapies. For example, AbbVie:</w:t>
      </w:r>
    </w:p>
    <w:p>
      <w:pPr>
        <w:spacing w:after="0" w:line="84" w:lineRule="exact"/>
        <w:rPr>
          <w:sz w:val="20"/>
          <w:szCs w:val="20"/>
          <w:color w:val="auto"/>
        </w:rPr>
      </w:pPr>
    </w:p>
    <w:p>
      <w:pPr>
        <w:jc w:val="both"/>
        <w:ind w:left="900" w:right="48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achieve satisfactory levels of market acceptance and reimbursement by physicians, patients and third-party payers for combination therapies incorporating one of our protease inhibitor product candidates in the various markets of the world where these therapies are being introduced and sold by AbbVie;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compete successfully with its combination therapies against other products and therapies for HCV;</w:t>
      </w:r>
    </w:p>
    <w:p>
      <w:pPr>
        <w:spacing w:after="0" w:line="130"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paritaprevir or similar restrictions or additional clinical trials for ABT-493;</w:t>
      </w:r>
    </w:p>
    <w:p>
      <w:pPr>
        <w:spacing w:after="0" w:line="75" w:lineRule="exact"/>
        <w:rPr>
          <w:rFonts w:ascii="Arial" w:cs="Arial" w:eastAsia="Arial" w:hAnsi="Arial"/>
          <w:sz w:val="18"/>
          <w:szCs w:val="18"/>
          <w:color w:val="auto"/>
        </w:rPr>
      </w:pPr>
    </w:p>
    <w:p>
      <w:pPr>
        <w:ind w:left="900" w:right="96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the FDA and similar foreign regulatory agencies, and all commercially necessary reimbursement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be unable to complete successfully the clinical development of an ABT-493-containing regimen;</w:t>
      </w:r>
    </w:p>
    <w:p>
      <w:pPr>
        <w:spacing w:after="0" w:line="130" w:lineRule="exact"/>
        <w:rPr>
          <w:rFonts w:ascii="Arial" w:cs="Arial" w:eastAsia="Arial" w:hAnsi="Arial"/>
          <w:sz w:val="18"/>
          <w:szCs w:val="18"/>
          <w:color w:val="auto"/>
        </w:rPr>
      </w:pPr>
    </w:p>
    <w:p>
      <w:pPr>
        <w:jc w:val="both"/>
        <w:ind w:left="900" w:right="64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commit sufficient resources to the development or regulatory approval of regimens containing ABT-493 or to the marketing and distribution of regimens containing paritaprevir or ABT-493, whether for competitive or strategic reasons or otherwise due to a change in business priorities;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unilaterally terminate our collaboration agreement on specified prior notice without any reason and without any further commitment to continue development of any of our protease inhibitor candidates;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be able to manufacture paritaprevir or ABT-493 in compliance with requirements of the FDA and similar foreign regulatory agencies and in commercial quantities sufficient to meet market demand;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independently develop products that compete with regimens containing paritaprevir or ABT-493 in the treatment of HCV.</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do not have access to all information regarding the products being developed and potentially commercialized by AbbVie, including information about clinical trial design and execution, safety reports from clinical trials, spontaneous safety reports for any marketed product, regulatory affairs, process development, manufacturing, marketing, sales and other areas known by AbbVie. Thus, our ability to keep our stockholders informed about the status of products and product candidates under our collaboration is limited by the degree to which AbbVie keeps us informed. If AbbVie does not perform in the manner we expect or fulfill its responsibilities in a timely manner, or at all, the further development and global commercialization of paritaprevir and the clinical development, regulatory approval and commercialization efforts related to ABT-493 could be delayed or terminated or be commercially unsuccessful. In addition, AbbVie has the right to make decisions regarding the development and commercialization of product candidates without consulting us, and may make decisions with which we do not agree. Conflicts between us and AbbVie may arise if there is a dispute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about the progress of the clinical development of a product candidate, the achievement and payment of a milestone amount, the relative values allocated to the pharmaceutically active ingredients, or the ownership of intellectual property developed during the course of our collaboration agreement. If AbbVie acts in a manner that is not in our best interest, then it could adversely affect our business and prospects.</w:t>
      </w:r>
    </w:p>
    <w:p>
      <w:pPr>
        <w:spacing w:after="0" w:line="181" w:lineRule="exact"/>
        <w:rPr>
          <w:sz w:val="20"/>
          <w:szCs w:val="20"/>
          <w:color w:val="auto"/>
        </w:rPr>
      </w:pPr>
    </w:p>
    <w:p>
      <w:pPr>
        <w:ind w:right="280"/>
        <w:spacing w:after="0" w:line="340" w:lineRule="auto"/>
        <w:rPr>
          <w:sz w:val="20"/>
          <w:szCs w:val="20"/>
          <w:color w:val="auto"/>
        </w:rPr>
      </w:pPr>
      <w:r>
        <w:rPr>
          <w:rFonts w:ascii="Arial" w:cs="Arial" w:eastAsia="Arial" w:hAnsi="Arial"/>
          <w:sz w:val="15"/>
          <w:szCs w:val="15"/>
          <w:b w:val="1"/>
          <w:bCs w:val="1"/>
          <w:i w:val="1"/>
          <w:iCs w:val="1"/>
          <w:color w:val="auto"/>
        </w:rPr>
        <w:t>We and AbbVie face substantial competition in the markets for HCV drugs, and there are many companies developing potential therapies for non-alcoholic steatohepatitis (“NASH”), hepatitis B virus (“HBV”) and respiratory syncytial virus (“RSV”), as well as other liver and viral diseases, which may result in others discovering, developing or commercializing products before we do or doing so more successfully than we or our collaborators.</w:t>
      </w:r>
    </w:p>
    <w:p>
      <w:pPr>
        <w:spacing w:after="0" w:line="13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HBV, RSV and other infectious diseases or liver diseases that we may target in the future.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 and greater financial, technical and personnel resources than we have, as well as drug candidates in late-stage clinical development.</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competitors may succeed in developing competing products and obtaining regulatory approval before we or any collaborator of ours does with our product candidates, or they may gain acceptance for the same markets that we are targeting. If we are not “first to market” with one of our product candidates in one or more disease indications, our competitive position could be compromised because it may be more difficult for us to obtain marketing approval for that product candidate and market acceptance of that product candidate as a second competitor. In addition, any new product that competes with an approved product typically must demonstrate compelling advantages in efficacy, convenience, tolerability or safety, or some combination of these factors, in order to overcome price competition and be commercially successful.</w:t>
      </w:r>
    </w:p>
    <w:p>
      <w:pPr>
        <w:spacing w:after="0" w:line="178"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We expect our current and future product candidates to face intense and increasing competition as new products continue to enter the HCV and antiviral markets and advanced technologies become available, particularly in the case of HCV in combinations with existing products and other new products. First generation protease inhibitors, Incivek</w:t>
      </w:r>
      <w:r>
        <w:rPr>
          <w:rFonts w:ascii="Arial" w:cs="Arial" w:eastAsia="Arial" w:hAnsi="Arial"/>
          <w:sz w:val="14"/>
          <w:szCs w:val="14"/>
          <w:color w:val="auto"/>
        </w:rPr>
        <w:t>®</w:t>
      </w:r>
      <w:r>
        <w:rPr>
          <w:rFonts w:ascii="Arial" w:cs="Arial" w:eastAsia="Arial" w:hAnsi="Arial"/>
          <w:sz w:val="17"/>
          <w:szCs w:val="17"/>
          <w:color w:val="auto"/>
        </w:rPr>
        <w:t xml:space="preserve"> (telaprevir) of Vertex and Victrelis™ (boceprevir) of Merck, were approved in 2011 by the FDA for the treatment of HCV, which in combination with interferon and ribavirin, were the previous standard of care. However, by January 2015 both Vertex and Merck had announced they would discontinue the sale of these products, noting competing treatments and diminishing market demand. The evolving competitive landscape in HCV intensified in December 2013, when the FDA approved sofosbuvir (Sovaldi</w:t>
      </w:r>
      <w:r>
        <w:rPr>
          <w:rFonts w:ascii="Arial" w:cs="Arial" w:eastAsia="Arial" w:hAnsi="Arial"/>
          <w:sz w:val="14"/>
          <w:szCs w:val="14"/>
          <w:color w:val="auto"/>
        </w:rPr>
        <w:t>®</w:t>
      </w:r>
      <w:r>
        <w:rPr>
          <w:rFonts w:ascii="Arial" w:cs="Arial" w:eastAsia="Arial" w:hAnsi="Arial"/>
          <w:sz w:val="17"/>
          <w:szCs w:val="17"/>
          <w:color w:val="auto"/>
        </w:rPr>
        <w:t>), a nucleotide analogue inhibitor of the HCV NS5B polymerase enzyme from Gilead, for patients with genotype 2 or 3 HCV and no requirement for interferon (also approved for patients with genotypes 1 or 4 when combined with pegylated interferon and ribavirin). On July 9, 2014, Bristol-Myers Squibb gained approval in Japan for the NS5A/protease inhibitor combination daclatasvir/asunaprevir. In October 2014 the FDA approved Gilead’s interferon-free Harvoni</w:t>
      </w:r>
      <w:r>
        <w:rPr>
          <w:rFonts w:ascii="Arial" w:cs="Arial" w:eastAsia="Arial" w:hAnsi="Arial"/>
          <w:sz w:val="14"/>
          <w:szCs w:val="14"/>
          <w:color w:val="auto"/>
        </w:rPr>
        <w:t>®</w:t>
      </w:r>
      <w:r>
        <w:rPr>
          <w:rFonts w:ascii="Arial" w:cs="Arial" w:eastAsia="Arial" w:hAnsi="Arial"/>
          <w:sz w:val="17"/>
          <w:szCs w:val="17"/>
          <w:color w:val="auto"/>
        </w:rPr>
        <w:t>, a fixed-dose combination of sofosbuvir and ledipasvir (a NS5A inhibitor) for patients with genotype 1 HCV. Also in November 2014 the FDA approved an interferon-free combination therapy of simeprevir (brand name Olysio</w:t>
      </w:r>
      <w:r>
        <w:rPr>
          <w:rFonts w:ascii="Arial" w:cs="Arial" w:eastAsia="Arial" w:hAnsi="Arial"/>
          <w:sz w:val="14"/>
          <w:szCs w:val="14"/>
          <w:color w:val="auto"/>
        </w:rPr>
        <w:t>®</w:t>
      </w:r>
      <w:r>
        <w:rPr>
          <w:rFonts w:ascii="Arial" w:cs="Arial" w:eastAsia="Arial" w:hAnsi="Arial"/>
          <w:sz w:val="17"/>
          <w:szCs w:val="17"/>
          <w:color w:val="auto"/>
        </w:rPr>
        <w:t>, from Janssen Therapeutics) and sofosbuvir for genotype 1 HCV patients. In December 2014, AbbVie’s VIEKIRA PAK treatment regimen containing our collaboration’s paritaprevir was approved by the FDA, and since then approvals of other paritaprevir-containing regimens and Harvoni followed in the EU and Japan. In July 2015, BMS received approval in the US for daclatasvir in combination with sofosbuvir for genotype 3 HCV patients. Also in that month, the FDA approved the paritaprevir-containing regimen Technivie</w:t>
      </w:r>
      <w:r>
        <w:rPr>
          <w:rFonts w:ascii="Arial" w:cs="Arial" w:eastAsia="Arial" w:hAnsi="Arial"/>
          <w:sz w:val="14"/>
          <w:szCs w:val="14"/>
          <w:color w:val="auto"/>
        </w:rPr>
        <w:t>TM</w:t>
      </w:r>
      <w:r>
        <w:rPr>
          <w:rFonts w:ascii="Arial" w:cs="Arial" w:eastAsia="Arial" w:hAnsi="Arial"/>
          <w:sz w:val="17"/>
          <w:szCs w:val="17"/>
          <w:color w:val="auto"/>
        </w:rPr>
        <w:t xml:space="preserve"> from our partner AbbVie for genotype 4 HCV patients. On January 28, 2016 Merck received FDA approval for its combination of a protease and an NS5A inhibitor for the treatment of patients with genotypes 1 or 4 HCV infection. Other all-oral treatment regimens are under development at Merck, Gilead and Johnson &amp; Johnson and may obtain regulatory approvals for the treatment of HCV in the next year. These other potential new treatment regimens may render AbbVie’s treatment regimens containing any of our HCV product candidates noncompetitive. In particular, regimens containing our HCV product candidates may not be able to compete successfully with other products and regimens, a number of which remain under active development and involve multiple classes of inhibitors of HCV, including protease inhibitors, polymerase inhibitors (nucleoside and non-nucleoside), NS5A inhibitors, and others, under development by companies such as Achillion, Bristol-Myers Squibb, Co-Crystal Pharma, Gilead, Johnson &amp; Johnson, Medivir, Merck, Regulus and Roche, as well as by our collaborator AbbVie.</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Competitive products in the form of other treatment methods or a vaccine for HCV may render our product candidates licensed to others, as well as any future product candidates we may develop ourselves, obsolete or noncompetitive. Even if successfully developed and subsequently approved by the FDA, our product candidates will face competition based on their safety and effectiveness, the timing and scope of the regulatory approvals, reimbursement coverage, price, patent position, the availability and cost of supply, marketing and sales capabilities, and other factors. If the product candidates developed under our collaboration agreement with AbbVie face competition from generic products, the collaboration agreement provides that the royalty rate applicable to such product candidates is reduced significantly by a specified percentage on a product-by-product, country-by-country basis. If we and our collaborator are not able to compete effectively against our current and future competitors, our business will not grow and our financial condition, operations and stock price will suffer.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Though there is currently no approved treatment for NASH, we expect significant competition from other companies in the development of new treatments for NASH and related conditions. We are aware of several companies with programs that are significantly more advanced than ours, including companies with compounds in Phase 3 in NASH, namely Intercept and Genfit. In addition, a number of companies are in Phase 2 clinical trials for NASH or related conditions. These companies include Alberio, Arisaph, Astra-Zeneca, BMS, Cempra, Conatus, Galectin, Galmed, Gilead, GlaxoSmithKline, Immuron, Medicinova, Novo Nordisk, and Tobira. A significant number of other companies are conducting earlier clinical trials that may be applicable in NASH and other cholestatic diseases, including Boehringer Ingelheim, Cymabay, Durect, Islet, Metabolic Solutions Development Company, NGM, Shire, and Viking, and there are additional companies conducting preclinical studies in these disease areas.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Gilead, Roche, Arbutus, and Arrowhead Pharmaceuticals have Phase 2 programs in progress, and a number of companies have Phase 1 or earlier stage HBV programs, including Alnylam, Arbutus, Assembly, Johnson &amp; Johnson, Ionis, Spring Bank and Replicor.</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RSV, there are no safe and effective approved therapies. Several companies are seeking new antiviral treatments for RSV in adult and pediatric settings. Aviragen (formerly Biota), Johnson &amp; Johnson and Gilead each have compounds in Phase 2 development, as does Ablynx with a potential therapeutic antibody. Earlier stage programs have also been reported by Ark Biosciences, and Medivir.</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future product candidates.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AbbVie has been and will continue to be responsible for all of the clinical development of our paritaprevir and ABT-493 protease inhibitor product candidates.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programs for HCV using our cyclophilin inhibitor in one or more combination regimens as well as for any of our research programs beyond HCV, we will need to successfully:</w:t>
      </w:r>
    </w:p>
    <w:p>
      <w:pPr>
        <w:spacing w:after="0" w:line="94" w:lineRule="exact"/>
        <w:rPr>
          <w:sz w:val="20"/>
          <w:szCs w:val="20"/>
          <w:color w:val="auto"/>
        </w:rPr>
      </w:pPr>
    </w:p>
    <w:p>
      <w:pPr>
        <w:ind w:left="900" w:right="16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execute clinical development of our future product candidates and demonstrate acceptable safety and efficacy for them alone and, at least in the case of HCV, in combination with other drugs or drug candidates;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future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and maintain patent protection for our product candidates and freedom from infringement of intellectual property of others;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 market acceptance for our future product candidates among physicians, payers and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future product candidates and expand our business or continue our operations.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further product candidates in addition to paritaprevir, ABT-493 and EDP-494 our ability to expand our business and achieve our strategic objectives will be impaired.</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Most of our internal research programs are at preclinical stages. Research programs designed to identify product candidates require substantial technical, financial and human resources, whether or not any product candidates are ultimately identified. Our research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programs may initially show promise in identifying additional potential product candidates, yet fail to yield product candidates for clinical development or commercialization for many reasons, including the following:</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future product candidates less commercially viable or obsolete;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potential product candidate;</w:t>
      </w:r>
    </w:p>
    <w:p>
      <w:pPr>
        <w:spacing w:after="0" w:line="130" w:lineRule="exact"/>
        <w:rPr>
          <w:rFonts w:ascii="Arial" w:cs="Arial" w:eastAsia="Arial" w:hAnsi="Arial"/>
          <w:sz w:val="18"/>
          <w:szCs w:val="18"/>
          <w:color w:val="auto"/>
        </w:rPr>
      </w:pPr>
    </w:p>
    <w:p>
      <w:pPr>
        <w:ind w:left="900" w:right="360" w:hanging="446"/>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future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future product candidate may not be capable of being produced in commercial quantities at an acceptable cost, or at all.</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and Yat Sun Or, Ph.D., our Senior Vice President, Research and Development and Chief Scientific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future product candidates.</w:t>
      </w:r>
    </w:p>
    <w:p>
      <w:pPr>
        <w:spacing w:after="0" w:line="17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commercial activities. We may not be able to attract and retain quality personnel on acceptable terms.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associated with development of our product candidates may cause our earnings to fluctuate from period to period.</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Many of the preclinical and clinical development activities required for our product candidates will have to be contracted out to CROs at significant expense. It is difficult to accurately predict the timing of these expenses, and we expect that they will vary from quarter to quarter. In addition, the FDA or other regulatory agencies may require more preclinical or clinical testing than we originally anticipated for any of our drug candidates. We may also be required to purchase expensive competitor drugs for use in our trials, either to demonstrate potential treatment combinations or as comparators to our product candidates. As a result, the expenses of our development programs and our operating results may fluctuate significantly from quarter to quarter, and our stock price may be adversely affected.</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To date, our principal sources of revenue have been our collaboration agreements, including our current agreement with AbbVie and our prior agreement with Novartis. Future milestone payments and the level of royalties under the AbbVie agreement are uncertain. We have had no products approved for commercial sale by us. Therefore, it is possible that we may incur operating losses in one or more years in the future, and our ability to achieve sustained profitability is unproven.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each of our 2013, 2014 and 2015 fiscal years as well as in the first quarter of fiscal 2016, our net income resulted primarily from license payments, including milestone payments we earned from AbbVie and/or Novartis and royalties we earned since December 2014 on AbbVie’s net sales allocated to paritaprevir. There is no assurance, however, that we will report net income in subsequent years. To date, we have not commercialized any products ourselves.</w:t>
      </w:r>
    </w:p>
    <w:p>
      <w:pPr>
        <w:spacing w:after="0" w:line="14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principal source of revenue historically has been our collaboration agreements, including our current agreement with AbbVie. The level of future royalties on paritaprevir are uncertain given the competitive nature of the market for HCV therapies, the emergence of new, and in some cases, not yet approved, therapies for HCV, the changing nature of payer contracts of AbbVie and others, and the varying rates of reimbursement in different countries. In addition, it is not yet clear what will be the long-term impact, if any, of the October 2015 drug safety communication from the FDA regarding the risks of AbbVie’s VIEKIRA PAK and TECHNIVIE regimens in patients with decompensated cirrhosis, for which those regimens had never been recommended. Future milestone payments are uncertain because AbbVie may choose not to continue research or development activities for our ABT-493 product candidate. For example, under our previous collaboration with Novartis for the development of our NS5A inhibitor, Novartis decided in September 2014 not to pursue further development of the licensed product candidate in light of its decision that HCV was no longer a strategic focus of Novartis, which resulted in the NS5A inhibitor program being transferred back to us and our collaboration being terminated. In addition, under our AbbVie collaboration we may not achieve the specified milestones for ABT-493, that product candidate may not be approved by the FDA or other regulatory authorities or, if ABT-493 is approved, the combination containing it may not be accepted in the market. If we are unable to develop and commercialize any more of our product candidates, either alone or with a collaborator, or if any such product candidate does not achieve market acceptance, we may never generate sufficient product royalties or product sales. In addition, for any of our product candidates other than paritaprevir or ABT-493 included in a treatment regimen with more than one active compound, it would be uncertain what portion of net sales of the regimen would be allocated to our product candidate. The existence of multiple active compounds in the regimen or an unfavorable allocation to our product candidate could adversely affect our royalty revenue.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may require substantial additional financing in the longer term to achieve our goals if the further commercialization of paritaprevir is delayed or curtailed or if the development of ABT-493 is delayed or terminated. A failure to obtain this necessary capital when needed could force us to delay, limit, reduce or terminate some or all of our product development efforts.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our collaborator in developing our licensed product candidate ABT-493. In addition, we may seek opportunities to in-license or otherwise acquire new therapeutic candidates and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3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on our own, including conducting preclinical research and clinical trials;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candidates we develop independently;</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future product candidates we develop independently that are approved for sale, including marketing, sales and distribution costs;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any products we successfully commercialize independently, including manufacturing for clinical development;</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future sales of paritaprevir-containing regimens and the resulting levels of annually tiered royalties on paritaprevir, as well as the level of potential sales, if any, of ABT-493-containing regimens.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government funded contract for our antibiotic program, which was concluded in fiscal 2015, is subject to audit and adjustments that could affect our previously reported revenues.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contract with the National Institute of Allergy and Infectious Diseases, or NIAID, a division of the National Institutes of Health, an agency of the United States Department of Health and Human Services, to support our antibiotic program, was completed in fiscal 2015. Our contract related costs and fees, including allocated indirect costs, are subject to audits and adjustments by negotiation between us and the U.S. government. As part of the audit process, the government audit agency verifies that all charges made by a contractor against a contract are legitimate and appropriate. Audits may result in recalculation of contract revenues and non-reimbursement of some contract costs and fees. Any audits of our contract related costs and fees could result in material adjustments to our reported revenue and require payments by us to the U.S. government.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are prolonged or delayed, we, AbbVie or any other future collaborator may be unable to commercialize our product candidates on a timely basis.</w:t>
      </w:r>
    </w:p>
    <w:p>
      <w:pPr>
        <w:spacing w:after="0" w:line="12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has yet advanced beyond Phase 2 clinical trials. Any future clinical trials of our other product candidates may fail to demonstrate sufficient safety and efficacy. Moreover, regulatory and administrative delays for any product candidate in our pipeline may adversely affect our or any collaborator’s clinical development plans and jeopardize our or any collaborator’s ability to attain product approval, commence product sales and compete successfully against other therapies.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31" w:lineRule="exact"/>
        <w:rPr>
          <w:sz w:val="20"/>
          <w:szCs w:val="20"/>
          <w:color w:val="auto"/>
        </w:rPr>
      </w:pPr>
    </w:p>
    <w:p>
      <w:pPr>
        <w:ind w:left="9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guidelines specifically addressing requirements for the development of DAAs for the treatment of HCV;</w:t>
      </w:r>
    </w:p>
    <w:p>
      <w:pPr>
        <w:spacing w:after="0" w:line="75" w:lineRule="exact"/>
        <w:rPr>
          <w:rFonts w:ascii="Arial" w:cs="Arial" w:eastAsia="Arial" w:hAnsi="Arial"/>
          <w:sz w:val="18"/>
          <w:szCs w:val="18"/>
          <w:color w:val="auto"/>
        </w:rPr>
      </w:pPr>
    </w:p>
    <w:p>
      <w:pPr>
        <w:ind w:left="900" w:right="42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results of any Phase 3 clinical trial may not be adequate to support marketing approval for one of AbbVie’s regimens containing a protease inhibitor. These clinical trials are lengthy and usually involve from many hundreds to thousands of patients. In addition, if the FDA or the EMA disagrees with AbbVie’s choice of the key testing criteria, or primary endpoint, or the results for the primary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endpoint are not robust or significant relative to the control group of patients not receiving the experimental therapy or are subject to confounding factors, or are not adequately supported by other study endpoints, the FDA or the EMA, or both, may refuse to approve AbbVie’s product candidate. The FDA or the EMA also may require additional clinical trials as a condition for approving any of these product candidates. AbbVie estimates that it will be 2017 before an NDA for one of AbbVie’s HCV treatment regimens containing ABT-493 could be approved by the FDA or the EMA.</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our collaborators experience delays in the completion of, or termination of, any clinical trial of one of our product candidates, the commercial prospects of the product candidate will be harmed, and our or our collaborators’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EDP-494 or any product candidate in our current NASH program may have undesirable side effects which may delay or prevent marketing approval, or, if approval is received, require our product candidate to be taken off the market, require us to include safety warnings or otherwise limit sales.</w:t>
      </w:r>
    </w:p>
    <w:p>
      <w:pPr>
        <w:spacing w:after="0" w:line="124"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We have designed our EDP-494 program to be substantially different from another cyclophilin inhibitor, alisporivir. The combination of interferon with ribavirin and alisporivir has been associated with pancreatitis in patients receiving treatment with the combination during clinical trials. We do not plan to develop EDP-494 in combination with interferon or ribavirin, which have also been associated with pancreatitis in other clinical contexts not including a cyclophilin inhibitor. However, we cannot give any assurance that EDP-494 will not result in any unforeseen side effects.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NASH program, we are developing agonists of the farnesoid X receptor, or FXR, that are designed to bind to that receptor and then trigger a response from it. With the exception of one drug approved to treat cholesterol gallstone dissolution and a rare lipid storage disease, there are no approved FXR agonists and the adverse effects from long-term exposure to this drug class are unknown.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development programs being negatively affected even if such events or symptoms are ultimately determined to be unlikely related to our drug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54" w:lineRule="exact"/>
        <w:rPr>
          <w:sz w:val="20"/>
          <w:szCs w:val="20"/>
          <w:color w:val="auto"/>
        </w:rPr>
      </w:pPr>
    </w:p>
    <w:p>
      <w:pPr>
        <w:ind w:left="900" w:right="4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of these events could prevent us or any potential future collaborator from achieving or maintaining market acceptance of the affected product or could substantially increase commercialization costs and expenses, which in turn could delay or prevent us from generating significant revenue from the sale of any product we develop with EDP-494 or NASH.</w:t>
      </w:r>
    </w:p>
    <w:p>
      <w:pPr>
        <w:spacing w:after="0" w:line="18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b w:val="1"/>
          <w:bCs w:val="1"/>
          <w:i w:val="1"/>
          <w:iCs w:val="1"/>
          <w:color w:val="auto"/>
        </w:rPr>
        <w:t>If we, or AbbVie in the case of our protease inhibitor product candidates, are required to suspend or discontinue clinical trials due to side effects or other safety risks associated with our product candidates, or if we or AbbVie are required to conduct studies on the long-term effects associated with the use of any of those product candidates, efforts to commercialize any of those product candidates could be delayed or halted.</w:t>
      </w:r>
    </w:p>
    <w:p>
      <w:pPr>
        <w:spacing w:after="0" w:line="14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or AbbVie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AbbVie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or AbbVie from commercializing our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results of preclinical studies and early clinical trials of our product candidates, whether ABT-493, EDP-494, EDP-239, EDP-305 or any of our future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or our collaborators may initiate less predictable and could cause our product candidates to perform differently, which could delay completion of clinical trials, delay approval of our product candidates and/or jeopardize our or our collaborators’ ability to commence product sales and generate revenues.</w:t>
      </w:r>
    </w:p>
    <w:p>
      <w:pPr>
        <w:spacing w:after="0" w:line="1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or our collaborators are ultimately unable to obtain timely regulatory approval for our product candidates, our business will be substantially harmed.</w:t>
      </w:r>
    </w:p>
    <w:p>
      <w:pPr>
        <w:spacing w:after="0" w:line="181"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or our collaborators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paritaprevir, our sole approved product. We have not obtained regulatory approval by ourselves for any of our other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900" w:right="10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the design or implementation of our or our collaborators’ clinical trials;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the EMA or other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or our collaborators’ interpretation of data from preclinical studies or clinical trials;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75" w:lineRule="exact"/>
        <w:rPr>
          <w:rFonts w:ascii="Arial" w:cs="Arial" w:eastAsia="Arial" w:hAnsi="Arial"/>
          <w:sz w:val="18"/>
          <w:szCs w:val="18"/>
          <w:color w:val="auto"/>
        </w:rPr>
      </w:pPr>
    </w:p>
    <w:p>
      <w:pPr>
        <w:ind w:left="900" w:right="18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or our collaborators contract for clinical and commercial supplies of any of our product candidate; and</w:t>
      </w:r>
    </w:p>
    <w:p>
      <w:pPr>
        <w:spacing w:after="0" w:line="51" w:lineRule="exact"/>
        <w:rPr>
          <w:rFonts w:ascii="Arial" w:cs="Arial" w:eastAsia="Arial" w:hAnsi="Arial"/>
          <w:sz w:val="17"/>
          <w:szCs w:val="17"/>
          <w:color w:val="auto"/>
        </w:rPr>
      </w:pPr>
    </w:p>
    <w:p>
      <w:pPr>
        <w:ind w:left="900" w:right="5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or our collaborators’ clinical data insufficient for approval.</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and our collaborators cannot be assured that after spending substantial time and resources, we or our collaborators will obtain regulatory approvals in any desired jurisdiction. Even if we or our collaborators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Significant clinical trial delays could allow our competitors to obtain marketing approval before we or our collaborators do or could in effect shorten the patent protection period during which we may have the exclusive right to commercialize our product candidates. In addition, we or our collaborators may not be able to ultimately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84" w:lineRule="exact"/>
        <w:rPr>
          <w:sz w:val="20"/>
          <w:szCs w:val="20"/>
          <w:color w:val="auto"/>
        </w:rPr>
      </w:pPr>
    </w:p>
    <w:p>
      <w:pPr>
        <w:ind w:left="900" w:right="4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collaborators, or suspension or revocation of product license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or only AbbVie in the case of ABT-493, may delay or terminate the development of a product candidate at any time if we or AbbVie believe the perceived market or commercial opportunity does not justify further investment, which could materially harm our business and adversely affect our stock price.</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Even though the results of preclinical studies and clinical trials that we or AbbVie have conducted or may conduct in the future may support further development of one or more of our product candidates, we, or only AbbVie in the case of ABT-493,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development and commercialization of paritaprevir and ABT-493 without consulting us, and may make decisions with which we do not agree.</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CROs or other contractors or consultants, may fail or suffer security breaches, which could result in a material disruption of development programs for our product candidates.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independent drug development programs or those of our collaborators. For example, the loss of clinical trial data from ongoing or future clinical trials for any of our product candidates could result in delays in regulatory approval efforts and significantly increase costs to recover or reproduce the data. To the extent that any disruption or security breach were to result in a loss of or damage to data or applications, or inappropriate disclosure of confidential or proprietary information, we or our collaborators could incur liability and the further development of our product candidates could be delayed.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Even if AbbVie successfully commercializes ABT-493 in new HCV treatment regimens, or even if we are able to commercialize EDP-494 or any other treatment regimen containing one of our product candidates, the resulting products, as well as AbbVie’s existing products containing paritaprevir, may become subject to unfavorable pricing regulations, third-party reimbursement practices or healthcare reform initiatives in the United States, which would harm our business.</w:t>
      </w:r>
    </w:p>
    <w:p>
      <w:pPr>
        <w:spacing w:after="0" w:line="18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is significantly changing the way healthcare is financed by both governmental and private insurers. While we cannot predict what impact on federal reimbursement policies this law will have in general or specifically on any product or regimen that we or any of our collaborators commercializes, the ACA may result in downward pressure on pharmaceutical reimbursement, which could negatively affect market acceptance of new products. In addition, although the United States Supreme Court has upheld the constitutionality of most of the ACA, some states have indicated that they intend not to implement certain sections of the ACA, and some members of the U.S. Congress are still working to repeal the ACA. We cannot predict whether these challenges will continue or other proposals will be made or adopted, or what impact these efforts may have on us or AbbVie. AbbVie or any other collaborator’s ability to commercialize any products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only for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or any collaborator commercialize and, if reimbursement is available, the level of reimbursement. In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addition, reimbursement may impact the demand for, or the price of, any product candidate for which we or a collaborator obtains marketing approval. If reimbursement is not available or is available only to limited levels, we or AbbVie may not be able to successfully commercialize any product candidate for which marketing approval is obtained.</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or any collaborator’s inability to promptly obtain coverage and profitable payment rates from both government-funded and private payors for any approved products that any collaborator or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future product candidates.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future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7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53" w:lineRule="exact"/>
        <w:rPr>
          <w:rFonts w:ascii="Arial" w:cs="Arial" w:eastAsia="Arial" w:hAnsi="Arial"/>
          <w:sz w:val="16"/>
          <w:szCs w:val="16"/>
          <w:color w:val="auto"/>
        </w:rPr>
      </w:pPr>
    </w:p>
    <w:p>
      <w:pPr>
        <w:ind w:left="900" w:right="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Our commercial success depends upon significant market acceptance among physicians, patients and healthcare payors of products containing paritaprevir or ABT-493 as well as similar market acceptance of any future product candidates we plan to develop independently or in collaboration with others.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Paritaprevir, ABT-493, as well as EDP-494 or any other product candidate that we may develop in the future that obtains regulatory approval, whether as part of a combination therapy or as a monotherapy, may not gain market acceptance among physicians, healthcare payors, patients and the medical community. For example, the standard of care in HCV is likely to continue to evolve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rapidly as many new product candidates are being developed and tested. The degree of market acceptance of any product for which we or any collaborator of ours receives approval for commercial sale depends on a number of factors, including:</w:t>
      </w:r>
    </w:p>
    <w:p>
      <w:pPr>
        <w:spacing w:after="0" w:line="76" w:lineRule="exact"/>
        <w:rPr>
          <w:sz w:val="20"/>
          <w:szCs w:val="20"/>
          <w:color w:val="auto"/>
        </w:rPr>
      </w:pPr>
    </w:p>
    <w:p>
      <w:pPr>
        <w:ind w:left="900" w:right="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acceptance among physicians, major operators of clinics, payors and patients of any treatment regimen containing one of our product candidates;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and perceived advantages of treatment regimens containing one of our product candidates over alternative treatments;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continued growth and longevity of the HCV drug market or any other market for which we develop a drug;</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HCV treatment or treatment of any other disease for which we develop a drug;</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our or any collaborator’s sales and marketing efforts.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most foreign countries, particularly in the European Union,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our products is unavailable or limited in scope or amount, or if pricing is set at unsatisfactory levels, or if there is competition from lower priced cross-border sales, our results of operations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We may not be successful in establishing new product collaborations, which could adversely affect our ability to develop and commercialize one or more of our future product candidates. If we are unsuccessful in maintaining or forming alliances on favorable terms, our business may not succeed.</w:t>
      </w:r>
    </w:p>
    <w:p>
      <w:pPr>
        <w:spacing w:after="0" w:line="10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may seek to enter into additional product collaborations in the future, including alliances with other biotechnology or pharmaceutical companies, to enhance and accelerate the development and commercialization of one or more of our future product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candidates. We face significant competition in seeking appropriate collaborators and the negotiation process is time-consuming and complex. Moreover, we may not be successful in our efforts to establish other product collaborations or other alternative arrangements for any future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7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future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clinical product candidate supplies and any commercial supplies of any approved future product candidates. Any failure by a third-party manufacturer to produce acceptable supplies for us may delay or impair our ability to initiate or complete our clinical trials or sell any resulting product.</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do not currently own or operate any manufacturing facilities. We plan to continue to work with third-party contract manufacturers to produce sufficient quantities of any future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future product candidates, or we may be delayed in doing so.</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future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A portion of our research and a portion of our manufacturing of certain key intermediates used in the manufacture of the active pharmaceutical ingredients for our future product candidates takes place in China through third-party researchers and manufacturers, a significant disruption in the operation of those researchers or manufacturers or political unrest in China could materially adversely affect our business, financial condition and results of operations.</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Although manufacturing for our lead product candidates paritaprevir and ABT-493 is being conducted by AbbVie, we have relied on third parties located in China to manufacture and supply certain key intermediates used in the manufacture of our active pharmaceutical ingredients, or API, for our research product candidates, and we expect to continue to use such third party manufacturers for such intermediates for any future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future product candidates. We also use contract researchers in China to conduct a portion of our search for our early stage programs. Any disruption in the team conducting that research could cause delays in one or more of our research programs and could require us to curtail one or more programs, at least until we could contract for that research to be done elsewhere. Furthermore, since these researchers and manufacturers are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78"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We will rely on third parties to monitor, support, conduct and/or oversee clinical trials of our future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rely on CROs, hospitals, clinics, academic institutions and other third-party collaborators who are outside our control to monitor, support, conduct and/or oversee preclinical and clinical studies of our future product candidates. We will also rely on third parties to perform clinical trials of our future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future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delayed or terminated, or our data may be rejected by the FDA or regulatory agencies.</w:t>
      </w:r>
    </w:p>
    <w:p>
      <w:pPr>
        <w:spacing w:after="0" w:line="1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future product candidates, our dependence on such relationships may adversely affect our business.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commercialization strategy for some of our future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9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certain of our activities have been funded, and may in the future be funded, by the United States federal government. For example, the preclinical and early clinical development of our lead antibiotic candidate,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9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26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26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6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6" w:lineRule="exact"/>
        <w:rPr>
          <w:sz w:val="20"/>
          <w:szCs w:val="20"/>
          <w:color w:val="auto"/>
        </w:rPr>
      </w:pPr>
    </w:p>
    <w:p>
      <w:pPr>
        <w:ind w:left="900" w:right="1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86"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file patent applications covering certain of our inventions, which could result in the patent applications not issuing or being invalidated after issuing;</w:t>
      </w:r>
    </w:p>
    <w:p>
      <w:pPr>
        <w:spacing w:after="0" w:line="75" w:lineRule="exact"/>
        <w:rPr>
          <w:rFonts w:ascii="Arial" w:cs="Arial" w:eastAsia="Arial" w:hAnsi="Arial"/>
          <w:sz w:val="18"/>
          <w:szCs w:val="18"/>
          <w:color w:val="auto"/>
        </w:rPr>
      </w:pPr>
    </w:p>
    <w:p>
      <w:pPr>
        <w:ind w:left="900" w:right="340" w:hanging="446"/>
        <w:spacing w:after="0" w:line="279"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ownership of the intellectual property arising out of our collaborations is subject to complex legal and factual issues, and in certain circumstances our collaborators may own or jointly own important intellectual property relating to our product candidates. Although we have rights to such intellectual property under our collaboration agreements, such rights could potentially be lost or diminished if the applicable collaboration agreement is terminated, which could affect our ability to commercialize our product candidates;</w:t>
      </w:r>
    </w:p>
    <w:p>
      <w:pPr>
        <w:spacing w:after="0" w:line="76" w:lineRule="exact"/>
        <w:rPr>
          <w:rFonts w:ascii="Arial" w:cs="Arial" w:eastAsia="Arial" w:hAnsi="Arial"/>
          <w:sz w:val="17"/>
          <w:szCs w:val="17"/>
          <w:color w:val="auto"/>
        </w:rPr>
      </w:pPr>
    </w:p>
    <w:p>
      <w:pPr>
        <w:ind w:left="900" w:right="4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900" w:right="400" w:hanging="446"/>
        <w:spacing w:after="0" w:line="279"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6" w:lineRule="exact"/>
        <w:rPr>
          <w:rFonts w:ascii="Arial" w:cs="Arial" w:eastAsia="Arial" w:hAnsi="Arial"/>
          <w:sz w:val="17"/>
          <w:szCs w:val="17"/>
          <w:color w:val="auto"/>
        </w:rPr>
      </w:pPr>
    </w:p>
    <w:p>
      <w:pPr>
        <w:ind w:left="900" w:right="1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Industry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has been widely reported, global credit and financial markets have been experiencing extreme disruptions over the past several years, including declines in consumer confidence, declines in economic growth, and uncertainty about economic stability. There can be no assurance that deterioration in credit and financial markets and confidence in economic conditions will not occur. Our general business strategy may be adversely affected by the volatile business environment and continued unpredictable and unstable market conditions, particularly for securities of biotechnology companies such as our common stock. There is a possibility that our stock price may decline, due in part to the volatility of the stock market and any general economic downturn. If the current equity and credit markets become more volatile, deteriorate or do not improve, it may make any debt or equity financing more difficult to secure, more costly and/or more dilutive if our circumstances change and we seek such financing. Failure to secure any necessary financing in a timely manner and on favorable terms could have a material adverse effect on our growth strategy, financial performance and stock price and could require us to delay or abandon our business and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3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w:t>
      </w:r>
    </w:p>
    <w:p>
      <w:pPr>
        <w:ind w:right="140"/>
        <w:spacing w:after="0" w:line="261" w:lineRule="auto"/>
        <w:rPr>
          <w:sz w:val="20"/>
          <w:szCs w:val="20"/>
          <w:color w:val="auto"/>
        </w:rPr>
      </w:pPr>
      <w:r>
        <w:rPr>
          <w:rFonts w:ascii="Arial" w:cs="Arial" w:eastAsia="Arial" w:hAnsi="Arial"/>
          <w:sz w:val="18"/>
          <w:szCs w:val="18"/>
          <w:color w:val="auto"/>
        </w:rPr>
        <w:t>$5.0 million in the aggregate. Although we maintain such insurance, any claim that may be brought against us could result in a court judgment or settlement in an amount that is not covered, in whole or in part, by our insurance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94" w:lineRule="exact"/>
        <w:rPr>
          <w:sz w:val="20"/>
          <w:szCs w:val="20"/>
          <w:color w:val="auto"/>
        </w:rPr>
      </w:pPr>
    </w:p>
    <w:p>
      <w:pPr>
        <w:ind w:left="90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92" w:lineRule="exact"/>
        <w:rPr>
          <w:rFonts w:ascii="Arial" w:cs="Arial" w:eastAsia="Arial" w:hAnsi="Arial"/>
          <w:sz w:val="18"/>
          <w:szCs w:val="18"/>
          <w:color w:val="auto"/>
        </w:rPr>
      </w:pPr>
    </w:p>
    <w:p>
      <w:pPr>
        <w:jc w:val="both"/>
        <w:ind w:left="900" w:right="40" w:hanging="446"/>
        <w:spacing w:after="0" w:line="286"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0" w:lineRule="exact"/>
        <w:rPr>
          <w:rFonts w:ascii="Arial" w:cs="Arial" w:eastAsia="Arial" w:hAnsi="Arial"/>
          <w:sz w:val="17"/>
          <w:szCs w:val="17"/>
          <w:color w:val="auto"/>
        </w:rPr>
      </w:pPr>
    </w:p>
    <w:p>
      <w:pPr>
        <w:ind w:left="900" w:right="24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900" w:right="680" w:hanging="446"/>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900" w:right="20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86" w:lineRule="exact"/>
        <w:rPr>
          <w:rFonts w:ascii="Arial" w:cs="Arial" w:eastAsia="Arial" w:hAnsi="Arial"/>
          <w:sz w:val="18"/>
          <w:szCs w:val="18"/>
          <w:color w:val="auto"/>
        </w:rPr>
      </w:pPr>
    </w:p>
    <w:p>
      <w:pPr>
        <w:ind w:left="900" w:right="20" w:hanging="446"/>
        <w:spacing w:after="0" w:line="276"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Since our initial public offering in March 2013, the price of our common stock on The NASDAQ Global Select Market has ranged from $16.49 to $52.58. The stock market in general and the market for biopharmaceutical companies, and for those developing potential therapies for HCV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64" w:lineRule="exact"/>
        <w:rPr>
          <w:sz w:val="20"/>
          <w:szCs w:val="20"/>
          <w:color w:val="auto"/>
        </w:rPr>
      </w:pPr>
    </w:p>
    <w:p>
      <w:pPr>
        <w:ind w:left="900" w:right="22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actions by AbbVie regarding HCV treatment regimens containing any of our product candidates it is developing or commercializing, including announcements regarding clinical, regulatory or commercial developments or our collaboration;</w:t>
      </w:r>
    </w:p>
    <w:p>
      <w:pPr>
        <w:spacing w:after="0" w:line="75" w:lineRule="exact"/>
        <w:rPr>
          <w:rFonts w:ascii="Arial" w:cs="Arial" w:eastAsia="Arial" w:hAnsi="Arial"/>
          <w:sz w:val="18"/>
          <w:szCs w:val="18"/>
          <w:color w:val="auto"/>
        </w:rPr>
      </w:pPr>
    </w:p>
    <w:p>
      <w:pPr>
        <w:ind w:left="900" w:right="8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paritaprevir-containing HCV treatment regimens or competitive HCV drugs;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of AbbVie’s paritaprevir-containing HCV treatment regimens to achieve commercial success;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collaborator’s decision to initiate a clinical trial, not to initiate a clinical trial or to terminate an existing clinical trial;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or other countries;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commercialize our future product candidates we develop independently, if approved;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2"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named executive officers may require us to pay severance benefits to any of those persons who are terminated in connection with a change of control of us, which could harm our financial condition or results.</w:t>
      </w:r>
    </w:p>
    <w:p>
      <w:pPr>
        <w:spacing w:after="0" w:line="17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named executive officers are parties to employment agreements that provide for aggregate cash payments of up to approximately $3.8 million for severance and other non-equity-based benefits in the event of a termination of employment in connection with a change of control of our company. In addition, based on the March 31, 2016 closing price of our common stock at $29.37 per share, the aggregate intrinsic value of unvested stock options and other equity awards subject to accelerated vesting upon these events was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$5.2 million as of March 31, 2016. The accelerated vesting of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an “emerging growth company” we are required to report periodic financial results and selected financial data related to two fiscal years compared to three and five years, respectively, for comparable data required to be reported by other public companies in selected SEC reports. We may take advantage of these exemptions until we are no longer an “emerging growth company.” We could be an “emerging growth company” until September 30, 2018, although circumstances could cause us to lose that status earlier, including if the market value of our common stock held by non-affiliates exceeds $700 million as of any March 31 (the end of our second fiscal quarter) before that time, in which case we would no longer be an “emerging growth company” as of the following September 30 (our fiscal year end). Based on the market value of our common stock at March 31, 2016 and the number of shares of our common stock held by non-affiliates, we continue to be an “emerging growth company” for our fiscal 2016.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exemption to delay the adoption of new or revised accounting standards and, therefore, will be subject to adopting new or revised accounting standards at the same time as other public companies that are not “emerging growth companies.”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September 30, 2018.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2016, we had outstanding 18,956,602 shares of common stock. In addition, at that date 1,495,321 and 97,050 shares of common stock that are subject to outstanding options or stock unit awards, respectively, under our equity plan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the Sale of Registered Securities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March 2013, we completed our IPO of 4,600,000 shares of our common stock at a public offering price of $14.00 per share. The offer and sale of the shares in the offering were registered pursuant to a registration statement on Form S-1 (File No. 333-184779), which was declared effective by the Securities and Exchange Commission on March 20, 2013.</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March 31, 2016, we have used approximately $58.8 million of the net proceeds from the IPO to fund our programs for the development of a cyclophilin inhibitor candidate and the development of a nucleotide polymerase inhibitor candidate and to fund new research and development activities. None of the net proceeds has been paid directly or indirectly to any of our directors or officers (or their associates) or persons owning ten percent or more of any class of our equity securities or to any other affiliates. The balance of the net proceeds from the offering has been invested in cash and cash equivalents and in short-term and long-term marketable securities, consisting of investment grade, interest bearing instruments and U.S. government securities, with maturities of no longer than 38 months. These investments are reflected in cash and cash equivalents, short-term marketable securities and long-term marketable securities on our balance sheet at March 31, 2016. There has been no material change in the expected use of the net proceeds from our IPO as described in our registration statement on Form S-1.</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2940" w:type="dxa"/>
            <w:vAlign w:val="bottom"/>
          </w:tcPr>
          <w:p>
            <w:pPr>
              <w:spacing w:after="0"/>
              <w:rPr>
                <w:sz w:val="16"/>
                <w:szCs w:val="16"/>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91"/>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3.1</w:t>
            </w:r>
          </w:p>
        </w:tc>
        <w:tc>
          <w:tcPr>
            <w:tcW w:w="6580" w:type="dxa"/>
            <w:vAlign w:val="bottom"/>
            <w:gridSpan w:val="3"/>
          </w:tcPr>
          <w:p>
            <w:pPr>
              <w:ind w:left="320"/>
              <w:spacing w:after="0"/>
              <w:rPr>
                <w:sz w:val="20"/>
                <w:szCs w:val="20"/>
                <w:color w:val="auto"/>
              </w:rPr>
            </w:pPr>
            <w:r>
              <w:rPr>
                <w:rFonts w:ascii="Arial" w:cs="Arial" w:eastAsia="Arial" w:hAnsi="Arial"/>
                <w:sz w:val="18"/>
                <w:szCs w:val="18"/>
                <w:color w:val="auto"/>
              </w:rPr>
              <w:t>Restated Certificate of Incorporation of Enanta Pharmaceuticals, Inc.</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3.2</w:t>
            </w:r>
          </w:p>
        </w:tc>
        <w:tc>
          <w:tcPr>
            <w:tcW w:w="6580" w:type="dxa"/>
            <w:vAlign w:val="bottom"/>
            <w:gridSpan w:val="3"/>
          </w:tcPr>
          <w:p>
            <w:pPr>
              <w:ind w:left="320"/>
              <w:spacing w:after="0"/>
              <w:rPr>
                <w:sz w:val="20"/>
                <w:szCs w:val="20"/>
                <w:color w:val="auto"/>
              </w:rPr>
            </w:pPr>
            <w:r>
              <w:rPr>
                <w:rFonts w:ascii="Arial" w:cs="Arial" w:eastAsia="Arial" w:hAnsi="Arial"/>
                <w:sz w:val="18"/>
                <w:szCs w:val="18"/>
                <w:color w:val="auto"/>
              </w:rPr>
              <w:t>Amended and Restated Bylaws of Enanta Pharmaceuticals, Inc.</w:t>
            </w:r>
          </w:p>
        </w:tc>
      </w:tr>
      <w:tr>
        <w:trPr>
          <w:trHeight w:val="310"/>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31.1</w:t>
            </w:r>
          </w:p>
        </w:tc>
        <w:tc>
          <w:tcPr>
            <w:tcW w:w="6580" w:type="dxa"/>
            <w:vAlign w:val="bottom"/>
            <w:gridSpan w:val="3"/>
          </w:tcPr>
          <w:p>
            <w:pPr>
              <w:ind w:left="320"/>
              <w:spacing w:after="0"/>
              <w:rPr>
                <w:sz w:val="20"/>
                <w:szCs w:val="20"/>
                <w:color w:val="auto"/>
              </w:rPr>
            </w:pPr>
            <w:r>
              <w:rPr>
                <w:rFonts w:ascii="Arial" w:cs="Arial" w:eastAsia="Arial" w:hAnsi="Arial"/>
                <w:sz w:val="18"/>
                <w:szCs w:val="18"/>
                <w:color w:val="auto"/>
                <w:w w:val="92"/>
              </w:rPr>
              <w:t>Certification of the Chief Executive Officer pursuant to Rule 13a-14(a) or 15d-14(a) of</w:t>
            </w:r>
          </w:p>
        </w:tc>
      </w:tr>
      <w:tr>
        <w:trPr>
          <w:trHeight w:val="230"/>
        </w:trPr>
        <w:tc>
          <w:tcPr>
            <w:tcW w:w="520" w:type="dxa"/>
            <w:vAlign w:val="bottom"/>
          </w:tcPr>
          <w:p>
            <w:pPr>
              <w:spacing w:after="0"/>
              <w:rPr>
                <w:sz w:val="20"/>
                <w:szCs w:val="20"/>
                <w:color w:val="auto"/>
              </w:rPr>
            </w:pPr>
          </w:p>
        </w:tc>
        <w:tc>
          <w:tcPr>
            <w:tcW w:w="6580" w:type="dxa"/>
            <w:vAlign w:val="bottom"/>
            <w:gridSpan w:val="3"/>
          </w:tcPr>
          <w:p>
            <w:pPr>
              <w:ind w:left="320"/>
              <w:spacing w:after="0"/>
              <w:rPr>
                <w:sz w:val="20"/>
                <w:szCs w:val="20"/>
                <w:color w:val="auto"/>
              </w:rPr>
            </w:pPr>
            <w:r>
              <w:rPr>
                <w:rFonts w:ascii="Arial" w:cs="Arial" w:eastAsia="Arial" w:hAnsi="Arial"/>
                <w:sz w:val="18"/>
                <w:szCs w:val="18"/>
                <w:color w:val="auto"/>
              </w:rPr>
              <w:t>the Securities Exchange Act of 1934.</w:t>
            </w:r>
          </w:p>
        </w:tc>
      </w:tr>
      <w:tr>
        <w:trPr>
          <w:trHeight w:val="310"/>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31.2</w:t>
            </w:r>
          </w:p>
        </w:tc>
        <w:tc>
          <w:tcPr>
            <w:tcW w:w="6580" w:type="dxa"/>
            <w:vAlign w:val="bottom"/>
            <w:gridSpan w:val="3"/>
          </w:tcPr>
          <w:p>
            <w:pPr>
              <w:ind w:left="320"/>
              <w:spacing w:after="0"/>
              <w:rPr>
                <w:sz w:val="20"/>
                <w:szCs w:val="20"/>
                <w:color w:val="auto"/>
              </w:rPr>
            </w:pPr>
            <w:r>
              <w:rPr>
                <w:rFonts w:ascii="Arial" w:cs="Arial" w:eastAsia="Arial" w:hAnsi="Arial"/>
                <w:sz w:val="18"/>
                <w:szCs w:val="18"/>
                <w:color w:val="auto"/>
                <w:w w:val="92"/>
              </w:rPr>
              <w:t>Certification of Chief Financial Officer pursuant to Rule 13a-14(a) or 15d-14(a) of the</w:t>
            </w:r>
          </w:p>
        </w:tc>
      </w:tr>
      <w:tr>
        <w:trPr>
          <w:trHeight w:val="230"/>
        </w:trPr>
        <w:tc>
          <w:tcPr>
            <w:tcW w:w="520" w:type="dxa"/>
            <w:vAlign w:val="bottom"/>
          </w:tcPr>
          <w:p>
            <w:pPr>
              <w:spacing w:after="0"/>
              <w:rPr>
                <w:sz w:val="20"/>
                <w:szCs w:val="20"/>
                <w:color w:val="auto"/>
              </w:rPr>
            </w:pPr>
          </w:p>
        </w:tc>
        <w:tc>
          <w:tcPr>
            <w:tcW w:w="6580" w:type="dxa"/>
            <w:vAlign w:val="bottom"/>
            <w:gridSpan w:val="3"/>
          </w:tcPr>
          <w:p>
            <w:pPr>
              <w:ind w:left="320"/>
              <w:spacing w:after="0"/>
              <w:rPr>
                <w:sz w:val="20"/>
                <w:szCs w:val="20"/>
                <w:color w:val="auto"/>
              </w:rPr>
            </w:pPr>
            <w:r>
              <w:rPr>
                <w:rFonts w:ascii="Arial" w:cs="Arial" w:eastAsia="Arial" w:hAnsi="Arial"/>
                <w:sz w:val="18"/>
                <w:szCs w:val="18"/>
                <w:color w:val="auto"/>
              </w:rPr>
              <w:t>Securities Exchange Act of 1934.</w:t>
            </w:r>
          </w:p>
        </w:tc>
      </w:tr>
      <w:tr>
        <w:trPr>
          <w:trHeight w:val="310"/>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32.1</w:t>
            </w:r>
          </w:p>
        </w:tc>
        <w:tc>
          <w:tcPr>
            <w:tcW w:w="6580" w:type="dxa"/>
            <w:vAlign w:val="bottom"/>
            <w:gridSpan w:val="3"/>
          </w:tcPr>
          <w:p>
            <w:pPr>
              <w:ind w:left="320"/>
              <w:spacing w:after="0"/>
              <w:rPr>
                <w:sz w:val="20"/>
                <w:szCs w:val="20"/>
                <w:color w:val="auto"/>
              </w:rPr>
            </w:pPr>
            <w:r>
              <w:rPr>
                <w:rFonts w:ascii="Arial" w:cs="Arial" w:eastAsia="Arial" w:hAnsi="Arial"/>
                <w:sz w:val="18"/>
                <w:szCs w:val="18"/>
                <w:color w:val="auto"/>
                <w:w w:val="93"/>
              </w:rPr>
              <w:t>Certification of the Chief Executive Officer and Chief Financial Officer pursuant to 18</w:t>
            </w:r>
          </w:p>
        </w:tc>
      </w:tr>
      <w:tr>
        <w:trPr>
          <w:trHeight w:val="216"/>
        </w:trPr>
        <w:tc>
          <w:tcPr>
            <w:tcW w:w="520" w:type="dxa"/>
            <w:vAlign w:val="bottom"/>
          </w:tcPr>
          <w:p>
            <w:pPr>
              <w:spacing w:after="0"/>
              <w:rPr>
                <w:sz w:val="18"/>
                <w:szCs w:val="18"/>
                <w:color w:val="auto"/>
              </w:rPr>
            </w:pPr>
          </w:p>
        </w:tc>
        <w:tc>
          <w:tcPr>
            <w:tcW w:w="6580" w:type="dxa"/>
            <w:vAlign w:val="bottom"/>
            <w:gridSpan w:val="3"/>
          </w:tcPr>
          <w:p>
            <w:pPr>
              <w:ind w:left="320"/>
              <w:spacing w:after="0"/>
              <w:rPr>
                <w:sz w:val="20"/>
                <w:szCs w:val="20"/>
                <w:color w:val="auto"/>
              </w:rPr>
            </w:pPr>
            <w:r>
              <w:rPr>
                <w:rFonts w:ascii="Arial" w:cs="Arial" w:eastAsia="Arial" w:hAnsi="Arial"/>
                <w:sz w:val="18"/>
                <w:szCs w:val="18"/>
                <w:color w:val="auto"/>
                <w:w w:val="90"/>
              </w:rPr>
              <w:t>U.S.C. Section 1350, as adopted pursuant to Section 906 of the Sarbanes-Oxley Act of</w:t>
            </w:r>
          </w:p>
        </w:tc>
      </w:tr>
      <w:tr>
        <w:trPr>
          <w:trHeight w:val="230"/>
        </w:trPr>
        <w:tc>
          <w:tcPr>
            <w:tcW w:w="52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2002.</w:t>
            </w:r>
          </w:p>
        </w:tc>
        <w:tc>
          <w:tcPr>
            <w:tcW w:w="120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spacing w:after="0" w:line="94" w:lineRule="exact"/>
        <w:rPr>
          <w:sz w:val="20"/>
          <w:szCs w:val="20"/>
          <w:color w:val="auto"/>
        </w:rPr>
      </w:pPr>
    </w:p>
    <w:p>
      <w:pPr>
        <w:ind w:left="840" w:hanging="832"/>
        <w:spacing w:after="0" w:line="271" w:lineRule="auto"/>
        <w:tabs>
          <w:tab w:leader="none" w:pos="8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following materials from the Quarterly Report of Enanta Pharmaceuticals, Inc. on Form 10-Q for the quarter ended March 31, 2016, formatted in XBRL (eXtensible Business Reporting Language): (i) Consolidated Balance Sheets as of March 31, 2016 and September 30, 2015 of Enanta Pharmaceuticals, Inc., (ii) Statements of Operations for the three months and six months ended March 31, 2016, and 2015 of Enanta Pharmaceuticals, Inc., (iii) Statements of Cash Flows for the six months ended March 31, 2016 and 2015 of Enanta Pharmaceuticals, Inc., and (iv) Notes to Consolidated Financial Statements of Enanta Pharmaceuticals, Inc.</w:t>
      </w:r>
    </w:p>
    <w:p>
      <w:pPr>
        <w:spacing w:after="0" w:line="1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Incorporated by Reference</w:t>
            </w:r>
          </w:p>
        </w:tc>
        <w:tc>
          <w:tcPr>
            <w:tcW w:w="22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rPr>
                <w:sz w:val="20"/>
                <w:szCs w:val="20"/>
                <w:color w:val="auto"/>
              </w:rPr>
            </w:pPr>
            <w:r>
              <w:rPr>
                <w:rFonts w:ascii="Arial" w:cs="Arial" w:eastAsia="Arial" w:hAnsi="Arial"/>
                <w:sz w:val="14"/>
                <w:szCs w:val="14"/>
                <w:b w:val="1"/>
                <w:bCs w:val="1"/>
                <w:color w:val="auto"/>
                <w:w w:val="97"/>
              </w:rPr>
              <w:t>Form</w:t>
            </w:r>
          </w:p>
        </w:tc>
        <w:tc>
          <w:tcPr>
            <w:tcW w:w="1260" w:type="dxa"/>
            <w:vAlign w:val="bottom"/>
            <w:gridSpan w:val="3"/>
          </w:tcPr>
          <w:p>
            <w:pPr>
              <w:ind w:left="480"/>
              <w:spacing w:after="0"/>
              <w:rPr>
                <w:sz w:val="20"/>
                <w:szCs w:val="20"/>
                <w:color w:val="auto"/>
              </w:rPr>
            </w:pPr>
            <w:r>
              <w:rPr>
                <w:rFonts w:ascii="Arial" w:cs="Arial" w:eastAsia="Arial" w:hAnsi="Arial"/>
                <w:sz w:val="14"/>
                <w:szCs w:val="14"/>
                <w:b w:val="1"/>
                <w:bCs w:val="1"/>
                <w:color w:val="auto"/>
              </w:rPr>
              <w:t>Date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3"/>
              </w:rPr>
              <w:t>File Number</w:t>
            </w:r>
          </w:p>
        </w:tc>
        <w:tc>
          <w:tcPr>
            <w:tcW w:w="22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60" w:type="dxa"/>
            <w:vAlign w:val="bottom"/>
          </w:tcPr>
          <w:p>
            <w:pPr>
              <w:ind w:left="40"/>
              <w:spacing w:after="0"/>
              <w:rPr>
                <w:sz w:val="20"/>
                <w:szCs w:val="20"/>
                <w:color w:val="auto"/>
              </w:rPr>
            </w:pPr>
            <w:r>
              <w:rPr>
                <w:rFonts w:ascii="Arial" w:cs="Arial" w:eastAsia="Arial" w:hAnsi="Arial"/>
                <w:sz w:val="18"/>
                <w:szCs w:val="18"/>
                <w:color w:val="auto"/>
              </w:rPr>
              <w:t>8-K</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08/18/2015</w:t>
            </w:r>
          </w:p>
        </w:tc>
        <w:tc>
          <w:tcPr>
            <w:tcW w:w="500" w:type="dxa"/>
            <w:vAlign w:val="bottom"/>
          </w:tcPr>
          <w:p>
            <w:pPr>
              <w:ind w:left="140"/>
              <w:spacing w:after="0"/>
              <w:rPr>
                <w:sz w:val="20"/>
                <w:szCs w:val="20"/>
                <w:color w:val="auto"/>
              </w:rPr>
            </w:pPr>
            <w:r>
              <w:rPr>
                <w:rFonts w:ascii="Arial" w:cs="Arial" w:eastAsia="Arial" w:hAnsi="Arial"/>
                <w:sz w:val="18"/>
                <w:szCs w:val="18"/>
                <w:color w:val="auto"/>
              </w:rPr>
              <w:t>3.1</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w w:val="88"/>
              </w:rPr>
              <w:t>001-35839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ind w:left="40"/>
              <w:spacing w:after="0"/>
              <w:rPr>
                <w:sz w:val="20"/>
                <w:szCs w:val="20"/>
                <w:color w:val="auto"/>
              </w:rPr>
            </w:pPr>
            <w:r>
              <w:rPr>
                <w:rFonts w:ascii="Arial" w:cs="Arial" w:eastAsia="Arial" w:hAnsi="Arial"/>
                <w:sz w:val="18"/>
                <w:szCs w:val="18"/>
                <w:color w:val="auto"/>
              </w:rPr>
              <w:t>8-K</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08/18/2015</w:t>
            </w:r>
          </w:p>
        </w:tc>
        <w:tc>
          <w:tcPr>
            <w:tcW w:w="500" w:type="dxa"/>
            <w:vAlign w:val="bottom"/>
          </w:tcPr>
          <w:p>
            <w:pPr>
              <w:ind w:left="140"/>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w w:val="88"/>
              </w:rPr>
              <w:t>001-35839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40"/>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40"/>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56"/>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7260" w:space="240"/>
            <w:col w:w="39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ENANTA PHARMACEUTICALS,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820" w:type="dxa"/>
            <w:vAlign w:val="bottom"/>
            <w:gridSpan w:val="2"/>
          </w:tcPr>
          <w:p>
            <w:pPr>
              <w:jc w:val="center"/>
              <w:ind w:left="619"/>
              <w:spacing w:after="0"/>
              <w:rPr>
                <w:sz w:val="20"/>
                <w:szCs w:val="20"/>
                <w:color w:val="auto"/>
              </w:rPr>
            </w:pPr>
            <w:r>
              <w:rPr>
                <w:rFonts w:ascii="Arial" w:cs="Arial" w:eastAsia="Arial" w:hAnsi="Arial"/>
                <w:sz w:val="18"/>
                <w:szCs w:val="18"/>
                <w:b w:val="1"/>
                <w:bCs w:val="1"/>
                <w:color w:val="auto"/>
              </w:rPr>
              <w:t>ENANTA PHARMACEUTICALS, INC.</w:t>
            </w:r>
          </w:p>
        </w:tc>
      </w:tr>
      <w:tr>
        <w:trPr>
          <w:trHeight w:val="432"/>
        </w:trPr>
        <w:tc>
          <w:tcPr>
            <w:tcW w:w="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20" w:type="dxa"/>
            <w:vAlign w:val="bottom"/>
          </w:tcPr>
          <w:p>
            <w:pPr>
              <w:jc w:val="center"/>
              <w:ind w:right="410"/>
              <w:spacing w:after="0"/>
              <w:rPr>
                <w:sz w:val="20"/>
                <w:szCs w:val="20"/>
                <w:color w:val="auto"/>
              </w:rPr>
            </w:pPr>
            <w:r>
              <w:rPr>
                <w:rFonts w:ascii="Arial" w:cs="Arial" w:eastAsia="Arial" w:hAnsi="Arial"/>
                <w:sz w:val="18"/>
                <w:szCs w:val="18"/>
                <w:b w:val="1"/>
                <w:bCs w:val="1"/>
                <w:color w:val="auto"/>
              </w:rPr>
              <w:t>EXHIBIT INDEX</w:t>
            </w:r>
          </w:p>
        </w:tc>
      </w:tr>
      <w:tr>
        <w:trPr>
          <w:trHeight w:val="53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2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8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2940" w:type="dxa"/>
            <w:vAlign w:val="bottom"/>
          </w:tcPr>
          <w:p>
            <w:pPr>
              <w:spacing w:after="0"/>
              <w:rPr>
                <w:sz w:val="16"/>
                <w:szCs w:val="16"/>
                <w:color w:val="auto"/>
              </w:rPr>
            </w:pPr>
          </w:p>
        </w:tc>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91"/>
        </w:trPr>
        <w:tc>
          <w:tcPr>
            <w:tcW w:w="52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6760" w:type="dxa"/>
            <w:vAlign w:val="bottom"/>
            <w:gridSpan w:val="3"/>
          </w:tcPr>
          <w:p>
            <w:pPr>
              <w:ind w:left="320"/>
              <w:spacing w:after="0"/>
              <w:rPr>
                <w:sz w:val="20"/>
                <w:szCs w:val="20"/>
                <w:color w:val="auto"/>
              </w:rPr>
            </w:pPr>
            <w:r>
              <w:rPr>
                <w:rFonts w:ascii="Arial" w:cs="Arial" w:eastAsia="Arial" w:hAnsi="Arial"/>
                <w:sz w:val="18"/>
                <w:szCs w:val="18"/>
                <w:color w:val="auto"/>
              </w:rPr>
              <w:t>Restated Certificate of Incorporation of Enanta Pharmaceuticals, Inc.</w:t>
            </w:r>
          </w:p>
        </w:tc>
      </w:tr>
      <w:tr>
        <w:trPr>
          <w:trHeight w:val="324"/>
        </w:trPr>
        <w:tc>
          <w:tcPr>
            <w:tcW w:w="52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6760" w:type="dxa"/>
            <w:vAlign w:val="bottom"/>
            <w:gridSpan w:val="3"/>
          </w:tcPr>
          <w:p>
            <w:pPr>
              <w:ind w:left="320"/>
              <w:spacing w:after="0"/>
              <w:rPr>
                <w:sz w:val="20"/>
                <w:szCs w:val="20"/>
                <w:color w:val="auto"/>
              </w:rPr>
            </w:pPr>
            <w:r>
              <w:rPr>
                <w:rFonts w:ascii="Arial" w:cs="Arial" w:eastAsia="Arial" w:hAnsi="Arial"/>
                <w:sz w:val="18"/>
                <w:szCs w:val="18"/>
                <w:color w:val="auto"/>
              </w:rPr>
              <w:t>Amended and Restated Bylaws of Enanta Pharmaceuticals, Inc.</w:t>
            </w:r>
          </w:p>
        </w:tc>
      </w:tr>
      <w:tr>
        <w:trPr>
          <w:trHeight w:val="310"/>
        </w:trPr>
        <w:tc>
          <w:tcPr>
            <w:tcW w:w="520" w:type="dxa"/>
            <w:vAlign w:val="bottom"/>
          </w:tcPr>
          <w:p>
            <w:pPr>
              <w:jc w:val="right"/>
              <w:ind w:right="15"/>
              <w:spacing w:after="0"/>
              <w:rPr>
                <w:sz w:val="20"/>
                <w:szCs w:val="20"/>
                <w:color w:val="auto"/>
              </w:rPr>
            </w:pPr>
            <w:r>
              <w:rPr>
                <w:rFonts w:ascii="Arial" w:cs="Arial" w:eastAsia="Arial" w:hAnsi="Arial"/>
                <w:sz w:val="18"/>
                <w:szCs w:val="18"/>
                <w:color w:val="auto"/>
              </w:rPr>
              <w:t>31.1</w:t>
            </w:r>
          </w:p>
        </w:tc>
        <w:tc>
          <w:tcPr>
            <w:tcW w:w="6760" w:type="dxa"/>
            <w:vAlign w:val="bottom"/>
            <w:gridSpan w:val="3"/>
          </w:tcPr>
          <w:p>
            <w:pPr>
              <w:ind w:left="320"/>
              <w:spacing w:after="0"/>
              <w:rPr>
                <w:sz w:val="20"/>
                <w:szCs w:val="20"/>
                <w:color w:val="auto"/>
              </w:rPr>
            </w:pPr>
            <w:r>
              <w:rPr>
                <w:rFonts w:ascii="Arial" w:cs="Arial" w:eastAsia="Arial" w:hAnsi="Arial"/>
                <w:sz w:val="18"/>
                <w:szCs w:val="18"/>
                <w:color w:val="auto"/>
                <w:w w:val="94"/>
              </w:rPr>
              <w:t>Certification of the Chief Executive Officer pursuant to Rule 13a-14(a) or 15d-14(a) of</w:t>
            </w:r>
          </w:p>
        </w:tc>
      </w:tr>
      <w:tr>
        <w:trPr>
          <w:trHeight w:val="230"/>
        </w:trPr>
        <w:tc>
          <w:tcPr>
            <w:tcW w:w="520" w:type="dxa"/>
            <w:vAlign w:val="bottom"/>
          </w:tcPr>
          <w:p>
            <w:pPr>
              <w:spacing w:after="0"/>
              <w:rPr>
                <w:sz w:val="20"/>
                <w:szCs w:val="20"/>
                <w:color w:val="auto"/>
              </w:rPr>
            </w:pPr>
          </w:p>
        </w:tc>
        <w:tc>
          <w:tcPr>
            <w:tcW w:w="6760" w:type="dxa"/>
            <w:vAlign w:val="bottom"/>
            <w:gridSpan w:val="3"/>
          </w:tcPr>
          <w:p>
            <w:pPr>
              <w:ind w:left="320"/>
              <w:spacing w:after="0"/>
              <w:rPr>
                <w:sz w:val="20"/>
                <w:szCs w:val="20"/>
                <w:color w:val="auto"/>
              </w:rPr>
            </w:pPr>
            <w:r>
              <w:rPr>
                <w:rFonts w:ascii="Arial" w:cs="Arial" w:eastAsia="Arial" w:hAnsi="Arial"/>
                <w:sz w:val="18"/>
                <w:szCs w:val="18"/>
                <w:color w:val="auto"/>
              </w:rPr>
              <w:t>the Securities Exchange Act of 1934.</w:t>
            </w:r>
          </w:p>
        </w:tc>
      </w:tr>
      <w:tr>
        <w:trPr>
          <w:trHeight w:val="310"/>
        </w:trPr>
        <w:tc>
          <w:tcPr>
            <w:tcW w:w="520" w:type="dxa"/>
            <w:vAlign w:val="bottom"/>
          </w:tcPr>
          <w:p>
            <w:pPr>
              <w:jc w:val="right"/>
              <w:ind w:right="15"/>
              <w:spacing w:after="0"/>
              <w:rPr>
                <w:sz w:val="20"/>
                <w:szCs w:val="20"/>
                <w:color w:val="auto"/>
              </w:rPr>
            </w:pPr>
            <w:r>
              <w:rPr>
                <w:rFonts w:ascii="Arial" w:cs="Arial" w:eastAsia="Arial" w:hAnsi="Arial"/>
                <w:sz w:val="18"/>
                <w:szCs w:val="18"/>
                <w:color w:val="auto"/>
              </w:rPr>
              <w:t>31.2</w:t>
            </w:r>
          </w:p>
        </w:tc>
        <w:tc>
          <w:tcPr>
            <w:tcW w:w="6760" w:type="dxa"/>
            <w:vAlign w:val="bottom"/>
            <w:gridSpan w:val="3"/>
          </w:tcPr>
          <w:p>
            <w:pPr>
              <w:ind w:left="320"/>
              <w:spacing w:after="0"/>
              <w:rPr>
                <w:sz w:val="20"/>
                <w:szCs w:val="20"/>
                <w:color w:val="auto"/>
              </w:rPr>
            </w:pPr>
            <w:r>
              <w:rPr>
                <w:rFonts w:ascii="Arial" w:cs="Arial" w:eastAsia="Arial" w:hAnsi="Arial"/>
                <w:sz w:val="18"/>
                <w:szCs w:val="18"/>
                <w:color w:val="auto"/>
                <w:w w:val="95"/>
              </w:rPr>
              <w:t>Certification of Chief Financial Officer pursuant to Rule 13a-14(a) or 15d-14(a) of the</w:t>
            </w:r>
          </w:p>
        </w:tc>
      </w:tr>
      <w:tr>
        <w:trPr>
          <w:trHeight w:val="230"/>
        </w:trPr>
        <w:tc>
          <w:tcPr>
            <w:tcW w:w="520" w:type="dxa"/>
            <w:vAlign w:val="bottom"/>
          </w:tcPr>
          <w:p>
            <w:pPr>
              <w:spacing w:after="0"/>
              <w:rPr>
                <w:sz w:val="20"/>
                <w:szCs w:val="20"/>
                <w:color w:val="auto"/>
              </w:rPr>
            </w:pPr>
          </w:p>
        </w:tc>
        <w:tc>
          <w:tcPr>
            <w:tcW w:w="6760" w:type="dxa"/>
            <w:vAlign w:val="bottom"/>
            <w:gridSpan w:val="3"/>
          </w:tcPr>
          <w:p>
            <w:pPr>
              <w:ind w:left="320"/>
              <w:spacing w:after="0"/>
              <w:rPr>
                <w:sz w:val="20"/>
                <w:szCs w:val="20"/>
                <w:color w:val="auto"/>
              </w:rPr>
            </w:pPr>
            <w:r>
              <w:rPr>
                <w:rFonts w:ascii="Arial" w:cs="Arial" w:eastAsia="Arial" w:hAnsi="Arial"/>
                <w:sz w:val="18"/>
                <w:szCs w:val="18"/>
                <w:color w:val="auto"/>
              </w:rPr>
              <w:t>Securities Exchange Act of 1934.</w:t>
            </w:r>
          </w:p>
        </w:tc>
      </w:tr>
      <w:tr>
        <w:trPr>
          <w:trHeight w:val="310"/>
        </w:trPr>
        <w:tc>
          <w:tcPr>
            <w:tcW w:w="520" w:type="dxa"/>
            <w:vAlign w:val="bottom"/>
          </w:tcPr>
          <w:p>
            <w:pPr>
              <w:jc w:val="right"/>
              <w:ind w:right="15"/>
              <w:spacing w:after="0"/>
              <w:rPr>
                <w:sz w:val="20"/>
                <w:szCs w:val="20"/>
                <w:color w:val="auto"/>
              </w:rPr>
            </w:pPr>
            <w:r>
              <w:rPr>
                <w:rFonts w:ascii="Arial" w:cs="Arial" w:eastAsia="Arial" w:hAnsi="Arial"/>
                <w:sz w:val="18"/>
                <w:szCs w:val="18"/>
                <w:color w:val="auto"/>
              </w:rPr>
              <w:t>32.1</w:t>
            </w:r>
          </w:p>
        </w:tc>
        <w:tc>
          <w:tcPr>
            <w:tcW w:w="6760" w:type="dxa"/>
            <w:vAlign w:val="bottom"/>
            <w:gridSpan w:val="3"/>
          </w:tcPr>
          <w:p>
            <w:pPr>
              <w:ind w:left="320"/>
              <w:spacing w:after="0"/>
              <w:rPr>
                <w:sz w:val="20"/>
                <w:szCs w:val="20"/>
                <w:color w:val="auto"/>
              </w:rPr>
            </w:pPr>
            <w:r>
              <w:rPr>
                <w:rFonts w:ascii="Arial" w:cs="Arial" w:eastAsia="Arial" w:hAnsi="Arial"/>
                <w:sz w:val="18"/>
                <w:szCs w:val="18"/>
                <w:color w:val="auto"/>
                <w:w w:val="95"/>
              </w:rPr>
              <w:t>Certification of the Chief Executive Officer and Chief Financial Officer pursuant to 18</w:t>
            </w:r>
          </w:p>
        </w:tc>
      </w:tr>
      <w:tr>
        <w:trPr>
          <w:trHeight w:val="216"/>
        </w:trPr>
        <w:tc>
          <w:tcPr>
            <w:tcW w:w="520" w:type="dxa"/>
            <w:vAlign w:val="bottom"/>
          </w:tcPr>
          <w:p>
            <w:pPr>
              <w:spacing w:after="0"/>
              <w:rPr>
                <w:sz w:val="18"/>
                <w:szCs w:val="18"/>
                <w:color w:val="auto"/>
              </w:rPr>
            </w:pPr>
          </w:p>
        </w:tc>
        <w:tc>
          <w:tcPr>
            <w:tcW w:w="6760" w:type="dxa"/>
            <w:vAlign w:val="bottom"/>
            <w:gridSpan w:val="3"/>
          </w:tcPr>
          <w:p>
            <w:pPr>
              <w:ind w:left="320"/>
              <w:spacing w:after="0"/>
              <w:rPr>
                <w:sz w:val="20"/>
                <w:szCs w:val="20"/>
                <w:color w:val="auto"/>
              </w:rPr>
            </w:pPr>
            <w:r>
              <w:rPr>
                <w:rFonts w:ascii="Arial" w:cs="Arial" w:eastAsia="Arial" w:hAnsi="Arial"/>
                <w:sz w:val="18"/>
                <w:szCs w:val="18"/>
                <w:color w:val="auto"/>
                <w:w w:val="92"/>
              </w:rPr>
              <w:t>U.S.C. Section 1350, as adopted pursuant to Section 906 of the Sarbanes-Oxley Act of</w:t>
            </w:r>
          </w:p>
        </w:tc>
      </w:tr>
      <w:tr>
        <w:trPr>
          <w:trHeight w:val="230"/>
        </w:trPr>
        <w:tc>
          <w:tcPr>
            <w:tcW w:w="52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2002.</w:t>
            </w:r>
          </w:p>
        </w:tc>
        <w:tc>
          <w:tcPr>
            <w:tcW w:w="120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94" w:lineRule="exact"/>
        <w:rPr>
          <w:sz w:val="20"/>
          <w:szCs w:val="20"/>
          <w:color w:val="auto"/>
        </w:rPr>
      </w:pPr>
    </w:p>
    <w:p>
      <w:pPr>
        <w:ind w:left="840" w:right="40" w:hanging="832"/>
        <w:spacing w:after="0" w:line="271" w:lineRule="auto"/>
        <w:tabs>
          <w:tab w:leader="none" w:pos="8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following materials from the Quarterly Report of Enanta Pharmaceuticals, Inc. on Form 10-Q for the quarter ended March 31, 2016, formatted in XBRL (eXtensible Business Reporting Language): (i) Consolidated Balance Sheets as of March 31, 2016 and September 30, 2015 of Enanta Pharmaceuticals, Inc., (ii) Statements of Operations for the three and six months ended March 31, 2016 and 2015 of Enanta Pharmaceuticals, Inc., (iii) Statements of Cash Flows for the six months ended March 31, 2016 and 2015 of Enanta Pharmaceuticals, Inc., and (iv) Notes to Consolidated Financial Statements of Enanta Pharmaceuticals, Inc.</w:t>
      </w:r>
    </w:p>
    <w:p>
      <w:pPr>
        <w:spacing w:after="0" w:line="1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Incorporated by Reference</w:t>
            </w:r>
          </w:p>
        </w:tc>
        <w:tc>
          <w:tcPr>
            <w:tcW w:w="22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rPr>
                <w:sz w:val="20"/>
                <w:szCs w:val="20"/>
                <w:color w:val="auto"/>
              </w:rPr>
            </w:pPr>
            <w:r>
              <w:rPr>
                <w:rFonts w:ascii="Arial" w:cs="Arial" w:eastAsia="Arial" w:hAnsi="Arial"/>
                <w:sz w:val="14"/>
                <w:szCs w:val="14"/>
                <w:b w:val="1"/>
                <w:bCs w:val="1"/>
                <w:color w:val="auto"/>
                <w:w w:val="97"/>
              </w:rPr>
              <w:t>Form</w:t>
            </w:r>
          </w:p>
        </w:tc>
        <w:tc>
          <w:tcPr>
            <w:tcW w:w="1260" w:type="dxa"/>
            <w:vAlign w:val="bottom"/>
            <w:gridSpan w:val="3"/>
          </w:tcPr>
          <w:p>
            <w:pPr>
              <w:ind w:left="480"/>
              <w:spacing w:after="0"/>
              <w:rPr>
                <w:sz w:val="20"/>
                <w:szCs w:val="20"/>
                <w:color w:val="auto"/>
              </w:rPr>
            </w:pPr>
            <w:r>
              <w:rPr>
                <w:rFonts w:ascii="Arial" w:cs="Arial" w:eastAsia="Arial" w:hAnsi="Arial"/>
                <w:sz w:val="14"/>
                <w:szCs w:val="14"/>
                <w:b w:val="1"/>
                <w:bCs w:val="1"/>
                <w:color w:val="auto"/>
              </w:rPr>
              <w:t>Date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3"/>
              </w:rPr>
              <w:t>File Number</w:t>
            </w:r>
          </w:p>
        </w:tc>
        <w:tc>
          <w:tcPr>
            <w:tcW w:w="22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60" w:type="dxa"/>
            <w:vAlign w:val="bottom"/>
          </w:tcPr>
          <w:p>
            <w:pPr>
              <w:ind w:left="40"/>
              <w:spacing w:after="0"/>
              <w:rPr>
                <w:sz w:val="20"/>
                <w:szCs w:val="20"/>
                <w:color w:val="auto"/>
              </w:rPr>
            </w:pPr>
            <w:r>
              <w:rPr>
                <w:rFonts w:ascii="Arial" w:cs="Arial" w:eastAsia="Arial" w:hAnsi="Arial"/>
                <w:sz w:val="18"/>
                <w:szCs w:val="18"/>
                <w:color w:val="auto"/>
              </w:rPr>
              <w:t>8-K</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08/18/2015</w:t>
            </w:r>
          </w:p>
        </w:tc>
        <w:tc>
          <w:tcPr>
            <w:tcW w:w="500" w:type="dxa"/>
            <w:vAlign w:val="bottom"/>
          </w:tcPr>
          <w:p>
            <w:pPr>
              <w:ind w:left="140"/>
              <w:spacing w:after="0"/>
              <w:rPr>
                <w:sz w:val="20"/>
                <w:szCs w:val="20"/>
                <w:color w:val="auto"/>
              </w:rPr>
            </w:pPr>
            <w:r>
              <w:rPr>
                <w:rFonts w:ascii="Arial" w:cs="Arial" w:eastAsia="Arial" w:hAnsi="Arial"/>
                <w:sz w:val="18"/>
                <w:szCs w:val="18"/>
                <w:color w:val="auto"/>
              </w:rPr>
              <w:t>3.1</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w w:val="88"/>
              </w:rPr>
              <w:t>001-35839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ind w:left="40"/>
              <w:spacing w:after="0"/>
              <w:rPr>
                <w:sz w:val="20"/>
                <w:szCs w:val="20"/>
                <w:color w:val="auto"/>
              </w:rPr>
            </w:pPr>
            <w:r>
              <w:rPr>
                <w:rFonts w:ascii="Arial" w:cs="Arial" w:eastAsia="Arial" w:hAnsi="Arial"/>
                <w:sz w:val="18"/>
                <w:szCs w:val="18"/>
                <w:color w:val="auto"/>
              </w:rPr>
              <w:t>8-K</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08/18/2015</w:t>
            </w:r>
          </w:p>
        </w:tc>
        <w:tc>
          <w:tcPr>
            <w:tcW w:w="500" w:type="dxa"/>
            <w:vAlign w:val="bottom"/>
          </w:tcPr>
          <w:p>
            <w:pPr>
              <w:ind w:left="140"/>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w w:val="88"/>
              </w:rPr>
              <w:t>001-35839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40"/>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40"/>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56"/>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7280" w:space="220"/>
            <w:col w:w="3920"/>
          </w:cols>
          <w:pgMar w:left="240" w:top="459"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31"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20" w:hanging="452"/>
        <w:spacing w:after="0" w:line="26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31"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20" w:hanging="452"/>
        <w:spacing w:after="0" w:line="26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six months ended March 31, 2016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21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May 10, 2016</w:t>
      </w:r>
      <w:r>
        <w:rPr>
          <w:sz w:val="20"/>
          <w:szCs w:val="20"/>
          <w:color w:val="auto"/>
        </w:rPr>
        <w:tab/>
      </w:r>
      <w:r>
        <w:rPr>
          <w:rFonts w:ascii="Arial" w:cs="Arial" w:eastAsia="Arial" w:hAnsi="Arial"/>
          <w:sz w:val="17"/>
          <w:szCs w:val="17"/>
          <w:color w:val="auto"/>
        </w:rPr>
        <w:t>By: /s/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Jay R. Luly, Ph.D.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May 10, 2016</w:t>
      </w:r>
      <w:r>
        <w:rPr>
          <w:sz w:val="20"/>
          <w:szCs w:val="20"/>
          <w:color w:val="auto"/>
        </w:rPr>
        <w:tab/>
      </w:r>
      <w:r>
        <w:rPr>
          <w:rFonts w:ascii="Arial" w:cs="Arial" w:eastAsia="Arial" w:hAnsi="Arial"/>
          <w:sz w:val="17"/>
          <w:szCs w:val="17"/>
          <w:color w:val="auto"/>
        </w:rPr>
        <w:t>By: /s/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Paul J. Mellett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decimal"/>
      <w:start w:val="3"/>
    </w:lvl>
  </w:abstractNum>
  <w:abstractNum w:abstractNumId="5">
    <w:nsid w:val="79838CB2"/>
    <w:multiLevelType w:val="hybridMultilevel"/>
    <w:lvl w:ilvl="0">
      <w:lvlJc w:val="left"/>
      <w:lvlText w:val="%1."/>
      <w:numFmt w:val="decimal"/>
      <w:start w:val="4"/>
    </w:lvl>
  </w:abstractNum>
  <w:abstractNum w:abstractNumId="6">
    <w:nsid w:val="4353D0CD"/>
    <w:multiLevelType w:val="hybridMultilevel"/>
    <w:lvl w:ilvl="0">
      <w:lvlJc w:val="left"/>
      <w:lvlText w:val="%1."/>
      <w:numFmt w:val="decimal"/>
      <w:start w:val="5"/>
    </w:lvl>
  </w:abstractNum>
  <w:abstractNum w:abstractNumId="7">
    <w:nsid w:val="B03E0C6"/>
    <w:multiLevelType w:val="hybridMultilevel"/>
    <w:lvl w:ilvl="0">
      <w:lvlJc w:val="left"/>
      <w:lvlText w:val="%1."/>
      <w:numFmt w:val="decimal"/>
      <w:start w:val="6"/>
    </w:lvl>
  </w:abstractNum>
  <w:abstractNum w:abstractNumId="8">
    <w:nsid w:val="189A769B"/>
    <w:multiLevelType w:val="hybridMultilevel"/>
    <w:lvl w:ilvl="0">
      <w:lvlJc w:val="left"/>
      <w:lvlText w:val="%1."/>
      <w:numFmt w:val="decimal"/>
      <w:start w:val="7"/>
    </w:lvl>
  </w:abstractNum>
  <w:abstractNum w:abstractNumId="9">
    <w:nsid w:val="54E49EB4"/>
    <w:multiLevelType w:val="hybridMultilevel"/>
    <w:lvl w:ilvl="0">
      <w:lvlJc w:val="left"/>
      <w:lvlText w:val="%1."/>
      <w:numFmt w:val="decimal"/>
      <w:start w:val="8"/>
    </w:lvl>
  </w:abstractNum>
  <w:abstractNum w:abstractNumId="10">
    <w:nsid w:val="71F32454"/>
    <w:multiLevelType w:val="hybridMultilevel"/>
    <w:lvl w:ilvl="0">
      <w:lvlJc w:val="left"/>
      <w:lvlText w:val="%1."/>
      <w:numFmt w:val="decimal"/>
      <w:start w:val="9"/>
    </w:lvl>
  </w:abstractNum>
  <w:abstractNum w:abstractNumId="11">
    <w:nsid w:val="2CA88611"/>
    <w:multiLevelType w:val="hybridMultilevel"/>
    <w:lvl w:ilvl="0">
      <w:lvlJc w:val="left"/>
      <w:lvlText w:val="%1."/>
      <w:numFmt w:val="decimal"/>
      <w:start w:val="10"/>
    </w:lvl>
  </w:abstractNum>
  <w:abstractNum w:abstractNumId="12">
    <w:nsid w:val="836C40E"/>
    <w:multiLevelType w:val="hybridMultilevel"/>
    <w:lvl w:ilvl="0">
      <w:lvlJc w:val="left"/>
      <w:lvlText w:val="%1."/>
      <w:numFmt w:val="decimal"/>
      <w:start w:val="11"/>
    </w:lvl>
  </w:abstractNum>
  <w:abstractNum w:abstractNumId="13">
    <w:nsid w:val="2901D82"/>
    <w:multiLevelType w:val="hybridMultilevel"/>
    <w:lvl w:ilvl="0">
      <w:lvlJc w:val="left"/>
      <w:lvlText w:val="•"/>
      <w:numFmt w:val="bullet"/>
      <w:start w:val="1"/>
    </w:lvl>
    <w:lvl w:ilvl="1">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lowerLetter"/>
      <w:start w:val="2"/>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01"/>
    </w:lvl>
  </w:abstractNum>
  <w:abstractNum w:abstractNumId="41">
    <w:nsid w:val="2A487CB0"/>
    <w:multiLevelType w:val="hybridMultilevel"/>
    <w:lvl w:ilvl="0">
      <w:lvlJc w:val="left"/>
      <w:lvlText w:val="%1"/>
      <w:numFmt w:val="decimal"/>
      <w:start w:val="10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2019-12-29T12:13:56Z</dcterms:created>
  <dcterms:modified xsi:type="dcterms:W3CDTF">2019-12-29T12:13:56Z</dcterms:modified>
</cp:coreProperties>
</file>