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3105785</wp:posOffset>
            </wp:positionH>
            <wp:positionV relativeFrom="paragraph">
              <wp:posOffset>68580</wp:posOffset>
            </wp:positionV>
            <wp:extent cx="1045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9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3105785</wp:posOffset>
            </wp:positionH>
            <wp:positionV relativeFrom="paragraph">
              <wp:posOffset>91440</wp:posOffset>
            </wp:positionV>
            <wp:extent cx="1045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15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September 30, 2017</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50"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3105785</wp:posOffset>
            </wp:positionH>
            <wp:positionV relativeFrom="paragraph">
              <wp:posOffset>80645</wp:posOffset>
            </wp:positionV>
            <wp:extent cx="1045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ENANTA PHARMACEUTICALS,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3105785</wp:posOffset>
            </wp:positionH>
            <wp:positionV relativeFrom="paragraph">
              <wp:posOffset>77470</wp:posOffset>
            </wp:positionV>
            <wp:extent cx="1045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jc w:val="center"/>
              <w:ind w:left="454"/>
              <w:spacing w:after="0"/>
              <w:rPr>
                <w:sz w:val="20"/>
                <w:szCs w:val="20"/>
                <w:color w:val="auto"/>
              </w:rPr>
            </w:pPr>
            <w:r>
              <w:rPr>
                <w:rFonts w:ascii="Arial" w:cs="Arial" w:eastAsia="Arial" w:hAnsi="Arial"/>
                <w:sz w:val="13"/>
                <w:szCs w:val="13"/>
                <w:b w:val="1"/>
                <w:bCs w:val="1"/>
                <w:color w:val="auto"/>
              </w:rPr>
              <w:t>DELAWARE</w:t>
            </w:r>
          </w:p>
        </w:tc>
        <w:tc>
          <w:tcPr>
            <w:tcW w:w="3240" w:type="dxa"/>
            <w:vAlign w:val="bottom"/>
            <w:gridSpan w:val="2"/>
          </w:tcPr>
          <w:p>
            <w:pPr>
              <w:jc w:val="center"/>
              <w:ind w:left="1253"/>
              <w:spacing w:after="0"/>
              <w:rPr>
                <w:sz w:val="20"/>
                <w:szCs w:val="20"/>
                <w:color w:val="auto"/>
              </w:rPr>
            </w:pPr>
            <w:r>
              <w:rPr>
                <w:rFonts w:ascii="Arial" w:cs="Arial" w:eastAsia="Arial" w:hAnsi="Arial"/>
                <w:sz w:val="13"/>
                <w:szCs w:val="13"/>
                <w:b w:val="1"/>
                <w:bCs w:val="1"/>
                <w:color w:val="auto"/>
                <w:w w:val="96"/>
              </w:rPr>
              <w:t>2834</w:t>
            </w: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100" w:type="dxa"/>
            <w:vAlign w:val="bottom"/>
          </w:tcPr>
          <w:p>
            <w:pPr>
              <w:jc w:val="center"/>
              <w:ind w:right="474"/>
              <w:spacing w:after="0"/>
              <w:rPr>
                <w:sz w:val="20"/>
                <w:szCs w:val="20"/>
                <w:color w:val="auto"/>
              </w:rPr>
            </w:pPr>
            <w:r>
              <w:rPr>
                <w:rFonts w:ascii="Arial" w:cs="Arial" w:eastAsia="Arial" w:hAnsi="Arial"/>
                <w:sz w:val="13"/>
                <w:szCs w:val="13"/>
                <w:b w:val="1"/>
                <w:bCs w:val="1"/>
                <w:color w:val="auto"/>
                <w:w w:val="92"/>
              </w:rPr>
              <w:t>04-3205099</w:t>
            </w:r>
          </w:p>
        </w:tc>
        <w:tc>
          <w:tcPr>
            <w:tcW w:w="0" w:type="dxa"/>
            <w:vAlign w:val="bottom"/>
          </w:tcPr>
          <w:p>
            <w:pPr>
              <w:spacing w:after="0"/>
              <w:rPr>
                <w:sz w:val="1"/>
                <w:szCs w:val="1"/>
                <w:color w:val="auto"/>
              </w:rPr>
            </w:pPr>
          </w:p>
        </w:tc>
      </w:tr>
      <w:tr>
        <w:trPr>
          <w:trHeight w:val="135"/>
        </w:trPr>
        <w:tc>
          <w:tcPr>
            <w:tcW w:w="3320" w:type="dxa"/>
            <w:vAlign w:val="bottom"/>
          </w:tcPr>
          <w:p>
            <w:pPr>
              <w:jc w:val="center"/>
              <w:ind w:left="45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740" w:type="dxa"/>
            <w:vAlign w:val="bottom"/>
            <w:gridSpan w:val="3"/>
          </w:tcPr>
          <w:p>
            <w:pPr>
              <w:jc w:val="center"/>
              <w:ind w:left="753"/>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00" w:type="dxa"/>
            <w:vAlign w:val="bottom"/>
          </w:tcPr>
          <w:p>
            <w:pPr>
              <w:jc w:val="center"/>
              <w:ind w:right="474"/>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3320" w:type="dxa"/>
            <w:vAlign w:val="bottom"/>
          </w:tcPr>
          <w:p>
            <w:pPr>
              <w:jc w:val="center"/>
              <w:ind w:left="454"/>
              <w:spacing w:after="0"/>
              <w:rPr>
                <w:sz w:val="20"/>
                <w:szCs w:val="20"/>
                <w:color w:val="auto"/>
              </w:rPr>
            </w:pPr>
            <w:r>
              <w:rPr>
                <w:rFonts w:ascii="Arial" w:cs="Arial" w:eastAsia="Arial" w:hAnsi="Arial"/>
                <w:sz w:val="13"/>
                <w:szCs w:val="13"/>
                <w:b w:val="1"/>
                <w:bCs w:val="1"/>
                <w:color w:val="auto"/>
                <w:w w:val="88"/>
              </w:rPr>
              <w:t>incorporation or organization)</w:t>
            </w:r>
          </w:p>
        </w:tc>
        <w:tc>
          <w:tcPr>
            <w:tcW w:w="3740" w:type="dxa"/>
            <w:vAlign w:val="bottom"/>
            <w:gridSpan w:val="3"/>
          </w:tcPr>
          <w:p>
            <w:pPr>
              <w:jc w:val="center"/>
              <w:ind w:left="753"/>
              <w:spacing w:after="0"/>
              <w:rPr>
                <w:sz w:val="20"/>
                <w:szCs w:val="20"/>
                <w:color w:val="auto"/>
              </w:rPr>
            </w:pPr>
            <w:r>
              <w:rPr>
                <w:rFonts w:ascii="Arial" w:cs="Arial" w:eastAsia="Arial" w:hAnsi="Arial"/>
                <w:sz w:val="13"/>
                <w:szCs w:val="13"/>
                <w:b w:val="1"/>
                <w:bCs w:val="1"/>
                <w:color w:val="auto"/>
                <w:w w:val="87"/>
              </w:rPr>
              <w:t>Classification Code Number)</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00" w:type="dxa"/>
            <w:vAlign w:val="bottom"/>
          </w:tcPr>
          <w:p>
            <w:pPr>
              <w:jc w:val="center"/>
              <w:ind w:right="474"/>
              <w:spacing w:after="0"/>
              <w:rPr>
                <w:sz w:val="20"/>
                <w:szCs w:val="20"/>
                <w:color w:val="auto"/>
              </w:rPr>
            </w:pPr>
            <w:r>
              <w:rPr>
                <w:rFonts w:ascii="Arial" w:cs="Arial" w:eastAsia="Arial" w:hAnsi="Arial"/>
                <w:sz w:val="13"/>
                <w:szCs w:val="13"/>
                <w:b w:val="1"/>
                <w:bCs w:val="1"/>
                <w:color w:val="auto"/>
                <w:w w:val="89"/>
              </w:rPr>
              <w:t>Identification Number)</w:t>
            </w:r>
          </w:p>
        </w:tc>
        <w:tc>
          <w:tcPr>
            <w:tcW w:w="0" w:type="dxa"/>
            <w:vAlign w:val="bottom"/>
          </w:tcPr>
          <w:p>
            <w:pPr>
              <w:spacing w:after="0"/>
              <w:rPr>
                <w:sz w:val="1"/>
                <w:szCs w:val="1"/>
                <w:color w:val="auto"/>
              </w:rPr>
            </w:pPr>
          </w:p>
        </w:tc>
      </w:tr>
      <w:tr>
        <w:trPr>
          <w:trHeight w:val="165"/>
        </w:trPr>
        <w:tc>
          <w:tcPr>
            <w:tcW w:w="3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3"/>
              </w:rPr>
              <w:t>500 Arsenal Street</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20" w:type="dxa"/>
            <w:vAlign w:val="bottom"/>
          </w:tcPr>
          <w:p>
            <w:pPr>
              <w:spacing w:after="0"/>
              <w:rPr>
                <w:sz w:val="12"/>
                <w:szCs w:val="12"/>
                <w:color w:val="auto"/>
              </w:rPr>
            </w:pPr>
          </w:p>
        </w:tc>
        <w:tc>
          <w:tcPr>
            <w:tcW w:w="3740" w:type="dxa"/>
            <w:vAlign w:val="bottom"/>
            <w:gridSpan w:val="3"/>
          </w:tcPr>
          <w:p>
            <w:pPr>
              <w:jc w:val="center"/>
              <w:ind w:left="993"/>
              <w:spacing w:after="0" w:line="148" w:lineRule="exact"/>
              <w:rPr>
                <w:sz w:val="20"/>
                <w:szCs w:val="20"/>
                <w:color w:val="auto"/>
              </w:rPr>
            </w:pPr>
            <w:r>
              <w:rPr>
                <w:rFonts w:ascii="Arial" w:cs="Arial" w:eastAsia="Arial" w:hAnsi="Arial"/>
                <w:sz w:val="13"/>
                <w:szCs w:val="13"/>
                <w:b w:val="1"/>
                <w:bCs w:val="1"/>
                <w:color w:val="auto"/>
                <w:w w:val="92"/>
              </w:rPr>
              <w:t>Watertown, Massachusetts 02472</w:t>
            </w: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3240" w:type="dxa"/>
            <w:vAlign w:val="bottom"/>
            <w:gridSpan w:val="2"/>
          </w:tcPr>
          <w:p>
            <w:pPr>
              <w:jc w:val="center"/>
              <w:ind w:left="1473"/>
              <w:spacing w:after="0"/>
              <w:rPr>
                <w:sz w:val="20"/>
                <w:szCs w:val="20"/>
                <w:color w:val="auto"/>
              </w:rPr>
            </w:pPr>
            <w:r>
              <w:rPr>
                <w:rFonts w:ascii="Arial" w:cs="Arial" w:eastAsia="Arial" w:hAnsi="Arial"/>
                <w:sz w:val="16"/>
                <w:szCs w:val="16"/>
                <w:b w:val="1"/>
                <w:bCs w:val="1"/>
                <w:color w:val="auto"/>
                <w:w w:val="93"/>
              </w:rPr>
              <w:t>(617) 607-0800</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1220" w:type="dxa"/>
            <w:vAlign w:val="bottom"/>
            <w:gridSpan w:val="7"/>
          </w:tcPr>
          <w:p>
            <w:pPr>
              <w:jc w:val="center"/>
              <w:ind w:left="154"/>
              <w:spacing w:after="0"/>
              <w:rPr>
                <w:sz w:val="20"/>
                <w:szCs w:val="20"/>
                <w:color w:val="auto"/>
              </w:rPr>
            </w:pPr>
            <w:r>
              <w:rPr>
                <w:rFonts w:ascii="Arial" w:cs="Arial" w:eastAsia="Arial" w:hAnsi="Arial"/>
                <w:sz w:val="13"/>
                <w:szCs w:val="13"/>
                <w:b w:val="1"/>
                <w:bCs w:val="1"/>
                <w:color w:val="auto"/>
                <w:w w:val="85"/>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4260" w:type="dxa"/>
            <w:vAlign w:val="bottom"/>
            <w:gridSpan w:val="4"/>
          </w:tcPr>
          <w:p>
            <w:pPr>
              <w:jc w:val="center"/>
              <w:ind w:left="453"/>
              <w:spacing w:after="0"/>
              <w:rPr>
                <w:sz w:val="20"/>
                <w:szCs w:val="20"/>
                <w:color w:val="auto"/>
              </w:rPr>
            </w:pPr>
            <w:r>
              <w:rPr>
                <w:rFonts w:ascii="Arial" w:cs="Arial" w:eastAsia="Arial" w:hAnsi="Arial"/>
                <w:sz w:val="13"/>
                <w:szCs w:val="13"/>
                <w:b w:val="1"/>
                <w:bCs w:val="1"/>
                <w:color w:val="auto"/>
                <w:w w:val="92"/>
              </w:rPr>
              <w:t>Securities registered pursuant to Section 12(b) of the Act:</w:t>
            </w:r>
          </w:p>
        </w:tc>
        <w:tc>
          <w:tcPr>
            <w:tcW w:w="5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20"/>
                <w:szCs w:val="20"/>
                <w:color w:val="auto"/>
              </w:rPr>
            </w:pPr>
            <w:r>
              <w:rPr>
                <w:rFonts w:ascii="Arial" w:cs="Arial" w:eastAsia="Arial" w:hAnsi="Arial"/>
                <w:sz w:val="13"/>
                <w:szCs w:val="13"/>
                <w:b w:val="1"/>
                <w:bCs w:val="1"/>
                <w:color w:val="auto"/>
              </w:rPr>
              <w:t>Title of each class:</w:t>
            </w:r>
          </w:p>
        </w:tc>
        <w:tc>
          <w:tcPr>
            <w:tcW w:w="4260" w:type="dxa"/>
            <w:vAlign w:val="bottom"/>
            <w:gridSpan w:val="4"/>
          </w:tcPr>
          <w:p>
            <w:pPr>
              <w:ind w:left="1520"/>
              <w:spacing w:after="0"/>
              <w:rPr>
                <w:sz w:val="20"/>
                <w:szCs w:val="20"/>
                <w:color w:val="auto"/>
              </w:rPr>
            </w:pPr>
            <w:r>
              <w:rPr>
                <w:rFonts w:ascii="Arial" w:cs="Arial" w:eastAsia="Arial" w:hAnsi="Arial"/>
                <w:sz w:val="13"/>
                <w:szCs w:val="13"/>
                <w:b w:val="1"/>
                <w:bCs w:val="1"/>
                <w:color w:val="auto"/>
                <w:w w:val="97"/>
              </w:rPr>
              <w:t>Name of each exchange on which registered:</w:t>
            </w:r>
          </w:p>
        </w:tc>
        <w:tc>
          <w:tcPr>
            <w:tcW w:w="5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20" w:type="dxa"/>
            <w:vAlign w:val="bottom"/>
          </w:tcPr>
          <w:p>
            <w:pPr>
              <w:spacing w:after="0"/>
              <w:rPr>
                <w:sz w:val="20"/>
                <w:szCs w:val="20"/>
                <w:color w:val="auto"/>
              </w:rPr>
            </w:pPr>
            <w:r>
              <w:rPr>
                <w:rFonts w:ascii="Arial" w:cs="Arial" w:eastAsia="Arial" w:hAnsi="Arial"/>
                <w:sz w:val="13"/>
                <w:szCs w:val="13"/>
                <w:color w:val="auto"/>
              </w:rPr>
              <w:t>Common Stock, $0.01 Par Value</w:t>
            </w:r>
          </w:p>
        </w:tc>
        <w:tc>
          <w:tcPr>
            <w:tcW w:w="7900" w:type="dxa"/>
            <w:vAlign w:val="bottom"/>
            <w:gridSpan w:val="6"/>
          </w:tcPr>
          <w:p>
            <w:pPr>
              <w:ind w:left="1520"/>
              <w:spacing w:after="0"/>
              <w:rPr>
                <w:sz w:val="20"/>
                <w:szCs w:val="20"/>
                <w:color w:val="auto"/>
              </w:rPr>
            </w:pPr>
            <w:r>
              <w:rPr>
                <w:rFonts w:ascii="Arial" w:cs="Arial" w:eastAsia="Arial" w:hAnsi="Arial"/>
                <w:sz w:val="13"/>
                <w:szCs w:val="13"/>
                <w:color w:val="auto"/>
              </w:rPr>
              <w:t>The NASDAQ Stock Market LLC (NASDAQ Global Select Market)</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4260" w:type="dxa"/>
            <w:vAlign w:val="bottom"/>
            <w:gridSpan w:val="4"/>
          </w:tcPr>
          <w:p>
            <w:pPr>
              <w:jc w:val="center"/>
              <w:ind w:left="453"/>
              <w:spacing w:after="0"/>
              <w:rPr>
                <w:sz w:val="20"/>
                <w:szCs w:val="20"/>
                <w:color w:val="auto"/>
              </w:rPr>
            </w:pPr>
            <w:r>
              <w:rPr>
                <w:rFonts w:ascii="Arial" w:cs="Arial" w:eastAsia="Arial" w:hAnsi="Arial"/>
                <w:sz w:val="13"/>
                <w:szCs w:val="13"/>
                <w:b w:val="1"/>
                <w:bCs w:val="1"/>
                <w:color w:val="auto"/>
                <w:w w:val="92"/>
              </w:rPr>
              <w:t>Securities registered pursuant to Section 12(g) of the Act: None</w:t>
            </w:r>
          </w:p>
        </w:tc>
        <w:tc>
          <w:tcPr>
            <w:tcW w:w="5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00" w:type="dxa"/>
            <w:vAlign w:val="bottom"/>
            <w:gridSpan w:val="2"/>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vMerge w:val="restart"/>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2"/>
                <w:szCs w:val="12"/>
                <w:color w:val="auto"/>
              </w:rPr>
              <w:t>☐</w:t>
            </w:r>
          </w:p>
        </w:tc>
        <w:tc>
          <w:tcPr>
            <w:tcW w:w="540" w:type="dxa"/>
            <w:vAlign w:val="bottom"/>
            <w:vMerge w:val="restart"/>
          </w:tcPr>
          <w:p>
            <w:pPr>
              <w:jc w:val="right"/>
              <w:ind w:right="133"/>
              <w:spacing w:after="0" w:line="150" w:lineRule="exact"/>
              <w:rPr>
                <w:sz w:val="20"/>
                <w:szCs w:val="20"/>
                <w:color w:val="auto"/>
              </w:rPr>
            </w:pPr>
            <w:r>
              <w:rPr>
                <w:rFonts w:ascii="Arial" w:cs="Arial" w:eastAsia="Arial" w:hAnsi="Arial"/>
                <w:sz w:val="13"/>
                <w:szCs w:val="13"/>
                <w:color w:val="auto"/>
                <w:w w:val="99"/>
              </w:rPr>
              <w:t xml:space="preserve">No </w:t>
            </w:r>
            <w:r>
              <w:rPr>
                <w:rFonts w:ascii="MS PGothic" w:cs="MS PGothic" w:eastAsia="MS PGothic" w:hAnsi="MS PGothic"/>
                <w:sz w:val="12"/>
                <w:szCs w:val="12"/>
                <w:color w:val="auto"/>
                <w:w w:val="99"/>
              </w:rPr>
              <w:t>☒</w:t>
            </w: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7060" w:type="dxa"/>
            <w:vAlign w:val="bottom"/>
            <w:gridSpan w:val="4"/>
          </w:tcPr>
          <w:p>
            <w:pPr>
              <w:ind w:left="600"/>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5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060" w:type="dxa"/>
            <w:vAlign w:val="bottom"/>
            <w:gridSpan w:val="4"/>
          </w:tcPr>
          <w:p>
            <w:pPr>
              <w:ind w:left="600"/>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520" w:type="dxa"/>
            <w:vAlign w:val="bottom"/>
          </w:tcPr>
          <w:p>
            <w:pPr>
              <w:ind w:left="140"/>
              <w:spacing w:after="0" w:line="150" w:lineRule="exact"/>
              <w:rPr>
                <w:sz w:val="20"/>
                <w:szCs w:val="20"/>
                <w:color w:val="auto"/>
              </w:rPr>
            </w:pPr>
            <w:r>
              <w:rPr>
                <w:rFonts w:ascii="Arial" w:cs="Arial" w:eastAsia="Arial" w:hAnsi="Arial"/>
                <w:sz w:val="13"/>
                <w:szCs w:val="13"/>
                <w:color w:val="auto"/>
                <w:w w:val="94"/>
              </w:rPr>
              <w:t xml:space="preserve">Yes </w:t>
            </w:r>
            <w:r>
              <w:rPr>
                <w:rFonts w:ascii="MS PGothic" w:cs="MS PGothic" w:eastAsia="MS PGothic" w:hAnsi="MS PGothic"/>
                <w:sz w:val="12"/>
                <w:szCs w:val="12"/>
                <w:color w:val="auto"/>
                <w:w w:val="94"/>
              </w:rPr>
              <w:t>☐</w:t>
            </w:r>
          </w:p>
        </w:tc>
        <w:tc>
          <w:tcPr>
            <w:tcW w:w="540" w:type="dxa"/>
            <w:vAlign w:val="bottom"/>
          </w:tcPr>
          <w:p>
            <w:pPr>
              <w:jc w:val="right"/>
              <w:ind w:right="13"/>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2"/>
                <w:szCs w:val="12"/>
                <w:color w:val="auto"/>
              </w:rPr>
              <w:t>☒</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1220" w:type="dxa"/>
            <w:vAlign w:val="bottom"/>
            <w:gridSpan w:val="7"/>
          </w:tcPr>
          <w:p>
            <w:pPr>
              <w:ind w:left="600"/>
              <w:spacing w:after="0" w:line="139" w:lineRule="exact"/>
              <w:rPr>
                <w:sz w:val="20"/>
                <w:szCs w:val="20"/>
                <w:color w:val="auto"/>
              </w:rPr>
            </w:pPr>
            <w:r>
              <w:rPr>
                <w:rFonts w:ascii="Arial" w:cs="Arial" w:eastAsia="Arial" w:hAnsi="Arial"/>
                <w:sz w:val="13"/>
                <w:szCs w:val="13"/>
                <w:color w:val="auto"/>
                <w:w w:val="94"/>
              </w:rPr>
              <w:t>Indicate by check mark whether the registrant (1) has filed all reports required to be filed by Section 13 or 15(d) of the Securities Exchange Act of 1934 during the preceding 12 months (or for such</w:t>
            </w:r>
          </w:p>
        </w:tc>
        <w:tc>
          <w:tcPr>
            <w:tcW w:w="0" w:type="dxa"/>
            <w:vAlign w:val="bottom"/>
          </w:tcPr>
          <w:p>
            <w:pPr>
              <w:spacing w:after="0"/>
              <w:rPr>
                <w:sz w:val="1"/>
                <w:szCs w:val="1"/>
                <w:color w:val="auto"/>
              </w:rPr>
            </w:pPr>
          </w:p>
        </w:tc>
      </w:tr>
      <w:tr>
        <w:trPr>
          <w:trHeight w:val="190"/>
        </w:trPr>
        <w:tc>
          <w:tcPr>
            <w:tcW w:w="7580" w:type="dxa"/>
            <w:vAlign w:val="bottom"/>
            <w:gridSpan w:val="5"/>
          </w:tcPr>
          <w:p>
            <w:pPr>
              <w:spacing w:after="0"/>
              <w:rPr>
                <w:sz w:val="20"/>
                <w:szCs w:val="20"/>
                <w:color w:val="auto"/>
              </w:rPr>
            </w:pPr>
            <w:r>
              <w:rPr>
                <w:rFonts w:ascii="Arial" w:cs="Arial" w:eastAsia="Arial" w:hAnsi="Arial"/>
                <w:sz w:val="13"/>
                <w:szCs w:val="13"/>
                <w:color w:val="auto"/>
                <w:w w:val="94"/>
              </w:rPr>
              <w:t>shorter period that the registrant was required to file such reports), and (2) has been subject to such filing requirements for the past 90 days:</w:t>
            </w:r>
          </w:p>
        </w:tc>
        <w:tc>
          <w:tcPr>
            <w:tcW w:w="540" w:type="dxa"/>
            <w:vAlign w:val="bottom"/>
          </w:tcPr>
          <w:p>
            <w:pPr>
              <w:jc w:val="right"/>
              <w:ind w:right="13"/>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2"/>
                <w:szCs w:val="12"/>
                <w:color w:val="auto"/>
              </w:rPr>
              <w:t>☒</w:t>
            </w:r>
          </w:p>
        </w:tc>
        <w:tc>
          <w:tcPr>
            <w:tcW w:w="3100" w:type="dxa"/>
            <w:vAlign w:val="bottom"/>
          </w:tcPr>
          <w:p>
            <w:pPr>
              <w:ind w:left="6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34"/>
        </w:trPr>
        <w:tc>
          <w:tcPr>
            <w:tcW w:w="11220" w:type="dxa"/>
            <w:vAlign w:val="bottom"/>
            <w:gridSpan w:val="7"/>
          </w:tcPr>
          <w:p>
            <w:pPr>
              <w:ind w:left="600"/>
              <w:spacing w:after="0" w:line="134" w:lineRule="exact"/>
              <w:rPr>
                <w:sz w:val="20"/>
                <w:szCs w:val="20"/>
                <w:color w:val="auto"/>
              </w:rPr>
            </w:pPr>
            <w:r>
              <w:rPr>
                <w:rFonts w:ascii="Arial" w:cs="Arial" w:eastAsia="Arial" w:hAnsi="Arial"/>
                <w:sz w:val="13"/>
                <w:szCs w:val="13"/>
                <w:color w:val="auto"/>
                <w:w w:val="94"/>
              </w:rPr>
              <w:t>Indicate by check mark whether the registrant has submitted electronically and posted on its corporate Web site, if any, every Interactive Data File required to be submitted and posted pursuant to</w:t>
            </w:r>
          </w:p>
        </w:tc>
        <w:tc>
          <w:tcPr>
            <w:tcW w:w="0" w:type="dxa"/>
            <w:vAlign w:val="bottom"/>
          </w:tcPr>
          <w:p>
            <w:pPr>
              <w:spacing w:after="0"/>
              <w:rPr>
                <w:sz w:val="1"/>
                <w:szCs w:val="1"/>
                <w:color w:val="auto"/>
              </w:rPr>
            </w:pPr>
          </w:p>
        </w:tc>
      </w:tr>
      <w:tr>
        <w:trPr>
          <w:trHeight w:val="199"/>
        </w:trPr>
        <w:tc>
          <w:tcPr>
            <w:tcW w:w="8120" w:type="dxa"/>
            <w:vAlign w:val="bottom"/>
            <w:gridSpan w:val="6"/>
          </w:tcPr>
          <w:p>
            <w:pPr>
              <w:spacing w:after="0"/>
              <w:rPr>
                <w:sz w:val="20"/>
                <w:szCs w:val="20"/>
                <w:color w:val="auto"/>
              </w:rPr>
            </w:pPr>
            <w:r>
              <w:rPr>
                <w:rFonts w:ascii="Arial" w:cs="Arial" w:eastAsia="Arial" w:hAnsi="Arial"/>
                <w:sz w:val="13"/>
                <w:szCs w:val="13"/>
                <w:color w:val="auto"/>
                <w:w w:val="94"/>
              </w:rPr>
              <w:t>Rule 405 of Regulation S-T during the preceding 12 months (or for such shorter period that the registrant was required to submit and post such files):</w:t>
            </w:r>
          </w:p>
        </w:tc>
        <w:tc>
          <w:tcPr>
            <w:tcW w:w="310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bl>
    <w:p>
      <w:pPr>
        <w:spacing w:after="0" w:line="5" w:lineRule="exact"/>
        <w:rPr>
          <w:sz w:val="24"/>
          <w:szCs w:val="24"/>
          <w:color w:val="auto"/>
        </w:rPr>
      </w:pPr>
    </w:p>
    <w:p>
      <w:pPr>
        <w:jc w:val="both"/>
        <w:ind w:right="160" w:firstLine="598"/>
        <w:spacing w:after="0" w:line="166"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6" w:lineRule="exact"/>
        <w:rPr>
          <w:sz w:val="24"/>
          <w:szCs w:val="24"/>
          <w:color w:val="auto"/>
        </w:rPr>
      </w:pPr>
    </w:p>
    <w:p>
      <w:pPr>
        <w:ind w:firstLine="598"/>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350" w:right="259" w:bottom="1440" w:gutter="0" w:footer="0" w:header="0"/>
        </w:sectPr>
      </w:pPr>
    </w:p>
    <w:p>
      <w:pPr>
        <w:spacing w:after="0" w:line="16"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78" w:lineRule="exact"/>
        <w:rPr>
          <w:sz w:val="24"/>
          <w:szCs w:val="24"/>
          <w:color w:val="auto"/>
        </w:rPr>
      </w:pPr>
    </w:p>
    <w:p>
      <w:pPr>
        <w:sectPr>
          <w:pgSz w:w="11900" w:h="16838" w:orient="portrait"/>
          <w:cols w:equalWidth="0" w:num="4">
            <w:col w:w="1300" w:space="720"/>
            <w:col w:w="6000" w:space="720"/>
            <w:col w:w="1720" w:space="720"/>
            <w:col w:w="220"/>
          </w:cols>
          <w:pgMar w:left="240" w:top="350" w:right="259" w:bottom="1440" w:gutter="0" w:footer="0" w:header="0"/>
          <w:type w:val="continuous"/>
        </w:sectPr>
      </w:pP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2"/>
          <w:szCs w:val="12"/>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68" w:lineRule="exact"/>
        <w:rPr>
          <w:sz w:val="24"/>
          <w:szCs w:val="24"/>
          <w:color w:val="auto"/>
        </w:rPr>
      </w:pPr>
    </w:p>
    <w:p>
      <w:pPr>
        <w:sectPr>
          <w:pgSz w:w="11900" w:h="16838" w:orient="portrait"/>
          <w:cols w:equalWidth="0" w:num="4">
            <w:col w:w="1300" w:space="720"/>
            <w:col w:w="6000" w:space="720"/>
            <w:col w:w="1720" w:space="720"/>
            <w:col w:w="220"/>
          </w:cols>
          <w:pgMar w:left="240" w:top="350" w:right="259" w:bottom="1440" w:gutter="0" w:footer="0" w:header="0"/>
          <w:type w:val="continuous"/>
        </w:sect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1400"/>
          </w:cols>
          <w:pgMar w:left="240" w:top="350" w:right="259" w:bottom="1440" w:gutter="0" w:footer="0" w:header="0"/>
          <w:type w:val="continuous"/>
        </w:sectPr>
      </w:pPr>
    </w:p>
    <w:p>
      <w:pPr>
        <w:spacing w:after="0" w:line="51" w:lineRule="exact"/>
        <w:rPr>
          <w:sz w:val="24"/>
          <w:szCs w:val="24"/>
          <w:color w:val="auto"/>
        </w:rPr>
      </w:pPr>
    </w:p>
    <w:p>
      <w:pPr>
        <w:ind w:right="260" w:firstLine="598"/>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600"/>
        <w:spacing w:after="0" w:line="150" w:lineRule="exact"/>
        <w:tabs>
          <w:tab w:leader="none" w:pos="6840" w:val="left"/>
          <w:tab w:leader="none" w:pos="73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Arial" w:cs="Arial" w:eastAsia="Arial" w:hAnsi="Arial"/>
          <w:sz w:val="13"/>
          <w:szCs w:val="13"/>
          <w:color w:val="auto"/>
        </w:rPr>
        <w:tab/>
        <w:t xml:space="preserve">No  </w:t>
      </w:r>
      <w:r>
        <w:rPr>
          <w:rFonts w:ascii="MS PGothic" w:cs="MS PGothic" w:eastAsia="MS PGothic" w:hAnsi="MS PGothic"/>
          <w:sz w:val="12"/>
          <w:szCs w:val="12"/>
          <w:color w:val="auto"/>
        </w:rPr>
        <w:t>☒</w:t>
      </w:r>
    </w:p>
    <w:p>
      <w:pPr>
        <w:spacing w:after="0" w:line="44" w:lineRule="exact"/>
        <w:rPr>
          <w:sz w:val="24"/>
          <w:szCs w:val="24"/>
          <w:color w:val="auto"/>
        </w:rPr>
      </w:pPr>
    </w:p>
    <w:p>
      <w:pPr>
        <w:jc w:val="both"/>
        <w:ind w:right="40" w:firstLine="598"/>
        <w:spacing w:after="0" w:line="251"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as of the last business day of the registrant’s most recently completed second fiscal quarter, March 31, 2017, based on the last reported sale price of the registrant’s common stock of $30.80 per share was $491,133,874. The number of shares of the registrant’s Common Stock, $0.01 par value, outstanding as of December 1, 2017, was 19,126,006 shares.</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41" w:lineRule="exact"/>
        <w:rPr>
          <w:sz w:val="24"/>
          <w:szCs w:val="24"/>
          <w:color w:val="auto"/>
        </w:rPr>
      </w:pPr>
    </w:p>
    <w:p>
      <w:pPr>
        <w:ind w:right="20" w:firstLine="598"/>
        <w:spacing w:after="0" w:line="274" w:lineRule="auto"/>
        <w:rPr>
          <w:sz w:val="20"/>
          <w:szCs w:val="20"/>
          <w:color w:val="auto"/>
        </w:rPr>
      </w:pPr>
      <w:r>
        <w:rPr>
          <w:rFonts w:ascii="Arial" w:cs="Arial" w:eastAsia="Arial" w:hAnsi="Arial"/>
          <w:sz w:val="13"/>
          <w:szCs w:val="13"/>
          <w:color w:val="auto"/>
        </w:rPr>
        <w:t>Portions of the registrant’s Definitive Proxy Statement for its 2018 Annual Meeting of Stockholders scheduled to be held on February 28, 2018, which Definitive Proxy will be filed with the Securities and Exchange Commission not later than 120 days after the registrant’s fiscal year end of September 30, 2017,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94615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0" w:right="259" w:bottom="1440" w:gutter="0" w:footer="0" w:header="0"/>
          <w:type w:val="continuous"/>
        </w:sectPr>
      </w:pPr>
    </w:p>
    <w:bookmarkStart w:id="1" w:name="page2"/>
    <w:bookmarkEnd w:id="1"/>
    <w:p>
      <w:pPr>
        <w:ind w:right="280"/>
        <w:spacing w:after="0" w:line="341" w:lineRule="auto"/>
        <w:rPr>
          <w:sz w:val="20"/>
          <w:szCs w:val="20"/>
          <w:color w:val="auto"/>
        </w:rPr>
      </w:pPr>
      <w:r>
        <w:rPr>
          <w:rFonts w:ascii="Arial" w:cs="Arial" w:eastAsia="Arial" w:hAnsi="Arial"/>
          <w:sz w:val="16"/>
          <w:szCs w:val="16"/>
          <w:color w:val="auto"/>
        </w:rPr>
        <w:t>As used in this Form 10-K, “Enanta,” “the Company,” “we,” “our,” and “us” refer to Enanta Pharmaceuticals, Inc., and “MAVYRET/MAVIRET” refers to AbbVie’s new HCV regimen consisting of tablets of glecaprevir/pibrentasvir, except where the context otherwise requires or as otherwise indicated.</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FORWARD 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“Risk Factors” and discussed elsewhere in this Annual Report on Form 10-K. These forward-looking statements speak only as of the date of this Annual Report on Form 10-K.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6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rPr>
              <w:t>ENANTA PHARMACEUTICALS, INC.</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9"/>
              </w:rPr>
              <w:t>ANNUAL REPORT ON FORM 10-K</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89"/>
              </w:rPr>
              <w:t>For the year ended September 30, 2017</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6"/>
          </w:tcPr>
          <w:p>
            <w:pPr>
              <w:jc w:val="center"/>
              <w:ind w:right="4620"/>
              <w:spacing w:after="0"/>
              <w:rPr>
                <w:sz w:val="20"/>
                <w:szCs w:val="20"/>
                <w:color w:val="auto"/>
              </w:rPr>
            </w:pPr>
            <w:r>
              <w:rPr>
                <w:rFonts w:ascii="Arial" w:cs="Arial" w:eastAsia="Arial" w:hAnsi="Arial"/>
                <w:sz w:val="18"/>
                <w:szCs w:val="18"/>
                <w:b w:val="1"/>
                <w:bCs w:val="1"/>
                <w:color w:val="auto"/>
              </w:rPr>
              <w:t>INDEX</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74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r>
      <w:tr>
        <w:trPr>
          <w:trHeight w:val="289"/>
        </w:trPr>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6"/>
          </w:tcPr>
          <w:p>
            <w:pPr>
              <w:jc w:val="center"/>
              <w:ind w:right="4320"/>
              <w:spacing w:after="0"/>
              <w:rPr>
                <w:sz w:val="20"/>
                <w:szCs w:val="20"/>
                <w:color w:val="auto"/>
              </w:rPr>
            </w:pPr>
            <w:r>
              <w:rPr>
                <w:rFonts w:ascii="Arial" w:cs="Arial" w:eastAsia="Arial" w:hAnsi="Arial"/>
                <w:sz w:val="18"/>
                <w:szCs w:val="18"/>
                <w:color w:val="auto"/>
                <w:w w:val="89"/>
              </w:rPr>
              <w:t>PART I</w:t>
            </w: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740" w:type="dxa"/>
            <w:vAlign w:val="bottom"/>
          </w:tcPr>
          <w:p>
            <w:pPr>
              <w:ind w:left="140"/>
              <w:spacing w:after="0" w:line="189"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6"/>
                <w:szCs w:val="16"/>
                <w:color w:val="auto"/>
              </w:rPr>
            </w:pPr>
          </w:p>
        </w:tc>
        <w:tc>
          <w:tcPr>
            <w:tcW w:w="9960" w:type="dxa"/>
            <w:vAlign w:val="bottom"/>
            <w:gridSpan w:val="22"/>
          </w:tcPr>
          <w:p>
            <w:pPr>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1A.</w:t>
            </w:r>
          </w:p>
        </w:tc>
        <w:tc>
          <w:tcPr>
            <w:tcW w:w="140" w:type="dxa"/>
            <w:vAlign w:val="bottom"/>
          </w:tcPr>
          <w:p>
            <w:pPr>
              <w:spacing w:after="0"/>
              <w:rPr>
                <w:sz w:val="17"/>
                <w:szCs w:val="17"/>
                <w:color w:val="auto"/>
              </w:rPr>
            </w:pPr>
          </w:p>
        </w:tc>
        <w:tc>
          <w:tcPr>
            <w:tcW w:w="996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1B.</w:t>
            </w:r>
          </w:p>
        </w:tc>
        <w:tc>
          <w:tcPr>
            <w:tcW w:w="140" w:type="dxa"/>
            <w:vAlign w:val="bottom"/>
          </w:tcPr>
          <w:p>
            <w:pPr>
              <w:spacing w:after="0"/>
              <w:rPr>
                <w:sz w:val="17"/>
                <w:szCs w:val="17"/>
                <w:color w:val="auto"/>
              </w:rPr>
            </w:pPr>
          </w:p>
        </w:tc>
        <w:tc>
          <w:tcPr>
            <w:tcW w:w="9960" w:type="dxa"/>
            <w:vAlign w:val="bottom"/>
            <w:gridSpan w:val="2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Unresolved Staff Comments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792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Legal Proceedings</w:t>
              </w:r>
            </w:hyperlink>
          </w:p>
        </w:tc>
        <w:tc>
          <w:tcPr>
            <w:tcW w:w="8620" w:type="dxa"/>
            <w:vAlign w:val="bottom"/>
            <w:gridSpan w:val="1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9960" w:type="dxa"/>
            <w:vAlign w:val="bottom"/>
            <w:gridSpan w:val="2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r>
      <w:tr>
        <w:trPr>
          <w:trHeight w:val="438"/>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6"/>
          </w:tcPr>
          <w:p>
            <w:pPr>
              <w:jc w:val="center"/>
              <w:ind w:right="4320"/>
              <w:spacing w:after="0"/>
              <w:rPr>
                <w:sz w:val="20"/>
                <w:szCs w:val="20"/>
                <w:color w:val="auto"/>
              </w:rPr>
            </w:pPr>
            <w:r>
              <w:rPr>
                <w:rFonts w:ascii="Arial" w:cs="Arial" w:eastAsia="Arial" w:hAnsi="Arial"/>
                <w:sz w:val="18"/>
                <w:szCs w:val="18"/>
                <w:color w:val="auto"/>
                <w:w w:val="95"/>
              </w:rPr>
              <w:t>PART II</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740" w:type="dxa"/>
            <w:vAlign w:val="bottom"/>
          </w:tcPr>
          <w:p>
            <w:pPr>
              <w:ind w:left="140"/>
              <w:spacing w:after="0" w:line="189"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6"/>
                <w:szCs w:val="16"/>
                <w:color w:val="auto"/>
              </w:rPr>
            </w:pPr>
          </w:p>
        </w:tc>
        <w:tc>
          <w:tcPr>
            <w:tcW w:w="8300" w:type="dxa"/>
            <w:vAlign w:val="bottom"/>
            <w:tcBorders>
              <w:bottom w:val="single" w:sz="8" w:color="0000EE"/>
            </w:tcBorders>
            <w:gridSpan w:val="21"/>
          </w:tcPr>
          <w:p>
            <w:pPr>
              <w:spacing w:after="0" w:line="189"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Market for the Company’s Common Equity, Related Stockholder Matters and Issuer Purchases of Equity Securities</w:t>
              </w:r>
            </w:hyperlink>
          </w:p>
        </w:tc>
        <w:tc>
          <w:tcPr>
            <w:tcW w:w="166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6"/>
                <w:szCs w:val="16"/>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996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Selected Consolidated Financial Data</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350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7A.</w:t>
            </w:r>
          </w:p>
        </w:tc>
        <w:tc>
          <w:tcPr>
            <w:tcW w:w="140" w:type="dxa"/>
            <w:vAlign w:val="bottom"/>
          </w:tcPr>
          <w:p>
            <w:pPr>
              <w:spacing w:after="0"/>
              <w:rPr>
                <w:sz w:val="17"/>
                <w:szCs w:val="17"/>
                <w:color w:val="auto"/>
              </w:rPr>
            </w:pPr>
          </w:p>
        </w:tc>
        <w:tc>
          <w:tcPr>
            <w:tcW w:w="9960" w:type="dxa"/>
            <w:vAlign w:val="bottom"/>
            <w:gridSpan w:val="2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9960" w:type="dxa"/>
            <w:vAlign w:val="bottom"/>
            <w:gridSpan w:val="2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Financial Statements and Supplementary Data</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64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Changes in and Disagreements with Accountants on Accounting and Financial Disclosure</w:t>
              </w:r>
            </w:hyperlink>
          </w:p>
        </w:tc>
        <w:tc>
          <w:tcPr>
            <w:tcW w:w="348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9A.</w:t>
            </w:r>
          </w:p>
        </w:tc>
        <w:tc>
          <w:tcPr>
            <w:tcW w:w="14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Controls and Procedures</w:t>
              </w:r>
            </w:hyperlink>
          </w:p>
        </w:tc>
        <w:tc>
          <w:tcPr>
            <w:tcW w:w="8180" w:type="dxa"/>
            <w:vAlign w:val="bottom"/>
            <w:gridSpan w:val="1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9B.</w:t>
            </w:r>
          </w:p>
        </w:tc>
        <w:tc>
          <w:tcPr>
            <w:tcW w:w="140" w:type="dxa"/>
            <w:vAlign w:val="bottom"/>
          </w:tcPr>
          <w:p>
            <w:pPr>
              <w:spacing w:after="0"/>
              <w:rPr>
                <w:sz w:val="17"/>
                <w:szCs w:val="17"/>
                <w:color w:val="auto"/>
              </w:rPr>
            </w:pPr>
          </w:p>
        </w:tc>
        <w:tc>
          <w:tcPr>
            <w:tcW w:w="9960" w:type="dxa"/>
            <w:vAlign w:val="bottom"/>
            <w:gridSpan w:val="2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r>
      <w:tr>
        <w:trPr>
          <w:trHeight w:val="438"/>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6"/>
          </w:tcPr>
          <w:p>
            <w:pPr>
              <w:jc w:val="center"/>
              <w:ind w:right="4320"/>
              <w:spacing w:after="0"/>
              <w:rPr>
                <w:sz w:val="20"/>
                <w:szCs w:val="20"/>
                <w:color w:val="auto"/>
              </w:rPr>
            </w:pPr>
            <w:r>
              <w:rPr>
                <w:rFonts w:ascii="Arial" w:cs="Arial" w:eastAsia="Arial" w:hAnsi="Arial"/>
                <w:sz w:val="18"/>
                <w:szCs w:val="18"/>
                <w:color w:val="auto"/>
                <w:w w:val="94"/>
              </w:rPr>
              <w:t>PART III</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740" w:type="dxa"/>
            <w:vAlign w:val="bottom"/>
          </w:tcPr>
          <w:p>
            <w:pPr>
              <w:ind w:left="140"/>
              <w:spacing w:after="0" w:line="189"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6"/>
                <w:szCs w:val="16"/>
                <w:color w:val="auto"/>
              </w:rPr>
            </w:pPr>
          </w:p>
        </w:tc>
        <w:tc>
          <w:tcPr>
            <w:tcW w:w="4100" w:type="dxa"/>
            <w:vAlign w:val="bottom"/>
            <w:tcBorders>
              <w:bottom w:val="single" w:sz="8" w:color="0000EE"/>
            </w:tcBorders>
            <w:gridSpan w:val="14"/>
          </w:tcPr>
          <w:p>
            <w:pPr>
              <w:spacing w:after="0" w:line="189"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Directors, Executive Officers and Corporate Governance</w:t>
              </w:r>
            </w:hyperlink>
          </w:p>
        </w:tc>
        <w:tc>
          <w:tcPr>
            <w:tcW w:w="5860" w:type="dxa"/>
            <w:vAlign w:val="bottom"/>
            <w:gridSpan w:val="8"/>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6"/>
                <w:szCs w:val="16"/>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9960" w:type="dxa"/>
            <w:vAlign w:val="bottom"/>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Executive Compensation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9960" w:type="dxa"/>
            <w:vAlign w:val="bottom"/>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Certain Relationships and Related Transactions, and Director Independence</w:t>
              </w:r>
            </w:hyperlink>
          </w:p>
        </w:tc>
        <w:tc>
          <w:tcPr>
            <w:tcW w:w="1820" w:type="dxa"/>
            <w:vAlign w:val="bottom"/>
            <w:tcBorders>
              <w:top w:val="single" w:sz="8" w:color="0000EE"/>
            </w:tcBorders>
            <w:gridSpan w:val="3"/>
          </w:tcPr>
          <w:p>
            <w:pPr>
              <w:spacing w:after="0"/>
              <w:rPr>
                <w:sz w:val="17"/>
                <w:szCs w:val="17"/>
                <w:color w:val="auto"/>
              </w:rPr>
            </w:pPr>
          </w:p>
        </w:tc>
        <w:tc>
          <w:tcPr>
            <w:tcW w:w="268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r>
      <w:tr>
        <w:trPr>
          <w:trHeight w:val="196"/>
        </w:trPr>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14.</w:t>
            </w:r>
          </w:p>
        </w:tc>
        <w:tc>
          <w:tcPr>
            <w:tcW w:w="140" w:type="dxa"/>
            <w:vAlign w:val="bottom"/>
          </w:tcPr>
          <w:p>
            <w:pPr>
              <w:spacing w:after="0"/>
              <w:rPr>
                <w:sz w:val="17"/>
                <w:szCs w:val="17"/>
                <w:color w:val="auto"/>
              </w:rPr>
            </w:pPr>
          </w:p>
        </w:tc>
        <w:tc>
          <w:tcPr>
            <w:tcW w:w="9960" w:type="dxa"/>
            <w:vAlign w:val="bottom"/>
            <w:gridSpan w:val="2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Principal Accounting Fees and Services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r>
      <w:tr>
        <w:trPr>
          <w:trHeight w:val="438"/>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6"/>
          </w:tcPr>
          <w:p>
            <w:pPr>
              <w:jc w:val="center"/>
              <w:ind w:right="4300"/>
              <w:spacing w:after="0"/>
              <w:rPr>
                <w:sz w:val="20"/>
                <w:szCs w:val="20"/>
                <w:color w:val="auto"/>
              </w:rPr>
            </w:pPr>
            <w:r>
              <w:rPr>
                <w:rFonts w:ascii="Arial" w:cs="Arial" w:eastAsia="Arial" w:hAnsi="Arial"/>
                <w:sz w:val="18"/>
                <w:szCs w:val="18"/>
                <w:color w:val="auto"/>
                <w:w w:val="94"/>
              </w:rPr>
              <w:t>PART IV</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740" w:type="dxa"/>
            <w:vAlign w:val="bottom"/>
          </w:tcPr>
          <w:p>
            <w:pPr>
              <w:ind w:left="140"/>
              <w:spacing w:after="0" w:line="189"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6"/>
                <w:szCs w:val="16"/>
                <w:color w:val="auto"/>
              </w:rPr>
            </w:pPr>
          </w:p>
        </w:tc>
        <w:tc>
          <w:tcPr>
            <w:tcW w:w="9960" w:type="dxa"/>
            <w:vAlign w:val="bottom"/>
            <w:gridSpan w:val="22"/>
          </w:tcPr>
          <w:p>
            <w:pPr>
              <w:spacing w:after="0" w:line="189" w:lineRule="exact"/>
              <w:rPr>
                <w:rFonts w:ascii="Arial" w:cs="Arial" w:eastAsia="Arial" w:hAnsi="Arial"/>
                <w:sz w:val="18"/>
                <w:szCs w:val="18"/>
                <w:color w:val="0000EE"/>
              </w:rPr>
            </w:pPr>
            <w:hyperlink w:anchor="page76">
              <w:r>
                <w:rPr>
                  <w:rFonts w:ascii="Arial" w:cs="Arial" w:eastAsia="Arial" w:hAnsi="Arial"/>
                  <w:sz w:val="18"/>
                  <w:szCs w:val="18"/>
                  <w:color w:val="0000EE"/>
                </w:rPr>
                <w:t>Exhibits, Financial Statement Schedules</w:t>
              </w:r>
            </w:hyperlink>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6"/>
                <w:szCs w:val="16"/>
                <w:color w:val="auto"/>
              </w:rPr>
            </w:pPr>
          </w:p>
        </w:tc>
      </w:tr>
      <w:tr>
        <w:trPr>
          <w:trHeight w:val="209"/>
        </w:trPr>
        <w:tc>
          <w:tcPr>
            <w:tcW w:w="740" w:type="dxa"/>
            <w:vAlign w:val="bottom"/>
          </w:tcPr>
          <w:p>
            <w:pPr>
              <w:ind w:left="1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7060" w:type="dxa"/>
            <w:vAlign w:val="bottom"/>
            <w:gridSpan w:val="9"/>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Signatures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r>
      <w:tr>
        <w:trPr>
          <w:trHeight w:val="378"/>
        </w:trPr>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and marketed as part of AbbVie’s new direct-acting antiviral (DAA) regimen under the tradenames MAVYRET™ (U.S.) or MAVIRET™ (ex-U.S.) (glecaprevir/pibrentasvir) for the treatment of chronic hepatitis C virus, or HCV. The other protease inhibitor under our HCV collaboration is part of AbbVie’s initial DAA regimens for the treatment of chronic HCV marketed under the tradenames VIEKIRA PAK</w:t>
      </w:r>
      <w:r>
        <w:rPr>
          <w:rFonts w:ascii="Arial" w:cs="Arial" w:eastAsia="Arial" w:hAnsi="Arial"/>
          <w:sz w:val="15"/>
          <w:szCs w:val="15"/>
          <w:color w:val="auto"/>
        </w:rPr>
        <w:t>®</w:t>
      </w:r>
      <w:r>
        <w:rPr>
          <w:rFonts w:ascii="Arial" w:cs="Arial" w:eastAsia="Arial" w:hAnsi="Arial"/>
          <w:sz w:val="18"/>
          <w:szCs w:val="18"/>
          <w:color w:val="auto"/>
        </w:rPr>
        <w:t xml:space="preserve"> (paritaprevir/ritonavir/ombitasvir</w:t>
      </w:r>
    </w:p>
    <w:p>
      <w:pPr>
        <w:spacing w:after="0" w:line="4"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/dasabuvir) (U.S.) or VIEKIRAX</w:t>
      </w:r>
      <w:r>
        <w:rPr>
          <w:rFonts w:ascii="Arial" w:cs="Arial" w:eastAsia="Arial" w:hAnsi="Arial"/>
          <w:sz w:val="13"/>
          <w:szCs w:val="13"/>
          <w:color w:val="auto"/>
        </w:rPr>
        <w:t>®</w:t>
      </w:r>
      <w:r>
        <w:rPr>
          <w:rFonts w:ascii="Arial" w:cs="Arial" w:eastAsia="Arial" w:hAnsi="Arial"/>
          <w:sz w:val="16"/>
          <w:szCs w:val="16"/>
          <w:color w:val="auto"/>
        </w:rPr>
        <w:t xml:space="preserve"> (paritaprevir/ritonavir/ombitasvir) (ex-U.S.). Our royalties from our AbbVie collaboration and our existing financial resources provide us funding to support our wholly owned research and development efforts, which are currently focused on the following disease targets:</w:t>
      </w:r>
    </w:p>
    <w:p>
      <w:pPr>
        <w:spacing w:after="0" w:line="30" w:lineRule="exact"/>
        <w:rPr>
          <w:sz w:val="20"/>
          <w:szCs w:val="20"/>
          <w:color w:val="auto"/>
        </w:rPr>
      </w:pPr>
    </w:p>
    <w:p>
      <w:pPr>
        <w:ind w:left="1200" w:hanging="599"/>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6 million individuals in the U.S. alone;</w:t>
      </w:r>
    </w:p>
    <w:p>
      <w:pPr>
        <w:spacing w:after="0" w:line="116" w:lineRule="exact"/>
        <w:rPr>
          <w:rFonts w:ascii="Arial" w:cs="Arial" w:eastAsia="Arial" w:hAnsi="Arial"/>
          <w:sz w:val="18"/>
          <w:szCs w:val="18"/>
          <w:color w:val="auto"/>
        </w:rPr>
      </w:pPr>
    </w:p>
    <w:p>
      <w:pPr>
        <w:ind w:left="1200" w:right="400" w:hanging="599"/>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primary biliary cholangitis, or PBC, a chronic liver disease that slowly destroys bile ducts in the liver, which affects an estimated 17,000 individuals in the U.S.;</w:t>
      </w:r>
    </w:p>
    <w:p>
      <w:pPr>
        <w:spacing w:after="0" w:line="61" w:lineRule="exact"/>
        <w:rPr>
          <w:rFonts w:ascii="Arial" w:cs="Arial" w:eastAsia="Arial" w:hAnsi="Arial"/>
          <w:sz w:val="18"/>
          <w:szCs w:val="18"/>
          <w:color w:val="auto"/>
        </w:rPr>
      </w:pPr>
    </w:p>
    <w:p>
      <w:pPr>
        <w:ind w:left="1200" w:right="320" w:hanging="599"/>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respiratory syncytial virus, or RSV, the most common cause of bronchiolitis and pneumonia in children under one year of age in the U.S., resulting in an estimated 75,000 to 125,000 hospitalizations each year in the U.S.; and</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250 million individuals worldwide.</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had $293.7 million in cash and marketable securities at September 30, 2017. In fiscal 2017, we received and earned as revenue a total of $65.0 million in milestone payments for commercialization regulatory approvals of the glecaprevir/pibrentasvir combination in the U.S. in August 2017 and the EU in July 2017 and earned $37.8 million in per-product royalties on portions of AbbVie’s net sales of its HCV regimens allocated to paritaprevir or glecaprevir. We earned the remaining $15.0 million milestone payment from AbbVie upon reimbursement approval for MAVIRET in Japan in November 2017. We expect our existing financial resources and quarterly royalty payments will allow us to continue to invest for the foreseeable future in our wholly owned research and development programs.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 Owned Programs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wholly owned research and development programs are in liver disease (non-virology), namely NASH and PBC, and in virology, namely RSV and HBV:</w:t>
      </w:r>
    </w:p>
    <w:p>
      <w:pPr>
        <w:spacing w:after="0" w:line="154" w:lineRule="exact"/>
        <w:rPr>
          <w:sz w:val="20"/>
          <w:szCs w:val="20"/>
          <w:color w:val="auto"/>
        </w:rPr>
      </w:pPr>
    </w:p>
    <w:p>
      <w:pPr>
        <w:ind w:left="1200" w:right="20" w:hanging="599"/>
        <w:spacing w:after="0" w:line="271" w:lineRule="auto"/>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NASH and PBC:</w:t>
      </w:r>
      <w:r>
        <w:rPr>
          <w:rFonts w:ascii="Arial" w:cs="Arial" w:eastAsia="Arial" w:hAnsi="Arial"/>
          <w:sz w:val="1"/>
          <w:szCs w:val="1"/>
          <w:color w:val="auto"/>
        </w:rPr>
        <w:drawing>
          <wp:inline distT="0" distB="0" distL="0" distR="0">
            <wp:extent cx="34290" cy="1454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45415"/>
                    </a:xfrm>
                    <a:prstGeom prst="rect">
                      <a:avLst/>
                    </a:prstGeom>
                    <a:noFill/>
                    <a:ln>
                      <a:noFill/>
                    </a:ln>
                  </pic:spPr>
                </pic:pic>
              </a:graphicData>
            </a:graphic>
          </wp:inline>
        </w:drawing>
      </w:r>
      <w:r>
        <w:rPr>
          <w:rFonts w:ascii="Arial" w:cs="Arial" w:eastAsia="Arial" w:hAnsi="Arial"/>
          <w:sz w:val="16"/>
          <w:szCs w:val="16"/>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 FXR agonist designed to take advantage of increased binding interactions with the receptor. We believe this class is significantly different from other FXR agonists in clinical development.</w:t>
      </w:r>
    </w:p>
    <w:p>
      <w:pPr>
        <w:spacing w:after="0" w:line="73" w:lineRule="exact"/>
        <w:rPr>
          <w:rFonts w:ascii="Arial" w:cs="Arial" w:eastAsia="Arial" w:hAnsi="Arial"/>
          <w:sz w:val="16"/>
          <w:szCs w:val="16"/>
          <w:color w:val="auto"/>
        </w:rPr>
      </w:pPr>
    </w:p>
    <w:p>
      <w:pPr>
        <w:jc w:val="both"/>
        <w:ind w:left="1780" w:right="20" w:hanging="585"/>
        <w:spacing w:after="0" w:line="311" w:lineRule="auto"/>
        <w:tabs>
          <w:tab w:leader="none" w:pos="178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October 2017, we announced results of a Phase 1a/b clinical study of EDP-305, which was generally safe and well tolerated over a broad range of single and multiple doses with pharmacokinetic data supporting once daily oral dosing. The study included 98 healthy volunteer subjects, or HV subjects, and 48 subjects who were obese and with or without pre-diabetes or type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8"/>
          <w:szCs w:val="18"/>
          <w:color w:val="auto"/>
        </w:rPr>
        <w:t>2 diabetes, whom we refer to as subjects with presumptive non-alcoholic fatty liver disease, or PN subjects.</w:t>
      </w:r>
    </w:p>
    <w:p>
      <w:pPr>
        <w:spacing w:after="0" w:line="117" w:lineRule="exact"/>
        <w:rPr>
          <w:sz w:val="20"/>
          <w:szCs w:val="20"/>
          <w:color w:val="auto"/>
        </w:rPr>
      </w:pPr>
    </w:p>
    <w:p>
      <w:pPr>
        <w:ind w:left="2960" w:right="80" w:hanging="430"/>
        <w:spacing w:after="0" w:line="307" w:lineRule="auto"/>
        <w:tabs>
          <w:tab w:leader="none" w:pos="2960" w:val="left"/>
        </w:tabs>
        <w:numPr>
          <w:ilvl w:val="3"/>
          <w:numId w:val="5"/>
        </w:numPr>
        <w:rPr>
          <w:rFonts w:ascii="Arial" w:cs="Arial" w:eastAsia="Arial" w:hAnsi="Arial"/>
          <w:sz w:val="17"/>
          <w:szCs w:val="17"/>
          <w:color w:val="auto"/>
        </w:rPr>
      </w:pPr>
      <w:r>
        <w:rPr>
          <w:rFonts w:ascii="Arial" w:cs="Arial" w:eastAsia="Arial" w:hAnsi="Arial"/>
          <w:sz w:val="17"/>
          <w:szCs w:val="17"/>
          <w:color w:val="auto"/>
        </w:rPr>
        <w:t>EDP-305 exhibited strong engagement of the FXR receptor as evidenced by increased levels of FGF19 and reduced levels of C4, both of which are monitored as downstream markers indicating FXR receptor activity.</w:t>
      </w:r>
    </w:p>
    <w:p>
      <w:pPr>
        <w:spacing w:after="0" w:line="39" w:lineRule="exact"/>
        <w:rPr>
          <w:rFonts w:ascii="Arial" w:cs="Arial" w:eastAsia="Arial" w:hAnsi="Arial"/>
          <w:sz w:val="17"/>
          <w:szCs w:val="17"/>
          <w:color w:val="auto"/>
        </w:rPr>
      </w:pPr>
    </w:p>
    <w:p>
      <w:pPr>
        <w:ind w:left="2960" w:right="360" w:hanging="430"/>
        <w:spacing w:after="0" w:line="277" w:lineRule="auto"/>
        <w:tabs>
          <w:tab w:leader="none" w:pos="2960" w:val="left"/>
        </w:tabs>
        <w:numPr>
          <w:ilvl w:val="3"/>
          <w:numId w:val="5"/>
        </w:numPr>
        <w:rPr>
          <w:rFonts w:ascii="Arial" w:cs="Arial" w:eastAsia="Arial" w:hAnsi="Arial"/>
          <w:sz w:val="18"/>
          <w:szCs w:val="18"/>
          <w:color w:val="auto"/>
        </w:rPr>
      </w:pPr>
      <w:r>
        <w:rPr>
          <w:rFonts w:ascii="Arial" w:cs="Arial" w:eastAsia="Arial" w:hAnsi="Arial"/>
          <w:sz w:val="18"/>
          <w:szCs w:val="18"/>
          <w:color w:val="auto"/>
        </w:rPr>
        <w:t>Results support the ability to administer EDP-305 in future trials at doses that neither elicit clinically significant changes in lipids nor result in pruritus (itching).</w:t>
      </w:r>
    </w:p>
    <w:p>
      <w:pPr>
        <w:spacing w:after="0" w:line="61" w:lineRule="exact"/>
        <w:rPr>
          <w:rFonts w:ascii="Arial" w:cs="Arial" w:eastAsia="Arial" w:hAnsi="Arial"/>
          <w:sz w:val="18"/>
          <w:szCs w:val="18"/>
          <w:color w:val="auto"/>
        </w:rPr>
      </w:pPr>
    </w:p>
    <w:p>
      <w:pPr>
        <w:ind w:left="1780" w:right="80" w:hanging="585"/>
        <w:spacing w:after="0" w:line="279" w:lineRule="auto"/>
        <w:tabs>
          <w:tab w:leader="none" w:pos="1780"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Since November 2016, we have presented data at the 2016 and 2017 annual meetings of the American Association for the Study of Liver Diseases (AASLD), the 2017 NASH-TAG conference and the 2017 International Liver Congress (ILC) that demonstrated that EDP-305 is a highly selective FXR agonist and shows more potent activity in a variety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NASH models compared to the most advanced NASH candidate in development today, obeticholic acid, or OCA.</w:t>
      </w:r>
    </w:p>
    <w:p>
      <w:pPr>
        <w:spacing w:after="0" w:line="62" w:lineRule="exact"/>
        <w:rPr>
          <w:rFonts w:ascii="Arial" w:cs="Arial" w:eastAsia="Arial" w:hAnsi="Arial"/>
          <w:sz w:val="17"/>
          <w:szCs w:val="17"/>
          <w:color w:val="auto"/>
        </w:rPr>
      </w:pPr>
    </w:p>
    <w:p>
      <w:pPr>
        <w:ind w:left="1780" w:hanging="585"/>
        <w:spacing w:after="0"/>
        <w:tabs>
          <w:tab w:leader="none" w:pos="17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plan to initiate a Phase 2 clinical study of EDP-305 in PBC patients by the end of calendar 2017.</w:t>
      </w:r>
    </w:p>
    <w:p>
      <w:pPr>
        <w:spacing w:after="0" w:line="116" w:lineRule="exact"/>
        <w:rPr>
          <w:rFonts w:ascii="Arial" w:cs="Arial" w:eastAsia="Arial" w:hAnsi="Arial"/>
          <w:sz w:val="18"/>
          <w:szCs w:val="18"/>
          <w:color w:val="auto"/>
        </w:rPr>
      </w:pPr>
    </w:p>
    <w:p>
      <w:pPr>
        <w:ind w:left="1780" w:hanging="585"/>
        <w:spacing w:after="0"/>
        <w:tabs>
          <w:tab w:leader="none" w:pos="17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also plan to initiate a Phase 2 clinical study of EDP-305 in NASH patients in early 2018.</w:t>
      </w:r>
    </w:p>
    <w:p>
      <w:pPr>
        <w:spacing w:after="0" w:line="116" w:lineRule="exact"/>
        <w:rPr>
          <w:rFonts w:ascii="Arial" w:cs="Arial" w:eastAsia="Arial" w:hAnsi="Arial"/>
          <w:sz w:val="18"/>
          <w:szCs w:val="18"/>
          <w:color w:val="auto"/>
        </w:rPr>
      </w:pPr>
    </w:p>
    <w:p>
      <w:pPr>
        <w:ind w:left="1780" w:right="380" w:hanging="585"/>
        <w:spacing w:after="0" w:line="277" w:lineRule="auto"/>
        <w:tabs>
          <w:tab w:leader="none" w:pos="17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EDP-305 has been granted Fast Track designation by the U.S. Food and Drug Administration (FDA) for the treatment of NASH patients with liver fibrosis and separately for the treatment of PBC.</w:t>
      </w:r>
    </w:p>
    <w:p>
      <w:pPr>
        <w:spacing w:after="0" w:line="61" w:lineRule="exact"/>
        <w:rPr>
          <w:rFonts w:ascii="Arial" w:cs="Arial" w:eastAsia="Arial" w:hAnsi="Arial"/>
          <w:sz w:val="18"/>
          <w:szCs w:val="18"/>
          <w:color w:val="auto"/>
        </w:rPr>
      </w:pPr>
    </w:p>
    <w:p>
      <w:pPr>
        <w:ind w:left="1780" w:right="360" w:hanging="585"/>
        <w:spacing w:after="0" w:line="307" w:lineRule="auto"/>
        <w:tabs>
          <w:tab w:leader="none" w:pos="1780" w:val="left"/>
        </w:tabs>
        <w:numPr>
          <w:ilvl w:val="1"/>
          <w:numId w:val="5"/>
        </w:numPr>
        <w:rPr>
          <w:rFonts w:ascii="Arial" w:cs="Arial" w:eastAsia="Arial" w:hAnsi="Arial"/>
          <w:sz w:val="17"/>
          <w:szCs w:val="17"/>
          <w:color w:val="auto"/>
        </w:rPr>
      </w:pPr>
      <w:r>
        <w:rPr>
          <w:rFonts w:ascii="Arial" w:cs="Arial" w:eastAsia="Arial" w:hAnsi="Arial"/>
          <w:sz w:val="17"/>
          <w:szCs w:val="17"/>
          <w:color w:val="auto"/>
        </w:rPr>
        <w:t>In addition, we are pursuing research in other classes of FXR agonists as well as other mechanisms that may provide therapeutic benefit in NASH and that either or both of these could be used as combination therapies for NASH.</w:t>
      </w:r>
    </w:p>
    <w:p>
      <w:pPr>
        <w:spacing w:after="0" w:line="39" w:lineRule="exact"/>
        <w:rPr>
          <w:rFonts w:ascii="Arial" w:cs="Arial" w:eastAsia="Arial" w:hAnsi="Arial"/>
          <w:sz w:val="17"/>
          <w:szCs w:val="17"/>
          <w:color w:val="auto"/>
        </w:rPr>
      </w:pPr>
    </w:p>
    <w:p>
      <w:pPr>
        <w:ind w:left="1200" w:right="60" w:hanging="599"/>
        <w:spacing w:after="0" w:line="259"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selected EDP-938, a potent N-protein inhibitor of activity of both major subgroups of RSV, referred to as RSV-A and RSV-B, as our first development candidate for RSV. We believe EDP-938 is differentiated from fusion inhibitors currently in development for RSV because N-protein inhibitors directly target the viral replication process of RSV and have demonstrated high barriers to resistance against RSV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1740" w:right="80" w:hanging="532"/>
        <w:spacing w:after="0" w:line="293" w:lineRule="auto"/>
        <w:tabs>
          <w:tab w:leader="none" w:pos="1740" w:val="left"/>
        </w:tabs>
        <w:numPr>
          <w:ilvl w:val="2"/>
          <w:numId w:val="5"/>
        </w:numPr>
        <w:rPr>
          <w:rFonts w:ascii="Arial" w:cs="Arial" w:eastAsia="Arial" w:hAnsi="Arial"/>
          <w:sz w:val="16"/>
          <w:szCs w:val="16"/>
          <w:color w:val="auto"/>
        </w:rPr>
      </w:pPr>
      <w:r>
        <w:rPr>
          <w:rFonts w:ascii="Arial" w:cs="Arial" w:eastAsia="Arial" w:hAnsi="Arial"/>
          <w:sz w:val="16"/>
          <w:szCs w:val="16"/>
          <w:color w:val="auto"/>
        </w:rPr>
        <w:t xml:space="preserve">In June 2017, we presented preclinical data demonstrating that EDP-938 is a potent inhibitor of both RSV-A and RSV-B activity, maintaining antiviral activity post-infection while presenting a high barrier to resistance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EDP-938 demonstrated a greater than 4-log reduction in viral load in an animal model challenged with RSV. Further, EDP-938 maintained antiviral potency across all clinical isolates tested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well as virus that was resistant to fusion inhibitors. The compound inhibited RSV at a post-entry, replication step and maintained its activity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when given 24 hours post infection. In addition, combination studies of EDP-938 with other types of RSV inhibitors, such as fusion inhibitors, showed synergistic antiviral effects.</w:t>
      </w:r>
    </w:p>
    <w:p>
      <w:pPr>
        <w:spacing w:after="0" w:line="55" w:lineRule="exact"/>
        <w:rPr>
          <w:rFonts w:ascii="Arial" w:cs="Arial" w:eastAsia="Arial" w:hAnsi="Arial"/>
          <w:sz w:val="16"/>
          <w:szCs w:val="16"/>
          <w:color w:val="auto"/>
        </w:rPr>
      </w:pPr>
    </w:p>
    <w:p>
      <w:pPr>
        <w:ind w:left="1740" w:hanging="532"/>
        <w:spacing w:after="0"/>
        <w:tabs>
          <w:tab w:leader="none" w:pos="1740" w:val="left"/>
        </w:tabs>
        <w:numPr>
          <w:ilvl w:val="2"/>
          <w:numId w:val="5"/>
        </w:numPr>
        <w:rPr>
          <w:rFonts w:ascii="Arial" w:cs="Arial" w:eastAsia="Arial" w:hAnsi="Arial"/>
          <w:sz w:val="18"/>
          <w:szCs w:val="18"/>
          <w:color w:val="auto"/>
        </w:rPr>
      </w:pPr>
      <w:r>
        <w:rPr>
          <w:rFonts w:ascii="Arial" w:cs="Arial" w:eastAsia="Arial" w:hAnsi="Arial"/>
          <w:sz w:val="18"/>
          <w:szCs w:val="18"/>
          <w:color w:val="auto"/>
        </w:rPr>
        <w:t>We plan to initiate a Phase 1 clinical study of EDP-938 by the end of calendar 2017.</w:t>
      </w:r>
    </w:p>
    <w:p>
      <w:pPr>
        <w:spacing w:after="0" w:line="116" w:lineRule="exact"/>
        <w:rPr>
          <w:rFonts w:ascii="Arial" w:cs="Arial" w:eastAsia="Arial" w:hAnsi="Arial"/>
          <w:sz w:val="18"/>
          <w:szCs w:val="18"/>
          <w:color w:val="auto"/>
        </w:rPr>
      </w:pPr>
    </w:p>
    <w:p>
      <w:pPr>
        <w:ind w:left="1200" w:hanging="599"/>
        <w:spacing w:after="0" w:line="275"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HBV:</w:t>
      </w:r>
      <w:r>
        <w:rPr>
          <w:rFonts w:ascii="Arial" w:cs="Arial" w:eastAsia="Arial" w:hAnsi="Arial"/>
          <w:sz w:val="17"/>
          <w:szCs w:val="17"/>
          <w:color w:val="auto"/>
        </w:rPr>
        <w:t xml:space="preserve"> We also have a program to discover and develop new chemical entities for the treatment of HBV. Our initial focus is on core inhibitors, a mechanism with early clinical validation. We believe that it may be necessary to utilize more than one compound/mechanism for the treatment of HBV and therefore we are pursuing multiple approaches. We continue to make progress in discovering, characterizing, and seeking patent protection for new core inhibitors of HBV with the goal of identifying a development candidate in 2018. In addition, we are conducting preclinical experiments with other mechanisms that target HBV.</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Licensed Products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Through our Collaborative Development and License Agreement with AbbVie, we have developed and licensed to AbbVie two protease inhibitor compounds that have been clinically tested, manufactured, and commercialized by AbbVie. Royalties on AbbVie’s net sales allocated to the protease inhibitors in these HCV regimens provided us $37.8 million and $57.7 million in royalty revenue in our 2017 and 2016 fiscal years, respectively. To date, we have earned a total of $330.0 million in milestone payments related to clinical development and commercialization regulatory approvals of these regimens in major markets, including a $15.0 million milestone earned in November 2017.</w:t>
      </w:r>
    </w:p>
    <w:p>
      <w:pPr>
        <w:spacing w:after="0" w:line="83" w:lineRule="exact"/>
        <w:rPr>
          <w:sz w:val="20"/>
          <w:szCs w:val="20"/>
          <w:color w:val="auto"/>
        </w:rPr>
      </w:pPr>
    </w:p>
    <w:p>
      <w:pPr>
        <w:ind w:left="1200" w:hanging="599"/>
        <w:spacing w:after="0" w:line="255"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Glecaprevir:</w:t>
      </w:r>
      <w:r>
        <w:rPr>
          <w:rFonts w:ascii="Arial" w:cs="Arial" w:eastAsia="Arial" w:hAnsi="Arial"/>
          <w:sz w:val="18"/>
          <w:szCs w:val="18"/>
          <w:color w:val="auto"/>
        </w:rPr>
        <w:t xml:space="preserve"> Glecaprevir is the protease inhibitor we discovered that was developed by AbbVie in its new fixed-dose combination with its NS5A inhibitor, pibrentasvir, for the treatment of HCV. This combination, currently marketed under the brand name MAVYRET™ in the U.S. and MAVIRET™ ex-U.S. and referred to in this report as MAVYRET/MAVIRET, is a new, once daily, all oral, fixed-dose, ribavirin-free treatment for HCV genotypes 1-6, which is referred to as being pan-genotypic. In the EU, U.S. and Japan it is approved as an 8-week treatment for patients without cirrhosis and new to treatment. Today, these patients are estimated to represent the majority of HCV patients in the developed country markets.</w:t>
      </w:r>
    </w:p>
    <w:p>
      <w:pPr>
        <w:spacing w:after="0" w:line="8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economics from AbbVie’s MAVYRET/MAVIRET consist of two components:</w:t>
      </w:r>
    </w:p>
    <w:p>
      <w:pPr>
        <w:spacing w:after="0" w:line="117" w:lineRule="exact"/>
        <w:rPr>
          <w:sz w:val="20"/>
          <w:szCs w:val="20"/>
          <w:color w:val="auto"/>
        </w:rPr>
      </w:pPr>
    </w:p>
    <w:p>
      <w:pPr>
        <w:ind w:left="1780" w:hanging="585"/>
        <w:spacing w:after="0" w:line="263" w:lineRule="auto"/>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earned a total of $65.0 million in milestone payments in fiscal 2017 upon approval for the glecaprevir/pibrentasvir combination in the U.S. and the EU, and we earned the remaining $15.0 million milestone payment in November 2017 in connection with commercialization regulatory approval in Japan.</w:t>
      </w:r>
    </w:p>
    <w:p>
      <w:pPr>
        <w:spacing w:after="0" w:line="74" w:lineRule="exact"/>
        <w:rPr>
          <w:rFonts w:ascii="Arial" w:cs="Arial" w:eastAsia="Arial" w:hAnsi="Arial"/>
          <w:sz w:val="18"/>
          <w:szCs w:val="18"/>
          <w:color w:val="auto"/>
        </w:rPr>
      </w:pPr>
    </w:p>
    <w:p>
      <w:pPr>
        <w:ind w:left="1780" w:right="300" w:hanging="585"/>
        <w:spacing w:after="0" w:line="341" w:lineRule="auto"/>
        <w:tabs>
          <w:tab w:leader="none" w:pos="1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also receive annually tiered, double-digit, per-product royalties on 50% of the net sales of the 2-DAA glecaprevir/pibrentasvir combination in MAVYRET/MAVIRET, which are calculated separately from the royalties of paritaprevir-containing regimens.</w:t>
      </w:r>
    </w:p>
    <w:p>
      <w:pPr>
        <w:spacing w:after="0" w:line="17" w:lineRule="exact"/>
        <w:rPr>
          <w:sz w:val="20"/>
          <w:szCs w:val="20"/>
          <w:color w:val="auto"/>
        </w:rPr>
      </w:pPr>
    </w:p>
    <w:p>
      <w:pPr>
        <w:ind w:left="1220" w:right="860"/>
        <w:spacing w:after="0" w:line="307" w:lineRule="auto"/>
        <w:rPr>
          <w:sz w:val="20"/>
          <w:szCs w:val="20"/>
          <w:color w:val="auto"/>
        </w:rPr>
      </w:pPr>
      <w:r>
        <w:rPr>
          <w:rFonts w:ascii="Arial" w:cs="Arial" w:eastAsia="Arial" w:hAnsi="Arial"/>
          <w:sz w:val="17"/>
          <w:szCs w:val="17"/>
          <w:color w:val="auto"/>
        </w:rPr>
        <w:t>The EU, U.S. and Japan authorizations for the MAVYRET/MAVIRET combination of glecaprevir and pibrentasvir, and AbbVie’s applications for approval of MAVYRET/MAVIRET in other jurisdictions, are supported by the following studies:</w:t>
      </w:r>
    </w:p>
    <w:p>
      <w:pPr>
        <w:spacing w:after="0" w:line="39" w:lineRule="exact"/>
        <w:rPr>
          <w:sz w:val="20"/>
          <w:szCs w:val="20"/>
          <w:color w:val="auto"/>
        </w:rPr>
      </w:pPr>
    </w:p>
    <w:p>
      <w:pPr>
        <w:ind w:left="1780" w:right="80" w:hanging="585"/>
        <w:spacing w:after="0" w:line="231" w:lineRule="auto"/>
        <w:tabs>
          <w:tab w:leader="none" w:pos="178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8 weeks for treatment-naïve, non-cirrhotics: </w:t>
      </w:r>
      <w:r>
        <w:rPr>
          <w:rFonts w:ascii="Arial" w:cs="Arial" w:eastAsia="Arial" w:hAnsi="Arial"/>
          <w:sz w:val="18"/>
          <w:szCs w:val="18"/>
          <w:color w:val="auto"/>
        </w:rPr>
        <w:t>In November 2016, results from several Phase 3 studies of this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demonstrated 97.5% of chronic HCV infected patients without cirrhosis and new to treatment across all major genotypes (GT1-6) achieved sustained virologic response at 12 weeks post-treatment, referred to as SVR</w:t>
      </w:r>
      <w:r>
        <w:rPr>
          <w:rFonts w:ascii="Arial" w:cs="Arial" w:eastAsia="Arial" w:hAnsi="Arial"/>
          <w:sz w:val="25"/>
          <w:szCs w:val="25"/>
          <w:color w:val="auto"/>
          <w:vertAlign w:val="subscript"/>
        </w:rPr>
        <w:t>12</w:t>
      </w:r>
      <w:r>
        <w:rPr>
          <w:rFonts w:ascii="Arial" w:cs="Arial" w:eastAsia="Arial" w:hAnsi="Arial"/>
          <w:sz w:val="18"/>
          <w:szCs w:val="18"/>
          <w:color w:val="auto"/>
        </w:rPr>
        <w:t>, with just 8 weeks of MAVYRET/MAVIRET treatment.</w:t>
      </w:r>
    </w:p>
    <w:p>
      <w:pPr>
        <w:spacing w:after="0" w:line="96" w:lineRule="exact"/>
        <w:rPr>
          <w:rFonts w:ascii="Arial" w:cs="Arial" w:eastAsia="Arial" w:hAnsi="Arial"/>
          <w:sz w:val="18"/>
          <w:szCs w:val="18"/>
          <w:color w:val="auto"/>
        </w:rPr>
      </w:pPr>
    </w:p>
    <w:p>
      <w:pPr>
        <w:ind w:left="1780" w:right="100" w:hanging="585"/>
        <w:spacing w:after="0" w:line="226" w:lineRule="auto"/>
        <w:tabs>
          <w:tab w:leader="none" w:pos="178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8 weeks with chronic kidney disease: </w:t>
      </w:r>
      <w:r>
        <w:rPr>
          <w:rFonts w:ascii="Arial" w:cs="Arial" w:eastAsia="Arial" w:hAnsi="Arial"/>
          <w:sz w:val="18"/>
          <w:szCs w:val="18"/>
          <w:color w:val="auto"/>
        </w:rPr>
        <w:t>Results were also presented from AbbVie’s EXPEDITION-4 study in chronic HCV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chronic kidney disease (CKD), in which 98% of patients (n=102/104) across all major genotypes (GT1-6) achieved SVR</w:t>
      </w:r>
      <w:r>
        <w:rPr>
          <w:rFonts w:ascii="Arial" w:cs="Arial" w:eastAsia="Arial" w:hAnsi="Arial"/>
          <w:sz w:val="25"/>
          <w:szCs w:val="25"/>
          <w:color w:val="auto"/>
          <w:vertAlign w:val="subscript"/>
        </w:rPr>
        <w:t>12</w:t>
      </w:r>
      <w:r>
        <w:rPr>
          <w:rFonts w:ascii="Arial" w:cs="Arial" w:eastAsia="Arial" w:hAnsi="Arial"/>
          <w:sz w:val="18"/>
          <w:szCs w:val="18"/>
          <w:color w:val="auto"/>
        </w:rPr>
        <w:t xml:space="preserve"> with 12 weeks of treatment with MAVYRET/MAVIRET.</w:t>
      </w:r>
    </w:p>
    <w:p>
      <w:pPr>
        <w:spacing w:after="0" w:line="94" w:lineRule="exact"/>
        <w:rPr>
          <w:rFonts w:ascii="Arial" w:cs="Arial" w:eastAsia="Arial" w:hAnsi="Arial"/>
          <w:sz w:val="18"/>
          <w:szCs w:val="18"/>
          <w:color w:val="auto"/>
        </w:rPr>
      </w:pPr>
    </w:p>
    <w:p>
      <w:pPr>
        <w:ind w:left="1780" w:right="80" w:hanging="585"/>
        <w:spacing w:after="0" w:line="230" w:lineRule="auto"/>
        <w:tabs>
          <w:tab w:leader="none" w:pos="178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8 weeks for GT-3: </w:t>
      </w:r>
      <w:r>
        <w:rPr>
          <w:rFonts w:ascii="Arial" w:cs="Arial" w:eastAsia="Arial" w:hAnsi="Arial"/>
          <w:sz w:val="18"/>
          <w:szCs w:val="18"/>
          <w:color w:val="auto"/>
        </w:rPr>
        <w:t>Data from AbbVie’s ENDURANCE-3 study were presented at the International Liver Congress, or ILC,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demonstrating that 95% of patients with challenging-to-treat, genotype 3 (GT3) chronic HCV infection, without cirrhosis and new to treatment, achieved SVR</w:t>
      </w:r>
      <w:r>
        <w:rPr>
          <w:rFonts w:ascii="Arial" w:cs="Arial" w:eastAsia="Arial" w:hAnsi="Arial"/>
          <w:sz w:val="25"/>
          <w:szCs w:val="25"/>
          <w:color w:val="auto"/>
          <w:vertAlign w:val="subscript"/>
        </w:rPr>
        <w:t>12</w:t>
      </w:r>
      <w:r>
        <w:rPr>
          <w:rFonts w:ascii="Arial" w:cs="Arial" w:eastAsia="Arial" w:hAnsi="Arial"/>
          <w:sz w:val="18"/>
          <w:szCs w:val="18"/>
          <w:color w:val="auto"/>
        </w:rPr>
        <w:t xml:space="preserve"> after 8 weeks of treatment with MAVYRET/MAVIRET.</w:t>
      </w:r>
    </w:p>
    <w:p>
      <w:pPr>
        <w:spacing w:after="0" w:line="83" w:lineRule="exact"/>
        <w:rPr>
          <w:rFonts w:ascii="Arial" w:cs="Arial" w:eastAsia="Arial" w:hAnsi="Arial"/>
          <w:sz w:val="18"/>
          <w:szCs w:val="18"/>
          <w:color w:val="auto"/>
        </w:rPr>
      </w:pPr>
    </w:p>
    <w:p>
      <w:pPr>
        <w:jc w:val="both"/>
        <w:ind w:left="1780" w:right="80" w:hanging="585"/>
        <w:spacing w:after="0" w:line="226" w:lineRule="auto"/>
        <w:tabs>
          <w:tab w:leader="none" w:pos="178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12 weeks for compensated cirrhosis: </w:t>
      </w:r>
      <w:r>
        <w:rPr>
          <w:rFonts w:ascii="Arial" w:cs="Arial" w:eastAsia="Arial" w:hAnsi="Arial"/>
          <w:sz w:val="18"/>
          <w:szCs w:val="18"/>
          <w:color w:val="auto"/>
        </w:rPr>
        <w:t>Data from AbbVie’s EXPEDITION-1 study were also presented at the ILC, demonstrating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99% of HCV-infected patients with genotype 1, 2, 4, 5 or 6 and compensated cirrhosis (Child-Pugh A) achieved SVR</w:t>
      </w:r>
      <w:r>
        <w:rPr>
          <w:rFonts w:ascii="Arial" w:cs="Arial" w:eastAsia="Arial" w:hAnsi="Arial"/>
          <w:sz w:val="25"/>
          <w:szCs w:val="25"/>
          <w:color w:val="auto"/>
          <w:vertAlign w:val="subscript"/>
        </w:rPr>
        <w:t>12</w:t>
      </w:r>
      <w:r>
        <w:rPr>
          <w:rFonts w:ascii="Arial" w:cs="Arial" w:eastAsia="Arial" w:hAnsi="Arial"/>
          <w:sz w:val="18"/>
          <w:szCs w:val="18"/>
          <w:color w:val="auto"/>
        </w:rPr>
        <w:t xml:space="preserve"> following 12 weeks of MAVYRET/MAVIRET treatment without ribavirin.</w:t>
      </w:r>
    </w:p>
    <w:p>
      <w:pPr>
        <w:spacing w:after="0" w:line="121" w:lineRule="exact"/>
        <w:rPr>
          <w:rFonts w:ascii="Arial" w:cs="Arial" w:eastAsia="Arial" w:hAnsi="Arial"/>
          <w:sz w:val="18"/>
          <w:szCs w:val="18"/>
          <w:color w:val="auto"/>
        </w:rPr>
      </w:pPr>
    </w:p>
    <w:p>
      <w:pPr>
        <w:ind w:left="1200" w:right="120" w:hanging="599"/>
        <w:spacing w:after="0" w:line="213"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Paritaprevir is the protease inhibitor contained in AbbVie’s initial HCV treatment regimens currently marketed in the U.S., EU, Japan and other countries around the world under the trade names VIEKIRA PAK</w:t>
      </w:r>
      <w:r>
        <w:rPr>
          <w:rFonts w:ascii="Arial" w:cs="Arial" w:eastAsia="Arial" w:hAnsi="Arial"/>
          <w:sz w:val="25"/>
          <w:szCs w:val="25"/>
          <w:color w:val="auto"/>
          <w:vertAlign w:val="superscript"/>
        </w:rPr>
        <w:t>®</w:t>
      </w:r>
      <w:r>
        <w:rPr>
          <w:rFonts w:ascii="Arial" w:cs="Arial" w:eastAsia="Arial" w:hAnsi="Arial"/>
          <w:sz w:val="18"/>
          <w:szCs w:val="18"/>
          <w:color w:val="auto"/>
        </w:rPr>
        <w:t>, VIEKIRAX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VIEKIRAX XR™ and TECHNIVIE</w:t>
      </w:r>
      <w:r>
        <w:rPr>
          <w:rFonts w:ascii="Arial" w:cs="Arial" w:eastAsia="Arial" w:hAnsi="Arial"/>
          <w:sz w:val="25"/>
          <w:szCs w:val="25"/>
          <w:color w:val="auto"/>
          <w:vertAlign w:val="superscript"/>
        </w:rPr>
        <w:t>®</w:t>
      </w:r>
      <w:r>
        <w:rPr>
          <w:rFonts w:ascii="Arial" w:cs="Arial" w:eastAsia="Arial" w:hAnsi="Arial"/>
          <w:sz w:val="18"/>
          <w:szCs w:val="18"/>
          <w:color w:val="auto"/>
        </w:rPr>
        <w:t>. First approved and sold in the U.S. in December 2014 for treatment of genotype 1, or GT-1, HCV, AbbVie’s HCV regimens containing paritaprevir are now also approved for genotype 4, or GT-4, HCV.</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primary objective is to become a leader in the field of viral infections and liver diseases in order to provide new treatments for patients with unmet medical needs. Our focus is on antiviral targets for viruses such as RSV and HBV as well as liver diseases, such as NASH and PBC. All of these disease areas involve significant market opportunities and have attracted the research and development efforts of many competitors. Our strategy includes the following key elements:</w:t>
      </w:r>
    </w:p>
    <w:p>
      <w:pPr>
        <w:spacing w:after="0" w:line="78" w:lineRule="exact"/>
        <w:rPr>
          <w:sz w:val="20"/>
          <w:szCs w:val="20"/>
          <w:color w:val="auto"/>
        </w:rPr>
      </w:pPr>
    </w:p>
    <w:p>
      <w:pPr>
        <w:ind w:left="1200" w:right="120" w:hanging="599"/>
        <w:spacing w:after="0" w:line="279"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Develop novel treatment options for NASH, PBC and RSV</w:t>
      </w:r>
      <w:r>
        <w:rPr>
          <w:rFonts w:ascii="Arial" w:cs="Arial" w:eastAsia="Arial" w:hAnsi="Arial"/>
          <w:sz w:val="17"/>
          <w:szCs w:val="17"/>
          <w:color w:val="auto"/>
        </w:rPr>
        <w:t>. We have potential candidates in clinical development for NASH, PBC and RSV.</w:t>
      </w:r>
      <w:r>
        <w:rPr>
          <w:rFonts w:ascii="Arial" w:cs="Arial" w:eastAsia="Arial" w:hAnsi="Arial"/>
          <w:sz w:val="17"/>
          <w:szCs w:val="17"/>
          <w:i w:val="1"/>
          <w:iCs w:val="1"/>
          <w:color w:val="auto"/>
        </w:rPr>
        <w:t xml:space="preserve"> </w:t>
      </w:r>
      <w:r>
        <w:rPr>
          <w:rFonts w:ascii="Arial" w:cs="Arial" w:eastAsia="Arial" w:hAnsi="Arial"/>
          <w:sz w:val="17"/>
          <w:szCs w:val="17"/>
          <w:color w:val="auto"/>
        </w:rPr>
        <w:t>EDP-305, our lead FXR agonist, has completed a Phase 1 a/b clinical study and we expect to advance it by initiating a Phase 2 clinical study in PBC by the end of calendar 2017 and a Phase 2 clinical study in NASH in early 2018. We have also selected EDP-938 as our lead RSV development candidate and plan to initiate a Phase 1 clinical study of it by the end of calendar 2017.</w:t>
      </w:r>
    </w:p>
    <w:p>
      <w:pPr>
        <w:spacing w:after="0" w:line="62" w:lineRule="exact"/>
        <w:rPr>
          <w:rFonts w:ascii="Arial" w:cs="Arial" w:eastAsia="Arial" w:hAnsi="Arial"/>
          <w:sz w:val="17"/>
          <w:szCs w:val="17"/>
          <w:color w:val="auto"/>
        </w:rPr>
      </w:pPr>
    </w:p>
    <w:p>
      <w:pPr>
        <w:ind w:left="1200" w:right="100" w:hanging="599"/>
        <w:spacing w:after="0" w:line="254"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Invest in research and development of product candidates in HBV and additional product candidates in NASH, PBC and RSV</w:t>
      </w:r>
      <w:r>
        <w:rPr>
          <w:rFonts w:ascii="Arial" w:cs="Arial" w:eastAsia="Arial" w:hAnsi="Arial"/>
          <w:sz w:val="18"/>
          <w:szCs w:val="18"/>
          <w:color w:val="auto"/>
        </w:rPr>
        <w:t>. We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to invest significant resources in our NASH, PBC, RSV and HBV research programs in an effort to identify and advance additional novel compounds that have the potential to address significant unmet medical needs in these disease areas. We are also continuing our efforts discovering HBV candidates and plan to identify a candidate in 2018. We may clinically explore other diseases where our assets could play a role. We are also seeking to identify a lead candidate in a second class of FXR agonists in 2018. In addition, we may seek to augment our product candidate pipeline through the acquisition or in-licensing of external assets and/or technologies in one or more of our disease areas of focus.</w:t>
      </w:r>
    </w:p>
    <w:p>
      <w:pPr>
        <w:spacing w:after="0" w:line="85" w:lineRule="exact"/>
        <w:rPr>
          <w:rFonts w:ascii="Arial" w:cs="Arial" w:eastAsia="Arial" w:hAnsi="Arial"/>
          <w:sz w:val="18"/>
          <w:szCs w:val="18"/>
          <w:color w:val="auto"/>
        </w:rPr>
      </w:pPr>
    </w:p>
    <w:p>
      <w:pPr>
        <w:ind w:left="1200" w:right="80" w:hanging="599"/>
        <w:spacing w:after="0" w:line="296" w:lineRule="auto"/>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Use our existing resources and future cash flow from our AbbVie collaboration to fund our research and development activities</w:t>
      </w:r>
      <w:r>
        <w:rPr>
          <w:rFonts w:ascii="Arial" w:cs="Arial" w:eastAsia="Arial" w:hAnsi="Arial"/>
          <w:sz w:val="16"/>
          <w:szCs w:val="16"/>
          <w:color w:val="auto"/>
        </w:rPr>
        <w:t>. Our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resources and any future royalty payments from our AbbVie collaboration will provide us substantial resources to fund our research and development programs for the foreseeable future. These resources will allow us to advance up to several compounds into clinical development and progress the most promising ones at least through proof-of-concept for further development as a monotherapy or in combinations with other therapeutic agents when we believe such combinations will provide the most promising opportunities.</w:t>
      </w:r>
    </w:p>
    <w:p>
      <w:pPr>
        <w:spacing w:after="0" w:line="52" w:lineRule="exact"/>
        <w:rPr>
          <w:rFonts w:ascii="Arial" w:cs="Arial" w:eastAsia="Arial" w:hAnsi="Arial"/>
          <w:sz w:val="16"/>
          <w:szCs w:val="16"/>
          <w:color w:val="auto"/>
        </w:rPr>
      </w:pPr>
    </w:p>
    <w:p>
      <w:pPr>
        <w:ind w:left="1200" w:right="160" w:hanging="599"/>
        <w:spacing w:after="0" w:line="296" w:lineRule="auto"/>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Collaborate, where and when appropriate, with pharmaceutical partners to create combination therapies and accelerate the development and commercialization of our proprietary compounds</w:t>
      </w:r>
      <w:r>
        <w:rPr>
          <w:rFonts w:ascii="Arial" w:cs="Arial" w:eastAsia="Arial" w:hAnsi="Arial"/>
          <w:sz w:val="16"/>
          <w:szCs w:val="16"/>
          <w:color w:val="auto"/>
        </w:rPr>
        <w:t>. We are prepared to join forces, where and when appropriate, with collaborators with</w:t>
      </w:r>
      <w:r>
        <w:rPr>
          <w:rFonts w:ascii="Arial" w:cs="Arial" w:eastAsia="Arial" w:hAnsi="Arial"/>
          <w:sz w:val="16"/>
          <w:szCs w:val="16"/>
          <w:i w:val="1"/>
          <w:iCs w:val="1"/>
          <w:color w:val="auto"/>
        </w:rPr>
        <w:t xml:space="preserve"> </w:t>
      </w:r>
      <w:r>
        <w:rPr>
          <w:rFonts w:ascii="Arial" w:cs="Arial" w:eastAsia="Arial" w:hAnsi="Arial"/>
          <w:sz w:val="16"/>
          <w:szCs w:val="16"/>
          <w:color w:val="auto"/>
        </w:rPr>
        <w:t>compounds targeting other mechanisms of action in diseases such as NASH and HBV, where there is the potential for better treatments with combination therapies. Our decisions regarding our proprietary programs will be based on the results of our early phase clinical studies and the potential for combinations with one or more drugs targeting other mechanisms of action in these diseases.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Research and Development Pipeline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83185</wp:posOffset>
            </wp:positionV>
            <wp:extent cx="5336540" cy="382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36540" cy="382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FXR Program in NASH and PBC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NASH and PBC</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Non-alcoholic fatty liver disease, or NAFLD, is the accumulation of excessive fat in liver cells in the form of triglycerides, a process known as hepatic steatosis, that is not associated with alcohol abuse. It is normal for the liver to contain some fat. However, if more than 5%-10% of the liver’s weight is fat, then it is called a fatty liver. A subgroup of NAFLD patients have liver cell injury and inflammation (steatohepatitis) in addition to excessive fat. Progression of this condition leads to non-alcoholic steatohepatitis, or NASH. Patients with NASH can develop fibrosis, a fibrous scarring of the liver, and ultimately cirrhosis of the liver. Typically scored on a scale of 1-4, also referred to as F1-F4, fibrosis in its earlier stages has been shown to be reversible, but in its most advanced stage results in cirrhosis, which is understood to be a more advanced, irreversible scarring of the liver, potentially leading to hepatocellular carcinoma (HCC) or requiring a liver transplant. NASH is widely considered to be the liver expression of metabolic diseases related to type 2 diabetes, insulin resistance, obesity, hyperlipidemia and hypertension.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i w:val="1"/>
          <w:iCs w:val="1"/>
          <w:u w:val="single" w:color="auto"/>
          <w:color w:val="auto"/>
        </w:rPr>
        <w:t>Stages of Liver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83185</wp:posOffset>
            </wp:positionV>
            <wp:extent cx="5208270" cy="1524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08270" cy="152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According to the World Gastroenterology Organization Global Guidelines 2014, NASH is an increasingly common chronic liver disease with worldwide distribution that is closely associated with diabetes and obesity, which have both reached epidemic proportions. It is estimated that there are at least 1.46 billion obese adults worldwide. Approximately 6 million individuals in the U.S. are estimated to have progressed to NASH and some 600,000 to NASH-related cirrhosis. NASH and NAFLD are now considered the number one cause of liver disease in Western countries.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Currently, there are no approved treatments for NASH. While patients presenting with NASH are counseled on lifestyle modifications, new effective treatments are urgently needed, particularly in the setting of advanced fibrosis and cirrhosis. Currently, each of Intercept Pharmaceuticals, Genfit, Gilead and Allergan (Tobira) has a compound in one or more Phase 3 trials in NASH. In addition, many Phase 2 and earlier stage studies of other classes of compounds are underway by different companies.</w:t>
      </w:r>
    </w:p>
    <w:p>
      <w:pPr>
        <w:spacing w:after="0" w:line="18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Primary biliary cholangitis (formerly known as primary biliary cirrhosis), or PBC, is a chronic, or long-term, disease of the liver that slowly destroys the medium-sized bile ducts within the liver. Bile is a digestive liquid that is made in the liver. It travels through the bile ducts to the small intestine, where it helps digest fats and absorb fatty vitamins. In patients with PBC, the bile ducts are destroyed by inflammation. This causes bile to remain in the liver, where gradual injury damages liver cells and causes cirrhosis, or scarring of the liver. As cirrhosis progresses and the amount of scar tissue in the liver increases, the liver loses its ability to function, leading to potential liver failure, liver transplantation or hepatocellular carcinoma. While PBC is a relatively rare disease (the incidence in Europe, North America, Asia and Australia ranges from 0.33-5.8 cases per 100,000, and is 10 times more common in women than in men), it remains one of the major causes of liver failure and/or the need for liver transplant.</w:t>
      </w:r>
    </w:p>
    <w:p>
      <w:pPr>
        <w:spacing w:after="0" w:line="17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Agonists of the farnesoid X receptor, referred to as FXR agonists, have shown promising activity in many preclinical models of liver disease. One FXR agonist, obeticholic acid, or OCA (brand name Ocaliva </w:t>
      </w:r>
      <w:r>
        <w:rPr>
          <w:rFonts w:ascii="Arial" w:cs="Arial" w:eastAsia="Arial" w:hAnsi="Arial"/>
          <w:sz w:val="25"/>
          <w:szCs w:val="25"/>
          <w:color w:val="auto"/>
          <w:vertAlign w:val="superscript"/>
        </w:rPr>
        <w:t>®</w:t>
      </w:r>
      <w:r>
        <w:rPr>
          <w:rFonts w:ascii="Arial" w:cs="Arial" w:eastAsia="Arial" w:hAnsi="Arial"/>
          <w:sz w:val="18"/>
          <w:szCs w:val="18"/>
          <w:color w:val="auto"/>
        </w:rPr>
        <w:t>), which was approved by the FDA in May 2016 for the treatment of PBC, has already demonstrated favorable clinical results in NASH. We believe that new FXR agonists may provide substantial therapeutic benefit in NASH and PBC and may overcome some of the potential shortcomings of OCA, including limited effects on resolution of NASH, elevation of low-density lipoprotein, or LDL, and itching, also called pruritis.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Background</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FXR is a nuclear hormone receptor that functions to modulate gene expression in response to various metabolic stimuli. FXRs are expressed at high levels in the liver and intestine. Bile acids have been identified as important physiological ligands for FXRs, able to bind and activate the receptor. The downstream gene modulation resulting from bile acid engagement of FXRs not only contribute to the regulation of bile acid synthesis and metabolism, but is also involved in a number of other metabolic processes, in particular lipid metabolism. More recently, it has been discovered that bile acids, via FXR, are able to promote insulin sensitivity and decrease lipid synthesis in the liver. In addition, studies have shown that bile acid-dependent FXR activation is able to provide beneficial effects on fibrosis in the liver as well. For these reasons, FXR is considered to be a viable target for NASH. Recent Phase 2b</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9" w:name="page10"/>
    <w:bookmarkEnd w:id="9"/>
    <w:p>
      <w:pPr>
        <w:jc w:val="both"/>
        <w:ind w:right="20"/>
        <w:spacing w:after="0" w:line="259" w:lineRule="auto"/>
        <w:rPr>
          <w:sz w:val="20"/>
          <w:szCs w:val="20"/>
          <w:color w:val="auto"/>
        </w:rPr>
      </w:pPr>
      <w:r>
        <w:rPr>
          <w:rFonts w:ascii="Arial" w:cs="Arial" w:eastAsia="Arial" w:hAnsi="Arial"/>
          <w:sz w:val="18"/>
          <w:szCs w:val="18"/>
          <w:color w:val="auto"/>
        </w:rPr>
        <w:t>trials with OCA, a synthetic analog of natural bile acids known to activate FXR, demonstrated efficacy in NASH patients. In PBC, improved outcomes would be expected due to the reduction of bile acid synthesis by activation of FXR. OCA demonstrated efficacy in a Phase 3 trial in PBC, which was the basis for its conditional approval in the U.S. in May 2016 for the treatment of PBC in combination with first line therapy ursodeoxycholic acid (UDCA) in adults with an inadequate response to UDCA, or as monotherapy in adults unable to tolerate UDCA.</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EDP-305 and Our Approach to the Treatment of NASH and PBC</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Even though there has been clinical validation demonstrated by the FXR agonist, OCA, we believe that there is an opportunity for the development of a treatment that shows improvements in potency and efficacy and reductions in potential safety liabilities for the treatment of NASH and PBC. Using our strong chemistry capabilities, we have undertaken the discovery and development of new FXR agonists that we believe may provide substantial improvements over the FXR agonists currently in advanced clinical development.</w:t>
      </w:r>
    </w:p>
    <w:p>
      <w:pPr>
        <w:spacing w:after="0" w:line="7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EDP-305, our lead FXR agonist candidate, represents a new class of FXR agonists that has been designed to take advantage of increased binding interactions with the receptor. Further, this non-bile acid class contains steroidal and non-steroidal components, and does not contain the carboxylic acid group that can lead to the formation of taurine and glycine conjugates normally associated with bile acids, which may also be present in other classes of FXR agonists.</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reported the results of our Phase 1 a/b clinical study of EDP-305 in October 2017. Our double-blind, placebo-controlled Phase 1 study was designed to evaluate the safety, tolerability and pharmacokinetics of single ascending doses (SAD) and multiple ascending doses (MAD) of EDP-305 in adult healthy volunteer subjects, or HV subjects, and subjects with presumptive NAFLD, or PN subjects. By presumptive NAFLD, we mean adults who are obese, with or without pre-diabetes or type 2 diabetes.</w:t>
      </w:r>
    </w:p>
    <w:p>
      <w:pPr>
        <w:spacing w:after="0" w:line="18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this Phase 1 study, EDP-305 was shown to be generally safe and well tolerated over a broad range of single and multiple doses with pharmacokinetic (PK) data supporting once daily oral dosing. EDP-305 exhibited strong engagement of the FXR receptor as evidenced by increased FGF19 levels and reduced C4 levels which can be monitored as downstream markers indicating FXR activity. The results of the study support the ability to administer EDP-305 in future trials at doses that neither elicit clinically significant changes in lipids nor result in pruritus.</w:t>
      </w:r>
    </w:p>
    <w:p>
      <w:pPr>
        <w:spacing w:after="0" w:line="62" w:lineRule="exact"/>
        <w:rPr>
          <w:sz w:val="20"/>
          <w:szCs w:val="20"/>
          <w:color w:val="auto"/>
        </w:rPr>
      </w:pPr>
    </w:p>
    <w:p>
      <w:pPr>
        <w:ind w:left="880" w:hanging="440"/>
        <w:spacing w:after="0" w:line="259"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total of 146 subjects received at least one dose of EDP-305 (n=110) or placebo (n=36) including 50 HV subjects in the SAD phases of the study and 96 (48 HV, and 48PN) subjects in the MAD phases of the study. Overall, mean BMI in the PN cohort was 32 (29, 35). SAD had 6 cohorts at doses of 1, 5, 10, 20, 40 and 80 mg EDP-305/placebo, and MAD had 6 cohorts at doses of 0.5, 1, 2.5, 5, 10 and 20 mg EDP-305/placebo for 14 days.</w:t>
      </w:r>
    </w:p>
    <w:p>
      <w:pPr>
        <w:spacing w:after="0" w:line="77" w:lineRule="exact"/>
        <w:rPr>
          <w:rFonts w:ascii="Arial" w:cs="Arial" w:eastAsia="Arial" w:hAnsi="Arial"/>
          <w:sz w:val="18"/>
          <w:szCs w:val="18"/>
          <w:color w:val="auto"/>
        </w:rPr>
      </w:pPr>
    </w:p>
    <w:p>
      <w:pPr>
        <w:ind w:left="880" w:right="260" w:hanging="440"/>
        <w:spacing w:after="0" w:line="341"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Strong FXR target engagement was demonstrated, with doses of EDP-305 &gt; 1 mg increasing FGF19 and reducing C4 in all subjects, while PN subjects were even more sensitive with significant effects also observed in both parameters at the lowest multiple doses of 0.5 and 1 mg.</w:t>
      </w:r>
    </w:p>
    <w:p>
      <w:pPr>
        <w:spacing w:after="0" w:line="16"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serious adverse events (SAEs) were reported, and EDP-305 was generally well tolerated at all doses tested.</w:t>
      </w:r>
    </w:p>
    <w:p>
      <w:pPr>
        <w:spacing w:after="0" w:line="117" w:lineRule="exact"/>
        <w:rPr>
          <w:sz w:val="20"/>
          <w:szCs w:val="20"/>
          <w:color w:val="auto"/>
        </w:rPr>
      </w:pPr>
    </w:p>
    <w:p>
      <w:pPr>
        <w:ind w:left="2200" w:right="100" w:hanging="438"/>
        <w:spacing w:after="0" w:line="258" w:lineRule="auto"/>
        <w:tabs>
          <w:tab w:leader="none" w:pos="220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Treatment-emergent adverse events occurring in ≥ 2 EDP-305 treated subjects in MAD cohorts were: headache and pruritus in HV subjects, and constipation and pruritus in PN subjects.</w:t>
      </w:r>
    </w:p>
    <w:p>
      <w:pPr>
        <w:spacing w:after="0" w:line="185" w:lineRule="exact"/>
        <w:rPr>
          <w:rFonts w:ascii="Courier New" w:cs="Courier New" w:eastAsia="Courier New" w:hAnsi="Courier New"/>
          <w:sz w:val="18"/>
          <w:szCs w:val="18"/>
          <w:color w:val="auto"/>
        </w:rPr>
      </w:pPr>
    </w:p>
    <w:p>
      <w:pPr>
        <w:ind w:left="2200" w:right="40" w:hanging="438"/>
        <w:spacing w:after="0" w:line="253" w:lineRule="auto"/>
        <w:tabs>
          <w:tab w:leader="none" w:pos="220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Of the cases of pruritus noted (9% for EDP-305, 3% in placebo), the majority were mild or moderate and occurred at multiple doses of 20 mg, with no cases below 10mg. Notably, EDP-305 demonstrated potent engagement of the FXR receptor across the lower dose range where there was no pruritus.</w:t>
      </w:r>
    </w:p>
    <w:p>
      <w:pPr>
        <w:spacing w:after="0" w:line="84" w:lineRule="exact"/>
        <w:rPr>
          <w:rFonts w:ascii="Courier New" w:cs="Courier New" w:eastAsia="Courier New" w:hAnsi="Courier New"/>
          <w:sz w:val="18"/>
          <w:szCs w:val="18"/>
          <w:color w:val="auto"/>
        </w:rPr>
      </w:pPr>
    </w:p>
    <w:p>
      <w:pPr>
        <w:ind w:left="2200" w:right="640" w:hanging="438"/>
        <w:spacing w:after="0" w:line="258" w:lineRule="auto"/>
        <w:tabs>
          <w:tab w:leader="none" w:pos="220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Two subjects discontinued treatment in the MAD phase at the 20 mg dose level, one for a transient grade 2 elevation of ALT/AST liver enzymes, and one for moderate pruritus.</w:t>
      </w:r>
    </w:p>
    <w:p>
      <w:pPr>
        <w:spacing w:after="0" w:line="77" w:lineRule="exact"/>
        <w:rPr>
          <w:rFonts w:ascii="Courier New" w:cs="Courier New" w:eastAsia="Courier New" w:hAnsi="Courier New"/>
          <w:sz w:val="18"/>
          <w:szCs w:val="18"/>
          <w:color w:val="auto"/>
        </w:rPr>
      </w:pPr>
    </w:p>
    <w:p>
      <w:pPr>
        <w:ind w:left="880" w:right="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dose-related changes in lipids were observed in HV subjects at any doses; and no dose-related changes in lipids were observed in PN subjects except for reductions of total cholesterol and high-density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ind w:left="880"/>
        <w:spacing w:after="0"/>
        <w:rPr>
          <w:sz w:val="20"/>
          <w:szCs w:val="20"/>
          <w:color w:val="auto"/>
        </w:rPr>
      </w:pPr>
      <w:r>
        <w:rPr>
          <w:rFonts w:ascii="Arial" w:cs="Arial" w:eastAsia="Arial" w:hAnsi="Arial"/>
          <w:sz w:val="17"/>
          <w:szCs w:val="17"/>
          <w:color w:val="auto"/>
        </w:rPr>
        <w:t>lipoprotein, or HDL, cholesterol at the multiple 20mg dose, with no concomitant increase in low-density lipoprotein, or LDL, cholesterol.</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We plan to initiate a Phase 2 dose-ranging study in PBC patients by the end of 2017 and a Phase 2 dose-ranging study in NASH patients in early 2018.</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RSV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Overview of RSV</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Respiratory syncytial virus, or RSV, is a virus that infects the lungs and represents a serious unmet medical need in infants and children, as well as immune-compromised individuals and the elderly. RSV is the most common cause of bronchiolitis (inflammation of the small airways in the lung) and pneumonia in children under 1 year of age in the United States. Each year, 75,000 to 125,000 children in this age group are hospitalized due to RSV infection. In one large U.S.-based study, RSV infection in children was associated with 20% of hospitalizations, 18% of emergency department visits, and 15% of pediatric office visits for acute respiratory infections in the November-April timeframe. Though a prophylactic monoclonal antibody-based treatment is available for infants considered at high risk for RSV infection, this study found that most young children affected by RSV infection were previously healthy, and thus would not normally be considered for prophylaxis. There is currently no safe and effective treatment available for treating RSV infection.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Background</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RSV is a member of the </w:t>
      </w:r>
      <w:r>
        <w:rPr>
          <w:rFonts w:ascii="Arial" w:cs="Arial" w:eastAsia="Arial" w:hAnsi="Arial"/>
          <w:sz w:val="18"/>
          <w:szCs w:val="18"/>
          <w:i w:val="1"/>
          <w:iCs w:val="1"/>
          <w:color w:val="auto"/>
        </w:rPr>
        <w:t>Paramyxoviridae</w:t>
      </w:r>
      <w:r>
        <w:rPr>
          <w:rFonts w:ascii="Arial" w:cs="Arial" w:eastAsia="Arial" w:hAnsi="Arial"/>
          <w:sz w:val="18"/>
          <w:szCs w:val="18"/>
          <w:color w:val="auto"/>
        </w:rPr>
        <w:t xml:space="preserve"> family, and is a single-stranded, negative-sense RNA virus. The RSV genome consists of ten genes that encode for 11 proteins, namely NS1, NS2, N, P, M, SH, G, F, M2-1, M2-2, and L. The F and G proteins are the predominant target proteins for RSV vaccines. Similarly, small molecule therapeutics have focused primarily on the F (or fusion) protein, while some efforts have targeted the N and L proteins. There are two major subgroups of RSV, designated RSV-A and RSV-B, each of which contains numerous genotypes. Both groups are viewed as capable of causing RSV infections that can result in hospitalization.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EDP-938 and Our approach to the treatment of RSV</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While a number of companies are developing potential approaches geared towards the F protein (or fusion protein, responsible for mediating viral entry of RSV into host cells), we are focused on the N-protein mechanism that targets the replication process of RSV. It is possible that N-protein inhibitors may also be effective at later stages of infection. Through our internal chemistry efforts, we have identified a clinical candidate, EDP-938, a potent inhibitor of RSV-A and RSV-B, and plan to initiate a Phase 1 clinical study by the end of calendar 2017.</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HBV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HBV</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Hepatitis B virus, or HBV, can cause potentially life-threatening liver infection. The virus is transmitted through contact with the blood or other bodily fluids of an infected person. It is estimated that approximately 250 million people worldwide are chronically infected, and 15-25% of patients with chronic HBV infection develop chronic liver disease, including cirrhosis, liver cancer, or liver decompensation. It is also estimated that more than 885,000 people worldwide died in 2015 due to complications of HBV. Estimates for the total number of persons chronically infected with HBV in the U.S. vary but generally range between 0.5 million and 2.0 million. Combining U.S., Japan, and major EU populations, estimates of HBV prevalence have been as high as 4.9 million.</w:t>
      </w:r>
    </w:p>
    <w:p>
      <w:pPr>
        <w:spacing w:after="0" w:line="16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Current approaches to treatment include interferon therapy and/or inhibitors of HBV reverse transcriptase, the enzyme responsible for viral DNA synthesis, which is necessary for HBV replication. Treatment with interferon offers modest cure rates, and is accompanied by serious side effects, including flu-like symptoms, fatigue, headache and nausea. Reverse transcriptase inhibitors can be very effective at suppressing the virus but often require lifelong therapy and rarely result in full eradication of the virus from the liver. New treatments that can provide functional cures to chronically-infected patients are urgently needed.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Scientific Background</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HBV is a partially double-stranded DNA virus, with a complex life cycle. There are multiple mechanisms associated with HBV replication that could potentially be targeted with new drugs, including mechanisms of entry, capsid assembly, cccDNA formation, transcription and secretion, as well as reverse transcriptase. In addition, host factor and immunological mechanisms could play a role as well.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approach to the treatment of HBV</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initially focusing on new core inhibitors that we expect to have an impact on capsid assembly and possibly interfere with other viral processes. This approach is supported by early clinical validation, with the core inhibitor NVR 3-778 from Novira and JNJ-56136379 from Janssen demonstrating clinical reduction of viral DNA in chronic HBV patients in short-term Phase 2 clinical studies. We are making significant progress in discovering, characterizing, and securing patent protection for new core inhibitors.</w:t>
      </w:r>
    </w:p>
    <w:p>
      <w:pPr>
        <w:spacing w:after="0" w:line="18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Our goal is to identify a development candidate from our HBV program in 2018. In addition, we are conducting preclinical experiments with other mechanisms that target HBV.</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Licensed HCV Protease Inhibitor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HCV Market</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HCV is a virus that is a common cause of viral hepatitis, an inflammation of the liver. HCV is typically contracted by contact with the blood or other body fluids of another individual infected with HCV. HCV is a leading cause of chronic liver disease, including cirrhosis, liver failure and cancer, and the leading cause of death from liver disease in the United States. HCV disease progression occurs over a period of 20 to 30 years, with the majority of HCV-infected individuals generally exhibiting no major symptoms in the early stages of the disease. Therefore, until a major symptom is diagnosed, many individuals are unaware they are infected and live undiagnosed without seeking treatment. For that reason, combined with the new availability of effective treatments for HCV, the United States Centers for Disease Control and Prevention, or CDC, issued new guidelines in 2013 recommending screening for all Americans born between the years 1945 and 1965 so that HCV-infected individuals will be aware of their condition and can consider treatment options.</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An estimated 180 million people worldwide are chronically infected with HCV and have an increased risk of eventually developing liver cirrhosis or liver cancer. More than 350,000 people die every year from HCV-related liver diseases. The CDC estimated in 2016 that 2.7-3.9 million people in the United States are chronically infected with HCV, with an estimated 33,900 new infections in 2015, the most recent year for which the CDC has published data. We believe that the chronically infected population remains significantly untreated, even with the introduction of several new regimens beginning in 2013. With the introduction of Gilead’s Harvoni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AbbVie’s VIEKIRA PAK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late 2014, the reported worldwide sales of the five leading HCV therapies in 2015 totaled approximately $23 billion. After the introduction of Merck’s 2-DAA regimen (brand name ZEPATIER™) and Gilead’s pan-genotypic 2-DAA regimen (brand name Epclusa™), reported worldwide sales of the seven leading HCV therapies in 2016 totaled approximately $19 billion. Reported worldwide net sales of the eight leading HCV therapies through the nine months ended September 30, 2017 totaled approximately $10 billion. In the quarter ending September 30, 2017, AbbVie’s new, pan-genotypic regimen, MAVYRET/MAVIRET, was approved in the U.S., the EU, Japan and other jurisdictions, including approval for 8-week treatment of treatment-naïve, non-cirrhotic HCV patients, and Gilead’s new 3-DAA regimen, VOSEVI, was also approved as a 12-week regimen, including approval in specified DAA-experienced patients.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HCV sales have declined since their peak in 2015 due to competitive pricing pressures and a decline in the number of patients treated annually after the initial wave of diagnosed chronic HCV patients who had urgency for treatment. After the regulatory approvals of MAVYRET and VOSEVI, Johnson &amp; Johnson and Merck announced they had terminated their development of additional HCV treatments.</w:t>
      </w:r>
    </w:p>
    <w:p>
      <w:pPr>
        <w:spacing w:after="0" w:line="1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approved treatments for HCV have provided significant benefit to HCV patients. To date, these treatments have cure rates approaching 100% in several subpopulations. Medical practice defines a “cure” as the point at which there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right="700"/>
        <w:spacing w:after="0" w:line="277" w:lineRule="auto"/>
        <w:rPr>
          <w:sz w:val="20"/>
          <w:szCs w:val="20"/>
          <w:color w:val="auto"/>
        </w:rPr>
      </w:pPr>
      <w:r>
        <w:rPr>
          <w:rFonts w:ascii="Arial" w:cs="Arial" w:eastAsia="Arial" w:hAnsi="Arial"/>
          <w:sz w:val="18"/>
          <w:szCs w:val="18"/>
          <w:color w:val="auto"/>
        </w:rPr>
        <w:t>is no quantifiable virus in a patient’s blood for a sustained period of time after cessation of therapy, which is often referred to as a sustained virologic response, or SVR.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Background</w:t>
      </w:r>
    </w:p>
    <w:p>
      <w:pPr>
        <w:spacing w:after="0" w:line="11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Most of the currently approved HCV therapies targeting HCV focus directly on the viral life cycle and proteins that are critical to HCV replication. Replication of the HCV genome occurs on intracellular membranes and requires the participation of multiple viral proteins, some of which have enzymatic activities. Agents, often referred to as inhibitors, that target viral proteins directly are generally referred to as direct acting antivirals, or DAAs. All currently approved DAA therapies include one or a combination of two or more inhibitors of the NS3 protease, the NS5A protein, and the NS5B polymerase.</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NS3 Protease</w:t>
      </w:r>
      <w:r>
        <w:rPr>
          <w:rFonts w:ascii="Arial" w:cs="Arial" w:eastAsia="Arial" w:hAnsi="Arial"/>
          <w:sz w:val="18"/>
          <w:szCs w:val="18"/>
          <w:color w:val="auto"/>
        </w:rPr>
        <w:t>. As HCV replicates, it generates long strands of protein that must be processed into many individual active functional proteins that are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as non-structural proteins with the designated abbreviation NS, including NS3 and NS5A. The NS3 protease is responsible for most of this protein processing of the newly translated HCV protein, and plays an essential role in the viral life cycle. Inhibition of the protease prevents these new critical proteins from forming and therefore prevents replication and survival of the virus.</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NS5A</w:t>
      </w:r>
      <w:r>
        <w:rPr>
          <w:rFonts w:ascii="Arial" w:cs="Arial" w:eastAsia="Arial" w:hAnsi="Arial"/>
          <w:sz w:val="18"/>
          <w:szCs w:val="18"/>
          <w:color w:val="auto"/>
        </w:rPr>
        <w:t>. The NS5A protein has key roles in both the RNA replication of HCV and modulation of the physiology of its host cell in the body. Research has shown</w:t>
      </w:r>
      <w:r>
        <w:rPr>
          <w:rFonts w:ascii="Arial" w:cs="Arial" w:eastAsia="Arial" w:hAnsi="Arial"/>
          <w:sz w:val="18"/>
          <w:szCs w:val="18"/>
          <w:i w:val="1"/>
          <w:iCs w:val="1"/>
          <w:color w:val="auto"/>
        </w:rPr>
        <w:t xml:space="preserve"> </w:t>
      </w:r>
      <w:r>
        <w:rPr>
          <w:rFonts w:ascii="Arial" w:cs="Arial" w:eastAsia="Arial" w:hAnsi="Arial"/>
          <w:sz w:val="18"/>
          <w:szCs w:val="18"/>
          <w:color w:val="auto"/>
        </w:rPr>
        <w:t>that targeting NS5A gives rise to profound antiviral activity, and as a result, this protein has emerged as an additional important DAA target for anti-HCV drugs.</w:t>
      </w:r>
    </w:p>
    <w:p>
      <w:pPr>
        <w:spacing w:after="0" w:line="18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i w:val="1"/>
          <w:iCs w:val="1"/>
          <w:color w:val="auto"/>
        </w:rPr>
        <w:t>NS5B Polymerase</w:t>
      </w:r>
      <w:r>
        <w:rPr>
          <w:rFonts w:ascii="Arial" w:cs="Arial" w:eastAsia="Arial" w:hAnsi="Arial"/>
          <w:sz w:val="16"/>
          <w:szCs w:val="16"/>
          <w:color w:val="auto"/>
        </w:rPr>
        <w:t>. HCV is a single-stranded RNA virus, and NS5B is an HCV RNA polymerase responsible for synthesis of new HCV RNA, allowing the</w:t>
      </w:r>
      <w:r>
        <w:rPr>
          <w:rFonts w:ascii="Arial" w:cs="Arial" w:eastAsia="Arial" w:hAnsi="Arial"/>
          <w:sz w:val="16"/>
          <w:szCs w:val="16"/>
          <w:i w:val="1"/>
          <w:iCs w:val="1"/>
          <w:color w:val="auto"/>
        </w:rPr>
        <w:t xml:space="preserve"> </w:t>
      </w:r>
      <w:r>
        <w:rPr>
          <w:rFonts w:ascii="Arial" w:cs="Arial" w:eastAsia="Arial" w:hAnsi="Arial"/>
          <w:sz w:val="16"/>
          <w:szCs w:val="16"/>
          <w:color w:val="auto"/>
        </w:rPr>
        <w:t>HCV genome to be copied and the virus to survive and replicate. Two separate classes of DAA inhibitors of NS5B polymerase are used as treatments for HCV. Nucleoside/nucleotide inhibitors of NS5B directly inhibit the active site of that enzyme and prevent further elongation of the RNA, and thus are equally active against all HCV genotypes. A second class, known as non-nucleoside inhibitors, affects replication of the RNA by altering the shape of the enzyme at remote sites on the enzyme surface, with the result being that any given non-nucleoside inhibitor is usually only active against certain HCV genotypes.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Licensed Products in AbbVie’s Marketed Therapies</w:t>
      </w:r>
    </w:p>
    <w:p>
      <w:pPr>
        <w:spacing w:after="0" w:line="32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 xml:space="preserve">Paritaprevir </w:t>
      </w:r>
      <w:r>
        <w:rPr>
          <w:rFonts w:ascii="Arial" w:cs="Arial" w:eastAsia="Arial" w:hAnsi="Arial"/>
          <w:sz w:val="20"/>
          <w:szCs w:val="20"/>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first protease inhibitor developed through our collaboration with AbbVie, paritaprevir is one DAA in AbbVie’s 3-DAA regimen marketed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VIEKIRA PAK</w:t>
      </w:r>
      <w:r>
        <w:rPr>
          <w:rFonts w:ascii="Arial" w:cs="Arial" w:eastAsia="Arial" w:hAnsi="Arial"/>
          <w:sz w:val="15"/>
          <w:szCs w:val="15"/>
          <w:color w:val="auto"/>
        </w:rPr>
        <w:t>®</w:t>
      </w:r>
      <w:r>
        <w:rPr>
          <w:rFonts w:ascii="Arial" w:cs="Arial" w:eastAsia="Arial" w:hAnsi="Arial"/>
          <w:sz w:val="17"/>
          <w:szCs w:val="17"/>
          <w:color w:val="auto"/>
        </w:rPr>
        <w:t xml:space="preserve"> in the U.S. (containing paritaprevir/ritonavir/ombitasvir/dasabuvir). Co-administration of paritaprevir with ritonavir, which we refer to together as paritaprevir/r, combines paritaprevir with a commonly used boosting agent that increases the blood concentrations of many protease inhibitors and has enabled once-daily dosing of paritaprevir. AbbVie developed paritaprevir/r in the 3-DAA combination with its non-nucleoside polymerase and NS5A inhibitors, with or without ribavirin, for treatment of genotype 1 HCV patients This 3-DAA combination has been sold as VIEKIRA PAK in the U.S. since December 2014, and as VIEKIRAX</w:t>
      </w:r>
      <w:r>
        <w:rPr>
          <w:rFonts w:ascii="Arial" w:cs="Arial" w:eastAsia="Arial" w:hAnsi="Arial"/>
          <w:sz w:val="24"/>
          <w:szCs w:val="24"/>
          <w:color w:val="auto"/>
          <w:vertAlign w:val="superscript"/>
        </w:rPr>
        <w:t>®</w:t>
      </w:r>
      <w:r>
        <w:rPr>
          <w:rFonts w:ascii="Arial" w:cs="Arial" w:eastAsia="Arial" w:hAnsi="Arial"/>
          <w:sz w:val="17"/>
          <w:szCs w:val="17"/>
          <w:color w:val="auto"/>
        </w:rPr>
        <w:t>+EXVIERA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EU since January 2015, for non-cirrhotic patients and those with early stage, or compensated, cirrhosis. AbbVie also markets a 2-DAA combination of paritaprevir with the same NS5A inhibitor for genotype 4 HCV patients in the U.S. and EU under the name VIEKIRAX, which is also approved for genotype 1 patients in Japan.</w:t>
      </w:r>
    </w:p>
    <w:p>
      <w:pPr>
        <w:spacing w:after="0" w:line="18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Glecaprevir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second protease inhibitor, glecaprevir, was developed by AbbVie in combination with pibrentasvir, AbbVie’s second NS5A inhibitor.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co-formulated combination, marketed as MAVYRET (U.S.) or MAVIRET (ex-U.S.), contains two new DAAs that target and inhibit proteins essential for the replication of the hepatitis C virus. MAVYRET/MAVIRET is approved in the U.S. and the EU as an 8-week, pan-genotypic, fixed-dose combination treatment, dosed once-daily as three oral tablets, taken with food, for chronic HCV patients without cirrhosis and new to treatment. MAVYRET/MAVIRET is also approved as a treatment for patients with specific treatment challenges, including those GT-1 patients not cured by prior treatment experience with either a protease inhibitor or an NS5A inhibitor (but not both), and in patients with limited treatment options, such as those with severe chronic kidney disease (CKD) or those with genotype 3 chronic HCV. MAVYRET/MAVIRET is approved for use in patients across all stages of CKD with any of the major HCV genotypes (GT1-6)</w:t>
      </w:r>
      <w:r>
        <w:rPr>
          <w:rFonts w:ascii="Arial" w:cs="Arial" w:eastAsia="Arial" w:hAnsi="Arial"/>
          <w:sz w:val="18"/>
          <w:szCs w:val="18"/>
          <w:b w:val="1"/>
          <w:bCs w:val="1"/>
          <w:color w:val="auto"/>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left="880" w:hanging="440"/>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approvals of MAVYRET/MAVIRET are supported by data from nine registrational studies in AbbVie’s clinical development program, which evaluated more than 2,300 patients in 27 countries across all major HCV genotypes (GT1-6) and special populations. The key studies are summarized below:</w:t>
      </w:r>
    </w:p>
    <w:p>
      <w:pPr>
        <w:sectPr>
          <w:pgSz w:w="11900" w:h="16838" w:orient="portrait"/>
          <w:cols w:equalWidth="0" w:num="1">
            <w:col w:w="11360"/>
          </w:cols>
          <w:pgMar w:left="240" w:top="449" w:right="29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60"/>
        <w:spacing w:after="0"/>
        <w:rPr>
          <w:sz w:val="20"/>
          <w:szCs w:val="20"/>
          <w:color w:val="auto"/>
        </w:rPr>
      </w:pPr>
      <w:r>
        <w:rPr>
          <w:rFonts w:ascii="Arial" w:cs="Arial" w:eastAsia="Arial" w:hAnsi="Arial"/>
          <w:sz w:val="14"/>
          <w:szCs w:val="14"/>
          <w:b w:val="1"/>
          <w:bCs w:val="1"/>
          <w:u w:val="single" w:color="auto"/>
          <w:color w:val="auto"/>
        </w:rPr>
        <w:t>Study Name</w:t>
      </w:r>
    </w:p>
    <w:p>
      <w:pPr>
        <w:spacing w:after="0" w:line="33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ENDURANCE-1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ENDURANCE-3</w:t>
      </w:r>
    </w:p>
    <w:p>
      <w:pPr>
        <w:spacing w:after="0" w:line="3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SURVEYOR-2</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(Part 4)</w:t>
      </w:r>
    </w:p>
    <w:p>
      <w:pPr>
        <w:spacing w:after="0" w:line="3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EXPEDITION-1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EXPEDITION-4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Discovery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6350</wp:posOffset>
            </wp:positionV>
            <wp:extent cx="32550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5010" cy="8255"/>
                    </a:xfrm>
                    <a:prstGeom prst="rect">
                      <a:avLst/>
                    </a:prstGeom>
                    <a:noFill/>
                  </pic:spPr>
                </pic:pic>
              </a:graphicData>
            </a:graphic>
          </wp:anchor>
        </w:drawing>
      </w:r>
    </w:p>
    <w:p>
      <w:pPr>
        <w:spacing w:after="0" w:line="5" w:lineRule="exact"/>
        <w:rPr>
          <w:sz w:val="20"/>
          <w:szCs w:val="20"/>
          <w:color w:val="auto"/>
        </w:rPr>
      </w:pPr>
    </w:p>
    <w:p>
      <w:pPr>
        <w:jc w:val="center"/>
        <w:ind w:left="700"/>
        <w:spacing w:after="0" w:line="272" w:lineRule="auto"/>
        <w:rPr>
          <w:sz w:val="20"/>
          <w:szCs w:val="20"/>
          <w:color w:val="auto"/>
        </w:rPr>
      </w:pPr>
      <w:r>
        <w:rPr>
          <w:rFonts w:ascii="Arial" w:cs="Arial" w:eastAsia="Arial" w:hAnsi="Arial"/>
          <w:sz w:val="17"/>
          <w:szCs w:val="17"/>
          <w:color w:val="auto"/>
        </w:rPr>
        <w:t>GT1 without cirrhosis, new to treatment or not cured with previous IFN-based treatments (pegIFN +/- RBV or SOF/RBV +/- pegIFN), and patients co-infected with HIV-1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GT3 without cirrhosis,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to treatment</w:t>
      </w:r>
    </w:p>
    <w:p>
      <w:pPr>
        <w:spacing w:after="0" w:line="224" w:lineRule="exact"/>
        <w:rPr>
          <w:sz w:val="20"/>
          <w:szCs w:val="20"/>
          <w:color w:val="auto"/>
        </w:rPr>
      </w:pPr>
    </w:p>
    <w:p>
      <w:pPr>
        <w:jc w:val="both"/>
        <w:ind w:firstLine="20"/>
        <w:spacing w:after="0" w:line="341" w:lineRule="auto"/>
        <w:rPr>
          <w:sz w:val="20"/>
          <w:szCs w:val="20"/>
          <w:color w:val="auto"/>
        </w:rPr>
      </w:pPr>
      <w:r>
        <w:rPr>
          <w:rFonts w:ascii="Arial" w:cs="Arial" w:eastAsia="Arial" w:hAnsi="Arial"/>
          <w:sz w:val="16"/>
          <w:szCs w:val="16"/>
          <w:color w:val="auto"/>
        </w:rPr>
        <w:t>GT2, 4, 5, or 6 without cirrhosis, new to treatment or not cured with previous IFN-based treatments (pegIFN, SOF/RBV or pegIFN/SOF)</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GT1, 2 with compensated cirrhosis (Child-Pugh A)</w:t>
      </w:r>
    </w:p>
    <w:p>
      <w:pPr>
        <w:spacing w:after="0" w:line="333" w:lineRule="exact"/>
        <w:rPr>
          <w:sz w:val="20"/>
          <w:szCs w:val="20"/>
          <w:color w:val="auto"/>
        </w:rPr>
      </w:pPr>
    </w:p>
    <w:p>
      <w:pPr>
        <w:jc w:val="center"/>
        <w:ind w:left="-19" w:right="60"/>
        <w:spacing w:after="0" w:line="255" w:lineRule="auto"/>
        <w:rPr>
          <w:sz w:val="20"/>
          <w:szCs w:val="20"/>
          <w:color w:val="auto"/>
        </w:rPr>
      </w:pPr>
      <w:r>
        <w:rPr>
          <w:rFonts w:ascii="Arial" w:cs="Arial" w:eastAsia="Arial" w:hAnsi="Arial"/>
          <w:sz w:val="18"/>
          <w:szCs w:val="18"/>
          <w:color w:val="auto"/>
        </w:rPr>
        <w:t>GT1-6 chronic HCV infection and chronic kidney disease (CKD), including those on dialysis, not cured with previous treatment with sofosbuvir (SOF) plus ribavirin (RBV)</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with interferon (IFN) plus RBV, with or without SOF</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1"/>
        </w:trPr>
        <w:tc>
          <w:tcPr>
            <w:tcW w:w="1160" w:type="dxa"/>
            <w:vAlign w:val="bottom"/>
          </w:tcPr>
          <w:p>
            <w:pPr>
              <w:jc w:val="center"/>
              <w:ind w:right="448"/>
              <w:spacing w:after="0"/>
              <w:rPr>
                <w:sz w:val="20"/>
                <w:szCs w:val="20"/>
                <w:color w:val="auto"/>
              </w:rPr>
            </w:pPr>
            <w:r>
              <w:rPr>
                <w:rFonts w:ascii="Arial" w:cs="Arial" w:eastAsia="Arial" w:hAnsi="Arial"/>
                <w:sz w:val="14"/>
                <w:szCs w:val="14"/>
                <w:b w:val="1"/>
                <w:bCs w:val="1"/>
                <w:color w:val="auto"/>
                <w:w w:val="94"/>
              </w:rPr>
              <w:t>Treatment</w:t>
            </w:r>
          </w:p>
        </w:tc>
        <w:tc>
          <w:tcPr>
            <w:tcW w:w="122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1"/>
              </w:rPr>
              <w:t>SVR</w:t>
            </w:r>
            <w:r>
              <w:rPr>
                <w:rFonts w:ascii="Arial" w:cs="Arial" w:eastAsia="Arial" w:hAnsi="Arial"/>
                <w:sz w:val="10"/>
                <w:szCs w:val="10"/>
                <w:b w:val="1"/>
                <w:bCs w:val="1"/>
                <w:color w:val="auto"/>
                <w:w w:val="91"/>
              </w:rPr>
              <w:t>12</w:t>
            </w:r>
            <w:r>
              <w:rPr>
                <w:rFonts w:ascii="Arial" w:cs="Arial" w:eastAsia="Arial" w:hAnsi="Arial"/>
                <w:sz w:val="14"/>
                <w:szCs w:val="14"/>
                <w:b w:val="1"/>
                <w:bCs w:val="1"/>
                <w:color w:val="auto"/>
                <w:w w:val="91"/>
              </w:rPr>
              <w:t xml:space="preserve"> Rate</w:t>
            </w:r>
          </w:p>
        </w:tc>
        <w:tc>
          <w:tcPr>
            <w:tcW w:w="0" w:type="dxa"/>
            <w:vAlign w:val="bottom"/>
          </w:tcPr>
          <w:p>
            <w:pPr>
              <w:spacing w:after="0"/>
              <w:rPr>
                <w:sz w:val="1"/>
                <w:szCs w:val="1"/>
                <w:color w:val="auto"/>
              </w:rPr>
            </w:pPr>
          </w:p>
        </w:tc>
      </w:tr>
      <w:tr>
        <w:trPr>
          <w:trHeight w:val="186"/>
        </w:trPr>
        <w:tc>
          <w:tcPr>
            <w:tcW w:w="1160" w:type="dxa"/>
            <w:vAlign w:val="bottom"/>
          </w:tcPr>
          <w:p>
            <w:pPr>
              <w:jc w:val="center"/>
              <w:ind w:right="448"/>
              <w:spacing w:after="0"/>
              <w:rPr>
                <w:sz w:val="20"/>
                <w:szCs w:val="20"/>
                <w:color w:val="auto"/>
              </w:rPr>
            </w:pPr>
            <w:r>
              <w:rPr>
                <w:rFonts w:ascii="Arial" w:cs="Arial" w:eastAsia="Arial" w:hAnsi="Arial"/>
                <w:sz w:val="14"/>
                <w:szCs w:val="14"/>
                <w:b w:val="1"/>
                <w:bCs w:val="1"/>
                <w:color w:val="auto"/>
                <w:w w:val="97"/>
              </w:rPr>
              <w:t>Duration</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-8890</wp:posOffset>
            </wp:positionV>
            <wp:extent cx="1927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7225"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vMerge w:val="restart"/>
          </w:tcPr>
          <w:p>
            <w:pPr>
              <w:jc w:val="center"/>
              <w:ind w:right="390"/>
              <w:spacing w:after="0"/>
              <w:rPr>
                <w:sz w:val="20"/>
                <w:szCs w:val="20"/>
                <w:color w:val="auto"/>
              </w:rPr>
            </w:pPr>
            <w:r>
              <w:rPr>
                <w:rFonts w:ascii="Arial" w:cs="Arial" w:eastAsia="Arial" w:hAnsi="Arial"/>
                <w:sz w:val="18"/>
                <w:szCs w:val="18"/>
                <w:color w:val="auto"/>
                <w:w w:val="87"/>
              </w:rPr>
              <w:t>8 weeks</w:t>
            </w:r>
          </w:p>
        </w:tc>
        <w:tc>
          <w:tcPr>
            <w:tcW w:w="1360" w:type="dxa"/>
            <w:vAlign w:val="bottom"/>
          </w:tcPr>
          <w:p>
            <w:pPr>
              <w:jc w:val="center"/>
              <w:ind w:left="350"/>
              <w:spacing w:after="0"/>
              <w:rPr>
                <w:sz w:val="20"/>
                <w:szCs w:val="20"/>
                <w:color w:val="auto"/>
              </w:rPr>
            </w:pPr>
            <w:r>
              <w:rPr>
                <w:rFonts w:ascii="Arial" w:cs="Arial" w:eastAsia="Arial" w:hAnsi="Arial"/>
                <w:sz w:val="18"/>
                <w:szCs w:val="18"/>
                <w:color w:val="auto"/>
                <w:w w:val="88"/>
              </w:rPr>
              <w:t>99%</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360" w:type="dxa"/>
            <w:vAlign w:val="bottom"/>
            <w:vMerge w:val="restart"/>
          </w:tcPr>
          <w:p>
            <w:pPr>
              <w:jc w:val="center"/>
              <w:ind w:left="370"/>
              <w:spacing w:after="0"/>
              <w:rPr>
                <w:sz w:val="20"/>
                <w:szCs w:val="20"/>
                <w:color w:val="auto"/>
              </w:rPr>
            </w:pPr>
            <w:r>
              <w:rPr>
                <w:rFonts w:ascii="Arial" w:cs="Arial" w:eastAsia="Arial" w:hAnsi="Arial"/>
                <w:sz w:val="18"/>
                <w:szCs w:val="18"/>
                <w:color w:val="auto"/>
                <w:w w:val="92"/>
              </w:rPr>
              <w:t>(n=348/351)</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7"/>
        </w:trPr>
        <w:tc>
          <w:tcPr>
            <w:tcW w:w="1140" w:type="dxa"/>
            <w:vAlign w:val="bottom"/>
            <w:vMerge w:val="restart"/>
          </w:tcPr>
          <w:p>
            <w:pPr>
              <w:jc w:val="center"/>
              <w:ind w:right="390"/>
              <w:spacing w:after="0"/>
              <w:rPr>
                <w:sz w:val="20"/>
                <w:szCs w:val="20"/>
                <w:color w:val="auto"/>
              </w:rPr>
            </w:pPr>
            <w:r>
              <w:rPr>
                <w:rFonts w:ascii="Arial" w:cs="Arial" w:eastAsia="Arial" w:hAnsi="Arial"/>
                <w:sz w:val="18"/>
                <w:szCs w:val="18"/>
                <w:color w:val="auto"/>
                <w:w w:val="87"/>
              </w:rPr>
              <w:t>8 weeks</w:t>
            </w:r>
          </w:p>
        </w:tc>
        <w:tc>
          <w:tcPr>
            <w:tcW w:w="1360" w:type="dxa"/>
            <w:vAlign w:val="bottom"/>
          </w:tcPr>
          <w:p>
            <w:pPr>
              <w:jc w:val="center"/>
              <w:ind w:left="350"/>
              <w:spacing w:after="0"/>
              <w:rPr>
                <w:sz w:val="20"/>
                <w:szCs w:val="20"/>
                <w:color w:val="auto"/>
              </w:rPr>
            </w:pPr>
            <w:r>
              <w:rPr>
                <w:rFonts w:ascii="Arial" w:cs="Arial" w:eastAsia="Arial" w:hAnsi="Arial"/>
                <w:sz w:val="18"/>
                <w:szCs w:val="18"/>
                <w:color w:val="auto"/>
                <w:w w:val="88"/>
              </w:rPr>
              <w:t>95%</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360" w:type="dxa"/>
            <w:vAlign w:val="bottom"/>
            <w:vMerge w:val="restart"/>
          </w:tcPr>
          <w:p>
            <w:pPr>
              <w:jc w:val="center"/>
              <w:ind w:left="370"/>
              <w:spacing w:after="0"/>
              <w:rPr>
                <w:sz w:val="20"/>
                <w:szCs w:val="20"/>
                <w:color w:val="auto"/>
              </w:rPr>
            </w:pPr>
            <w:r>
              <w:rPr>
                <w:rFonts w:ascii="Arial" w:cs="Arial" w:eastAsia="Arial" w:hAnsi="Arial"/>
                <w:sz w:val="18"/>
                <w:szCs w:val="18"/>
                <w:color w:val="auto"/>
                <w:w w:val="92"/>
              </w:rPr>
              <w:t>(n=149/157)</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1140" w:type="dxa"/>
            <w:vAlign w:val="bottom"/>
            <w:vMerge w:val="restart"/>
          </w:tcPr>
          <w:p>
            <w:pPr>
              <w:jc w:val="center"/>
              <w:ind w:right="390"/>
              <w:spacing w:after="0"/>
              <w:rPr>
                <w:sz w:val="20"/>
                <w:szCs w:val="20"/>
                <w:color w:val="auto"/>
              </w:rPr>
            </w:pPr>
            <w:r>
              <w:rPr>
                <w:rFonts w:ascii="Arial" w:cs="Arial" w:eastAsia="Arial" w:hAnsi="Arial"/>
                <w:sz w:val="18"/>
                <w:szCs w:val="18"/>
                <w:color w:val="auto"/>
                <w:w w:val="87"/>
              </w:rPr>
              <w:t>8 weeks</w:t>
            </w:r>
          </w:p>
        </w:tc>
        <w:tc>
          <w:tcPr>
            <w:tcW w:w="1360" w:type="dxa"/>
            <w:vAlign w:val="bottom"/>
          </w:tcPr>
          <w:p>
            <w:pPr>
              <w:jc w:val="center"/>
              <w:ind w:left="350"/>
              <w:spacing w:after="0"/>
              <w:rPr>
                <w:sz w:val="20"/>
                <w:szCs w:val="20"/>
                <w:color w:val="auto"/>
              </w:rPr>
            </w:pPr>
            <w:r>
              <w:rPr>
                <w:rFonts w:ascii="Arial" w:cs="Arial" w:eastAsia="Arial" w:hAnsi="Arial"/>
                <w:sz w:val="18"/>
                <w:szCs w:val="18"/>
                <w:color w:val="auto"/>
                <w:w w:val="88"/>
              </w:rPr>
              <w:t>97%</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360" w:type="dxa"/>
            <w:vAlign w:val="bottom"/>
            <w:vMerge w:val="restart"/>
          </w:tcPr>
          <w:p>
            <w:pPr>
              <w:jc w:val="center"/>
              <w:ind w:left="370"/>
              <w:spacing w:after="0"/>
              <w:rPr>
                <w:sz w:val="20"/>
                <w:szCs w:val="20"/>
                <w:color w:val="auto"/>
              </w:rPr>
            </w:pPr>
            <w:r>
              <w:rPr>
                <w:rFonts w:ascii="Arial" w:cs="Arial" w:eastAsia="Arial" w:hAnsi="Arial"/>
                <w:sz w:val="18"/>
                <w:szCs w:val="18"/>
                <w:color w:val="auto"/>
                <w:w w:val="92"/>
              </w:rPr>
              <w:t>(n=196/203)</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1140" w:type="dxa"/>
            <w:vAlign w:val="bottom"/>
            <w:vMerge w:val="restart"/>
          </w:tcPr>
          <w:p>
            <w:pPr>
              <w:jc w:val="center"/>
              <w:ind w:right="390"/>
              <w:spacing w:after="0"/>
              <w:rPr>
                <w:sz w:val="20"/>
                <w:szCs w:val="20"/>
                <w:color w:val="auto"/>
              </w:rPr>
            </w:pPr>
            <w:r>
              <w:rPr>
                <w:rFonts w:ascii="Arial" w:cs="Arial" w:eastAsia="Arial" w:hAnsi="Arial"/>
                <w:sz w:val="18"/>
                <w:szCs w:val="18"/>
                <w:color w:val="auto"/>
                <w:w w:val="86"/>
              </w:rPr>
              <w:t>12 weeks</w:t>
            </w:r>
          </w:p>
        </w:tc>
        <w:tc>
          <w:tcPr>
            <w:tcW w:w="1360" w:type="dxa"/>
            <w:vAlign w:val="bottom"/>
          </w:tcPr>
          <w:p>
            <w:pPr>
              <w:jc w:val="center"/>
              <w:ind w:left="350"/>
              <w:spacing w:after="0"/>
              <w:rPr>
                <w:sz w:val="20"/>
                <w:szCs w:val="20"/>
                <w:color w:val="auto"/>
              </w:rPr>
            </w:pPr>
            <w:r>
              <w:rPr>
                <w:rFonts w:ascii="Arial" w:cs="Arial" w:eastAsia="Arial" w:hAnsi="Arial"/>
                <w:sz w:val="18"/>
                <w:szCs w:val="18"/>
                <w:color w:val="auto"/>
                <w:w w:val="88"/>
              </w:rPr>
              <w:t>99%</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360" w:type="dxa"/>
            <w:vAlign w:val="bottom"/>
            <w:vMerge w:val="restart"/>
          </w:tcPr>
          <w:p>
            <w:pPr>
              <w:jc w:val="center"/>
              <w:ind w:left="370"/>
              <w:spacing w:after="0"/>
              <w:rPr>
                <w:sz w:val="20"/>
                <w:szCs w:val="20"/>
                <w:color w:val="auto"/>
              </w:rPr>
            </w:pPr>
            <w:r>
              <w:rPr>
                <w:rFonts w:ascii="Arial" w:cs="Arial" w:eastAsia="Arial" w:hAnsi="Arial"/>
                <w:sz w:val="18"/>
                <w:szCs w:val="18"/>
                <w:color w:val="auto"/>
                <w:w w:val="92"/>
              </w:rPr>
              <w:t>(n=145/146)</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3"/>
        </w:trPr>
        <w:tc>
          <w:tcPr>
            <w:tcW w:w="1140" w:type="dxa"/>
            <w:vAlign w:val="bottom"/>
            <w:vMerge w:val="restart"/>
          </w:tcPr>
          <w:p>
            <w:pPr>
              <w:jc w:val="center"/>
              <w:ind w:right="390"/>
              <w:spacing w:after="0"/>
              <w:rPr>
                <w:sz w:val="20"/>
                <w:szCs w:val="20"/>
                <w:color w:val="auto"/>
              </w:rPr>
            </w:pPr>
            <w:r>
              <w:rPr>
                <w:rFonts w:ascii="Arial" w:cs="Arial" w:eastAsia="Arial" w:hAnsi="Arial"/>
                <w:sz w:val="18"/>
                <w:szCs w:val="18"/>
                <w:color w:val="auto"/>
                <w:w w:val="86"/>
              </w:rPr>
              <w:t>12 weeks</w:t>
            </w:r>
          </w:p>
        </w:tc>
        <w:tc>
          <w:tcPr>
            <w:tcW w:w="1360" w:type="dxa"/>
            <w:vAlign w:val="bottom"/>
          </w:tcPr>
          <w:p>
            <w:pPr>
              <w:jc w:val="center"/>
              <w:ind w:left="350"/>
              <w:spacing w:after="0"/>
              <w:rPr>
                <w:sz w:val="20"/>
                <w:szCs w:val="20"/>
                <w:color w:val="auto"/>
              </w:rPr>
            </w:pPr>
            <w:r>
              <w:rPr>
                <w:rFonts w:ascii="Arial" w:cs="Arial" w:eastAsia="Arial" w:hAnsi="Arial"/>
                <w:sz w:val="18"/>
                <w:szCs w:val="18"/>
                <w:color w:val="auto"/>
                <w:w w:val="88"/>
              </w:rPr>
              <w:t>98%</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360" w:type="dxa"/>
            <w:vAlign w:val="bottom"/>
            <w:vMerge w:val="restart"/>
          </w:tcPr>
          <w:p>
            <w:pPr>
              <w:jc w:val="center"/>
              <w:ind w:left="370"/>
              <w:spacing w:after="0"/>
              <w:rPr>
                <w:sz w:val="20"/>
                <w:szCs w:val="20"/>
                <w:color w:val="auto"/>
              </w:rPr>
            </w:pPr>
            <w:r>
              <w:rPr>
                <w:rFonts w:ascii="Arial" w:cs="Arial" w:eastAsia="Arial" w:hAnsi="Arial"/>
                <w:sz w:val="18"/>
                <w:szCs w:val="18"/>
                <w:color w:val="auto"/>
                <w:w w:val="92"/>
              </w:rPr>
              <w:t>(n=102/104)</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862" w:lineRule="exact"/>
        <w:rPr>
          <w:sz w:val="20"/>
          <w:szCs w:val="20"/>
          <w:color w:val="auto"/>
        </w:rPr>
      </w:pPr>
    </w:p>
    <w:p>
      <w:pPr>
        <w:sectPr>
          <w:pgSz w:w="11900" w:h="16838" w:orient="portrait"/>
          <w:cols w:equalWidth="0" w:num="3">
            <w:col w:w="1880" w:space="720"/>
            <w:col w:w="4940" w:space="500"/>
            <w:col w:w="3320"/>
          </w:cols>
          <w:pgMar w:left="240" w:top="449" w:right="299" w:bottom="1440" w:gutter="0" w:footer="0" w:header="0"/>
          <w:type w:val="continuous"/>
        </w:sectPr>
      </w:pPr>
    </w:p>
    <w:p>
      <w:pPr>
        <w:ind w:right="40"/>
        <w:spacing w:after="0" w:line="259" w:lineRule="auto"/>
        <w:rPr>
          <w:sz w:val="20"/>
          <w:szCs w:val="20"/>
          <w:color w:val="auto"/>
        </w:rPr>
      </w:pPr>
      <w:r>
        <w:rPr>
          <w:rFonts w:ascii="Arial" w:cs="Arial" w:eastAsia="Arial" w:hAnsi="Arial"/>
          <w:sz w:val="18"/>
          <w:szCs w:val="18"/>
          <w:color w:val="auto"/>
        </w:rPr>
        <w:t>We have internally discovered all of the compounds in our research and development programs. Our scientists have expertise in the areas of medicinal chemistry, molecular virology and pharmacology, with highly developed sets of skills in compound generation, target selection, screening and pharmacology, preclinical development and lead optimization. We are utilizing these skills and capabilities in our discovery and development of virology and liver disease product candidates.</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We focus on virology and liver disease indications representing large and growing market opportunities with significant unmet medical needs. Our selection of a particular therapeutic target within those disease indications takes into consideration the experience and expertise of our scientific team and includes our ability to generate robust medicinal chemistry structure-activity relationships to assist lead optimization and secure relevant intellectual property rights. Once we have identified lead compounds, they are tested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studies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research models of antiviral or antibacterial efficacy.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AbbVie</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entered into a Collaborative Development and License Agreement with Abbott Laboratories in November 2006 to develop and commercialize HCV NS3 and NS3/4A protease inhibitors. The agreement, which was amended in January and December 2009, was then assigned to AbbVie Inc. on January 1, 2013 in connection with Abbott’s transfer of its research-based pharmaceuticals business to AbbVie. Under the agreement, we have granted AbbVie an exclusive, worldwide, royalty-bearing license, including a right to grant sublicenses, to specified intellectual property, including several issued U.S. patents, relating to protease inhibitors. We also granted AbbVie access to our drug discovery capabilities in the HCV NS3 and NS3/4A protease inhibitor field. AbbVie granted us a co-exclusive (together with AbbVie), royalty-free, fully paid license, without the right to grant sublicenses, to certain of AbbVie’s intellectual property, AbbVie’s interest in joint intellectual property and improvements discovered by AbbVie, for the purpose of allowing us to conduct certain development and commercialization activities in the United States relating to protease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type w:val="continuous"/>
        </w:sectPr>
      </w:pPr>
    </w:p>
    <w:bookmarkStart w:id="14" w:name="page15"/>
    <w:bookmarkEnd w:id="14"/>
    <w:p>
      <w:pPr>
        <w:ind w:right="20"/>
        <w:spacing w:after="0" w:line="259" w:lineRule="auto"/>
        <w:rPr>
          <w:sz w:val="20"/>
          <w:szCs w:val="20"/>
          <w:color w:val="auto"/>
        </w:rPr>
      </w:pPr>
      <w:r>
        <w:rPr>
          <w:rFonts w:ascii="Arial" w:cs="Arial" w:eastAsia="Arial" w:hAnsi="Arial"/>
          <w:sz w:val="18"/>
          <w:szCs w:val="18"/>
          <w:color w:val="auto"/>
        </w:rPr>
        <w:t>inhibitors. AbbVie is responsible for and has funded all costs associated with the development, manufacturing and commercialization of paritaprevir, glecaprevir and any other compounds under this agreement. Under the agreement, we are eligible to receive milestone payments and royalties with respect to these compounds. So long as a product candidate is being developed or commercialized under the agreement, we undertake not to conduct any activity, or grant licenses to a third party, relating to protease inhibitors.</w:t>
      </w:r>
    </w:p>
    <w:p>
      <w:pPr>
        <w:spacing w:after="0" w:line="18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 joint steering committee was established under the agreement with review and oversight responsibilities for all research, development and commercialization activities. The joint steering committee is comprised of three of our senior personnel and three senior personnel from AbbVie; however, AbbVie has final authority to make all decisions regarding development and commercialization activities.</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research program and the evaluation period, which was performed by both parties, ended in June 2011. The first commercialized compound was paritaprevir, and glecaprevir is now the second commercialized protease inhibitor. AbbVie’s MAVYRET/MAVIRET, which is the fixed-dose combination of glecaprevir with pibrentasvir, received regulatory approval in the U.S., EU and Japan in the quarter ending September 30, 2017. Through September 30, 2017, we have received a total of $500.0 million from AbbVie as part of our collaboration, consisting of license payments, proceeds from a sale of preferred stock, research funding payments, milestone payments and royalties. We earned a $15.0 million milestone payment upon reimbursement approval of MAVIRET in Japan in November 2017.</w:t>
      </w:r>
    </w:p>
    <w:p>
      <w:pPr>
        <w:spacing w:after="0" w:line="19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receiving annually tiered royalties on each protease product developed under the agreement, ranging from the low double digits up to twenty percent, or on a blended basis from the low double digits up to the high teens, based on AbbVie’s calendar year net sales of its HCV regimens that are allocated to the protease product in each regimen. However, if a product is determined to be a combination product, as is the case for both paritaprevir and glecaprevir, the net sales of the combination product are adjusted on a country-by-country and product-by-product basis to reflect a good faith determination of the relative value of each pharmaceutically active ingredient, based on the estimated fair market value. This means that a portion of AbbVie’s worldwide annual net sales of a combination product or regimen is first allocated to one of our protease inhibitors and then that royalty-bearing portion is multiplied by the annually tiered royalty rates to determine our actual royalty for the protease product in that regimen in a given period. In October 2014, we entered into an amendment to our agreement with AbbVie to finalize the net sales allocations for regimens containing paritaprevir, as well as for any regimen containing glecaprevir. Under the terms of the agreement as amended, 50% of AbbVie’s net sales of the MAVYRET/MAVIRET regimen containing glecaprevir are allocated to glecaprevir net sales for purposes of calculating royalties, whereas only 30% of net sales of a 3-DAA regimen containing paritaprevir and 45% of net sales of a 2-DAA regimen containing paritaprevir are allocated to paritaprevir net sales. These royalties are calculated separately for each protease product, and the tiered royalty rates return to the lowest tier at the start of each calendar year.</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Royalties owed to us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or (iii) where sales of a generic product are equal to at least a specified percentage of AbbVie’s market share of a product in a country.</w:t>
      </w:r>
    </w:p>
    <w:p>
      <w:pPr>
        <w:spacing w:after="0" w:line="19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AbbVie’s obligation to pay royalties on products developed under the agreement expires on a country-by-country and product-by-product basis upon the later of (i) the date of expiration of the last of the licensed patents with a valid claim covering the product in the applicable country, and (ii) ten years after the first commercial sale of the product in the applicable country.</w:t>
      </w:r>
    </w:p>
    <w:p>
      <w:pPr>
        <w:spacing w:after="0" w:line="1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intellectual property existing as of the effective date of the agreement remains our property. Any intellectual property jointly developed is jointly owned. We will have the unilateral right to enforce our patent rights on any covered product following the first commercial sale of such product, as will AbbVie. In the event of infringement related to any of our patents, we will have the first right and option to initiate legal proceedings or take other actions. In the event of infringement related to any AbbVie patents, AbbVie will have the first right and option to initiate legal proceedings or take other actions. In the event of infringement of a joint patent right, we will discuss with</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right="100"/>
        <w:spacing w:after="0" w:line="286" w:lineRule="auto"/>
        <w:rPr>
          <w:sz w:val="20"/>
          <w:szCs w:val="20"/>
          <w:color w:val="auto"/>
        </w:rPr>
      </w:pPr>
      <w:r>
        <w:rPr>
          <w:rFonts w:ascii="Arial" w:cs="Arial" w:eastAsia="Arial" w:hAnsi="Arial"/>
          <w:sz w:val="17"/>
          <w:szCs w:val="17"/>
          <w:color w:val="auto"/>
        </w:rPr>
        <w:t>AbbVie whether to initiate legal proceedings or take other actions. AbbVie will have the obligation to defend at its sole expense any actions brought against either party alleging infringement of third-party rights by reason of the activities conducted under the agreement and we will have the right to obtain separate counsel at our own expense. Additionally, AbbVie, at its sole expense, will be responsible for all trademark prosecution.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the exceptions described above,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and all co-development terms for all co-developed products have ended. Accordingly, the final expiration date of the agreement is currently indeterminable.</w:t>
      </w:r>
    </w:p>
    <w:p>
      <w:pPr>
        <w:spacing w:after="0" w:line="1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we terminate the agreement for cause or AbbVie terminates without cause, any licenses and other rights granted to AbbVie will terminate and AbbVie will be deemed to have granted us (i) a non-exclusive, perpetual, fully paid, worldwide, royalty-free license, with the right to sublicense, under AbbVie’s intellectual property used in any product candidate and (ii) an exclusive (even as to AbbVie), perpetual, fully paid, worldwide, royalty-free license, with the right to sublicense, under AbbVie’s interest in joint intellectual property rights to develop product candidates resulting from covered compounds and to commercialize any products derived from such compounds. Upon our request, AbbVie will also transfer to us all right, title and interest in any related product trademarks, regulatory filings and clinical trials.</w:t>
      </w:r>
    </w:p>
    <w:p>
      <w:pPr>
        <w:spacing w:after="0" w:line="19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If AbbVie terminates the agreement for our uncured breach, the milestone and royalty payments payable by AbbVie may be reduced, the licenses granted to AbbVie will remain in place, we will be deemed to have granted AbbVie an exclusive license under our interest in joint intellectual property, AbbVie will continue to have the right to commercialize any covered products, and all rights and licenses granted to us by AbbVie will terminate.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that target HCV, NASH, PBC, RSV and HBV and other viral infections or liver diseases that we may target in the future.</w:t>
      </w:r>
    </w:p>
    <w:p>
      <w:pPr>
        <w:spacing w:after="0" w:line="4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infrastructures and financial, technical and personnel resources than we have, as well as drug candidates in late-stage clinical development. We will not be able to compete successfully unless we are able to:</w:t>
      </w:r>
    </w:p>
    <w:p>
      <w:pPr>
        <w:spacing w:after="0" w:line="62" w:lineRule="exact"/>
        <w:rPr>
          <w:sz w:val="20"/>
          <w:szCs w:val="20"/>
          <w:color w:val="auto"/>
        </w:rPr>
      </w:pPr>
    </w:p>
    <w:p>
      <w:pPr>
        <w:ind w:left="1200" w:hanging="59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 and develop products that are superior to other products in the market;</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qualified scientific, medical, sales and marketing and commercial personnel;</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patent and/or other proprietary protection for our processes and product candidates;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collaborate with others in the development and commercialization of new products.</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Established competitors may invest heavily to quickly discover and develop novel compounds that could make our product candidates obsolete. In addition, any new product that competes with an approved product must demonstrate compelling advantages in efficacy, convenience, tolerability and safety, or some combination of these factors, in order to overcome price competition and to be commercially successful.</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expect AbbVie’s HCV treatment regimens containing any of our licensed protease inhibitors to continue to face intense competition from existing approved products in the HCV market. AbbVie’s HCV treatment regimens currently face competition in various world markets and subpopulations of HCV. The principal competitive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ind w:right="280"/>
        <w:spacing w:after="0" w:line="242" w:lineRule="auto"/>
        <w:rPr>
          <w:sz w:val="20"/>
          <w:szCs w:val="20"/>
          <w:color w:val="auto"/>
        </w:rPr>
      </w:pPr>
      <w:r>
        <w:rPr>
          <w:rFonts w:ascii="Arial" w:cs="Arial" w:eastAsia="Arial" w:hAnsi="Arial"/>
          <w:sz w:val="18"/>
          <w:szCs w:val="18"/>
          <w:color w:val="auto"/>
        </w:rPr>
        <w:t>treatments are Gilead’s Sovaldi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(sofosbuvir), Harvoni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 fixed-dose combination of sofosbuvir and ledipasir), Epclusa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 fixed dose combination of sofosbuvir and velpatasvir) and Vosevi™ (a triple combination therapy of sofosbuvir, velpatasvir and voxilaprevir approved by the FDA in July 2017 for specified sofosbuvir -treatment failures and NS5A-inhibitor treatment failures); Merck’s Zepatier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 fixed-dose combination of grazoprevir and elbasvir); with limited competition in certain sub-populations in specific geographies from Bristol-Myers Squibb’s Daklinza™ (daclatasvir) and daclatasvir in combination with asunaprevir; and Johnson &amp; Johnson’s Olysio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(simeprevir).</w:t>
      </w:r>
    </w:p>
    <w:p>
      <w:pPr>
        <w:spacing w:after="0" w:line="14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Competitive products in the form of other treatment methods or a vaccine for HCV may render AbbVie’s products obsolete or noncompetitive. AbbVie’s marketed HCV regimens that contain one of our collaboration’s protease inhibitors will face competition based on their safety and effectiveness, reimbursement coverage, price, patent position, marketing and sales capabilities, and other factors. If any of the products developed under our collaboration agreement with AbbVie face competition from generic products, the collaboration agreement provides that the royalty rate applicable to such product is reduced significantly by a specified percentage on a product-by-product, country-by-country basis. If AbbVie is not able to compete effectively against current and future competitors for AbbVie’s HCV products, our financial condition, operations and stock price will suffer.</w:t>
      </w:r>
    </w:p>
    <w:p>
      <w:pPr>
        <w:spacing w:after="0" w:line="16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also expect our product candidates in other disease areas to face intense and increasing competition as new products continue to enter the NASH and antiviral markets and advanced technologies become available. 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3 in NASH, namely Intercept, Genfit, Gilead, and Allergan (Tobira). In May 2016, the FDA granted conditional approval for Intercept’s FXR agonist (brand name Ocaliva</w:t>
      </w:r>
      <w:r>
        <w:rPr>
          <w:rFonts w:ascii="Arial" w:cs="Arial" w:eastAsia="Arial" w:hAnsi="Arial"/>
          <w:sz w:val="21"/>
          <w:szCs w:val="21"/>
          <w:color w:val="auto"/>
          <w:vertAlign w:val="superscript"/>
        </w:rPr>
        <w:t>®</w:t>
      </w:r>
      <w:r>
        <w:rPr>
          <w:rFonts w:ascii="Arial" w:cs="Arial" w:eastAsia="Arial" w:hAnsi="Arial"/>
          <w:sz w:val="16"/>
          <w:szCs w:val="16"/>
          <w:color w:val="auto"/>
        </w:rPr>
        <w:t>) for the treatment of primary biliary cholangitis (PBC) in combination with first line therapy UDCA in adults with an inadequate response to UDCA, or as monotherapy in adults unable to tolerate UDCA. In addition, a number of companies are in Phase 2 clinical trials for NASH or related conditions. These companies include Alberio, Arisaph, Astra-Zeneca, BMS, Boehringer Ingelheim, Conatus, Cirius, Galectin, Galmed, Gilead, GlaxoSmithKline, Immuron, Inventiva, Madrigal, Medicinova, Novartis, NGM, Novo Nordisk, Pfizer, Shire, and Viking. A significant number of other companies are conducting earlier clinical trials that may be applicable in NASH and other cholestatic diseases, including Bird Rock Bio, Arena Pharmaceuticals, Fast Forward Pharmaceuticals, Can-Fite Biopharma, Cymabay, Durect, Genkyotex, Ionis, and Islet. There are also additional companies conducting preclinical studies in these disease areas.</w:t>
      </w:r>
    </w:p>
    <w:p>
      <w:pPr>
        <w:spacing w:after="0" w:line="17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Gilead, HEC, Ionis, Johnson &amp; Johnson, Maxwell, Replicor, Roche and Spring Bank have Phase 2 programs in progress, with many of these companies conducting earlier stage programs as well. In addition, a number of companies have Phase 1 or earlier stage HBV programs, including Aicuris, Alnylam, Altimmune, Assembly, Enyo and Transgene.</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new antiviral treatments for RSV infection in adult and pediatric settings. Ark Bioscienes, Johnson &amp; Johnson, Gilead and ReViral have compounds in Phase 2 development, as does Ablynx with a potential therapeutic antibody. Earlier stage, small molecule programs have also been reported by Medivir and Pulmocide. A prophylactic, monoclonal-antibody-based treatment from MedImmune, which is commercialized by AbbVie outside of the U.S., is approved for infants considered at high risk for RSV infection; however studies have found that most young children affected by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6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part of our business strategy, we actively seek patent protection for our product candidates in the United States and certain major foreign jurisdictions and file additional patent applications, when appropriate, to cover improvements to our compounds. We also rely on trade secrets, internal know-how, technological innovations and agreements with third parties to develop, maintain and protect our competitive position. Our ability to be competitive will depend on the success of this strategy.</w:t>
      </w:r>
    </w:p>
    <w:p>
      <w:pPr>
        <w:spacing w:after="0" w:line="1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Each of our major programs, including HCV, NASH, PBC, HBV and RSV, typically has several issued patents and pending patent claims in the program area containing claims to compounds, methods of use and processes for synthesis. However, only a few of the issued patents and/or pending patent applications cover the lead product candidate in a given program.</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NASH, HBV and RSV Programs. </w:t>
      </w:r>
      <w:r>
        <w:rPr>
          <w:rFonts w:ascii="Arial" w:cs="Arial" w:eastAsia="Arial" w:hAnsi="Arial"/>
          <w:sz w:val="18"/>
          <w:szCs w:val="18"/>
          <w:color w:val="auto"/>
        </w:rPr>
        <w:t>Our patent portfolio directed to FXR agonists for NASH, PBC and fibrosis, core inhibitors for HBV and N-protein inhibitors</w:t>
      </w:r>
      <w:r>
        <w:rPr>
          <w:rFonts w:ascii="Arial" w:cs="Arial" w:eastAsia="Arial" w:hAnsi="Arial"/>
          <w:sz w:val="18"/>
          <w:szCs w:val="18"/>
          <w:i w:val="1"/>
          <w:iCs w:val="1"/>
          <w:color w:val="auto"/>
        </w:rPr>
        <w:t xml:space="preserve"> </w:t>
      </w:r>
      <w:r>
        <w:rPr>
          <w:rFonts w:ascii="Arial" w:cs="Arial" w:eastAsia="Arial" w:hAnsi="Arial"/>
          <w:sz w:val="18"/>
          <w:szCs w:val="18"/>
          <w:color w:val="auto"/>
        </w:rPr>
        <w:t>for RSV includes pending U.S. patent applications as well as numerous foreign patent applications.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HCV NS3 Protease Inhibitor Program. </w:t>
      </w:r>
      <w:r>
        <w:rPr>
          <w:rFonts w:ascii="Arial" w:cs="Arial" w:eastAsia="Arial" w:hAnsi="Arial"/>
          <w:sz w:val="17"/>
          <w:szCs w:val="17"/>
          <w:color w:val="auto"/>
        </w:rPr>
        <w:t>The patent portfolio directed to the HCV protease inhibitor program with AbbVie includes U.S. patents and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patents, as well as non-provisional applications. The issued U.S. composition-of-matter patent covering paritaprevir is expected to expire in 2031. The issued U.S. composition-of-matter patent covering glecaprevir is expected to expire in 2032. AbbVie is a joint owner of a number of these patent applications. AbbVie also has rights to some or all of these patents and patent applications pursuant to its collaboration agreement with us.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obtain patents for certain compounds many years before we obtain marketing approval for products containing such compounds. Because patents have a limited life, which usually begins to run well before the first commercial sale of the related product, the commercial value of the patent may be limited. However, we may be able to apply for patent term extensions in the United States and in a number of European countries, compensating in part for delays in obtaining marketing approval, but we cannot be certain we will obtain such extensions.</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It is also very important that we do not infringe patents or other proprietary rights of others.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were not able to obtain a required license or develop alternative technologies, we may be unable to develop or commercialize some or all of our products, and our business could be adversely affected.</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we jointly own patent applications, together with AbbVie, that claim paritaprevir and glecaprevir as a chemical entity. However, there is no guarantee that such applications will issue. Further, the existence of issued patents does not guarantee our right to practice the patented technology or commercialize the patented product. Third parties may have already or could obtain rights to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19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Much of our scientific capabilities depend upon the knowledge, experience and skills of key scientific and technical personnel. To protect our rights to our proprietary know-how and technology, we endeavor to require all employees, as well as our consultants and advisors, when feasible, to enter into confidentiality agreements that require disclosure and assignment to us of ideas, developments, discoveries and inventions made by these employees, consultants and advisors in the course of their service to us.</w:t>
      </w:r>
    </w:p>
    <w:p>
      <w:pPr>
        <w:spacing w:after="0" w:line="1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may be unable to obtain, maintain and protect the intellectual property rights necessary to conduct our business, and we may be subject to claims that we infringe or otherwise violate the intellectual property rights of others,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which could materially harm our business. For more information, see “Risk Factors—Risks Related to Our Intellectual Property Rights.”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develop. Any pharmaceutical candidate that we develop must be approved by the FDA before it may be legally marketed in the United States and by the appropriate foreign regulatory agency before it may be legally marketed in foreign countries.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Drug Development Process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FDA sanctions could include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17" w:lineRule="exact"/>
        <w:rPr>
          <w:sz w:val="20"/>
          <w:szCs w:val="20"/>
          <w:color w:val="auto"/>
        </w:rPr>
      </w:pPr>
    </w:p>
    <w:p>
      <w:pPr>
        <w:ind w:left="1200" w:right="160" w:hanging="599"/>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according to Good Laboratory Practice, or GLPs, or other applicable regulations;</w:t>
      </w:r>
    </w:p>
    <w:p>
      <w:pPr>
        <w:spacing w:after="0" w:line="61" w:lineRule="exact"/>
        <w:rPr>
          <w:rFonts w:ascii="Arial" w:cs="Arial" w:eastAsia="Arial" w:hAnsi="Arial"/>
          <w:sz w:val="18"/>
          <w:szCs w:val="18"/>
          <w:color w:val="auto"/>
        </w:rPr>
      </w:pPr>
    </w:p>
    <w:p>
      <w:pPr>
        <w:ind w:left="1200" w:right="280" w:hanging="599"/>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an IND, which must become effective before human clinical trials may begin;</w:t>
      </w:r>
    </w:p>
    <w:p>
      <w:pPr>
        <w:spacing w:after="0" w:line="61" w:lineRule="exact"/>
        <w:rPr>
          <w:rFonts w:ascii="Arial" w:cs="Arial" w:eastAsia="Arial" w:hAnsi="Arial"/>
          <w:sz w:val="18"/>
          <w:szCs w:val="18"/>
          <w:color w:val="auto"/>
        </w:rPr>
      </w:pPr>
    </w:p>
    <w:p>
      <w:pPr>
        <w:ind w:left="1200" w:right="580" w:hanging="599"/>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current Good Clinical Practice, or GCPs, to establish the safety and efficacy of the proposed drug for its intended use;</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an NDA, for a new drug product;</w:t>
      </w:r>
    </w:p>
    <w:p>
      <w:pPr>
        <w:spacing w:after="0" w:line="116" w:lineRule="exact"/>
        <w:rPr>
          <w:rFonts w:ascii="Arial" w:cs="Arial" w:eastAsia="Arial" w:hAnsi="Arial"/>
          <w:sz w:val="18"/>
          <w:szCs w:val="18"/>
          <w:color w:val="auto"/>
        </w:rPr>
      </w:pPr>
    </w:p>
    <w:p>
      <w:pPr>
        <w:ind w:left="1200" w:hanging="599"/>
        <w:spacing w:after="0" w:line="263"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is to be produced to assess compliance with the FDA’s current Good Manufacturing Practice standards, or cGMP, to assure that the facilities, methods and controls are adequate to preserve the drug’s identity, strength, quality and purity;</w:t>
      </w:r>
    </w:p>
    <w:p>
      <w:pPr>
        <w:spacing w:after="0" w:line="74" w:lineRule="exact"/>
        <w:rPr>
          <w:rFonts w:ascii="Arial" w:cs="Arial" w:eastAsia="Arial" w:hAnsi="Arial"/>
          <w:sz w:val="18"/>
          <w:szCs w:val="18"/>
          <w:color w:val="auto"/>
        </w:rPr>
      </w:pPr>
    </w:p>
    <w:p>
      <w:pPr>
        <w:ind w:left="1200" w:hanging="59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NDA; and</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lengthy process of seeking required approvals, which can often take anywhere from six months from the time the NDA is filed if there is a priority review for a breakthrough therapy to twelve months for a standard review, and the continuing need for compliance with applicable statutes and regulations require the expenditure of substantial resources. There can be no certainty that approvals will be granted.</w:t>
      </w:r>
    </w:p>
    <w:p>
      <w:pPr>
        <w:spacing w:after="0" w:line="18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Before testing any compounds with potential therapeutic value in humans, the product candidate enters the preclinical testing stage. Preclinical tests include laboratory evaluations of product chemistry, toxicity and formulation, as well as animal studies to assess the potential safety and activity of the product candidate. The conduct of the preclinical tests must comply with GLP and other federal regulations and requirements. The sponsor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right="40"/>
        <w:spacing w:after="0" w:line="255" w:lineRule="auto"/>
        <w:rPr>
          <w:sz w:val="20"/>
          <w:szCs w:val="20"/>
          <w:color w:val="auto"/>
        </w:rPr>
      </w:pPr>
      <w:r>
        <w:rPr>
          <w:rFonts w:ascii="Arial" w:cs="Arial" w:eastAsia="Arial" w:hAnsi="Arial"/>
          <w:sz w:val="18"/>
          <w:szCs w:val="18"/>
          <w:color w:val="auto"/>
        </w:rPr>
        <w:t>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clinical trial on a clinical hold within that 30-day time period. In such a case, the IND sponsor and the FDA must resolve any outstanding concerns before the clinical trial can begin. The FDA may also impose clinical holds on a drug at any time before or during clinical trials due to safety concerns or non-compliance. Accordingly, we cannot assure that submission of an IND will result in the FDA allowing clinical trials to begin, or that, once begun, issues will not arise that result in suspension or termination of such trial.</w:t>
      </w:r>
    </w:p>
    <w:p>
      <w:pPr>
        <w:spacing w:after="0" w:line="19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Clinical trials involve the administration of the product candidate to healthy volunteers or patients having the disease being studied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GCP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prior to approval are typically conducted in three sequential phases that may overlap or be combined:</w:t>
      </w:r>
    </w:p>
    <w:p>
      <w:pPr>
        <w:spacing w:after="0" w:line="117" w:lineRule="exact"/>
        <w:rPr>
          <w:sz w:val="20"/>
          <w:szCs w:val="20"/>
          <w:color w:val="auto"/>
        </w:rPr>
      </w:pPr>
    </w:p>
    <w:p>
      <w:pPr>
        <w:ind w:left="1200" w:hanging="599"/>
        <w:spacing w:after="0" w:line="311" w:lineRule="auto"/>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Phase 1</w:t>
      </w:r>
      <w:r>
        <w:rPr>
          <w:rFonts w:ascii="Arial" w:cs="Arial" w:eastAsia="Arial" w:hAnsi="Arial"/>
          <w:sz w:val="16"/>
          <w:szCs w:val="16"/>
          <w:color w:val="auto"/>
        </w:rPr>
        <w:t>. The drug is initially introduced into healthy humans and tested for safety, dosage tolerance, absorption, metabolism, distribution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excretion. In the case of some products for severe or life-threatening diseases, especially when the product may be too inherently toxic to ethically administer to healthy volunteers, the initial human testing is often conducted only in patients having the specific disease.</w:t>
      </w:r>
    </w:p>
    <w:p>
      <w:pPr>
        <w:spacing w:after="0" w:line="40" w:lineRule="exact"/>
        <w:rPr>
          <w:rFonts w:ascii="Arial" w:cs="Arial" w:eastAsia="Arial" w:hAnsi="Arial"/>
          <w:sz w:val="16"/>
          <w:szCs w:val="16"/>
          <w:color w:val="auto"/>
        </w:rPr>
      </w:pPr>
    </w:p>
    <w:p>
      <w:pPr>
        <w:ind w:left="1200" w:right="140" w:hanging="599"/>
        <w:spacing w:after="0" w:line="263"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drug is evaluated in a limited patient population to identify possible adverse effects and safety risks, to preliminarily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efficacy of the product for specific targeted diseases and to determine dosage tolerance, optimal dosage and dosing schedule for patients having the specific disease.</w:t>
      </w:r>
    </w:p>
    <w:p>
      <w:pPr>
        <w:spacing w:after="0" w:line="74" w:lineRule="exact"/>
        <w:rPr>
          <w:rFonts w:ascii="Arial" w:cs="Arial" w:eastAsia="Arial" w:hAnsi="Arial"/>
          <w:sz w:val="18"/>
          <w:szCs w:val="18"/>
          <w:color w:val="auto"/>
        </w:rPr>
      </w:pPr>
    </w:p>
    <w:p>
      <w:pPr>
        <w:ind w:left="1200" w:right="100" w:hanging="599"/>
        <w:spacing w:after="0" w:line="259"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undertaken to further evaluate dosage, clinical efficacy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which usually involve more patients than earlier trials, are intended to establish the overall risk/benefit ratio of the product and provide an adequate basis for product labeling. Generally, at least two adequate and well-controlled Phase 3 clinical trials are required by the FDA for approval of an NDA.</w:t>
      </w:r>
    </w:p>
    <w:p>
      <w:pPr>
        <w:spacing w:after="0" w:line="186" w:lineRule="exact"/>
        <w:rPr>
          <w:sz w:val="20"/>
          <w:szCs w:val="20"/>
          <w:color w:val="auto"/>
        </w:rPr>
      </w:pPr>
    </w:p>
    <w:p>
      <w:pPr>
        <w:ind w:right="100"/>
        <w:spacing w:after="0" w:line="307" w:lineRule="auto"/>
        <w:rPr>
          <w:sz w:val="20"/>
          <w:szCs w:val="20"/>
          <w:color w:val="auto"/>
        </w:rPr>
      </w:pPr>
      <w:r>
        <w:rPr>
          <w:rFonts w:ascii="Arial" w:cs="Arial" w:eastAsia="Arial" w:hAnsi="Arial"/>
          <w:sz w:val="17"/>
          <w:szCs w:val="17"/>
          <w:color w:val="auto"/>
        </w:rPr>
        <w:t>Post-approval studies, or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14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by the investigators for serious and unexpected adverse events or any finding from tests in laboratory animals that suggests a significant risk for human patients. Phase 1, Phase 2 and Phase 3 clinical trials may not be completed successfully within any specified period, if at all. The FDA, or the sponsor or its data safety monitoring board, may suspend a clinical trial at any time on various 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63"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Concurrent with clinical trials, companies usually complete additional animal studies and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candidate and, among other things,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0" w:name="page21"/>
    <w:bookmarkEnd w:id="20"/>
    <w:p>
      <w:pPr>
        <w:ind w:right="240"/>
        <w:spacing w:after="0" w:line="341" w:lineRule="auto"/>
        <w:rPr>
          <w:sz w:val="20"/>
          <w:szCs w:val="20"/>
          <w:color w:val="auto"/>
        </w:rPr>
      </w:pPr>
      <w:r>
        <w:rPr>
          <w:rFonts w:ascii="Arial" w:cs="Arial" w:eastAsia="Arial" w:hAnsi="Arial"/>
          <w:sz w:val="16"/>
          <w:szCs w:val="16"/>
          <w:color w:val="auto"/>
        </w:rPr>
        <w:t>must include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by the applicant; a waiver of such fees may be obtained under certain limited circumstances.</w:t>
      </w:r>
    </w:p>
    <w:p>
      <w:pPr>
        <w:spacing w:after="0" w:line="18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twelve months in which to complete its initial review of a standard NDA and respond to the applicant, and six months for a priority NDA. The FDA does not always meet its PDUFA goal dates for standard and priority NDAs.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In addition to its own review,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approval process, the FDA also will determine whether a Risk Evaluation and Mitigation Strategy, or REMS, is necessary to assure the safe use of the drug. If the FDA concludes that a REMS is needed, the sponsor of the NDA must submit a proposed REMS; the FDA will not approve the NDA without a REMS, if required.</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Before approving an NDA, the FDA will inspect the facilities at which the product is to be manufactured. The FDA will not approve the product unless it determines that the manufacturing processes and facilities are in compliance with cGMP requirements and are adequate to assure consistent production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w:t>
      </w:r>
    </w:p>
    <w:p>
      <w:pPr>
        <w:spacing w:after="0" w:line="19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may be susceptible to varying interpretations, which could delay, limit or prevent regulatory approval.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1" w:name="page22"/>
    <w:bookmarkEnd w:id="21"/>
    <w:p>
      <w:pPr>
        <w:ind w:right="80"/>
        <w:spacing w:after="0" w:line="301" w:lineRule="auto"/>
        <w:rPr>
          <w:sz w:val="20"/>
          <w:szCs w:val="20"/>
          <w:color w:val="auto"/>
        </w:rPr>
      </w:pPr>
      <w:r>
        <w:rPr>
          <w:rFonts w:ascii="Arial" w:cs="Arial" w:eastAsia="Arial" w:hAnsi="Arial"/>
          <w:sz w:val="16"/>
          <w:szCs w:val="16"/>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product’s safety and effectiveness and may require testing and surveillance programs to monitor the safety of approved products that have been commercialized.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FDA has four programs intended to expedite the development and review of new drugs addressing unmet medical needs or treating serious or life-threatening conditions: fast track, breakthrough therapy, priority review, and accelerated approval.</w:t>
      </w:r>
    </w:p>
    <w:p>
      <w:pPr>
        <w:spacing w:after="0" w:line="17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FDA “fast track” program is intended to expedite or facilitate the process for reviewing new products to treat serious or life-threatening conditions and address unmet medical needs. Fast track designation applies to the combination of the product and the specific indication for which it is being studied. Under the fast track program, the sponsor will have more frequent interactions with the FDA during drug development, and may also submit sections of the NDA on a rolling basis to the FDA for review before submitting the complete application. Fast track does not guarantee that a product will be reviewed more quickly or receive FDA approval.</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FDA “breakthrough therapy” program is intended to expedite the development and review of drugs for serious or life-threatening conditions. Preliminary clinical evidence must show that the drug may have substantial improvement over existing therapies on one or more clinically significant endpoints. Although the drug does not have to address an unmet medical need, designation of breakthrough therapy status carries all the “fast track” program features.</w:t>
      </w:r>
    </w:p>
    <w:p>
      <w:pPr>
        <w:spacing w:after="0" w:line="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Additionally, the breakthrough therapy program entitles the sponsor to earlier and more frequent interaction with the FDA review team regarding development of nonclinical and clinical data, and allows the FDA to offer product development and regulatory advice necessary to shorten the time for product approval. The breakthrough therapy status does not guarantee a quicker development or review of the product, and does not ensure FDA approval.</w:t>
      </w:r>
    </w:p>
    <w:p>
      <w:pPr>
        <w:spacing w:after="0" w:line="15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FDA also has a “priority review” program for products offering significant improvement in the treatment, diagnosis or prevention of a disease. The goal of the priority review program is to shorten the review period to six months from the ten months required for standard review. Any drug with breakthrough therapy, accelerated approval designation, or fast track can be granted priority review if it meets the necessary criteria.</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FDA “accelerated approval” program is intended to expedite the development and review of products with the potential to treat serious or life-threatening illnesses and provide meaningful therapeutic benefit over existing treatments. The program allows approval of a product on the basis of adequate and well-controlled clinical studies establishing that the product has an effect on a surrogate endpoint that is reasonably likely to predict a clinical benefit, or on the basis of an effect on a clinical endpoint that can be measured earlier than survival or irreversible morbidity. As a condition of approval, the FDA generally requires that a sponsor of the product perform adequate and well-controlled post-marketing clinical studies to establish safety and efficacy for the approved indication. Failure to conduct such studies or failure of the studies to establish required safety and efficacy may result in revocation of approval. The FDA also requires, as a condition for accelerated approval, pre-approval of promotional materials, which could adversely impact the timing of the commercial launch or subsequent marketing of the product.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Any drug products for which we receive FDA approvals are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product sampling and distribution requirements, complying with certain electronic records and signature requirements and complying with FDA promotion and advertising requirements. These promotion and advertising requirements include, among others, standards for direct-to-consumer advertising, prohibitions against promoting drugs for uses or in patient populations that are not described in the drug’s approved labeling (known as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ind w:right="20"/>
        <w:spacing w:after="0" w:line="279" w:lineRule="auto"/>
        <w:rPr>
          <w:sz w:val="20"/>
          <w:szCs w:val="20"/>
          <w:color w:val="auto"/>
        </w:rPr>
      </w:pPr>
      <w:r>
        <w:rPr>
          <w:rFonts w:ascii="Arial" w:cs="Arial" w:eastAsia="Arial" w:hAnsi="Arial"/>
          <w:sz w:val="17"/>
          <w:szCs w:val="17"/>
          <w:color w:val="auto"/>
        </w:rPr>
        <w:t>“off-label use”), rules for conducting industry-sponsored scientific and educational activities and promotional activities involving the internet. Failure to comply with FDA requirements can have negative consequences, including the immediate discontinuation of noncomplying materials,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and expect to continue to rely, on third parties for the production of clinical and commercial quantities of our product candidates. Manufacturers of our product candidates are required to comply with applicable FDA manufacturing requirements contained in the FDA’s cGMP regulations. These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These entities are further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serious and extensive restrictions on a product, manufacturer or holder of an approved NDA. These restrictions may include suspension of a product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166" w:lineRule="exact"/>
        <w:rPr>
          <w:sz w:val="20"/>
          <w:szCs w:val="20"/>
          <w:color w:val="auto"/>
        </w:rPr>
      </w:pPr>
    </w:p>
    <w:p>
      <w:pPr>
        <w:ind w:right="100"/>
        <w:spacing w:after="0" w:line="307" w:lineRule="auto"/>
        <w:rPr>
          <w:sz w:val="20"/>
          <w:szCs w:val="20"/>
          <w:color w:val="auto"/>
        </w:rPr>
      </w:pPr>
      <w:r>
        <w:rPr>
          <w:rFonts w:ascii="Arial" w:cs="Arial" w:eastAsia="Arial" w:hAnsi="Arial"/>
          <w:sz w:val="17"/>
          <w:szCs w:val="17"/>
          <w:color w:val="auto"/>
        </w:rPr>
        <w:t>The FDA also may require post-marketing testing, known as Phase 4 testing, as well as risk minimization action plans and surveillance to monitor the effects of an approved product or place conditions on an approval that could otherwise restrict the distribution or use of the product.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Price Competition and Patent Term Restoration Act of 1984</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federal regulatory review preceding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within 60 days of approval,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NDA. However, there is no guarantee that any such application will be approved.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Food, Drug and Cosmetic Act (“FDCA”)</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exclusivity provisions under the FDCA, which are independent of patent status and any patent related extensions,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3" w:name="page24"/>
    <w:bookmarkEnd w:id="23"/>
    <w:p>
      <w:pPr>
        <w:ind w:right="380"/>
        <w:spacing w:after="0" w:line="290" w:lineRule="auto"/>
        <w:rPr>
          <w:sz w:val="20"/>
          <w:szCs w:val="20"/>
          <w:color w:val="auto"/>
        </w:rPr>
      </w:pPr>
      <w:r>
        <w:rPr>
          <w:rFonts w:ascii="Arial" w:cs="Arial" w:eastAsia="Arial" w:hAnsi="Arial"/>
          <w:sz w:val="16"/>
          <w:szCs w:val="16"/>
          <w:color w:val="auto"/>
        </w:rPr>
        <w:t>approved any other new drug containing the same active moiety, which is the molecule or functional group of a molecule responsible for the action of the drug substance. During the exclusivity period, the FDA may not accept for review an abbreviated new drug application, or ANDA, or a so-called</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the Centers for Medicare and Medicaid Services (formerly the Health Care Financing Administration), other divisions of the United States Department of Health and Human Services (</w:t>
      </w:r>
      <w:r>
        <w:rPr>
          <w:rFonts w:ascii="Arial" w:cs="Arial" w:eastAsia="Arial" w:hAnsi="Arial"/>
          <w:sz w:val="16"/>
          <w:szCs w:val="16"/>
          <w:i w:val="1"/>
          <w:iCs w:val="1"/>
          <w:color w:val="auto"/>
        </w:rPr>
        <w:t>e.g.</w:t>
      </w:r>
      <w:r>
        <w:rPr>
          <w:rFonts w:ascii="Arial" w:cs="Arial" w:eastAsia="Arial" w:hAnsi="Arial"/>
          <w:sz w:val="16"/>
          <w:szCs w:val="16"/>
          <w:color w:val="auto"/>
        </w:rPr>
        <w:t>, the Office of Inspector General), the United States Department of Justice and individual United States Attorney offices within the Department of Justice, state attorney generals and state and local governments. For example, sales, marketing and scientific/educational grant programs must comply with the anti-fraud and abuse provisions of the Social Security Act, the False Claims Act, the privacy and security provisions of the Health Insurance Portability and Accountability Act, or HIPAA,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Under the Veterans Health Care Act, or VHCA, drug companies are required to offer certain pharmaceutical products at a reduced price to a number of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w:t>
      </w:r>
    </w:p>
    <w:p>
      <w:pPr>
        <w:spacing w:after="0" w:line="16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240"/>
        <w:spacing w:after="0" w:line="296"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trials may proceed.</w:t>
      </w:r>
    </w:p>
    <w:p>
      <w:pPr>
        <w:spacing w:after="0" w:line="16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International Conference on Harmonisation (ICH) / WHO Good Clinical Practice standards and the applicable regulatory requirements and the ethical principles that have their origin in the Declaration of Helsinki.</w:t>
      </w:r>
    </w:p>
    <w:p>
      <w:pPr>
        <w:spacing w:after="0" w:line="1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must submit a marketing authorization application to the European Medicines Agency, or the EMA. The application used to file an NDA in the United States is similar to that required in the European Union, with the exception of, among other things, country-specific document requirements.</w:t>
      </w:r>
    </w:p>
    <w:p>
      <w:pPr>
        <w:spacing w:after="0" w:line="183"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2003, the United States government enacted legislation providing a partial prescription drug benefit for Medicare recipients,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prescription drug plans operating pursuant to this legislation. These plans will likely negotiate discounted prices for our products. Federal, state and local governments in the United States continue to consider legislation to limit the growth of healthcare costs, including the cost of prescription drugs. Future legislation could limit payments for pharmaceuticals such as the product candidates that we are developing.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right="40"/>
        <w:spacing w:after="0" w:line="341"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collectively known as the Affordable Care Act, substantially changed the way healthcare is financed by both governmental and private insurers, and significantly impacted the pharmaceutical industry.</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comprehensive overhaul has extended coverage to approximately 20 million previously uninsured Americans. Since its adoption, the Affordable Care Act contains a number of provisions, including those governing enrollment in federal healthcare programs, reimbursement changes and fraud and abuse, which have affected existing government healthcare programs and have resulted in the development of new programs, including Medicare payment for performance initiatives and improvements to the physician quality reporting system and feedback program. Additionally, the Affordable Care Act, as limited by the United States Supreme Court’s decision in June 2012:</w:t>
      </w:r>
    </w:p>
    <w:p>
      <w:pPr>
        <w:spacing w:after="0" w:line="83" w:lineRule="exact"/>
        <w:rPr>
          <w:sz w:val="20"/>
          <w:szCs w:val="20"/>
          <w:color w:val="auto"/>
        </w:rPr>
      </w:pPr>
    </w:p>
    <w:p>
      <w:pPr>
        <w:ind w:left="1200" w:hanging="599"/>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the minimum level of Medicaid rebates payable by manufacturers of brand-name drugs from 15.1% to 23.1%;</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w:t>
      </w:r>
    </w:p>
    <w:p>
      <w:pPr>
        <w:spacing w:after="0" w:line="116" w:lineRule="exact"/>
        <w:rPr>
          <w:rFonts w:ascii="Arial" w:cs="Arial" w:eastAsia="Arial" w:hAnsi="Arial"/>
          <w:sz w:val="18"/>
          <w:szCs w:val="18"/>
          <w:color w:val="auto"/>
        </w:rPr>
      </w:pPr>
    </w:p>
    <w:p>
      <w:pPr>
        <w:ind w:left="1200" w:right="20" w:hanging="599"/>
        <w:spacing w:after="0" w:line="263"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 50%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74" w:lineRule="exact"/>
        <w:rPr>
          <w:rFonts w:ascii="Arial" w:cs="Arial" w:eastAsia="Arial" w:hAnsi="Arial"/>
          <w:sz w:val="18"/>
          <w:szCs w:val="18"/>
          <w:color w:val="auto"/>
        </w:rPr>
      </w:pPr>
    </w:p>
    <w:p>
      <w:pPr>
        <w:ind w:left="1200" w:right="20" w:hanging="599"/>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imposes a non-deductible annual fee on pharmaceutical manufacturers or importers who sell “branded prescription drugs” to specified federal government programs.</w:t>
      </w:r>
    </w:p>
    <w:p>
      <w:pPr>
        <w:spacing w:after="0" w:line="1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There have been proposals by President Trump and the Republican majorities in both houses of the U.S. Congress to repeal or replace all or portions of the Affordable Care Act but to date no such legislation has been agreed upon. At this time, it remains unclear what legislation, if any, to repeal or replace the Affordable Care Act will become law, or what impact any such legislation may have on our existing product candidates, any of our future product candidates or AbbVie’s commercialization of its HCV regimens. The full impact that the Affordable Care Act and other new laws will have on our business remains uncertain.</w:t>
      </w:r>
    </w:p>
    <w:p>
      <w:pPr>
        <w:spacing w:after="0" w:line="19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Different pricing and reimbursement schemes exist in other countries. In the European Union,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marketability of any drug candidates for which we receive regulatory approval for commercial sale may suffer if the government and third-party payers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do not have our own manufacturing capabilities, except with respect to limited amounts of active pharmaceutical ingredients needed for preclinical development. In the past, we have relied on third-party manufacturers for supply of active pharmaceutical ingredients, and we expect that in the future we will rely on such manufacturers for the supply of ingredients that will be used in clinical trials of our product candidates that we are developing ourselves. Manufacturing for paritaprevir and glecaprevir are conducted by AbbVie. We do not expect to establish our own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right="80"/>
        <w:spacing w:after="0" w:line="263" w:lineRule="auto"/>
        <w:rPr>
          <w:sz w:val="20"/>
          <w:szCs w:val="20"/>
          <w:color w:val="auto"/>
        </w:rPr>
      </w:pPr>
      <w:r>
        <w:rPr>
          <w:rFonts w:ascii="Arial" w:cs="Arial" w:eastAsia="Arial" w:hAnsi="Arial"/>
          <w:sz w:val="18"/>
          <w:szCs w:val="18"/>
          <w:color w:val="auto"/>
        </w:rPr>
        <w:t>manufacturing facilities and we will continue to rely on third-party manufacturers to produce commercial quantities of any product candidates that we commercialize ourselves. We believe that all of the materials required for the manufacture of those product candidates could be obtained from more than one source.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currently do not have any commercialization or sales and marketing capabilities, and currently have no fixed plans to invest in or build such capabilities internally. We have partnered our products for HCV with AbbVie. We may also partner or collaborate with, or license commercial rights to, other larger pharmaceutical or biopharmaceutical companies to support the development of one or more of our wholly owned product candidates through late-stage clinical development and, if successful, commercialization. However, we still retain all commercial rights to our independent programs and we will continue to evaluate our alternatives for commercializing them once they are more advanced in their clinical development.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September 30, 2017, we had 89 full-time employees, 53 of whom hold Ph.D. or M.D. degrees. None of our employees are subject to a collective bargaining agreement or represented by a trade or labor union. We consider our relations with our employees to be good.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Internet website address is http://www.enanta.com. Through our website, we make available, free of charge,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it to, the Securities and Exchange Commission, or SEC. These SEC reports can be accessed through the “Investors” section of our website. The information found on our website is not part of this or any other report we file with or furnish to the SEC.</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Investors may read and copy any materials we file with the SEC at the SEC’s Public Reference Room at 100 F Street, NE, Washington, DC 20549. You may obtain information on the operation of the Public Reference Room by calling the SEC at 1-800-SEC-0330. The SEC also maintains an Internet website that contains reports, proxy and information statements, and other information regarding Enanta Pharmaceuticals, Inc. and other issuers that file electronically with the SEC. The SEC’s Internet website address is http://www.sec.gov.</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7" w:name="page28"/>
    <w:bookmarkEnd w:id="27"/>
    <w:p>
      <w:pPr>
        <w:spacing w:after="0"/>
        <w:tabs>
          <w:tab w:leader="none" w:pos="14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development and commercialization efforts of AbbVie for combination therapies incorporating our protease inhibitors paritaprevir or glecaprevir for the treatment of HCV. AbbVie may act in its best interest rather than in our best interest, which could adversely affect our business.</w:t>
      </w:r>
    </w:p>
    <w:p>
      <w:pPr>
        <w:spacing w:after="0" w:line="7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rely on AbbVie to fund and conduct the clinical development and commercialization of regimens containing paritaprevir or glecaprevir (our second protease inhibitor, which is one of the two DAAs in AbbVie’s MAVYRET/MAVIRET treatment), over which we have granted AbbVie complete control. Our ability to generate significant revenue in the near term will depend primarily on the success of AbbVie’s continued efforts to commercialize its paritaprevir-containing regimens in markets worldwide, as well as the successful marketing launch and commercialization by AbbVie of MAVYRET/MAVIRET. Such successes are subject to significant uncertainty, and we have no control over the resources, time and effort that AbbVie may devote to its regimens containing paritaprevir or glecaprevir. Any of several events or factors could have a material adverse effect on our ability to generate revenue from AbbVie’s commercialization of paritaprevir or glecaprevir in combination therapies. For example, AbbVie:</w:t>
      </w:r>
    </w:p>
    <w:p>
      <w:pPr>
        <w:spacing w:after="0" w:line="68" w:lineRule="exact"/>
        <w:rPr>
          <w:sz w:val="20"/>
          <w:szCs w:val="20"/>
          <w:color w:val="auto"/>
        </w:rPr>
      </w:pPr>
    </w:p>
    <w:p>
      <w:pPr>
        <w:ind w:left="1200" w:right="880" w:hanging="599"/>
        <w:spacing w:after="0" w:line="307"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may not achieve satisfactory levels of market acceptance and reimbursement by physicians, patients and third-party payers for the MAVYRET/MAVIRET regimen in the various markets of the world where it is being introduced and sold by AbbVie;</w:t>
      </w:r>
    </w:p>
    <w:p>
      <w:pPr>
        <w:spacing w:after="0" w:line="39" w:lineRule="exact"/>
        <w:rPr>
          <w:rFonts w:ascii="Arial" w:cs="Arial" w:eastAsia="Arial" w:hAnsi="Arial"/>
          <w:sz w:val="17"/>
          <w:szCs w:val="17"/>
          <w:color w:val="auto"/>
        </w:rPr>
      </w:pPr>
    </w:p>
    <w:p>
      <w:pPr>
        <w:ind w:left="1200" w:hanging="599"/>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w:t>
      </w:r>
    </w:p>
    <w:p>
      <w:pPr>
        <w:spacing w:after="0" w:line="116" w:lineRule="exact"/>
        <w:rPr>
          <w:rFonts w:ascii="Arial" w:cs="Arial" w:eastAsia="Arial" w:hAnsi="Arial"/>
          <w:sz w:val="18"/>
          <w:szCs w:val="18"/>
          <w:color w:val="auto"/>
        </w:rPr>
      </w:pPr>
    </w:p>
    <w:p>
      <w:pPr>
        <w:ind w:left="1200" w:right="1100" w:hanging="599"/>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experience different competitive challenges and market opportunity for its paritaprevir-containing regimens as it begins to commercialize its MAVYRET/MAVIRET HCV regimen containing glecaprevir;</w:t>
      </w:r>
    </w:p>
    <w:p>
      <w:pPr>
        <w:spacing w:after="0" w:line="61" w:lineRule="exact"/>
        <w:rPr>
          <w:rFonts w:ascii="Arial" w:cs="Arial" w:eastAsia="Arial" w:hAnsi="Arial"/>
          <w:sz w:val="18"/>
          <w:szCs w:val="18"/>
          <w:color w:val="auto"/>
        </w:rPr>
      </w:pPr>
    </w:p>
    <w:p>
      <w:pPr>
        <w:ind w:left="1200" w:right="320" w:hanging="599"/>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regimens containing paritaprevir or glecaprevir;</w:t>
      </w:r>
    </w:p>
    <w:p>
      <w:pPr>
        <w:spacing w:after="0" w:line="61" w:lineRule="exact"/>
        <w:rPr>
          <w:rFonts w:ascii="Arial" w:cs="Arial" w:eastAsia="Arial" w:hAnsi="Arial"/>
          <w:sz w:val="18"/>
          <w:szCs w:val="18"/>
          <w:color w:val="auto"/>
        </w:rPr>
      </w:pPr>
    </w:p>
    <w:p>
      <w:pPr>
        <w:ind w:left="1200" w:right="460" w:hanging="599"/>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foreign regulatory agencies and all commercially necessary reimbursement approvals;</w:t>
      </w:r>
    </w:p>
    <w:p>
      <w:pPr>
        <w:spacing w:after="0" w:line="61" w:lineRule="exact"/>
        <w:rPr>
          <w:rFonts w:ascii="Arial" w:cs="Arial" w:eastAsia="Arial" w:hAnsi="Arial"/>
          <w:sz w:val="18"/>
          <w:szCs w:val="18"/>
          <w:color w:val="auto"/>
        </w:rPr>
      </w:pPr>
    </w:p>
    <w:p>
      <w:pPr>
        <w:ind w:left="1200" w:right="20" w:hanging="599"/>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 and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left="1200" w:right="540" w:hanging="599"/>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not be able to manufacture paritaprevir or glecaprevir in compliance with requirements of the FDA and similar foreign regulatory agencies and in commercial quantities sufficient to meet market demand</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 licensed under our collaboration is limited by the degree to which AbbVie keeps us informed. If AbbVie does not perform in the manner we expect or fulfill its responsibilities in a timely manner, or at all, the global commercialization of MAVYRET/MAVIRET could be delayed or terminated or be commercially unsuccessful. In addition, AbbVie has the right to make decisions regarding the development and commercialization of licensed product without consulting us, and may make decisions with which we do not agree. If AbbVie acts in a manner that is not in our best interest, then it could adversely affect our business and prospects.</w:t>
      </w:r>
    </w:p>
    <w:p>
      <w:pPr>
        <w:spacing w:after="0" w:line="2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regimens to treat HCV. If AbbVie is unable to increase and maintain sales of these regimens above current levels of sales, our royalty revenues and results of operations would be adversely affected.</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quarterly royalty revenue from AbbVie’s net sales of HCV treatment regimens containing paritaprevir has declined since those sales peaked in the first quarter of our fiscal 2016. AbbVie has priced the MAVYRET/MAVIRET regimen well below the pricing of its first HCV regimens, and below that of its principal competitor, which means AbbVie will need to capture significant increases in market share to maintain or increase its HCV net sales and our royalty revenues. While commercialization of these regimens is exclusively in AbbVie’s control without any input from us, we believe it is possible that prices will decline further due to payers obtaining additional discounts, and there may be a decline in AbbVie’s market share over time due to competitive actions by its principal competitor. We also note that AbbVie’s principal competitor in HCV, Gilead, has reported a decline year over year across all major geographic markets in the number of new patients starting on DAA treatments for HCV.</w:t>
      </w:r>
    </w:p>
    <w:p>
      <w:pPr>
        <w:spacing w:after="0" w:line="17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regimens from their formulary coverage lists or limit the types of patients for whom coverage will be provided. Any such change in formulary coverage, discounts or rebates or reimbursement for AbbVie’s HCV regimens would negatively affect the demand for such regimens and our royalty revenues from them.</w:t>
      </w:r>
    </w:p>
    <w:p>
      <w:pPr>
        <w:spacing w:after="0" w:line="29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PBC, HBV and RSV, as well as other liver diseases and viral infections, which may result in others discovering, developing or commercializing products before we do or doing so more successfully than we do.</w:t>
      </w:r>
    </w:p>
    <w:p>
      <w:pPr>
        <w:spacing w:after="0" w:line="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HBV, RSV and other viral infections or liver diseases that we may target in the future.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all the disease areas currently under the focus of our research and development efforts, there are other companies with more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spacing w:after="0" w:line="286" w:lineRule="auto"/>
        <w:rPr>
          <w:sz w:val="20"/>
          <w:szCs w:val="20"/>
          <w:color w:val="auto"/>
        </w:rPr>
      </w:pPr>
      <w:r>
        <w:rPr>
          <w:rFonts w:ascii="Arial" w:cs="Arial" w:eastAsia="Arial" w:hAnsi="Arial"/>
          <w:sz w:val="17"/>
          <w:szCs w:val="17"/>
          <w:color w:val="auto"/>
        </w:rPr>
        <w:t>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expect AbbVie’s HCV treatment regimens containing any of our licensed protease inhibitors to continue to face intense competition due to existing approved products in the HCV market. AbbVie’s HCV treatment regimens currently face competition in various world markets and subpopulations of HCV from Gilead’s Sovaldi</w:t>
      </w:r>
      <w:r>
        <w:rPr>
          <w:rFonts w:ascii="Arial" w:cs="Arial" w:eastAsia="Arial" w:hAnsi="Arial"/>
          <w:sz w:val="20"/>
          <w:szCs w:val="20"/>
          <w:color w:val="auto"/>
          <w:vertAlign w:val="superscript"/>
        </w:rPr>
        <w:t>®</w:t>
      </w:r>
      <w:r>
        <w:rPr>
          <w:rFonts w:ascii="Arial" w:cs="Arial" w:eastAsia="Arial" w:hAnsi="Arial"/>
          <w:sz w:val="17"/>
          <w:szCs w:val="17"/>
          <w:color w:val="auto"/>
        </w:rPr>
        <w:t xml:space="preserve"> (sofosbuvir), Harvoni</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 fixed-dose combination of sofosbuvir and ledipasvirm), Epclusa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 fixed dose combination of sofosbuvir and velpatasvir) and Vosevi™ (a triple combination therapy of sofosbuvir, velpatasvir and voxilaprevir approved by the FDA in July 2017 for specified sofosbuvir -treatment failures and NS5A-inhibitor treatment failures); Merck’s Zepatier</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 fixed-dose combination of grazoprevir and elbasvir); Bristol-Myers Squibb’s Daklinza™ (daclatasvir) and daclatasvir in combination with asunaprevir; and Johnson &amp; Johnson’s Olysio</w:t>
      </w:r>
      <w:r>
        <w:rPr>
          <w:rFonts w:ascii="Arial" w:cs="Arial" w:eastAsia="Arial" w:hAnsi="Arial"/>
          <w:sz w:val="20"/>
          <w:szCs w:val="20"/>
          <w:color w:val="auto"/>
          <w:vertAlign w:val="superscript"/>
        </w:rPr>
        <w:t>®</w:t>
      </w:r>
      <w:r>
        <w:rPr>
          <w:rFonts w:ascii="Arial" w:cs="Arial" w:eastAsia="Arial" w:hAnsi="Arial"/>
          <w:sz w:val="17"/>
          <w:szCs w:val="17"/>
          <w:color w:val="auto"/>
        </w:rPr>
        <w:t xml:space="preserve"> (simeprevir). Competitive products in the form of other treatment methods or a vaccine for HCV may render AbbVie’s HCV regimens obsolete or noncompetitive. AbbVie’s regimens that contain one of our collaboration’s protease inhibitors will face competition based on their safety and effectiveness, reimbursement coverage, price, patent position, AbbVie’s marketing and sales capabilities, and other factors. If any of AbbVie’s HCV regimens face competition from generic products, the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9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also expect our other product candidates to face intense and increasing competition as new products continue to enter the NASH and antiviral markets and advanced technologies become available. 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3 in NASH, namely Intercept, Genfit, Gilead, and Tobira (Allergan). In May 2016, the FDA granted conditional approval for Intercept’s FXR agonist (brand name Ocaliva</w:t>
      </w:r>
      <w:r>
        <w:rPr>
          <w:rFonts w:ascii="Arial" w:cs="Arial" w:eastAsia="Arial" w:hAnsi="Arial"/>
          <w:sz w:val="23"/>
          <w:szCs w:val="23"/>
          <w:color w:val="auto"/>
          <w:vertAlign w:val="superscript"/>
        </w:rPr>
        <w:t>®</w:t>
      </w:r>
      <w:r>
        <w:rPr>
          <w:rFonts w:ascii="Arial" w:cs="Arial" w:eastAsia="Arial" w:hAnsi="Arial"/>
          <w:sz w:val="17"/>
          <w:szCs w:val="17"/>
          <w:color w:val="auto"/>
        </w:rPr>
        <w:t>) for the treatment of primary biliary cholangitis (PBC) in combination with first line therapy UDCA in adults with an inadequate response to UDCA, or as monotherapy in adults unable to tolerate UDCA. In addition, a number of companies are in Phase 2 clinical trials for NASH or related conditions. These companies include Alberio, Arisaph, Astra-Zeneca, BMS, Boehringer Ingelheim, Conatus, Cirius, Galectin, Galmed, Gilead, GlaxoSmithKline, Immuron, Inventiva, Madrigal, Medicinova, Novartis, NGM, Novo Nordisk, Pfizer, Shire, and Viking. A significant number of other companies are conducting earlier clinical trials that may be applicable in NASH and other cholestatic diseases, including Bird Rock Bio, Arena Pharmaceuticals, Fast Forward Pharmaceuticals, Can-Fite Biopharma, Cymabay, Durect, Genkyotex, Ionis, and Islet. There are also additional companies conducting preclinical studies in these disease areas.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Gilead, HEC, Ionis, Johnson &amp; Johnson, Maxwell, Replicor, Roche and Spring Bank have Phase 2 programs in progress, with many of these companies conducting earlier stage programs as well. In addition, a number of companies have Phase 1 or earlier stage HBV programs, including Aicuris, Alnylam, Altimmune, Assembly, Enyo and Transgene.</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new antiviral treatments for RSV infection in adult and pediatric settings. Ark Bioscienes, Johnson &amp; Johnson, Gilead and ReViral each have compounds in Phase 2 development, as does Ablynx with a potential therapeutic antibody. Earlier stage, small molecule programs have also been reported by Medivir and Pulmocide.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0" w:name="page31"/>
    <w:bookmarkEnd w:id="30"/>
    <w:p>
      <w:pPr>
        <w:ind w:right="58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AbbVie has been and will continue to be responsible for all of the clinical development of our paritaprevir and glecaprevir protease inhibitor product candidates.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NASH, PBC, HBV and RSV programs, we will need to successfully:</w:t>
      </w:r>
    </w:p>
    <w:p>
      <w:pPr>
        <w:spacing w:after="0" w:line="62" w:lineRule="exact"/>
        <w:rPr>
          <w:sz w:val="20"/>
          <w:szCs w:val="20"/>
          <w:color w:val="auto"/>
        </w:rPr>
      </w:pPr>
    </w:p>
    <w:p>
      <w:pPr>
        <w:ind w:left="1200" w:hanging="599"/>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 and maintain patent protection for our product candidates and freedom from infringement of intellectual property of others;</w:t>
      </w:r>
    </w:p>
    <w:p>
      <w:pPr>
        <w:spacing w:after="0" w:line="128" w:lineRule="exact"/>
        <w:rPr>
          <w:rFonts w:ascii="Arial" w:cs="Arial" w:eastAsia="Arial" w:hAnsi="Arial"/>
          <w:sz w:val="17"/>
          <w:szCs w:val="17"/>
          <w:color w:val="auto"/>
        </w:rPr>
      </w:pPr>
    </w:p>
    <w:p>
      <w:pPr>
        <w:ind w:left="1200" w:hanging="59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build and maintain robust sales, distribution and marketing capabilities, either independently or in collaboration with future collaborators;</w:t>
      </w:r>
    </w:p>
    <w:p>
      <w:pPr>
        <w:spacing w:after="0" w:line="139" w:lineRule="exact"/>
        <w:rPr>
          <w:rFonts w:ascii="Arial" w:cs="Arial" w:eastAsia="Arial" w:hAnsi="Arial"/>
          <w:sz w:val="16"/>
          <w:szCs w:val="16"/>
          <w:color w:val="auto"/>
        </w:rPr>
      </w:pPr>
    </w:p>
    <w:p>
      <w:pPr>
        <w:ind w:left="1200" w:hanging="59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payers and patients; and</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2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EDP-305 and EDP-938, our ability to expand our business and achieve our strategic objectives will be impaired.</w:t>
      </w:r>
    </w:p>
    <w:p>
      <w:pPr>
        <w:spacing w:after="0" w:line="6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40" w:lineRule="exact"/>
        <w:rPr>
          <w:sz w:val="20"/>
          <w:szCs w:val="20"/>
          <w:color w:val="auto"/>
        </w:rPr>
      </w:pPr>
    </w:p>
    <w:p>
      <w:pPr>
        <w:ind w:left="1200" w:hanging="599"/>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16" w:lineRule="exact"/>
        <w:rPr>
          <w:rFonts w:ascii="Arial" w:cs="Arial" w:eastAsia="Arial" w:hAnsi="Arial"/>
          <w:sz w:val="18"/>
          <w:szCs w:val="18"/>
          <w:color w:val="auto"/>
        </w:rPr>
      </w:pPr>
    </w:p>
    <w:p>
      <w:pPr>
        <w:ind w:left="1200" w:right="520" w:hanging="599"/>
        <w:spacing w:after="0" w:line="307" w:lineRule="auto"/>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9" w:lineRule="exact"/>
        <w:rPr>
          <w:rFonts w:ascii="Arial" w:cs="Arial" w:eastAsia="Arial" w:hAnsi="Arial"/>
          <w:sz w:val="17"/>
          <w:szCs w:val="17"/>
          <w:color w:val="auto"/>
        </w:rPr>
      </w:pPr>
    </w:p>
    <w:p>
      <w:pPr>
        <w:ind w:left="1200" w:hanging="599"/>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1" w:name="page32"/>
    <w:bookmarkEnd w:id="31"/>
    <w:p>
      <w:pPr>
        <w:ind w:right="20"/>
        <w:spacing w:after="0" w:line="256"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results of operations to fluctuate from period to period, which may result in losses.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Many of the preclinical and clinical development activities required for our product candidates have to be contracted out to contract research organizations (CROs) at significant expense. We expect these expenses to increase substantially in the coming year as we advance compounds and conduct more clinical studies.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2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9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 w:name="page33"/>
    <w:bookmarkEnd w:id="32"/>
    <w:p>
      <w:pPr>
        <w:ind w:right="80"/>
        <w:spacing w:after="0" w:line="311" w:lineRule="auto"/>
        <w:rPr>
          <w:sz w:val="20"/>
          <w:szCs w:val="20"/>
          <w:color w:val="auto"/>
        </w:rPr>
      </w:pPr>
      <w:r>
        <w:rPr>
          <w:rFonts w:ascii="Arial" w:cs="Arial" w:eastAsia="Arial" w:hAnsi="Arial"/>
          <w:sz w:val="16"/>
          <w:szCs w:val="16"/>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 and our ability to achieve sustained profitability is unproven.</w:t>
      </w:r>
    </w:p>
    <w:p>
      <w:pPr>
        <w:spacing w:after="0" w:line="4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each of our 2017, 2016, 2015 and 2014 fiscal years our net income resulted primarily from license payments, including milestone payments we earned from AbbVie and royalties we earned since December 2014 on net sales of AbbVie’s HCV regimens allocated to our protease inhibitors included in those regimens. There is no assurance, however, that we will report net income in subsequent years. To date, we have not commercialized any products ourselves.</w:t>
      </w:r>
    </w:p>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principal source of revenue historically has been our collaboration agreements, including our current agreement with AbbVie. The level of future royalties on products containing paritaprevir or glecaprevir are uncertain given the competitive nature of the market for HCV therapies, the emergence of new therapies for HCV, price competition, the changing nature of payer contracts of AbbVie and others, and the varying rates of reimbursement in different countries. At any time, AbbVie may choose not to continue its commercialization activities for the MAVYRET/MAVIRET regimen or that regimen may not be accepted in the market.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28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We may require substantial additional financing in the longer term to achieve our goals if the further commercialization of paritaprevir containing regimens is curtailed or if any launch or commercialization of MAVYRET/MAVIRET is delayed or is not successful. A failure to obtain this necessary capital when needed could force us to delay, limit, reduce or terminate some or all of our product development efforts.</w:t>
      </w:r>
    </w:p>
    <w:p>
      <w:pPr>
        <w:spacing w:after="0" w:line="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AbbVie in developing MAVYRET/MAVIRET. In addition, we may seek opportunities to in-license or otherwise acquire new therapeutic candidates and therapies.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200" w:hanging="59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our existing collaboration continues to generate substantial royalties to us;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6" w:lineRule="exact"/>
        <w:rPr>
          <w:rFonts w:ascii="Arial" w:cs="Arial" w:eastAsia="Arial" w:hAnsi="Arial"/>
          <w:sz w:val="18"/>
          <w:szCs w:val="18"/>
          <w:color w:val="auto"/>
        </w:rPr>
      </w:pPr>
    </w:p>
    <w:p>
      <w:pPr>
        <w:ind w:left="1200" w:right="660" w:hanging="599"/>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therapeutic candidates and therapies;</w:t>
      </w:r>
    </w:p>
    <w:p>
      <w:pPr>
        <w:spacing w:after="0" w:line="116" w:lineRule="exact"/>
        <w:rPr>
          <w:rFonts w:ascii="Arial" w:cs="Arial" w:eastAsia="Arial" w:hAnsi="Arial"/>
          <w:sz w:val="18"/>
          <w:szCs w:val="18"/>
          <w:color w:val="auto"/>
        </w:rPr>
      </w:pPr>
    </w:p>
    <w:p>
      <w:pPr>
        <w:ind w:left="1200" w:right="580" w:hanging="599"/>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receipt and amount of royalties on paritaprevir and glecaprevir and any sales of our product candidates, if any, or royalties thereon;</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3" w:name="page34"/>
    <w:bookmarkEnd w:id="33"/>
    <w:p>
      <w:pPr>
        <w:ind w:left="1200" w:right="360" w:hanging="599"/>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1" w:lineRule="exact"/>
        <w:rPr>
          <w:rFonts w:ascii="Arial" w:cs="Arial" w:eastAsia="Arial" w:hAnsi="Arial"/>
          <w:sz w:val="18"/>
          <w:szCs w:val="18"/>
          <w:color w:val="auto"/>
        </w:rPr>
      </w:pPr>
    </w:p>
    <w:p>
      <w:pPr>
        <w:ind w:left="1200" w:right="200" w:hanging="599"/>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1" w:lineRule="exact"/>
        <w:rPr>
          <w:rFonts w:ascii="Arial" w:cs="Arial" w:eastAsia="Arial" w:hAnsi="Arial"/>
          <w:sz w:val="18"/>
          <w:szCs w:val="18"/>
          <w:color w:val="auto"/>
        </w:rPr>
      </w:pPr>
    </w:p>
    <w:p>
      <w:pPr>
        <w:ind w:left="1200" w:right="60" w:hanging="599"/>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1" w:lineRule="exact"/>
        <w:rPr>
          <w:rFonts w:ascii="Arial" w:cs="Arial" w:eastAsia="Arial" w:hAnsi="Arial"/>
          <w:sz w:val="18"/>
          <w:szCs w:val="18"/>
          <w:color w:val="auto"/>
        </w:rPr>
      </w:pPr>
    </w:p>
    <w:p>
      <w:pPr>
        <w:ind w:left="1200" w:right="460" w:hanging="599"/>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440"/>
        <w:spacing w:after="0" w:line="341"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Phase 2 clinical trials. Any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200" w:hanging="599"/>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6" w:lineRule="exact"/>
        <w:rPr>
          <w:rFonts w:ascii="Arial" w:cs="Arial" w:eastAsia="Arial" w:hAnsi="Arial"/>
          <w:sz w:val="18"/>
          <w:szCs w:val="18"/>
          <w:color w:val="auto"/>
        </w:rPr>
      </w:pPr>
    </w:p>
    <w:p>
      <w:pPr>
        <w:ind w:left="1200" w:right="100" w:hanging="599"/>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4" w:name="page35"/>
    <w:bookmarkEnd w:id="34"/>
    <w:p>
      <w:pPr>
        <w:ind w:left="1200" w:hanging="599"/>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6" w:lineRule="exact"/>
        <w:rPr>
          <w:rFonts w:ascii="Arial" w:cs="Arial" w:eastAsia="Arial" w:hAnsi="Arial"/>
          <w:sz w:val="18"/>
          <w:szCs w:val="18"/>
          <w:color w:val="auto"/>
        </w:rPr>
      </w:pPr>
    </w:p>
    <w:p>
      <w:pPr>
        <w:ind w:left="1200" w:right="220" w:hanging="599"/>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1" w:lineRule="exact"/>
        <w:rPr>
          <w:rFonts w:ascii="Arial" w:cs="Arial" w:eastAsia="Arial" w:hAnsi="Arial"/>
          <w:sz w:val="18"/>
          <w:szCs w:val="18"/>
          <w:color w:val="auto"/>
        </w:rPr>
      </w:pPr>
    </w:p>
    <w:p>
      <w:pPr>
        <w:ind w:left="1200" w:hanging="599"/>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treatments for NASH, PBC, RSV or HBV;</w:t>
      </w:r>
    </w:p>
    <w:p>
      <w:pPr>
        <w:spacing w:after="0" w:line="61" w:lineRule="exact"/>
        <w:rPr>
          <w:rFonts w:ascii="Arial" w:cs="Arial" w:eastAsia="Arial" w:hAnsi="Arial"/>
          <w:sz w:val="18"/>
          <w:szCs w:val="18"/>
          <w:color w:val="auto"/>
        </w:rPr>
      </w:pPr>
    </w:p>
    <w:p>
      <w:pPr>
        <w:ind w:left="1200" w:right="180" w:hanging="599"/>
        <w:spacing w:after="0" w:line="341" w:lineRule="auto"/>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6" w:lineRule="exact"/>
        <w:rPr>
          <w:rFonts w:ascii="Arial" w:cs="Arial" w:eastAsia="Arial" w:hAnsi="Arial"/>
          <w:sz w:val="16"/>
          <w:szCs w:val="16"/>
          <w:color w:val="auto"/>
        </w:rPr>
      </w:pPr>
    </w:p>
    <w:p>
      <w:pPr>
        <w:ind w:left="1200" w:hanging="599"/>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expect that the further development of successful therapies in our principal disease areas of NASH, RSV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right="40"/>
        <w:spacing w:after="0" w:line="263" w:lineRule="auto"/>
        <w:rPr>
          <w:sz w:val="20"/>
          <w:szCs w:val="20"/>
          <w:color w:val="auto"/>
        </w:rPr>
      </w:pPr>
      <w:r>
        <w:rPr>
          <w:rFonts w:ascii="Arial" w:cs="Arial" w:eastAsia="Arial" w:hAnsi="Arial"/>
          <w:sz w:val="18"/>
          <w:szCs w:val="18"/>
          <w:b w:val="1"/>
          <w:bCs w:val="1"/>
          <w:i w:val="1"/>
          <w:iCs w:val="1"/>
          <w:color w:val="auto"/>
        </w:rPr>
        <w:t>EDP-305, EDP-938 or any other product candidate emerging from our current NASH, PBC,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7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21"/>
          <w:szCs w:val="21"/>
          <w:color w:val="auto"/>
          <w:vertAlign w:val="superscript"/>
        </w:rPr>
        <w:t>®</w:t>
      </w:r>
      <w:r>
        <w:rPr>
          <w:rFonts w:ascii="Arial" w:cs="Arial" w:eastAsia="Arial" w:hAnsi="Arial"/>
          <w:sz w:val="18"/>
          <w:szCs w:val="18"/>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9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40" w:lineRule="exact"/>
        <w:rPr>
          <w:sz w:val="20"/>
          <w:szCs w:val="20"/>
          <w:color w:val="auto"/>
        </w:rPr>
      </w:pPr>
    </w:p>
    <w:p>
      <w:pPr>
        <w:ind w:left="1200" w:right="220" w:hanging="599"/>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1" w:lineRule="exact"/>
        <w:rPr>
          <w:rFonts w:ascii="Arial" w:cs="Arial" w:eastAsia="Arial" w:hAnsi="Arial"/>
          <w:sz w:val="18"/>
          <w:szCs w:val="18"/>
          <w:color w:val="auto"/>
        </w:rPr>
      </w:pPr>
    </w:p>
    <w:p>
      <w:pPr>
        <w:ind w:left="1200" w:right="420" w:hanging="599"/>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3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approval of our product candidates for any or all targeted indications. This, in turn, could prevent us from commercializing our product candidates.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6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285"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 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200" w:hanging="599"/>
        <w:spacing w:after="0"/>
        <w:tabs>
          <w:tab w:leader="none" w:pos="1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139" w:lineRule="exact"/>
        <w:rPr>
          <w:rFonts w:ascii="Arial" w:cs="Arial" w:eastAsia="Arial" w:hAnsi="Arial"/>
          <w:sz w:val="16"/>
          <w:szCs w:val="16"/>
          <w:color w:val="auto"/>
        </w:rPr>
      </w:pPr>
    </w:p>
    <w:p>
      <w:pPr>
        <w:ind w:left="1200" w:right="200" w:hanging="599"/>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1" w:lineRule="exact"/>
        <w:rPr>
          <w:rFonts w:ascii="Arial" w:cs="Arial" w:eastAsia="Arial" w:hAnsi="Arial"/>
          <w:sz w:val="18"/>
          <w:szCs w:val="18"/>
          <w:color w:val="auto"/>
        </w:rPr>
      </w:pPr>
    </w:p>
    <w:p>
      <w:pPr>
        <w:ind w:left="1200" w:right="460" w:hanging="599"/>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6" w:lineRule="exact"/>
        <w:rPr>
          <w:rFonts w:ascii="Arial" w:cs="Arial" w:eastAsia="Arial" w:hAnsi="Arial"/>
          <w:sz w:val="18"/>
          <w:szCs w:val="18"/>
          <w:color w:val="auto"/>
        </w:rPr>
      </w:pPr>
    </w:p>
    <w:p>
      <w:pPr>
        <w:ind w:left="1200" w:right="60" w:hanging="599"/>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left="1200" w:right="800" w:hanging="599"/>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1" w:lineRule="exact"/>
        <w:rPr>
          <w:rFonts w:ascii="Arial" w:cs="Arial" w:eastAsia="Arial" w:hAnsi="Arial"/>
          <w:sz w:val="18"/>
          <w:szCs w:val="18"/>
          <w:color w:val="auto"/>
        </w:rPr>
      </w:pPr>
    </w:p>
    <w:p>
      <w:pPr>
        <w:ind w:left="1200" w:right="940" w:hanging="599"/>
        <w:spacing w:after="0" w:line="307" w:lineRule="auto"/>
        <w:tabs>
          <w:tab w:leader="none" w:pos="12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39" w:lineRule="exact"/>
        <w:rPr>
          <w:rFonts w:ascii="Arial" w:cs="Arial" w:eastAsia="Arial" w:hAnsi="Arial"/>
          <w:sz w:val="17"/>
          <w:szCs w:val="17"/>
          <w:color w:val="auto"/>
        </w:rPr>
      </w:pPr>
    </w:p>
    <w:p>
      <w:pPr>
        <w:ind w:left="1200" w:right="240" w:hanging="599"/>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70" w:lineRule="exact"/>
        <w:rPr>
          <w:sz w:val="20"/>
          <w:szCs w:val="20"/>
          <w:color w:val="auto"/>
        </w:rPr>
      </w:pPr>
    </w:p>
    <w:p>
      <w:pPr>
        <w:jc w:val="both"/>
        <w:ind w:right="220"/>
        <w:spacing w:after="0" w:line="287"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3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69" w:lineRule="exact"/>
        <w:rPr>
          <w:sz w:val="20"/>
          <w:szCs w:val="20"/>
          <w:color w:val="auto"/>
        </w:rPr>
      </w:pPr>
    </w:p>
    <w:p>
      <w:pPr>
        <w:ind w:left="1200" w:right="120" w:hanging="599"/>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6" w:lineRule="exact"/>
        <w:rPr>
          <w:rFonts w:ascii="Arial" w:cs="Arial" w:eastAsia="Arial" w:hAnsi="Arial"/>
          <w:sz w:val="18"/>
          <w:szCs w:val="18"/>
          <w:color w:val="auto"/>
        </w:rPr>
      </w:pPr>
    </w:p>
    <w:p>
      <w:pPr>
        <w:ind w:left="1200" w:right="460" w:hanging="599"/>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ind w:right="20"/>
        <w:spacing w:after="0" w:line="277" w:lineRule="auto"/>
        <w:rPr>
          <w:sz w:val="20"/>
          <w:szCs w:val="20"/>
          <w:color w:val="auto"/>
        </w:rPr>
      </w:pPr>
      <w:r>
        <w:rPr>
          <w:rFonts w:ascii="Arial" w:cs="Arial" w:eastAsia="Arial" w:hAnsi="Arial"/>
          <w:sz w:val="18"/>
          <w:szCs w:val="18"/>
          <w:color w:val="auto"/>
        </w:rPr>
        <w:t>licensed HCV products may lose any marketing approval that may have been obtained and we may not achieve or sustain profitability, which would adversely affect our business.</w:t>
      </w:r>
    </w:p>
    <w:p>
      <w:pPr>
        <w:spacing w:after="0" w:line="2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development and commercialization of paritaprevir and glecaprevir without consulting us, and may make decisions with which we do not agree.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Even if AbbVie successfully commercializes MAVYRET/MAVIRET, or even if we are able to commercialize any other treatment regimen containing one of our product candidates from any of our proprietary discovery programs, MAVYRET/MAVIRET or the resulting products, as the case may be, may become subject to unfavorable pricing regulations, third-party reimbursement practices or healthcare reform initiatives in the United States, which would harm our business.</w:t>
      </w:r>
    </w:p>
    <w:p>
      <w:pPr>
        <w:spacing w:after="0" w:line="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or any amendment to it will continue to have in general or specifically on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19 that have rejected the expansion of Medicaid eligibility for low income citizens, and some members of the U.S. Congress are still working to repeal the ACA. More recently, President Trump and the Republican majorities in both houses of the U.S. Congress have been seeking to repeal or replace all or portions of the ACA but to date they have been unable to agree on any such legislation. We cannot predict what legislation, if any, to repeal or replace the ACA will become law, or what impact any such legislation may have on us or on AbbVie’s commercialization of its HCV regimens.</w:t>
      </w:r>
    </w:p>
    <w:p>
      <w:pPr>
        <w:spacing w:after="0" w:line="72"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Our ability to commercialize any product candidate successfully, as well as AbbVie’s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right="4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promptly obtain coverage and profitable payment rates from both government-funded and private payors for MAVYRET/MAVIRET, or our inability to do the same for any product candidate that we develop, could have a material adverse effect on our operating results, our ability to raise capital needed to commercialize products and our overall financial condition.</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200" w:hanging="599"/>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28" w:lineRule="exact"/>
        <w:rPr>
          <w:rFonts w:ascii="Arial" w:cs="Arial" w:eastAsia="Arial" w:hAnsi="Arial"/>
          <w:sz w:val="17"/>
          <w:szCs w:val="17"/>
          <w:color w:val="auto"/>
        </w:rPr>
      </w:pPr>
    </w:p>
    <w:p>
      <w:pPr>
        <w:ind w:left="1200" w:right="180" w:hanging="599"/>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4" w:lineRule="exact"/>
        <w:rPr>
          <w:rFonts w:ascii="Arial" w:cs="Arial" w:eastAsia="Arial" w:hAnsi="Arial"/>
          <w:sz w:val="18"/>
          <w:szCs w:val="18"/>
          <w:color w:val="auto"/>
        </w:rPr>
      </w:pPr>
    </w:p>
    <w:p>
      <w:pPr>
        <w:ind w:left="1200" w:hanging="599"/>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r>
        <w:rPr>
          <w:rFonts w:ascii="Arial" w:cs="Arial" w:eastAsia="Arial" w:hAnsi="Arial"/>
          <w:sz w:val="21"/>
          <w:szCs w:val="21"/>
          <w:color w:val="auto"/>
        </w:rPr>
        <w:t>.</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ind w:right="140"/>
        <w:spacing w:after="0" w:line="277" w:lineRule="auto"/>
        <w:rPr>
          <w:sz w:val="20"/>
          <w:szCs w:val="20"/>
          <w:color w:val="auto"/>
        </w:rPr>
      </w:pPr>
      <w:r>
        <w:rPr>
          <w:rFonts w:ascii="Arial" w:cs="Arial" w:eastAsia="Arial" w:hAnsi="Arial"/>
          <w:sz w:val="18"/>
          <w:szCs w:val="18"/>
          <w:color w:val="auto"/>
        </w:rPr>
        <w:t>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MAVYRET/MAVIRET, as well as similar market acceptance of any product candidates we are developing independently.</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MAVYRET/MAVIRET, as well as EDP-305, EDP-938, or any other product candidate that we may develop in the future, whether as part of a combination therapy or as a monotherapy, may not gain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78" w:lineRule="exact"/>
        <w:rPr>
          <w:sz w:val="20"/>
          <w:szCs w:val="20"/>
          <w:color w:val="auto"/>
        </w:rPr>
      </w:pPr>
    </w:p>
    <w:p>
      <w:pPr>
        <w:ind w:left="1200" w:right="240" w:hanging="599"/>
        <w:spacing w:after="0" w:line="307"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9" w:lineRule="exact"/>
        <w:rPr>
          <w:rFonts w:ascii="Arial" w:cs="Arial" w:eastAsia="Arial" w:hAnsi="Arial"/>
          <w:sz w:val="17"/>
          <w:szCs w:val="17"/>
          <w:color w:val="auto"/>
        </w:rPr>
      </w:pPr>
    </w:p>
    <w:p>
      <w:pPr>
        <w:ind w:left="1200" w:hanging="59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16" w:lineRule="exact"/>
        <w:rPr>
          <w:rFonts w:ascii="Arial" w:cs="Arial" w:eastAsia="Arial" w:hAnsi="Arial"/>
          <w:sz w:val="18"/>
          <w:szCs w:val="18"/>
          <w:color w:val="auto"/>
        </w:rPr>
      </w:pPr>
    </w:p>
    <w:p>
      <w:pPr>
        <w:ind w:left="1200" w:right="620" w:hanging="599"/>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28" w:lineRule="exact"/>
        <w:rPr>
          <w:rFonts w:ascii="Arial" w:cs="Arial" w:eastAsia="Arial" w:hAnsi="Arial"/>
          <w:sz w:val="17"/>
          <w:szCs w:val="17"/>
          <w:color w:val="auto"/>
        </w:rPr>
      </w:pPr>
    </w:p>
    <w:p>
      <w:pPr>
        <w:ind w:left="1200" w:hanging="59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16" w:lineRule="exact"/>
        <w:rPr>
          <w:rFonts w:ascii="Arial" w:cs="Arial" w:eastAsia="Arial" w:hAnsi="Arial"/>
          <w:sz w:val="18"/>
          <w:szCs w:val="18"/>
          <w:color w:val="auto"/>
        </w:rPr>
      </w:pPr>
    </w:p>
    <w:p>
      <w:pPr>
        <w:jc w:val="both"/>
        <w:ind w:left="1200" w:right="260" w:hanging="599"/>
        <w:spacing w:after="0" w:line="286"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56" w:lineRule="exact"/>
        <w:rPr>
          <w:rFonts w:ascii="Arial" w:cs="Arial" w:eastAsia="Arial" w:hAnsi="Arial"/>
          <w:sz w:val="17"/>
          <w:szCs w:val="17"/>
          <w:color w:val="auto"/>
        </w:rPr>
      </w:pPr>
    </w:p>
    <w:p>
      <w:pPr>
        <w:ind w:left="1200" w:hanging="59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continued longevity of the HCV drug market or growth and longevity of any other market for which we develop a drug;</w:t>
      </w:r>
    </w:p>
    <w:p>
      <w:pPr>
        <w:spacing w:after="0" w:line="116" w:lineRule="exact"/>
        <w:rPr>
          <w:rFonts w:ascii="Arial" w:cs="Arial" w:eastAsia="Arial" w:hAnsi="Arial"/>
          <w:sz w:val="18"/>
          <w:szCs w:val="18"/>
          <w:color w:val="auto"/>
        </w:rPr>
      </w:pPr>
    </w:p>
    <w:p>
      <w:pPr>
        <w:ind w:left="1200" w:right="40" w:hanging="599"/>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61" w:lineRule="exact"/>
        <w:rPr>
          <w:rFonts w:ascii="Arial" w:cs="Arial" w:eastAsia="Arial" w:hAnsi="Arial"/>
          <w:sz w:val="18"/>
          <w:szCs w:val="18"/>
          <w:color w:val="auto"/>
        </w:rPr>
      </w:pPr>
    </w:p>
    <w:p>
      <w:pPr>
        <w:ind w:left="1200" w:right="740" w:hanging="599"/>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1" w:lineRule="exact"/>
        <w:rPr>
          <w:rFonts w:ascii="Arial" w:cs="Arial" w:eastAsia="Arial" w:hAnsi="Arial"/>
          <w:sz w:val="18"/>
          <w:szCs w:val="18"/>
          <w:color w:val="auto"/>
        </w:rPr>
      </w:pPr>
    </w:p>
    <w:p>
      <w:pPr>
        <w:ind w:left="1200" w:right="780" w:hanging="599"/>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AbbVie in the case of MAVYRET/MAVIRET.</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8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200" w:hanging="59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16" w:lineRule="exact"/>
        <w:rPr>
          <w:rFonts w:ascii="Arial" w:cs="Arial" w:eastAsia="Arial" w:hAnsi="Arial"/>
          <w:sz w:val="18"/>
          <w:szCs w:val="18"/>
          <w:color w:val="auto"/>
        </w:rPr>
      </w:pPr>
    </w:p>
    <w:p>
      <w:pPr>
        <w:ind w:left="1200" w:right="420" w:hanging="599"/>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1" w:lineRule="exact"/>
        <w:rPr>
          <w:rFonts w:ascii="Arial" w:cs="Arial" w:eastAsia="Arial" w:hAnsi="Arial"/>
          <w:sz w:val="18"/>
          <w:szCs w:val="18"/>
          <w:color w:val="auto"/>
        </w:rPr>
      </w:pPr>
    </w:p>
    <w:p>
      <w:pPr>
        <w:ind w:left="1200" w:right="180" w:hanging="599"/>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3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2" w:name="page43"/>
    <w:bookmarkEnd w:id="42"/>
    <w:p>
      <w:pPr>
        <w:ind w:right="340"/>
        <w:spacing w:after="0" w:line="263" w:lineRule="auto"/>
        <w:rPr>
          <w:sz w:val="20"/>
          <w:szCs w:val="20"/>
          <w:color w:val="auto"/>
        </w:rPr>
      </w:pPr>
      <w:r>
        <w:rPr>
          <w:rFonts w:ascii="Arial" w:cs="Arial" w:eastAsia="Arial" w:hAnsi="Arial"/>
          <w:sz w:val="18"/>
          <w:szCs w:val="18"/>
          <w:color w:val="auto"/>
        </w:rPr>
        <w:t>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2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political unrest in China could materially adversely affect our business, financial condition and results of operations.</w:t>
      </w:r>
    </w:p>
    <w:p>
      <w:pPr>
        <w:spacing w:after="0" w:line="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3" w:name="page44"/>
    <w:bookmarkEnd w:id="43"/>
    <w:p>
      <w:pPr>
        <w:spacing w:after="0" w:line="253" w:lineRule="auto"/>
        <w:rPr>
          <w:sz w:val="20"/>
          <w:szCs w:val="20"/>
          <w:color w:val="auto"/>
        </w:rPr>
      </w:pPr>
      <w:r>
        <w:rPr>
          <w:rFonts w:ascii="Arial" w:cs="Arial" w:eastAsia="Arial" w:hAnsi="Arial"/>
          <w:sz w:val="18"/>
          <w:szCs w:val="18"/>
          <w:color w:val="auto"/>
        </w:rPr>
        <w:t>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30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ind w:right="140"/>
        <w:spacing w:after="0" w:line="277" w:lineRule="auto"/>
        <w:rPr>
          <w:sz w:val="20"/>
          <w:szCs w:val="20"/>
          <w:color w:val="auto"/>
        </w:rPr>
      </w:pPr>
      <w:r>
        <w:rPr>
          <w:rFonts w:ascii="Arial" w:cs="Arial" w:eastAsia="Arial" w:hAnsi="Arial"/>
          <w:sz w:val="18"/>
          <w:szCs w:val="18"/>
          <w:color w:val="auto"/>
        </w:rPr>
        <w:t>such disagreements could lead to delays in the development or commercialization of any potential products or could result in time-consuming and expensive litigation or arbitration, which may not be resolved in our favor.</w:t>
      </w:r>
    </w:p>
    <w:p>
      <w:pPr>
        <w:spacing w:after="0" w:line="17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right="40"/>
        <w:spacing w:after="0" w:line="272" w:lineRule="auto"/>
        <w:rPr>
          <w:sz w:val="20"/>
          <w:szCs w:val="20"/>
          <w:color w:val="auto"/>
        </w:rPr>
      </w:pPr>
      <w:r>
        <w:rPr>
          <w:rFonts w:ascii="Arial" w:cs="Arial" w:eastAsia="Arial" w:hAnsi="Arial"/>
          <w:sz w:val="17"/>
          <w:szCs w:val="17"/>
          <w:color w:val="auto"/>
        </w:rPr>
        <w:t>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5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200" w:right="40" w:hanging="599"/>
        <w:spacing w:after="0" w:line="277"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1" w:lineRule="exact"/>
        <w:rPr>
          <w:rFonts w:ascii="Arial" w:cs="Arial" w:eastAsia="Arial" w:hAnsi="Arial"/>
          <w:sz w:val="18"/>
          <w:szCs w:val="18"/>
          <w:color w:val="auto"/>
        </w:rPr>
      </w:pPr>
    </w:p>
    <w:p>
      <w:pPr>
        <w:ind w:left="1200" w:right="180" w:hanging="599"/>
        <w:spacing w:after="0" w:line="307" w:lineRule="auto"/>
        <w:tabs>
          <w:tab w:leader="none" w:pos="1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9" w:lineRule="exact"/>
        <w:rPr>
          <w:rFonts w:ascii="Arial" w:cs="Arial" w:eastAsia="Arial" w:hAnsi="Arial"/>
          <w:sz w:val="17"/>
          <w:szCs w:val="17"/>
          <w:color w:val="auto"/>
        </w:rPr>
      </w:pPr>
    </w:p>
    <w:p>
      <w:pPr>
        <w:ind w:left="1200" w:hanging="599"/>
        <w:spacing w:after="0" w:line="277"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1" w:lineRule="exact"/>
        <w:rPr>
          <w:rFonts w:ascii="Arial" w:cs="Arial" w:eastAsia="Arial" w:hAnsi="Arial"/>
          <w:sz w:val="18"/>
          <w:szCs w:val="18"/>
          <w:color w:val="auto"/>
        </w:rPr>
      </w:pPr>
    </w:p>
    <w:p>
      <w:pPr>
        <w:ind w:left="1200" w:right="120" w:hanging="599"/>
        <w:spacing w:after="0" w:line="277"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8" w:name="page49"/>
    <w:bookmarkEnd w:id="48"/>
    <w:p>
      <w:pPr>
        <w:ind w:left="1200" w:right="80" w:hanging="599"/>
        <w:spacing w:after="0" w:line="259"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7" w:lineRule="exact"/>
        <w:rPr>
          <w:rFonts w:ascii="Arial" w:cs="Arial" w:eastAsia="Arial" w:hAnsi="Arial"/>
          <w:sz w:val="18"/>
          <w:szCs w:val="18"/>
          <w:color w:val="auto"/>
        </w:rPr>
      </w:pPr>
    </w:p>
    <w:p>
      <w:pPr>
        <w:ind w:left="1200" w:right="720" w:hanging="599"/>
        <w:spacing w:after="0" w:line="307" w:lineRule="auto"/>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9" w:lineRule="exact"/>
        <w:rPr>
          <w:rFonts w:ascii="Arial" w:cs="Arial" w:eastAsia="Arial" w:hAnsi="Arial"/>
          <w:sz w:val="17"/>
          <w:szCs w:val="17"/>
          <w:color w:val="auto"/>
        </w:rPr>
      </w:pPr>
    </w:p>
    <w:p>
      <w:pPr>
        <w:ind w:left="1200" w:hanging="599"/>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6" w:lineRule="exact"/>
        <w:rPr>
          <w:rFonts w:ascii="Arial" w:cs="Arial" w:eastAsia="Arial" w:hAnsi="Arial"/>
          <w:sz w:val="18"/>
          <w:szCs w:val="18"/>
          <w:color w:val="auto"/>
        </w:rPr>
      </w:pPr>
    </w:p>
    <w:p>
      <w:pPr>
        <w:ind w:left="1200" w:right="60" w:hanging="599"/>
        <w:spacing w:after="0" w:line="307" w:lineRule="auto"/>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9" w:lineRule="exact"/>
        <w:rPr>
          <w:rFonts w:ascii="Arial" w:cs="Arial" w:eastAsia="Arial" w:hAnsi="Arial"/>
          <w:sz w:val="17"/>
          <w:szCs w:val="17"/>
          <w:color w:val="auto"/>
        </w:rPr>
      </w:pPr>
    </w:p>
    <w:p>
      <w:pPr>
        <w:ind w:left="1200" w:right="240" w:hanging="599"/>
        <w:spacing w:after="0" w:line="277"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3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200" w:hanging="59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inhibit the commercialization of products we develop. We currently carry product liability insurance covering our clinical studies in the amount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the aggregate. Although we maintain such insurance, any claim that may be brought against us could result in a court judgment or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amount that is not covered, in whole or in part, by our insurance or that is in excess of the limits of our insurance coverage. Our insurance policies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various exclusions, and we may be subject to a product liability claim for which we have no coverage. We will have to pay any amounts awarded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or negotiated in a settlement that exceed our coverage limitations or that are not covered by our insurance, and we may not have, or be able to obtain,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sufficient capital to pay such amounts.</w:t>
      </w:r>
    </w:p>
    <w:p>
      <w:pPr>
        <w:spacing w:after="0" w:line="3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Information security risks have significantly increased in recent years in part due to the 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19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addition to HIPAA,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0" w:name="page51"/>
    <w:bookmarkEnd w:id="50"/>
    <w:p>
      <w:pPr>
        <w:ind w:right="2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3" w:lineRule="exact"/>
        <w:rPr>
          <w:sz w:val="20"/>
          <w:szCs w:val="20"/>
          <w:color w:val="auto"/>
        </w:rPr>
      </w:pPr>
    </w:p>
    <w:p>
      <w:pPr>
        <w:ind w:left="1200" w:hanging="599"/>
        <w:spacing w:after="0" w:line="259"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7" w:lineRule="exact"/>
        <w:rPr>
          <w:rFonts w:ascii="Arial" w:cs="Arial" w:eastAsia="Arial" w:hAnsi="Arial"/>
          <w:sz w:val="18"/>
          <w:szCs w:val="18"/>
          <w:color w:val="auto"/>
        </w:rPr>
      </w:pPr>
    </w:p>
    <w:p>
      <w:pPr>
        <w:jc w:val="both"/>
        <w:ind w:left="1200" w:right="320" w:hanging="599"/>
        <w:spacing w:after="0" w:line="286" w:lineRule="auto"/>
        <w:tabs>
          <w:tab w:leader="none" w:pos="12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6" w:lineRule="exact"/>
        <w:rPr>
          <w:rFonts w:ascii="Arial" w:cs="Arial" w:eastAsia="Arial" w:hAnsi="Arial"/>
          <w:sz w:val="17"/>
          <w:szCs w:val="17"/>
          <w:color w:val="auto"/>
        </w:rPr>
      </w:pPr>
    </w:p>
    <w:p>
      <w:pPr>
        <w:ind w:left="1200" w:right="300" w:hanging="599"/>
        <w:spacing w:after="0" w:line="259"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7" w:lineRule="exact"/>
        <w:rPr>
          <w:rFonts w:ascii="Arial" w:cs="Arial" w:eastAsia="Arial" w:hAnsi="Arial"/>
          <w:sz w:val="18"/>
          <w:szCs w:val="18"/>
          <w:color w:val="auto"/>
        </w:rPr>
      </w:pPr>
    </w:p>
    <w:p>
      <w:pPr>
        <w:ind w:left="1200" w:right="440" w:hanging="599"/>
        <w:spacing w:after="0" w:line="307" w:lineRule="auto"/>
        <w:tabs>
          <w:tab w:leader="none" w:pos="12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9" w:lineRule="exact"/>
        <w:rPr>
          <w:rFonts w:ascii="Arial" w:cs="Arial" w:eastAsia="Arial" w:hAnsi="Arial"/>
          <w:sz w:val="17"/>
          <w:szCs w:val="17"/>
          <w:color w:val="auto"/>
        </w:rPr>
      </w:pPr>
    </w:p>
    <w:p>
      <w:pPr>
        <w:ind w:left="1200" w:right="40" w:hanging="599"/>
        <w:spacing w:after="0" w:line="263"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4" w:lineRule="exact"/>
        <w:rPr>
          <w:rFonts w:ascii="Arial" w:cs="Arial" w:eastAsia="Arial" w:hAnsi="Arial"/>
          <w:sz w:val="18"/>
          <w:szCs w:val="18"/>
          <w:color w:val="auto"/>
        </w:rPr>
      </w:pPr>
    </w:p>
    <w:p>
      <w:pPr>
        <w:ind w:left="1200" w:right="120" w:hanging="599"/>
        <w:spacing w:after="0" w:line="275" w:lineRule="auto"/>
        <w:tabs>
          <w:tab w:leader="none" w:pos="12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7" w:lineRule="exact"/>
        <w:rPr>
          <w:rFonts w:ascii="Arial" w:cs="Arial" w:eastAsia="Arial" w:hAnsi="Arial"/>
          <w:sz w:val="17"/>
          <w:szCs w:val="17"/>
          <w:color w:val="auto"/>
        </w:rPr>
      </w:pPr>
    </w:p>
    <w:p>
      <w:pPr>
        <w:ind w:left="1200" w:hanging="599"/>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36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may result in us being required to pay substantially higher premiums for our directors’ and officers’ liability insurance than those to which we are currently subject, and may even cause one or more of our underwriters to be unwilling to insure us.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Since our initial public offering in March 2013, the price of our common stock on the NASDAQ Global Select Market has ranged from $16.18 to $52.58.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53" w:lineRule="exact"/>
        <w:rPr>
          <w:sz w:val="20"/>
          <w:szCs w:val="20"/>
          <w:color w:val="auto"/>
        </w:rPr>
      </w:pPr>
    </w:p>
    <w:p>
      <w:pPr>
        <w:ind w:left="1200" w:right="80" w:hanging="599"/>
        <w:spacing w:after="0" w:line="263"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actions by AbbVie regarding HCV treatment regimens containing paritaprevir or the MAVYRET/MAVIRET regimen containing glecaprevir as approved in the U.S., EU and Japan, including announcements regarding clinical, regulatory or commercial developments or our collaboration;</w:t>
      </w:r>
    </w:p>
    <w:p>
      <w:pPr>
        <w:spacing w:after="0" w:line="74" w:lineRule="exact"/>
        <w:rPr>
          <w:rFonts w:ascii="Arial" w:cs="Arial" w:eastAsia="Arial" w:hAnsi="Arial"/>
          <w:sz w:val="18"/>
          <w:szCs w:val="18"/>
          <w:color w:val="auto"/>
        </w:rPr>
      </w:pPr>
    </w:p>
    <w:p>
      <w:pPr>
        <w:ind w:left="1200" w:right="500" w:hanging="599"/>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paritaprevir-containing HCV treatment regimens or competitive HCV drugs;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p>
      <w:pPr>
        <w:ind w:left="1200" w:right="400" w:hanging="599"/>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maintain their sales levels or AbbVie’s MAVYRET/MAVIRET regimen to achieve commercial success;</w:t>
      </w:r>
    </w:p>
    <w:p>
      <w:pPr>
        <w:spacing w:after="0" w:line="61" w:lineRule="exact"/>
        <w:rPr>
          <w:rFonts w:ascii="Arial" w:cs="Arial" w:eastAsia="Arial" w:hAnsi="Arial"/>
          <w:sz w:val="18"/>
          <w:szCs w:val="18"/>
          <w:color w:val="auto"/>
        </w:rPr>
      </w:pPr>
    </w:p>
    <w:p>
      <w:pPr>
        <w:ind w:left="1200" w:hanging="599"/>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from or delays of clinical trials of our other product candidates, as well as results of regulatory reviews relating to the approval of our product candidates;</w:t>
      </w:r>
    </w:p>
    <w:p>
      <w:pPr>
        <w:spacing w:after="0" w:line="61" w:lineRule="exact"/>
        <w:rPr>
          <w:rFonts w:ascii="Arial" w:cs="Arial" w:eastAsia="Arial" w:hAnsi="Arial"/>
          <w:sz w:val="18"/>
          <w:szCs w:val="18"/>
          <w:color w:val="auto"/>
        </w:rPr>
      </w:pPr>
    </w:p>
    <w:p>
      <w:pPr>
        <w:ind w:left="1200" w:right="320" w:hanging="599"/>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200" w:hanging="59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16" w:lineRule="exact"/>
        <w:rPr>
          <w:rFonts w:ascii="Arial" w:cs="Arial" w:eastAsia="Arial" w:hAnsi="Arial"/>
          <w:sz w:val="18"/>
          <w:szCs w:val="18"/>
          <w:color w:val="auto"/>
        </w:rPr>
      </w:pPr>
    </w:p>
    <w:p>
      <w:pPr>
        <w:ind w:left="1200" w:right="100" w:hanging="599"/>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Arial" w:cs="Arial" w:eastAsia="Arial" w:hAnsi="Arial"/>
          <w:sz w:val="18"/>
          <w:szCs w:val="18"/>
          <w:color w:val="auto"/>
        </w:rPr>
      </w:pPr>
    </w:p>
    <w:p>
      <w:pPr>
        <w:ind w:left="1200" w:right="320" w:hanging="599"/>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8" w:lineRule="exact"/>
        <w:rPr>
          <w:sz w:val="20"/>
          <w:szCs w:val="20"/>
          <w:color w:val="auto"/>
        </w:rPr>
      </w:pPr>
    </w:p>
    <w:p>
      <w:pPr>
        <w:ind w:left="1200" w:hanging="599"/>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53" w:name="page54"/>
    <w:bookmarkEnd w:id="53"/>
    <w:p>
      <w:pPr>
        <w:ind w:left="1200" w:right="40" w:hanging="599"/>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1" w:lineRule="exact"/>
        <w:rPr>
          <w:rFonts w:ascii="Arial" w:cs="Arial" w:eastAsia="Arial" w:hAnsi="Arial"/>
          <w:sz w:val="18"/>
          <w:szCs w:val="18"/>
          <w:color w:val="auto"/>
        </w:rPr>
      </w:pPr>
    </w:p>
    <w:p>
      <w:pPr>
        <w:ind w:left="1200" w:right="380" w:hanging="599"/>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6" w:lineRule="exact"/>
        <w:rPr>
          <w:rFonts w:ascii="Arial" w:cs="Arial" w:eastAsia="Arial" w:hAnsi="Arial"/>
          <w:sz w:val="18"/>
          <w:szCs w:val="18"/>
          <w:color w:val="auto"/>
        </w:rPr>
      </w:pPr>
    </w:p>
    <w:p>
      <w:pPr>
        <w:ind w:left="1200" w:right="420" w:hanging="599"/>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1" w:lineRule="exact"/>
        <w:rPr>
          <w:rFonts w:ascii="Arial" w:cs="Arial" w:eastAsia="Arial" w:hAnsi="Arial"/>
          <w:sz w:val="18"/>
          <w:szCs w:val="18"/>
          <w:color w:val="auto"/>
        </w:rPr>
      </w:pPr>
    </w:p>
    <w:p>
      <w:pPr>
        <w:ind w:left="1200" w:right="500" w:hanging="599"/>
        <w:spacing w:after="0" w:line="286" w:lineRule="auto"/>
        <w:tabs>
          <w:tab w:leader="none" w:pos="12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6" w:lineRule="exact"/>
        <w:rPr>
          <w:rFonts w:ascii="Arial" w:cs="Arial" w:eastAsia="Arial" w:hAnsi="Arial"/>
          <w:sz w:val="17"/>
          <w:szCs w:val="17"/>
          <w:color w:val="auto"/>
        </w:rPr>
      </w:pPr>
    </w:p>
    <w:p>
      <w:pPr>
        <w:ind w:left="1200" w:right="500" w:hanging="599"/>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$4.1 million for severance and other non-equity-based benefits in the event of a termination of employment in connection with a change of control of our company. In addition, based on the closing price of our common stock as of September 30, 2017 of $46.80 per common share, the aggregate intrinsic value of unvested stock options and other equity awards subject to accelerated vesting upon these events was $6.6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Based on the market value of our common stock at March 31, 2017 and the number of shares of our common stock held by non-affiliates, we will continue to be an “emerging growth company” until the end of our 2018 fiscal year. We cannot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ind w:right="580"/>
        <w:spacing w:after="0" w:line="307" w:lineRule="auto"/>
        <w:rPr>
          <w:sz w:val="20"/>
          <w:szCs w:val="20"/>
          <w:color w:val="auto"/>
        </w:rPr>
      </w:pPr>
      <w:r>
        <w:rPr>
          <w:rFonts w:ascii="Arial" w:cs="Arial" w:eastAsia="Arial" w:hAnsi="Arial"/>
          <w:sz w:val="17"/>
          <w:szCs w:val="17"/>
          <w:color w:val="auto"/>
        </w:rPr>
        <w:t>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5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will continue to be an “emerging growth company” until our fiscal year ending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80"/>
        <w:spacing w:after="0" w:line="307"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2017, we had 19.1 million shares of common stock outstanding. In addition, as of September 30, 2017, 2.3 million and 0.2 million shares of common stock that are subject to outstanding options or restricted stock unit awards, respectively, under our equity plan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2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right="380"/>
        <w:spacing w:after="0" w:line="296" w:lineRule="auto"/>
        <w:rPr>
          <w:sz w:val="20"/>
          <w:szCs w:val="20"/>
          <w:color w:val="auto"/>
        </w:rPr>
      </w:pPr>
      <w:r>
        <w:rPr>
          <w:rFonts w:ascii="Arial" w:cs="Arial" w:eastAsia="Arial" w:hAnsi="Arial"/>
          <w:sz w:val="16"/>
          <w:szCs w:val="16"/>
          <w:color w:val="auto"/>
        </w:rPr>
        <w:t>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6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corporate headquarters is located in Watertown, Massachusetts, where we lease approximately 49,000 square feet of office and laboratory space. The term of our current lease expires on September 1, 2022.</w:t>
      </w:r>
    </w:p>
    <w:p>
      <w:pPr>
        <w:spacing w:after="0" w:line="27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legal proceedings.</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60" w:right="40" w:hanging="1348"/>
        <w:spacing w:after="0" w:line="281" w:lineRule="auto"/>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COMPANY’S COMMON EQUITY, RELATED STOCKHOLDER MATTERS AND ISSUER PURCHASES OF EQUITY SECURITIES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Stockholder Information</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common stock has been listed on The NASDAQ Global Select Market under the symbol “ENTA” since March 21, 2013. The following table shows the high and low sales price for our common stock as reported by The NASDAQ Global Select Market for the quarterly periods in the fiscal years ended September 30, 2017 and 2016:</w:t>
      </w:r>
    </w:p>
    <w:p>
      <w:pPr>
        <w:spacing w:after="0" w:line="26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Fiscal 2017</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5"/>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3"/>
                <w:szCs w:val="13"/>
                <w:color w:val="auto"/>
              </w:rPr>
            </w:pPr>
          </w:p>
        </w:tc>
        <w:tc>
          <w:tcPr>
            <w:tcW w:w="80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3"/>
                <w:szCs w:val="13"/>
                <w:color w:val="auto"/>
              </w:rPr>
            </w:pPr>
          </w:p>
        </w:tc>
      </w:tr>
      <w:tr>
        <w:trPr>
          <w:trHeight w:val="236"/>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1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60" w:type="dxa"/>
            <w:vAlign w:val="bottom"/>
            <w:tcBorders>
              <w:top w:val="single" w:sz="8" w:color="CFF0FC"/>
            </w:tcBorders>
            <w:shd w:val="clear" w:color="auto" w:fill="CFF0FC"/>
          </w:tcPr>
          <w:p>
            <w:pPr>
              <w:spacing w:after="0"/>
              <w:rPr>
                <w:sz w:val="20"/>
                <w:szCs w:val="20"/>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Second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36.05</w:t>
            </w:r>
          </w:p>
        </w:tc>
        <w:tc>
          <w:tcPr>
            <w:tcW w:w="1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27.72</w:t>
            </w:r>
          </w:p>
        </w:tc>
        <w:tc>
          <w:tcPr>
            <w:tcW w:w="60" w:type="dxa"/>
            <w:vAlign w:val="bottom"/>
          </w:tcPr>
          <w:p>
            <w:pPr>
              <w:spacing w:after="0"/>
              <w:rPr>
                <w:sz w:val="21"/>
                <w:szCs w:val="21"/>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60" w:type="dxa"/>
            <w:vAlign w:val="bottom"/>
            <w:shd w:val="clear" w:color="auto" w:fill="CFF0F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46.80</w:t>
            </w:r>
          </w:p>
        </w:tc>
        <w:tc>
          <w:tcPr>
            <w:tcW w:w="1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33.42</w:t>
            </w:r>
          </w:p>
        </w:tc>
        <w:tc>
          <w:tcPr>
            <w:tcW w:w="60" w:type="dxa"/>
            <w:vAlign w:val="bottom"/>
          </w:tcPr>
          <w:p>
            <w:pPr>
              <w:spacing w:after="0"/>
              <w:rPr>
                <w:sz w:val="21"/>
                <w:szCs w:val="21"/>
                <w:color w:val="auto"/>
              </w:rPr>
            </w:pPr>
          </w:p>
        </w:tc>
      </w:tr>
      <w:tr>
        <w:trPr>
          <w:trHeight w:val="486"/>
        </w:trPr>
        <w:tc>
          <w:tcPr>
            <w:tcW w:w="5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Fiscal 2016</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3"/>
                <w:szCs w:val="13"/>
                <w:color w:val="auto"/>
              </w:rPr>
            </w:pPr>
          </w:p>
        </w:tc>
        <w:tc>
          <w:tcPr>
            <w:tcW w:w="80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3"/>
                <w:szCs w:val="13"/>
                <w:color w:val="auto"/>
              </w:rPr>
            </w:pPr>
          </w:p>
        </w:tc>
      </w:tr>
      <w:tr>
        <w:trPr>
          <w:trHeight w:val="236"/>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40.68</w:t>
            </w:r>
          </w:p>
        </w:tc>
        <w:tc>
          <w:tcPr>
            <w:tcW w:w="1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60" w:type="dxa"/>
            <w:vAlign w:val="bottom"/>
            <w:tcBorders>
              <w:top w:val="single" w:sz="8" w:color="CFF0FC"/>
            </w:tcBorders>
            <w:shd w:val="clear" w:color="auto" w:fill="CFF0FC"/>
          </w:tcPr>
          <w:p>
            <w:pPr>
              <w:spacing w:after="0"/>
              <w:rPr>
                <w:sz w:val="20"/>
                <w:szCs w:val="20"/>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Second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34.19</w:t>
            </w:r>
          </w:p>
        </w:tc>
        <w:tc>
          <w:tcPr>
            <w:tcW w:w="1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21.52</w:t>
            </w:r>
          </w:p>
        </w:tc>
        <w:tc>
          <w:tcPr>
            <w:tcW w:w="60" w:type="dxa"/>
            <w:vAlign w:val="bottom"/>
          </w:tcPr>
          <w:p>
            <w:pPr>
              <w:spacing w:after="0"/>
              <w:rPr>
                <w:sz w:val="21"/>
                <w:szCs w:val="21"/>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60" w:type="dxa"/>
            <w:vAlign w:val="bottom"/>
            <w:shd w:val="clear" w:color="auto" w:fill="CFF0F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26.81</w:t>
            </w:r>
          </w:p>
        </w:tc>
        <w:tc>
          <w:tcPr>
            <w:tcW w:w="1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21"/>
                <w:szCs w:val="21"/>
                <w:color w:val="auto"/>
              </w:rPr>
            </w:pPr>
          </w:p>
        </w:tc>
      </w:tr>
    </w:tbl>
    <w:p>
      <w:pPr>
        <w:spacing w:after="0" w:line="22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1, 2017, there were 30 stockholders of record of our common stock, which excludes stockholders whose shares were held in nominee or street name by brokers.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We have never declared or paid cash dividends on our common stock, and we do not expect to declare or pay any cash dividends for the foreseeable future.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r>
        <w:rPr>
          <w:rFonts w:ascii="Arial" w:cs="Arial" w:eastAsia="Arial" w:hAnsi="Arial"/>
          <w:sz w:val="15"/>
          <w:szCs w:val="15"/>
          <w:b w:val="1"/>
          <w:bCs w:val="1"/>
          <w:color w:val="auto"/>
        </w:rPr>
        <w:t>(1)</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graph shows a comparison from March 21, 2013 through September 30, 2017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90" w:lineRule="exact"/>
        <w:rPr>
          <w:sz w:val="20"/>
          <w:szCs w:val="20"/>
          <w:color w:val="auto"/>
        </w:rPr>
      </w:pPr>
    </w:p>
    <w:p>
      <w:pPr>
        <w:jc w:val="center"/>
        <w:ind w:left="340" w:right="2540"/>
        <w:spacing w:after="0" w:line="266" w:lineRule="auto"/>
        <w:rPr>
          <w:sz w:val="20"/>
          <w:szCs w:val="20"/>
          <w:color w:val="auto"/>
        </w:rPr>
      </w:pPr>
      <w:r>
        <w:rPr>
          <w:rFonts w:ascii="Arial" w:cs="Arial" w:eastAsia="Arial" w:hAnsi="Arial"/>
          <w:sz w:val="18"/>
          <w:szCs w:val="18"/>
          <w:b w:val="1"/>
          <w:bCs w:val="1"/>
          <w:color w:val="auto"/>
        </w:rPr>
        <w:t>COMPARISON OF FIFTY FOUR MONTH CUMULATIVE TOTAL RETURN Among Enanta Pharmaceuticals, Inc.,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139700</wp:posOffset>
            </wp:positionV>
            <wp:extent cx="5267960" cy="35464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67960" cy="354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600" w:right="40" w:hanging="592"/>
        <w:spacing w:after="0" w:line="263" w:lineRule="auto"/>
        <w:tabs>
          <w:tab w:leader="none" w:pos="60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Enanta Pharmaceuticals, Inc. under the Securities Act of 1933, as amended.</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57" w:name="page58"/>
    <w:bookmarkEnd w:id="57"/>
    <w:p>
      <w:pPr>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CONSOLIDATED FINANCIAL DATA</w:t>
      </w:r>
    </w:p>
    <w:p>
      <w:pPr>
        <w:spacing w:after="0" w:line="12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derived the consolidated statements of operations data for the years ended September 30, 2017, 2016, and 2015 and the consolidated balance sheet data as of September 30, 2017 and 2016 from our audited financial statements included elsewhere in this Annual Report on Form 10-K. The selected statements of operations data for the years ended September 30, 2014 and 2013 and the balance sheet data as of September 30, 2015, 2014 and 2013 are derived from our audited financial statements not included in this Annual Report on Form 10-K. Our historical results for any prior period are not necessarily indicative of any results to be expected for any future period.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7"/>
          </w:tcPr>
          <w:p>
            <w:pPr>
              <w:jc w:val="center"/>
              <w:ind w:left="313"/>
              <w:spacing w:after="0"/>
              <w:rPr>
                <w:sz w:val="20"/>
                <w:szCs w:val="20"/>
                <w:color w:val="auto"/>
              </w:rPr>
            </w:pPr>
            <w:r>
              <w:rPr>
                <w:rFonts w:ascii="Arial" w:cs="Arial" w:eastAsia="Arial" w:hAnsi="Arial"/>
                <w:sz w:val="14"/>
                <w:szCs w:val="14"/>
                <w:b w:val="1"/>
                <w:bCs w:val="1"/>
                <w:color w:val="auto"/>
                <w:w w:val="92"/>
              </w:rPr>
              <w:t>Years Ended September 30,</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5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7"/>
          </w:tcPr>
          <w:p>
            <w:pPr>
              <w:jc w:val="center"/>
              <w:ind w:left="313"/>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102,814</w:t>
            </w:r>
          </w:p>
        </w:tc>
        <w:tc>
          <w:tcPr>
            <w:tcW w:w="24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88,268</w:t>
            </w:r>
          </w:p>
        </w:tc>
        <w:tc>
          <w:tcPr>
            <w:tcW w:w="2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160,880</w:t>
            </w:r>
          </w:p>
        </w:tc>
        <w:tc>
          <w:tcPr>
            <w:tcW w:w="3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47,741</w:t>
            </w:r>
          </w:p>
        </w:tc>
        <w:tc>
          <w:tcPr>
            <w:tcW w:w="16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32,053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57,451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40,461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23,189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18,740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13,543</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36,732</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28,756</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24,614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124,148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18,985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before income tax</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125,455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40" w:type="dxa"/>
            <w:vAlign w:val="bottom"/>
          </w:tcPr>
          <w:p>
            <w:pPr>
              <w:ind w:left="50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(9,237)</w:t>
            </w:r>
          </w:p>
        </w:tc>
        <w:tc>
          <w:tcPr>
            <w:tcW w:w="3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(10,894)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(46,463)</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1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78,992</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34,438</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140" w:type="dxa"/>
            <w:vAlign w:val="bottom"/>
          </w:tcPr>
          <w:p>
            <w:pPr>
              <w:ind w:left="500"/>
              <w:spacing w:after="0"/>
              <w:rPr>
                <w:sz w:val="20"/>
                <w:szCs w:val="20"/>
                <w:color w:val="auto"/>
              </w:rPr>
            </w:pPr>
            <w:r>
              <w:rPr>
                <w:rFonts w:ascii="Arial" w:cs="Arial" w:eastAsia="Arial" w:hAnsi="Arial"/>
                <w:sz w:val="18"/>
                <w:szCs w:val="18"/>
                <w:color w:val="auto"/>
              </w:rPr>
              <w:t>Accretion of redeemable convertible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40" w:type="dxa"/>
            <w:vAlign w:val="bottom"/>
          </w:tcPr>
          <w:p>
            <w:pPr>
              <w:ind w:left="640"/>
              <w:spacing w:after="0"/>
              <w:rPr>
                <w:sz w:val="20"/>
                <w:szCs w:val="20"/>
                <w:color w:val="auto"/>
              </w:rPr>
            </w:pPr>
            <w:r>
              <w:rPr>
                <w:rFonts w:ascii="Arial" w:cs="Arial" w:eastAsia="Arial" w:hAnsi="Arial"/>
                <w:sz w:val="18"/>
                <w:szCs w:val="18"/>
                <w:color w:val="auto"/>
              </w:rPr>
              <w:t>preferred stock to redemption 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(2,526)</w:t>
            </w:r>
          </w:p>
        </w:tc>
        <w:tc>
          <w:tcPr>
            <w:tcW w:w="20" w:type="dxa"/>
            <w:vAlign w:val="bottom"/>
          </w:tcPr>
          <w:p>
            <w:pPr>
              <w:spacing w:after="0"/>
              <w:rPr>
                <w:sz w:val="20"/>
                <w:szCs w:val="20"/>
                <w:color w:val="auto"/>
              </w:rPr>
            </w:pPr>
          </w:p>
        </w:tc>
      </w:tr>
      <w:tr>
        <w:trPr>
          <w:trHeight w:val="215"/>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attributable to participating</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(13,670)</w:t>
            </w:r>
          </w:p>
        </w:tc>
        <w:tc>
          <w:tcPr>
            <w:tcW w:w="20" w:type="dxa"/>
            <w:vAlign w:val="bottom"/>
          </w:tcPr>
          <w:p>
            <w:pPr>
              <w:spacing w:after="0"/>
              <w:rPr>
                <w:sz w:val="20"/>
                <w:szCs w:val="20"/>
                <w:color w:val="auto"/>
              </w:rPr>
            </w:pPr>
          </w:p>
        </w:tc>
      </w:tr>
      <w:tr>
        <w:trPr>
          <w:trHeight w:val="208"/>
        </w:trPr>
        <w:tc>
          <w:tcPr>
            <w:tcW w:w="5140" w:type="dxa"/>
            <w:vAlign w:val="bottom"/>
          </w:tcPr>
          <w:p>
            <w:pPr>
              <w:ind w:left="260"/>
              <w:spacing w:after="0"/>
              <w:rPr>
                <w:sz w:val="20"/>
                <w:szCs w:val="20"/>
                <w:color w:val="auto"/>
              </w:rPr>
            </w:pPr>
            <w:r>
              <w:rPr>
                <w:rFonts w:ascii="Arial" w:cs="Arial" w:eastAsia="Arial" w:hAnsi="Arial"/>
                <w:sz w:val="18"/>
                <w:szCs w:val="18"/>
                <w:color w:val="auto"/>
              </w:rPr>
              <w:t>Net income (loss) attributable to common</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40" w:type="dxa"/>
            <w:vAlign w:val="bottom"/>
          </w:tcPr>
          <w:p>
            <w:pPr>
              <w:ind w:left="380"/>
              <w:spacing w:after="0"/>
              <w:rPr>
                <w:sz w:val="20"/>
                <w:szCs w:val="20"/>
                <w:color w:val="auto"/>
              </w:rPr>
            </w:pPr>
            <w:r>
              <w:rPr>
                <w:rFonts w:ascii="Arial" w:cs="Arial" w:eastAsia="Arial" w:hAnsi="Arial"/>
                <w:sz w:val="18"/>
                <w:szCs w:val="18"/>
                <w:color w:val="auto"/>
              </w:rPr>
              <w:t>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17,710</w:t>
            </w:r>
          </w:p>
        </w:tc>
        <w:tc>
          <w:tcPr>
            <w:tcW w:w="24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21,666</w:t>
            </w:r>
          </w:p>
        </w:tc>
        <w:tc>
          <w:tcPr>
            <w:tcW w:w="20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78,992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34,438</w:t>
            </w:r>
          </w:p>
        </w:tc>
        <w:tc>
          <w:tcPr>
            <w:tcW w:w="16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(6,569)</w:t>
            </w:r>
          </w:p>
        </w:tc>
        <w:tc>
          <w:tcPr>
            <w:tcW w:w="20" w:type="dxa"/>
            <w:vAlign w:val="bottom"/>
          </w:tcPr>
          <w:p>
            <w:pPr>
              <w:spacing w:after="0"/>
              <w:rPr>
                <w:sz w:val="20"/>
                <w:szCs w:val="20"/>
                <w:color w:val="auto"/>
              </w:rPr>
            </w:pPr>
          </w:p>
        </w:tc>
      </w:tr>
      <w:tr>
        <w:trPr>
          <w:trHeight w:val="229"/>
        </w:trPr>
        <w:tc>
          <w:tcPr>
            <w:tcW w:w="5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140" w:type="dxa"/>
            <w:vAlign w:val="bottom"/>
          </w:tcPr>
          <w:p>
            <w:pPr>
              <w:ind w:left="260"/>
              <w:spacing w:after="0"/>
              <w:rPr>
                <w:sz w:val="20"/>
                <w:szCs w:val="20"/>
                <w:color w:val="auto"/>
              </w:rPr>
            </w:pPr>
            <w:r>
              <w:rPr>
                <w:rFonts w:ascii="Arial" w:cs="Arial" w:eastAsia="Arial" w:hAnsi="Arial"/>
                <w:sz w:val="18"/>
                <w:szCs w:val="18"/>
                <w:color w:val="auto"/>
              </w:rPr>
              <w:t>Net income (loss) per share attributable to</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40" w:type="dxa"/>
            <w:vAlign w:val="bottom"/>
          </w:tcPr>
          <w:p>
            <w:pPr>
              <w:ind w:left="380"/>
              <w:spacing w:after="0"/>
              <w:rPr>
                <w:sz w:val="20"/>
                <w:szCs w:val="20"/>
                <w:color w:val="auto"/>
              </w:rPr>
            </w:pPr>
            <w:r>
              <w:rPr>
                <w:rFonts w:ascii="Arial" w:cs="Arial" w:eastAsia="Arial" w:hAnsi="Arial"/>
                <w:sz w:val="18"/>
                <w:szCs w:val="18"/>
                <w:color w:val="auto"/>
              </w:rPr>
              <w:t>common stockholders: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19"/>
                <w:szCs w:val="19"/>
                <w:color w:val="auto"/>
              </w:rPr>
            </w:pPr>
          </w:p>
        </w:tc>
      </w:tr>
      <w:tr>
        <w:trPr>
          <w:trHeight w:val="229"/>
        </w:trPr>
        <w:tc>
          <w:tcPr>
            <w:tcW w:w="5140" w:type="dxa"/>
            <w:vAlign w:val="bottom"/>
          </w:tcPr>
          <w:p>
            <w:pPr>
              <w:ind w:left="50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0.91</w:t>
            </w:r>
          </w:p>
        </w:tc>
        <w:tc>
          <w:tcPr>
            <w:tcW w:w="24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4.09</w:t>
            </w:r>
          </w:p>
        </w:tc>
        <w:tc>
          <w:tcPr>
            <w:tcW w:w="3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19"/>
                <w:szCs w:val="19"/>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40" w:type="dxa"/>
            <w:vAlign w:val="bottom"/>
          </w:tcPr>
          <w:p>
            <w:pPr>
              <w:ind w:left="50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19,066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18,673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18,355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As of September 30,</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3"/>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293,707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242,203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209,443</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131,767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112,183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216,837</w:t>
            </w:r>
          </w:p>
        </w:tc>
        <w:tc>
          <w:tcPr>
            <w:tcW w:w="3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224,267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163,937</w:t>
            </w:r>
          </w:p>
        </w:tc>
        <w:tc>
          <w:tcPr>
            <w:tcW w:w="3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103,229</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100,187</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326,637</w:t>
            </w:r>
          </w:p>
        </w:tc>
        <w:tc>
          <w:tcPr>
            <w:tcW w:w="3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281,277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246,013</w:t>
            </w:r>
          </w:p>
        </w:tc>
        <w:tc>
          <w:tcPr>
            <w:tcW w:w="3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155,415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116,973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458</w:t>
            </w:r>
          </w:p>
        </w:tc>
        <w:tc>
          <w:tcPr>
            <w:tcW w:w="3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Warrant liability</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3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1,276</w:t>
            </w:r>
          </w:p>
        </w:tc>
        <w:tc>
          <w:tcPr>
            <w:tcW w:w="3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1,584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Series 1 nonconvertible preferred stock</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762</w:t>
            </w:r>
          </w:p>
        </w:tc>
        <w:tc>
          <w:tcPr>
            <w:tcW w:w="3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301,676</w:t>
            </w:r>
          </w:p>
        </w:tc>
        <w:tc>
          <w:tcPr>
            <w:tcW w:w="3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269,936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236,157</w:t>
            </w:r>
          </w:p>
        </w:tc>
        <w:tc>
          <w:tcPr>
            <w:tcW w:w="3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148,654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110,468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47"/>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251"/>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8" w:name="page59"/>
    <w:bookmarkEnd w:id="58"/>
    <w:p>
      <w:pPr>
        <w:spacing w:after="0"/>
        <w:tabs>
          <w:tab w:leader="none" w:pos="13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financial condition and results of operations together with the section entitled “Selected Consolidated Financial Data” and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and marketed as part of AbbVie’s new direct-acting antiviral (DAA) regimen under the tradenames MAVYRET™ (U.S.) or MAVIRET™ (ex-U.S.) (glecaprevir/pibrentasvir) for the treatment of chronic hepatitis C virus, or HCV. The other protease inhibitor under our HCV collaboration is part of AbbVie’s initial DAA regimens for the treatment of chronic HCV marketed under the tradenames VIEKIRA PAK</w:t>
      </w:r>
      <w:r>
        <w:rPr>
          <w:rFonts w:ascii="Arial" w:cs="Arial" w:eastAsia="Arial" w:hAnsi="Arial"/>
          <w:sz w:val="15"/>
          <w:szCs w:val="15"/>
          <w:color w:val="auto"/>
        </w:rPr>
        <w:t>®</w:t>
      </w:r>
      <w:r>
        <w:rPr>
          <w:rFonts w:ascii="Arial" w:cs="Arial" w:eastAsia="Arial" w:hAnsi="Arial"/>
          <w:sz w:val="18"/>
          <w:szCs w:val="18"/>
          <w:color w:val="auto"/>
        </w:rPr>
        <w:t xml:space="preserve"> (paritaprevir/ritonavir/ombitasvir/</w:t>
      </w:r>
    </w:p>
    <w:p>
      <w:pPr>
        <w:spacing w:after="0" w:line="4"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dasabuvir) (U.S.) or VIEKIRAX</w:t>
      </w:r>
      <w:r>
        <w:rPr>
          <w:rFonts w:ascii="Arial" w:cs="Arial" w:eastAsia="Arial" w:hAnsi="Arial"/>
          <w:sz w:val="13"/>
          <w:szCs w:val="13"/>
          <w:color w:val="auto"/>
        </w:rPr>
        <w:t>®</w:t>
      </w:r>
      <w:r>
        <w:rPr>
          <w:rFonts w:ascii="Arial" w:cs="Arial" w:eastAsia="Arial" w:hAnsi="Arial"/>
          <w:sz w:val="16"/>
          <w:szCs w:val="16"/>
          <w:color w:val="auto"/>
        </w:rPr>
        <w:t xml:space="preserve"> (paritaprevir/ritonavir/ombitasvir) (ex-U.S.). Our royalties from our AbbVie collaboration and our existing financial resources provide us funding to support our wholly owned research and development efforts, which are currently focused on the following disease targets:</w:t>
      </w:r>
    </w:p>
    <w:p>
      <w:pPr>
        <w:spacing w:after="0" w:line="30" w:lineRule="exact"/>
        <w:rPr>
          <w:sz w:val="20"/>
          <w:szCs w:val="20"/>
          <w:color w:val="auto"/>
        </w:rPr>
      </w:pPr>
    </w:p>
    <w:p>
      <w:pPr>
        <w:ind w:left="1200" w:hanging="599"/>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6 million individuals in the U.S. alone;</w:t>
      </w:r>
    </w:p>
    <w:p>
      <w:pPr>
        <w:spacing w:after="0" w:line="116" w:lineRule="exact"/>
        <w:rPr>
          <w:rFonts w:ascii="Arial" w:cs="Arial" w:eastAsia="Arial" w:hAnsi="Arial"/>
          <w:sz w:val="18"/>
          <w:szCs w:val="18"/>
          <w:color w:val="auto"/>
        </w:rPr>
      </w:pPr>
    </w:p>
    <w:p>
      <w:pPr>
        <w:ind w:left="1200" w:right="400" w:hanging="599"/>
        <w:spacing w:after="0" w:line="277"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primary biliary cholangitis, or PBC, a chronic liver disease that slowly destroys bile ducts in the liver, which affects an estimated 17,000 individuals in the U.S.;</w:t>
      </w:r>
    </w:p>
    <w:p>
      <w:pPr>
        <w:spacing w:after="0" w:line="61" w:lineRule="exact"/>
        <w:rPr>
          <w:rFonts w:ascii="Arial" w:cs="Arial" w:eastAsia="Arial" w:hAnsi="Arial"/>
          <w:sz w:val="18"/>
          <w:szCs w:val="18"/>
          <w:color w:val="auto"/>
        </w:rPr>
      </w:pPr>
    </w:p>
    <w:p>
      <w:pPr>
        <w:ind w:left="1200" w:right="320" w:hanging="599"/>
        <w:spacing w:after="0" w:line="277"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respiratory syncytial virus, or RSV, the most common cause of bronchiolitis and pneumonia in children under one year of age in the U.S., resulting in an estimated 75,000 to 125,000 hospitalizations each year in the U.S.; and</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250 million individuals worldwide.</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had $293.7 million in cash and marketable securities at September 30, 2017. In fiscal 2017, we received and earned as revenue a total of $65.0 million in milestone payments for commercialization regulatory approvals of the glecaprevir/pibrentasvir combination in the U.S. in August 2017 and the EU in July 2017 and earned $37.8 million in per-product royalties on portions of AbbVie’s net sales of its HCV regimens allocated to paritaprevir or glecaprevir. We earned the remaining $15.0 million milestone payment from AbbVie upon reimbursement approval for MAVIRET in Japan in November 2017. We expect our existing financial resources and quarterly royalty payments will allow us to continue to invest for the foreseeable future in our wholly owned research and development programs.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 Owned Programs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wholly owned research and development programs are in liver disease (non-virology), namely NASH and PBC, and in virology, namely RSV and HBV:</w:t>
      </w:r>
    </w:p>
    <w:p>
      <w:pPr>
        <w:spacing w:after="0" w:line="154" w:lineRule="exact"/>
        <w:rPr>
          <w:sz w:val="20"/>
          <w:szCs w:val="20"/>
          <w:color w:val="auto"/>
        </w:rPr>
      </w:pPr>
    </w:p>
    <w:p>
      <w:pPr>
        <w:ind w:left="1200" w:right="20" w:hanging="599"/>
        <w:spacing w:after="0" w:line="271" w:lineRule="auto"/>
        <w:tabs>
          <w:tab w:leader="none" w:pos="120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NASH and PBC:</w:t>
      </w:r>
      <w:r>
        <w:rPr>
          <w:rFonts w:ascii="Arial" w:cs="Arial" w:eastAsia="Arial" w:hAnsi="Arial"/>
          <w:sz w:val="1"/>
          <w:szCs w:val="1"/>
          <w:color w:val="auto"/>
        </w:rPr>
        <w:drawing>
          <wp:inline distT="0" distB="0" distL="0" distR="0">
            <wp:extent cx="34290" cy="14541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145415"/>
                    </a:xfrm>
                    <a:prstGeom prst="rect">
                      <a:avLst/>
                    </a:prstGeom>
                    <a:noFill/>
                    <a:ln>
                      <a:noFill/>
                    </a:ln>
                  </pic:spPr>
                </pic:pic>
              </a:graphicData>
            </a:graphic>
          </wp:inline>
        </w:drawing>
      </w:r>
      <w:r>
        <w:rPr>
          <w:rFonts w:ascii="Arial" w:cs="Arial" w:eastAsia="Arial" w:hAnsi="Arial"/>
          <w:sz w:val="16"/>
          <w:szCs w:val="16"/>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 FXR agonist designed to take advantage of increased binding interactions with the receptor. We believe this class is significantly different from other FXR agonists in clinical development.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9" w:name="page60"/>
    <w:bookmarkEnd w:id="59"/>
    <w:p>
      <w:pPr>
        <w:ind w:left="1200" w:right="140" w:hanging="599"/>
        <w:spacing w:after="0" w:line="259"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October 2017, we announced results of a Phase 1a/b clinical study of EDP-305, which was generally safe and well tolerated over a broad range of single and multiple doses with pharmacokinetic data supporting once daily oral dosing. The study included 98 healthy volunteer subjects, or HV subjects, and 48 subjects who were obese and with or without pre-diabetes or type 2 diabetes, whom we refer to as subjects with presumptive non-alcoholic fatty liver disease, or PN subjects.</w:t>
      </w:r>
    </w:p>
    <w:p>
      <w:pPr>
        <w:spacing w:after="0" w:line="77" w:lineRule="exact"/>
        <w:rPr>
          <w:rFonts w:ascii="Arial" w:cs="Arial" w:eastAsia="Arial" w:hAnsi="Arial"/>
          <w:sz w:val="18"/>
          <w:szCs w:val="18"/>
          <w:color w:val="auto"/>
        </w:rPr>
      </w:pPr>
    </w:p>
    <w:p>
      <w:pPr>
        <w:ind w:left="2960" w:right="80" w:hanging="430"/>
        <w:spacing w:after="0" w:line="307" w:lineRule="auto"/>
        <w:tabs>
          <w:tab w:leader="none" w:pos="2960" w:val="left"/>
        </w:tabs>
        <w:numPr>
          <w:ilvl w:val="3"/>
          <w:numId w:val="43"/>
        </w:numPr>
        <w:rPr>
          <w:rFonts w:ascii="Arial" w:cs="Arial" w:eastAsia="Arial" w:hAnsi="Arial"/>
          <w:sz w:val="17"/>
          <w:szCs w:val="17"/>
          <w:color w:val="auto"/>
        </w:rPr>
      </w:pPr>
      <w:r>
        <w:rPr>
          <w:rFonts w:ascii="Arial" w:cs="Arial" w:eastAsia="Arial" w:hAnsi="Arial"/>
          <w:sz w:val="17"/>
          <w:szCs w:val="17"/>
          <w:color w:val="auto"/>
        </w:rPr>
        <w:t>EDP-305 exhibited strong engagement of the FXR receptor as evidenced by increased levels of FGF19 and reduced levels of C4, both of which are monitored as downstream markers indicating FXR receptor activity.</w:t>
      </w:r>
    </w:p>
    <w:p>
      <w:pPr>
        <w:spacing w:after="0" w:line="39" w:lineRule="exact"/>
        <w:rPr>
          <w:rFonts w:ascii="Arial" w:cs="Arial" w:eastAsia="Arial" w:hAnsi="Arial"/>
          <w:sz w:val="17"/>
          <w:szCs w:val="17"/>
          <w:color w:val="auto"/>
        </w:rPr>
      </w:pPr>
    </w:p>
    <w:p>
      <w:pPr>
        <w:ind w:left="2960" w:right="360" w:hanging="430"/>
        <w:spacing w:after="0" w:line="277" w:lineRule="auto"/>
        <w:tabs>
          <w:tab w:leader="none" w:pos="2960" w:val="left"/>
        </w:tabs>
        <w:numPr>
          <w:ilvl w:val="3"/>
          <w:numId w:val="43"/>
        </w:numPr>
        <w:rPr>
          <w:rFonts w:ascii="Arial" w:cs="Arial" w:eastAsia="Arial" w:hAnsi="Arial"/>
          <w:sz w:val="18"/>
          <w:szCs w:val="18"/>
          <w:color w:val="auto"/>
        </w:rPr>
      </w:pPr>
      <w:r>
        <w:rPr>
          <w:rFonts w:ascii="Arial" w:cs="Arial" w:eastAsia="Arial" w:hAnsi="Arial"/>
          <w:sz w:val="18"/>
          <w:szCs w:val="18"/>
          <w:color w:val="auto"/>
        </w:rPr>
        <w:t>Results support the ability to administer EDP-305 in future trials at doses that neither elicit clinically significant changes in lipids nor result in pruritus (itching).</w:t>
      </w:r>
    </w:p>
    <w:p>
      <w:pPr>
        <w:spacing w:after="0" w:line="61" w:lineRule="exact"/>
        <w:rPr>
          <w:rFonts w:ascii="Arial" w:cs="Arial" w:eastAsia="Arial" w:hAnsi="Arial"/>
          <w:sz w:val="18"/>
          <w:szCs w:val="18"/>
          <w:color w:val="auto"/>
        </w:rPr>
      </w:pPr>
    </w:p>
    <w:p>
      <w:pPr>
        <w:ind w:left="1780" w:right="80" w:hanging="585"/>
        <w:spacing w:after="0" w:line="279" w:lineRule="auto"/>
        <w:tabs>
          <w:tab w:leader="none" w:pos="17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Since November 2016, we have presented data at the 2016 and 2017 annual meetings of the American Association for the Study of Liver Diseases (AASLD), the 2017 NASH-TAG conference and the 2017 International Liver Congress (ILC) that demonstrated that EDP-305 is a highly selective FXR agonist and shows more potent activity in a variety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NASH models compared to the most advanced NASH candidate in development today, obeticholic acid, or OCA.</w:t>
      </w:r>
    </w:p>
    <w:p>
      <w:pPr>
        <w:spacing w:after="0" w:line="62" w:lineRule="exact"/>
        <w:rPr>
          <w:rFonts w:ascii="Arial" w:cs="Arial" w:eastAsia="Arial" w:hAnsi="Arial"/>
          <w:sz w:val="17"/>
          <w:szCs w:val="17"/>
          <w:color w:val="auto"/>
        </w:rPr>
      </w:pPr>
    </w:p>
    <w:p>
      <w:pPr>
        <w:ind w:left="1780" w:hanging="585"/>
        <w:spacing w:after="0"/>
        <w:tabs>
          <w:tab w:leader="none" w:pos="1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We plan to initiate a Phase 2 clinical study of EDP-305 in PBC patients by the end of calendar 2017.</w:t>
      </w:r>
    </w:p>
    <w:p>
      <w:pPr>
        <w:spacing w:after="0" w:line="116" w:lineRule="exact"/>
        <w:rPr>
          <w:rFonts w:ascii="Arial" w:cs="Arial" w:eastAsia="Arial" w:hAnsi="Arial"/>
          <w:sz w:val="18"/>
          <w:szCs w:val="18"/>
          <w:color w:val="auto"/>
        </w:rPr>
      </w:pPr>
    </w:p>
    <w:p>
      <w:pPr>
        <w:ind w:left="1780" w:hanging="585"/>
        <w:spacing w:after="0"/>
        <w:tabs>
          <w:tab w:leader="none" w:pos="1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We also plan to initiate a Phase 2 clinical study of EDP-305 in NASH patients in early 2018.</w:t>
      </w:r>
    </w:p>
    <w:p>
      <w:pPr>
        <w:spacing w:after="0" w:line="116" w:lineRule="exact"/>
        <w:rPr>
          <w:rFonts w:ascii="Arial" w:cs="Arial" w:eastAsia="Arial" w:hAnsi="Arial"/>
          <w:sz w:val="18"/>
          <w:szCs w:val="18"/>
          <w:color w:val="auto"/>
        </w:rPr>
      </w:pPr>
    </w:p>
    <w:p>
      <w:pPr>
        <w:ind w:left="1780" w:right="380" w:hanging="585"/>
        <w:spacing w:after="0" w:line="277" w:lineRule="auto"/>
        <w:tabs>
          <w:tab w:leader="none" w:pos="1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EDP-305 has been granted Fast Track designation by the U.S. Food and Drug Administration (FDA) for the treatment of NASH patients with liver fibrosis and separately for the treatment of PBC.</w:t>
      </w:r>
    </w:p>
    <w:p>
      <w:pPr>
        <w:spacing w:after="0" w:line="61" w:lineRule="exact"/>
        <w:rPr>
          <w:rFonts w:ascii="Arial" w:cs="Arial" w:eastAsia="Arial" w:hAnsi="Arial"/>
          <w:sz w:val="18"/>
          <w:szCs w:val="18"/>
          <w:color w:val="auto"/>
        </w:rPr>
      </w:pPr>
    </w:p>
    <w:p>
      <w:pPr>
        <w:ind w:left="1780" w:right="360" w:hanging="585"/>
        <w:spacing w:after="0" w:line="307" w:lineRule="auto"/>
        <w:tabs>
          <w:tab w:leader="none" w:pos="17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In addition, we are pursuing research in other classes of FXR agonists as well as other mechanisms that may provide therapeutic benefit in NASH and that either or both of these could be used as combination therapies for NASH.</w:t>
      </w:r>
    </w:p>
    <w:p>
      <w:pPr>
        <w:spacing w:after="0" w:line="39" w:lineRule="exact"/>
        <w:rPr>
          <w:rFonts w:ascii="Arial" w:cs="Arial" w:eastAsia="Arial" w:hAnsi="Arial"/>
          <w:sz w:val="17"/>
          <w:szCs w:val="17"/>
          <w:color w:val="auto"/>
        </w:rPr>
      </w:pPr>
    </w:p>
    <w:p>
      <w:pPr>
        <w:ind w:left="1200" w:right="60" w:hanging="599"/>
        <w:spacing w:after="0" w:line="259"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selected EDP-938, a potent N-protein inhibitor of activity of both major subgroups of RSV, referred to as RSV-A and RSV-B, as our first development candidate for RSV. We believe EDP-938 is differentiated from fusion inhibitors currently in development for RSV because N-protein inhibitors directly target the viral replication process of RSV and have demonstrated high barriers to resistance against RSV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1740" w:right="80" w:hanging="532"/>
        <w:spacing w:after="0" w:line="293" w:lineRule="auto"/>
        <w:tabs>
          <w:tab w:leader="none" w:pos="1740" w:val="left"/>
        </w:tabs>
        <w:numPr>
          <w:ilvl w:val="2"/>
          <w:numId w:val="43"/>
        </w:numPr>
        <w:rPr>
          <w:rFonts w:ascii="Arial" w:cs="Arial" w:eastAsia="Arial" w:hAnsi="Arial"/>
          <w:sz w:val="16"/>
          <w:szCs w:val="16"/>
          <w:color w:val="auto"/>
        </w:rPr>
      </w:pPr>
      <w:r>
        <w:rPr>
          <w:rFonts w:ascii="Arial" w:cs="Arial" w:eastAsia="Arial" w:hAnsi="Arial"/>
          <w:sz w:val="16"/>
          <w:szCs w:val="16"/>
          <w:color w:val="auto"/>
        </w:rPr>
        <w:t xml:space="preserve">In June 2017, we presented preclinical data demonstrating that EDP-938 is a potent inhibitor of both RSV-A and RSV-B activity, maintaining antiviral activity post-infection while presenting a high barrier to resistance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EDP-938 demonstrated a greater than 4-log reduction in viral load in an animal model challenged with RSV. Further, EDP-938 maintained antiviral potency across all clinical isolates tested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well as virus that was resistant to fusion inhibitors. The compound inhibited RSV at a post-entry, replication step and maintained its activity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when given 24 hours post infection. In addition, combination studies of EDP-938 with other types of RSV inhibitors, such as fusion inhibitors, showed synergistic antiviral effects.</w:t>
      </w:r>
    </w:p>
    <w:p>
      <w:pPr>
        <w:spacing w:after="0" w:line="55" w:lineRule="exact"/>
        <w:rPr>
          <w:rFonts w:ascii="Arial" w:cs="Arial" w:eastAsia="Arial" w:hAnsi="Arial"/>
          <w:sz w:val="16"/>
          <w:szCs w:val="16"/>
          <w:color w:val="auto"/>
        </w:rPr>
      </w:pPr>
    </w:p>
    <w:p>
      <w:pPr>
        <w:ind w:left="1740" w:hanging="532"/>
        <w:spacing w:after="0"/>
        <w:tabs>
          <w:tab w:leader="none" w:pos="17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We plan to initiate a Phase 1 clinical study of EDP-938 by the end of calendar 2017.</w:t>
      </w:r>
    </w:p>
    <w:p>
      <w:pPr>
        <w:spacing w:after="0" w:line="116" w:lineRule="exact"/>
        <w:rPr>
          <w:rFonts w:ascii="Arial" w:cs="Arial" w:eastAsia="Arial" w:hAnsi="Arial"/>
          <w:sz w:val="18"/>
          <w:szCs w:val="18"/>
          <w:color w:val="auto"/>
        </w:rPr>
      </w:pPr>
    </w:p>
    <w:p>
      <w:pPr>
        <w:ind w:left="1200" w:hanging="599"/>
        <w:spacing w:after="0" w:line="275" w:lineRule="auto"/>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HBV:</w:t>
      </w:r>
      <w:r>
        <w:rPr>
          <w:rFonts w:ascii="Arial" w:cs="Arial" w:eastAsia="Arial" w:hAnsi="Arial"/>
          <w:sz w:val="17"/>
          <w:szCs w:val="17"/>
          <w:color w:val="auto"/>
        </w:rPr>
        <w:t xml:space="preserve"> We also have a program to discover and develop new chemical entities for the treatment of HBV. Our initial focus is on core inhibitors, a mechanism with early clinical validation. We believe that it may be necessary to utilize more than one compound/mechanism for the treatment of HBV and therefore we are pursuing multiple approaches. We continue to make progress in discovering, characterizing, and seeking patent protection for new core inhibitors of HBV with the goal of identifying a development candidate in 2018. In addition, we are conducting preclinical experiments with other mechanisms that target HBV.</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Licensed Products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Through our Collaborative Development and License Agreement with AbbVie, we have developed and licensed to AbbVie two protease inhibitor compounds that have been clinically tested, manufactured, and commercialized by AbbVie. Royalties on AbbVie’s net sales allocated to the protease inhibitors in these HCV regimens provided us $37.8 million and $57.7 million in royalty revenue in our 2017 and 2016 fiscal years, respectively. To date, we have earned a total of $330.0 million in milestone payments related to clinical development and commercialization regulatory approvals of these regimens in major markets, including a $15.0 million milestone earned in November 2017.</w:t>
      </w:r>
    </w:p>
    <w:p>
      <w:pPr>
        <w:spacing w:after="0" w:line="83" w:lineRule="exact"/>
        <w:rPr>
          <w:sz w:val="20"/>
          <w:szCs w:val="20"/>
          <w:color w:val="auto"/>
        </w:rPr>
      </w:pPr>
    </w:p>
    <w:p>
      <w:pPr>
        <w:ind w:left="1200" w:hanging="599"/>
        <w:spacing w:after="0" w:line="255"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Glecaprevir:</w:t>
      </w:r>
      <w:r>
        <w:rPr>
          <w:rFonts w:ascii="Arial" w:cs="Arial" w:eastAsia="Arial" w:hAnsi="Arial"/>
          <w:sz w:val="18"/>
          <w:szCs w:val="18"/>
          <w:color w:val="auto"/>
        </w:rPr>
        <w:t xml:space="preserve"> Glecaprevir is the protease inhibitor we discovered that was developed by AbbVie in its new fixed-dose combination with its NS5A inhibitor, pibrentasvir, for the treatment of HCV. This combination, currently marketed under the brand name MAVYRET™ in the U.S. and MAVIRET™ ex-U.S. and referred to in this report as MAVYRET/MAVIRET, is a new, once daily, all oral, fixed-dose, ribavirin-free treatment for HCV genotypes 1-6, which is referred to as being pan-genotypic. In the EU, U.S. and Japan it is approved as an 8-week treatment for patients without cirrhosis and new to treatment. Today, these patients are estimated to represent the majority of HCV patients in the developed country markets.</w:t>
      </w:r>
    </w:p>
    <w:p>
      <w:pPr>
        <w:spacing w:after="0" w:line="8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economics from AbbVie’s MAVYRET/MAVIRET consist of two components:</w:t>
      </w:r>
    </w:p>
    <w:p>
      <w:pPr>
        <w:spacing w:after="0" w:line="117" w:lineRule="exact"/>
        <w:rPr>
          <w:sz w:val="20"/>
          <w:szCs w:val="20"/>
          <w:color w:val="auto"/>
        </w:rPr>
      </w:pPr>
    </w:p>
    <w:p>
      <w:pPr>
        <w:ind w:left="1780" w:hanging="585"/>
        <w:spacing w:after="0" w:line="263" w:lineRule="auto"/>
        <w:tabs>
          <w:tab w:leader="none" w:pos="1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earned a total of $65.0 million in milestone payments in fiscal 2017 upon approval for the glecaprevir/pibrentasvir combination in the U.S. and the EU, and we earned the remaining $15.0 million milestone payment in November 2017 in connection with commercialization regulatory approval in Japan.</w:t>
      </w:r>
    </w:p>
    <w:p>
      <w:pPr>
        <w:spacing w:after="0" w:line="74" w:lineRule="exact"/>
        <w:rPr>
          <w:rFonts w:ascii="Arial" w:cs="Arial" w:eastAsia="Arial" w:hAnsi="Arial"/>
          <w:sz w:val="18"/>
          <w:szCs w:val="18"/>
          <w:color w:val="auto"/>
        </w:rPr>
      </w:pPr>
    </w:p>
    <w:p>
      <w:pPr>
        <w:ind w:left="1780" w:right="300" w:hanging="585"/>
        <w:spacing w:after="0" w:line="341" w:lineRule="auto"/>
        <w:tabs>
          <w:tab w:leader="none" w:pos="1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also receive annually tiered, double-digit, per-product royalties on 50% of the net sales of the 2-DAA glecaprevir/pibrentasvir combination in MAVYRET/MAVIRET, which are calculated separately from the royalties of paritaprevir-containing regimens.</w:t>
      </w:r>
    </w:p>
    <w:p>
      <w:pPr>
        <w:spacing w:after="0" w:line="17" w:lineRule="exact"/>
        <w:rPr>
          <w:sz w:val="20"/>
          <w:szCs w:val="20"/>
          <w:color w:val="auto"/>
        </w:rPr>
      </w:pPr>
    </w:p>
    <w:p>
      <w:pPr>
        <w:ind w:left="1220" w:right="860"/>
        <w:spacing w:after="0" w:line="307" w:lineRule="auto"/>
        <w:rPr>
          <w:sz w:val="20"/>
          <w:szCs w:val="20"/>
          <w:color w:val="auto"/>
        </w:rPr>
      </w:pPr>
      <w:r>
        <w:rPr>
          <w:rFonts w:ascii="Arial" w:cs="Arial" w:eastAsia="Arial" w:hAnsi="Arial"/>
          <w:sz w:val="17"/>
          <w:szCs w:val="17"/>
          <w:color w:val="auto"/>
        </w:rPr>
        <w:t>The EU, U.S. and Japan authorizations for the MAVYRET/MAVIRET combination of glecaprevir and pibrentasvir, and AbbVie’s applications for approval of MAVYRET/MAVIRET in other jurisdictions, are supported by the following studies:</w:t>
      </w:r>
    </w:p>
    <w:p>
      <w:pPr>
        <w:spacing w:after="0" w:line="39" w:lineRule="exact"/>
        <w:rPr>
          <w:sz w:val="20"/>
          <w:szCs w:val="20"/>
          <w:color w:val="auto"/>
        </w:rPr>
      </w:pPr>
    </w:p>
    <w:p>
      <w:pPr>
        <w:ind w:left="1780" w:right="80" w:hanging="585"/>
        <w:spacing w:after="0" w:line="231" w:lineRule="auto"/>
        <w:tabs>
          <w:tab w:leader="none" w:pos="1780" w:val="left"/>
        </w:tabs>
        <w:numPr>
          <w:ilvl w:val="1"/>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8 weeks for treatment-naïve, non-cirrhotics: </w:t>
      </w:r>
      <w:r>
        <w:rPr>
          <w:rFonts w:ascii="Arial" w:cs="Arial" w:eastAsia="Arial" w:hAnsi="Arial"/>
          <w:sz w:val="18"/>
          <w:szCs w:val="18"/>
          <w:color w:val="auto"/>
        </w:rPr>
        <w:t>In November 2016, results from several Phase 3 studies of this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demonstrated 97.5% of chronic HCV infected patients without cirrhosis and new to treatment across all major genotypes (GT1-6) achieved sustained virologic response at 12 weeks post-treatment, referred to as SVR</w:t>
      </w:r>
      <w:r>
        <w:rPr>
          <w:rFonts w:ascii="Arial" w:cs="Arial" w:eastAsia="Arial" w:hAnsi="Arial"/>
          <w:sz w:val="25"/>
          <w:szCs w:val="25"/>
          <w:color w:val="auto"/>
          <w:vertAlign w:val="subscript"/>
        </w:rPr>
        <w:t>12</w:t>
      </w:r>
      <w:r>
        <w:rPr>
          <w:rFonts w:ascii="Arial" w:cs="Arial" w:eastAsia="Arial" w:hAnsi="Arial"/>
          <w:sz w:val="18"/>
          <w:szCs w:val="18"/>
          <w:color w:val="auto"/>
        </w:rPr>
        <w:t>, with just 8 weeks of MAVYRET/MAVIRET treatment.</w:t>
      </w:r>
    </w:p>
    <w:p>
      <w:pPr>
        <w:spacing w:after="0" w:line="96" w:lineRule="exact"/>
        <w:rPr>
          <w:rFonts w:ascii="Arial" w:cs="Arial" w:eastAsia="Arial" w:hAnsi="Arial"/>
          <w:sz w:val="18"/>
          <w:szCs w:val="18"/>
          <w:color w:val="auto"/>
        </w:rPr>
      </w:pPr>
    </w:p>
    <w:p>
      <w:pPr>
        <w:ind w:left="1780" w:right="100" w:hanging="585"/>
        <w:spacing w:after="0" w:line="226" w:lineRule="auto"/>
        <w:tabs>
          <w:tab w:leader="none" w:pos="1780" w:val="left"/>
        </w:tabs>
        <w:numPr>
          <w:ilvl w:val="1"/>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8 weeks with chronic kidney disease: </w:t>
      </w:r>
      <w:r>
        <w:rPr>
          <w:rFonts w:ascii="Arial" w:cs="Arial" w:eastAsia="Arial" w:hAnsi="Arial"/>
          <w:sz w:val="18"/>
          <w:szCs w:val="18"/>
          <w:color w:val="auto"/>
        </w:rPr>
        <w:t>Results were also presented from AbbVie’s EXPEDITION-4 study in chronic HCV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chronic kidney disease (CKD), in which 98% of patients (n=102/104) across all major genotypes (GT1-6) achieved SVR</w:t>
      </w:r>
      <w:r>
        <w:rPr>
          <w:rFonts w:ascii="Arial" w:cs="Arial" w:eastAsia="Arial" w:hAnsi="Arial"/>
          <w:sz w:val="25"/>
          <w:szCs w:val="25"/>
          <w:color w:val="auto"/>
          <w:vertAlign w:val="subscript"/>
        </w:rPr>
        <w:t>12</w:t>
      </w:r>
      <w:r>
        <w:rPr>
          <w:rFonts w:ascii="Arial" w:cs="Arial" w:eastAsia="Arial" w:hAnsi="Arial"/>
          <w:sz w:val="18"/>
          <w:szCs w:val="18"/>
          <w:color w:val="auto"/>
        </w:rPr>
        <w:t xml:space="preserve"> with 12 weeks of treatment with MAVYRET/MAVIRET.</w:t>
      </w:r>
    </w:p>
    <w:p>
      <w:pPr>
        <w:spacing w:after="0" w:line="94" w:lineRule="exact"/>
        <w:rPr>
          <w:rFonts w:ascii="Arial" w:cs="Arial" w:eastAsia="Arial" w:hAnsi="Arial"/>
          <w:sz w:val="18"/>
          <w:szCs w:val="18"/>
          <w:color w:val="auto"/>
        </w:rPr>
      </w:pPr>
    </w:p>
    <w:p>
      <w:pPr>
        <w:ind w:left="1780" w:right="80" w:hanging="585"/>
        <w:spacing w:after="0" w:line="230" w:lineRule="auto"/>
        <w:tabs>
          <w:tab w:leader="none" w:pos="1780" w:val="left"/>
        </w:tabs>
        <w:numPr>
          <w:ilvl w:val="1"/>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8 weeks for GT-3: </w:t>
      </w:r>
      <w:r>
        <w:rPr>
          <w:rFonts w:ascii="Arial" w:cs="Arial" w:eastAsia="Arial" w:hAnsi="Arial"/>
          <w:sz w:val="18"/>
          <w:szCs w:val="18"/>
          <w:color w:val="auto"/>
        </w:rPr>
        <w:t>Data from AbbVie’s ENDURANCE-3 study were presented at the International Liver Congress, or ILC,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demonstrating that 95% of patients with challenging-to-treat, genotype 3 (GT3) chronic HCV infection, without cirrhosis and new to treatment, achieved SVR</w:t>
      </w:r>
      <w:r>
        <w:rPr>
          <w:rFonts w:ascii="Arial" w:cs="Arial" w:eastAsia="Arial" w:hAnsi="Arial"/>
          <w:sz w:val="25"/>
          <w:szCs w:val="25"/>
          <w:color w:val="auto"/>
          <w:vertAlign w:val="subscript"/>
        </w:rPr>
        <w:t>12</w:t>
      </w:r>
      <w:r>
        <w:rPr>
          <w:rFonts w:ascii="Arial" w:cs="Arial" w:eastAsia="Arial" w:hAnsi="Arial"/>
          <w:sz w:val="18"/>
          <w:szCs w:val="18"/>
          <w:color w:val="auto"/>
        </w:rPr>
        <w:t xml:space="preserve"> after 8 weeks of treatment with MAVYRET/MAVIRET.</w:t>
      </w:r>
    </w:p>
    <w:p>
      <w:pPr>
        <w:spacing w:after="0" w:line="83" w:lineRule="exact"/>
        <w:rPr>
          <w:rFonts w:ascii="Arial" w:cs="Arial" w:eastAsia="Arial" w:hAnsi="Arial"/>
          <w:sz w:val="18"/>
          <w:szCs w:val="18"/>
          <w:color w:val="auto"/>
        </w:rPr>
      </w:pPr>
    </w:p>
    <w:p>
      <w:pPr>
        <w:jc w:val="both"/>
        <w:ind w:left="1780" w:right="80" w:hanging="585"/>
        <w:spacing w:after="0" w:line="226" w:lineRule="auto"/>
        <w:tabs>
          <w:tab w:leader="none" w:pos="1780" w:val="left"/>
        </w:tabs>
        <w:numPr>
          <w:ilvl w:val="1"/>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12 weeks for compensated cirrhosis: </w:t>
      </w:r>
      <w:r>
        <w:rPr>
          <w:rFonts w:ascii="Arial" w:cs="Arial" w:eastAsia="Arial" w:hAnsi="Arial"/>
          <w:sz w:val="18"/>
          <w:szCs w:val="18"/>
          <w:color w:val="auto"/>
        </w:rPr>
        <w:t>Data from AbbVie’s EXPEDITION-1 study were also presented at the ILC, demonstrating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99% of HCV-infected patients with genotype 1, 2, 4, 5 or 6 and compensated cirrhosis (Child-Pugh A) achieved SVR</w:t>
      </w:r>
      <w:r>
        <w:rPr>
          <w:rFonts w:ascii="Arial" w:cs="Arial" w:eastAsia="Arial" w:hAnsi="Arial"/>
          <w:sz w:val="25"/>
          <w:szCs w:val="25"/>
          <w:color w:val="auto"/>
          <w:vertAlign w:val="subscript"/>
        </w:rPr>
        <w:t>12</w:t>
      </w:r>
      <w:r>
        <w:rPr>
          <w:rFonts w:ascii="Arial" w:cs="Arial" w:eastAsia="Arial" w:hAnsi="Arial"/>
          <w:sz w:val="18"/>
          <w:szCs w:val="18"/>
          <w:color w:val="auto"/>
        </w:rPr>
        <w:t xml:space="preserve"> following 12 weeks of MAVYRET/MAVIRET treatment without ribavirin.</w:t>
      </w:r>
    </w:p>
    <w:p>
      <w:pPr>
        <w:spacing w:after="0" w:line="121" w:lineRule="exact"/>
        <w:rPr>
          <w:rFonts w:ascii="Arial" w:cs="Arial" w:eastAsia="Arial" w:hAnsi="Arial"/>
          <w:sz w:val="18"/>
          <w:szCs w:val="18"/>
          <w:color w:val="auto"/>
        </w:rPr>
      </w:pPr>
    </w:p>
    <w:p>
      <w:pPr>
        <w:ind w:left="1200" w:right="120" w:hanging="599"/>
        <w:spacing w:after="0" w:line="213"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Paritaprevir is the protease inhibitor contained in AbbVie’s initial HCV treatment regimens currently marketed in the U.S., EU, Japan and other countries around the world under the trade names VIEKIRA PAK</w:t>
      </w:r>
      <w:r>
        <w:rPr>
          <w:rFonts w:ascii="Arial" w:cs="Arial" w:eastAsia="Arial" w:hAnsi="Arial"/>
          <w:sz w:val="25"/>
          <w:szCs w:val="25"/>
          <w:color w:val="auto"/>
          <w:vertAlign w:val="superscript"/>
        </w:rPr>
        <w:t>®</w:t>
      </w:r>
      <w:r>
        <w:rPr>
          <w:rFonts w:ascii="Arial" w:cs="Arial" w:eastAsia="Arial" w:hAnsi="Arial"/>
          <w:sz w:val="18"/>
          <w:szCs w:val="18"/>
          <w:color w:val="auto"/>
        </w:rPr>
        <w:t>, VIEKIRAX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VIEKIRAX XR™ and TECHNIVIE</w:t>
      </w:r>
      <w:r>
        <w:rPr>
          <w:rFonts w:ascii="Arial" w:cs="Arial" w:eastAsia="Arial" w:hAnsi="Arial"/>
          <w:sz w:val="25"/>
          <w:szCs w:val="25"/>
          <w:color w:val="auto"/>
          <w:vertAlign w:val="superscript"/>
        </w:rPr>
        <w:t>®</w:t>
      </w:r>
      <w:r>
        <w:rPr>
          <w:rFonts w:ascii="Arial" w:cs="Arial" w:eastAsia="Arial" w:hAnsi="Arial"/>
          <w:sz w:val="18"/>
          <w:szCs w:val="18"/>
          <w:color w:val="auto"/>
        </w:rPr>
        <w:t>. First approved and sold in the U.S. in December 2014 for treatment of genotype 1, or GT-1, HCV, AbbVie’s HCV regimens containing paritaprevir are now also approved for genotype 4, or GT-4, HCV.</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currently funding all research and development for our internal programs. We expect to incur substantially greater expenses as we continue to advance our FXR agonist program for NASH and PBC. We have completed a Phase 1 study in 146 patients and plan to initiate additional studies, one in PBC patients by the end of calendar 2017 and one in NASH patients in early 2018. We also plan to initiate a Phase 1 clinical study of our lead RSV candidate, EDP-938, by the end of calendar 2017. We expect to increase expenses in fiscal 2018 as we conduct these clinical studies and advance other compounds into substantial preclinical development.</w:t>
      </w:r>
    </w:p>
    <w:p>
      <w:pPr>
        <w:spacing w:after="0" w:line="19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Since commencing our operations in 1995, we have devoted substantially all of our resources to the discovery and development of novel compounds for the treatment of viral infections and liver diseases. For the periods included in this report we have funded our operations primarily through payments received under collaboration agreements with pharmaceutical companies and one government research and development contract, as well as net proceeds that we received from our March 2013 IPO. Our revenue from our collaboration agreements has resulted in our reporting net income in each of our past six fiscal years. Our revenue in the near term will continue to be dependent on our royalty payments from our collaboration with AbbVie.</w:t>
      </w:r>
    </w:p>
    <w:p>
      <w:pPr>
        <w:spacing w:after="0" w:line="16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its new MAVYRET/MAVIRET regimen, which in the majority of chronic HCV patients only requires 8 weeks of treatment compared to 12 weeks with VIEKIRA PAK, AbbVie has initially set a lower list price compared to its original HCV regimens and other HCV products on the market. As MAVYRET/MAVIRET replaces AbbVie’s paritaprevir-containing regimens over the next several quarters, AbbVie is seeking to increase its HCV market share through this pricing and the favorable treatment characteristics of the new regimen. It is still too early to know how successful AbbVie’s efforts will be. Given the uncertainty of AbbVie’s future HCV sales that will generate our royalty payments and the development risks affecting our future expenditures for the advancement of our internally developed compounds, it is uncertain whether we will continue to report net income in fiscal 2018 and thereafter.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Since our inception, our revenue has been derived from two primary sources: collaboration agreements with pharmaceutical companies and one government research and development contract. We have entered into three significant collaboration agreements and contracts since 2006, the most significant of which is our continuing collaboration agreement with AbbVie. In addition, from September 2011 through August 2015, we had a contract with the National Institute of Allergy and Infectious Diseases, or NIAID, which funded the preclinical and early clinical development of an antibiotic product candidate for potential use in biodefense.</w:t>
      </w:r>
    </w:p>
    <w:p>
      <w:pPr>
        <w:spacing w:after="0" w:line="19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Beginning in our fiscal year ended September 30, 2015, we generated royalty revenue from AbbVie’s net sales allocable to paritaprevir, which is part of AbbVie’s initial treatment regimens for HCV approved in the U.S. in December 2014 and in the EU and dozens of other countries since then. During the year ended September 30, 2017, AbbVie received approval for its new HCV regimen, marketed as MAVYRET™ in the U.S. and MAVIRET™ outside the U.S.</w:t>
      </w:r>
    </w:p>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is a summary of revenue recognized from our collaboration agreement and our government contract for the years ended September 30, 2017, 2016, and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496"/>
              <w:spacing w:after="0"/>
              <w:rPr>
                <w:sz w:val="20"/>
                <w:szCs w:val="20"/>
                <w:color w:val="auto"/>
              </w:rPr>
            </w:pPr>
            <w:r>
              <w:rPr>
                <w:rFonts w:ascii="Arial" w:cs="Arial" w:eastAsia="Arial" w:hAnsi="Arial"/>
                <w:sz w:val="14"/>
                <w:szCs w:val="14"/>
                <w:b w:val="1"/>
                <w:bCs w:val="1"/>
                <w:color w:val="auto"/>
                <w:w w:val="91"/>
              </w:rPr>
              <w:t>Years Ended 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2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Arial" w:cs="Arial" w:eastAsia="Arial" w:hAnsi="Arial"/>
                <w:sz w:val="18"/>
                <w:szCs w:val="18"/>
                <w:color w:val="auto"/>
              </w:rPr>
              <w:t>Milestones</w:t>
            </w:r>
          </w:p>
        </w:tc>
        <w:tc>
          <w:tcPr>
            <w:tcW w:w="26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65,000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30,000</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Royalties</w:t>
            </w:r>
          </w:p>
        </w:tc>
        <w:tc>
          <w:tcPr>
            <w:tcW w:w="2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57,692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NIAID contract:</w:t>
            </w: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4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40" w:type="dxa"/>
            <w:vAlign w:val="bottom"/>
            <w:vMerge w:val="restart"/>
          </w:tcPr>
          <w:p>
            <w:pPr>
              <w:jc w:val="right"/>
              <w:ind w:right="650"/>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769" w:right="2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Since all of our research obligations under the AbbVie agreement were concluded by June 30, 2011, all milestone payments received since then have been recognized as revenue upon achievement of each milestone by AbbVie. We earned and recognized as revenue milestone payments associated with commercialization regulatory approvals of HCV regimens under the AbbVie agreement totaling $65.0 million, $30.0 million and $125.0 million, during the years ended September 30, 2017, 2016, and 2015. Milestone revenue recognized in our fiscal 2017 was related to commercialization regulatory approvals of glecaprevir-containing regimens marketed as MAVYRET™ (U.S.) and MAVIRET™ (ex-U.S.) while milestone revenue recognized in our fiscal years 2016 and 2015 related to commercialization regulatory approvals of AbbVie’s paritaprevir-containing regimens. In November 2017, we earned an additional $15.0 million milestone payment from AbbVie related to commercialization regulatory approval of MAVIRET™ in Japan.</w:t>
      </w:r>
    </w:p>
    <w:p>
      <w:pPr>
        <w:spacing w:after="0" w:line="16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also receive annually tiered, double-digit royalties per protease inhibitor product on AbbVie’s net sales allocable to either of our collaboration’s protease inhibitors. Under the terms of our AbbVie agreement, as amended in October 2014, 30% of net sales of 3-DAA regimens containing paritaprevir and 45% of net sales of 2-DAA regimens containing paritaprevir are allocated to paritaprevir for purposes of calculating our annually tiered royalties. In the case of regimens containing glecaprevir, 50% of AbbVie’s net sales are allocated to glecaprevir. Beginning with each January 1, the cumulative net sales of each royalty-bearing product start at zero for purposes of calculating the tiered royalties on a product-by-product basis.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expect all of our revenue in 2018 to be generated from our collaboration agreement with AbbVie.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Under our NIAID contract, which ended in August 2015, we received research and development funding of approximately $20.6 million from NIAID through September 30, 2016. We recognized revenue of $0.6 million and $1.8 million under this agreement during the years ended September 30, 2016 and 2015,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our internal product candidates are currently in preclinical or early clinical development, we have not generated any revenue from our own product sales and do not expect to generate any revenue from product sales derived from these product candidates for at least the next several years. We expect that our revenue for the next several years will be derived from royalties and the remaining milestone payment (which was earned in November 2017) under our current collaboration agreement with AbbVie, as well as any additional collaboration that we may enter into in the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years ended September 30, 2017,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497"/>
              <w:spacing w:after="0"/>
              <w:rPr>
                <w:sz w:val="20"/>
                <w:szCs w:val="20"/>
                <w:color w:val="auto"/>
              </w:rPr>
            </w:pPr>
            <w:r>
              <w:rPr>
                <w:rFonts w:ascii="Arial" w:cs="Arial" w:eastAsia="Arial" w:hAnsi="Arial"/>
                <w:sz w:val="14"/>
                <w:szCs w:val="14"/>
                <w:b w:val="1"/>
                <w:bCs w:val="1"/>
                <w:color w:val="auto"/>
                <w:w w:val="91"/>
              </w:rPr>
              <w:t>Years Ended 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40,461</w:t>
            </w:r>
          </w:p>
        </w:tc>
        <w:tc>
          <w:tcPr>
            <w:tcW w:w="4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16,966</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13,543</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2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78,200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57,427</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36,732</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40" w:type="dxa"/>
            <w:vAlign w:val="bottom"/>
            <w:vMerge w:val="restart"/>
          </w:tcPr>
          <w:p>
            <w:pPr>
              <w:jc w:val="right"/>
              <w:ind w:right="650"/>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5" w:lineRule="exact"/>
        <w:rPr>
          <w:sz w:val="20"/>
          <w:szCs w:val="20"/>
          <w:color w:val="auto"/>
        </w:rPr>
      </w:pPr>
    </w:p>
    <w:p>
      <w:pPr>
        <w:ind w:left="1200" w:right="160" w:hanging="599"/>
        <w:spacing w:after="0" w:line="277"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expense for employees engaged in scientific research and development functions;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NASH, PBC, RSV and HBV programs.</w:t>
      </w:r>
    </w:p>
    <w:p>
      <w:pPr>
        <w:spacing w:after="0" w:line="16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86" w:lineRule="exact"/>
        <w:rPr>
          <w:sz w:val="20"/>
          <w:szCs w:val="20"/>
          <w:color w:val="auto"/>
        </w:rPr>
      </w:pPr>
    </w:p>
    <w:p>
      <w:pPr>
        <w:ind w:right="60"/>
        <w:spacing w:after="0" w:line="307" w:lineRule="auto"/>
        <w:rPr>
          <w:sz w:val="20"/>
          <w:szCs w:val="20"/>
          <w:color w:val="auto"/>
        </w:rPr>
      </w:pPr>
      <w:r>
        <w:rPr>
          <w:rFonts w:ascii="Arial" w:cs="Arial" w:eastAsia="Arial" w:hAnsi="Arial"/>
          <w:sz w:val="17"/>
          <w:szCs w:val="17"/>
          <w:color w:val="auto"/>
        </w:rPr>
        <w:t>We expect that general and administrative expenses will increase in the future primarily due to ongoing expansion of our operating activities in support of our own research and development programs, as well as potential additional costs associated with operating a growing public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consists of interest earned on our cash equivalents and short-term and long-term marketable securities balances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for refunds received from tax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of interest expense related to our capital lease obligation.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ind w:right="40"/>
        <w:spacing w:after="0" w:line="256" w:lineRule="auto"/>
        <w:rPr>
          <w:sz w:val="20"/>
          <w:szCs w:val="20"/>
          <w:color w:val="auto"/>
        </w:rPr>
      </w:pPr>
      <w:r>
        <w:rPr>
          <w:rFonts w:ascii="Arial" w:cs="Arial" w:eastAsia="Arial" w:hAnsi="Arial"/>
          <w:sz w:val="18"/>
          <w:szCs w:val="18"/>
          <w:i w:val="1"/>
          <w:iCs w:val="1"/>
          <w:color w:val="auto"/>
        </w:rPr>
        <w:t xml:space="preserve">Change in fair value of warrant liability and Series 1 nonconvertible preferred stock. </w:t>
      </w:r>
      <w:r>
        <w:rPr>
          <w:rFonts w:ascii="Arial" w:cs="Arial" w:eastAsia="Arial" w:hAnsi="Arial"/>
          <w:sz w:val="18"/>
          <w:szCs w:val="18"/>
          <w:color w:val="auto"/>
        </w:rPr>
        <w:t>We have issued warrants for the purchase of our Series 1 nonconvertible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we have issued Series 1 nonconvertible preferred stock, both of which are financial instruments that may require a transfer of assets because of the liquidation preference features of the underlying stock. Therefore, we have classified these warrants and Series 1 nonconvertible preferred stock as liabilities that we remeasure to fair value at each reporting period. We record the changes in the fair value of the warrants and Series 1 nonconvertible preferred stock as a component of other income (expense), net.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Income tax expense is based on our best estimate of applicable income tax rates for the entire fiscal year applied to pre-tax profit reported for the year-to-date period. The income tax expense for the years ended September 30, 2017, 2016, and 2015 resulted from federal and state taxes attributable to our operating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Actual results may differ from these estimates under different assumptions and conditions. See also Note 2 to the consolidated financial statements included elsewhere in this Annual Report on Form 10-K for information about these critical accounting policies as well as a description of our other significant accounting policies.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The majority of revenue is derived under our agreement with AbbVie. Under this agreement, we have no ongoing deliverables and therefore, royalties and milestones received under this arrangement are recognized when earned. In all instances, revenue is recognized only when the price is fixed or determinable, persuasive evidence of an arrangement exists, delivery has occurred or the services have been rendered, collectibility of the resulting receivable is reasonably assured, and we have fulfilled our performance obligations under the contract.</w:t>
      </w:r>
    </w:p>
    <w:p>
      <w:pPr>
        <w:spacing w:after="0" w:line="1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We apply Accounting Standards Codification No. 605-25, </w:t>
      </w:r>
      <w:r>
        <w:rPr>
          <w:rFonts w:ascii="Arial" w:cs="Arial" w:eastAsia="Arial" w:hAnsi="Arial"/>
          <w:sz w:val="16"/>
          <w:szCs w:val="16"/>
          <w:i w:val="1"/>
          <w:iCs w:val="1"/>
          <w:color w:val="auto"/>
        </w:rPr>
        <w:t>Revenue Recognition Multiple-Deliverable Revenue Arrangements</w:t>
      </w:r>
      <w:r>
        <w:rPr>
          <w:rFonts w:ascii="Arial" w:cs="Arial" w:eastAsia="Arial" w:hAnsi="Arial"/>
          <w:sz w:val="16"/>
          <w:szCs w:val="16"/>
          <w:color w:val="auto"/>
        </w:rPr>
        <w:t>, or ASC 605-25, for multiple element arrangements entered into or materially modified on or after October 1, 2011. This guidance amends the criteria for separating and allocating consideration in a multiple-element arrangement by modifying the fair value requirements for revenue recognition and eliminating the use of residual value method. The selling prices of deliverables under the arrangement may be derived using third-party evidence, (“TPE”) or a best estimate of selling price (“BESP”), if vendor-specific objective evidence (“VSOE”), is not available. The objective of BESP is to determine the price at which we would transact a sale if the element within the license agreement was sold on a standalone basis. Establishing BESP involves management’s judgment and considers multiple factors, including market conditions and company-specific factors such as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 validating our BESP, we consider whether changes in key assumptions used to determine the BESP will have a significant effect on the allocation of the arrangement consideration between the multiple deliverables. Deliverables under a multiple element arrangement are separated into multiple units if (i) the delivered item has value to the customer on a standalone basis and (ii) if the arrangement includes a general right of return relative to the delivered item, delivery or performance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right="40"/>
        <w:spacing w:after="0" w:line="290" w:lineRule="auto"/>
        <w:rPr>
          <w:sz w:val="20"/>
          <w:szCs w:val="20"/>
          <w:color w:val="auto"/>
        </w:rPr>
      </w:pPr>
      <w:r>
        <w:rPr>
          <w:rFonts w:ascii="Arial" w:cs="Arial" w:eastAsia="Arial" w:hAnsi="Arial"/>
          <w:sz w:val="16"/>
          <w:szCs w:val="16"/>
          <w:color w:val="auto"/>
        </w:rPr>
        <w:t>undelivered item is considered probable and substantially within our control. In determining the separate units of accounting, we evaluate whether the license has standalone value to the collaborator based on consideration of the relevant facts and circumstances for each arrangement. Factors considered in this determination include the research and development capabilities of the collaborator and the availability of relevant research expertise in the marketplace. In addition, we consider whether or not (i) the collaborator can use the license for its intended purpose without the receipt of the remaining deliverables, (ii) the value of the license is dependent on the undelivered items, and (iii) the collaborator or other vendors can provide the undelivered items. We may exercise significant judgment in determining whether a deliverable is a separate unit of accounting. The arrangement consideration that is fixed or determinable at the inception of the arrangement is allocated to the separate units of accounting based on their relative selling prices. The appropriate revenue recognition model is applied to each element and revenue is accordingly recognized as each element is delivered.</w:t>
      </w:r>
    </w:p>
    <w:p>
      <w:pPr>
        <w:spacing w:after="0" w:line="1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Royalty revenue is recognized based on contractual terms when reported sales are reliably measurable and collectibility is reasonably assured, provided that there are no performance obligations remaining.</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years ended September 30, 2016 and 2015, we also generated revenue from a government contract under which we were reimbursed for certain allowable costs incurred for the funded project. Revenue from the government contract was recognized when the related service was performed. The related costs incurred by us under the government contract were included in research and development expense in the consolidated statements of operations. This contract was completed in August 2015.</w:t>
      </w:r>
    </w:p>
    <w:p>
      <w:pPr>
        <w:spacing w:after="0" w:line="18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183" w:lineRule="exact"/>
        <w:rPr>
          <w:sz w:val="20"/>
          <w:szCs w:val="20"/>
          <w:color w:val="auto"/>
        </w:rPr>
      </w:pPr>
    </w:p>
    <w:p>
      <w:pPr>
        <w:ind w:right="140"/>
        <w:spacing w:after="0" w:line="307" w:lineRule="auto"/>
        <w:rPr>
          <w:sz w:val="20"/>
          <w:szCs w:val="20"/>
          <w:color w:val="auto"/>
        </w:rPr>
      </w:pPr>
      <w:r>
        <w:rPr>
          <w:rFonts w:ascii="Arial" w:cs="Arial" w:eastAsia="Arial" w:hAnsi="Arial"/>
          <w:sz w:val="17"/>
          <w:szCs w:val="17"/>
          <w:color w:val="auto"/>
        </w:rPr>
        <w:t>In the event that a collaborative research and license agreement is terminated and we then have no further performance obligations, we recognize as revenue any amounts that had not previously been recorded as revenue but were classified as deferred revenue at the date of such termination.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Stock Options and Restricted Stock Unit Awards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measure stock awards with service-based conditions granted to employees and directors at fair value on the date of grant and recognize the corresponding stock-based compensation expense of those awards, net of estimated forfeitures, over the requisite service period, which is generally the vesting period of the respective award. Stock awards granted with service-based vesting conditions, which include restricted stock units and stock options, are recorded as an expense using the straight-line method. In the case of performance-based options, we recognize stock-based compensation expense related to these awards when the performance-based targets are deemed probable of being achieved.</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fair value of each restricted stock unit granted is based on the fair value of our common stock on the date of grant. The fair value of each stock option grant is estimated on the date of grant using the Black-Scholes option-pricing model. We have granted stock options with exercise prices equivalent to the fair value of our common stock on the date of grant. Generally, our expected volatility has been measured based on a combination of our historical stock volatility since our March 2013 IPO and the historical volatility of our publicly traded peer companies. We expect to continue to utilize this method until such time as we have adequate historical data regarding the volatility of our traded stock price following our March 2013 IPO. The expected term of our options has been determined utilizing the “simplified” method for awards that qualify as “plain-vanilla” options and we expect to continue to do so until such time as we have adequate historical data regarding our employee exercise patterns. The risk-free interest rate is determined by reference to the U.S. Treasury yield curve in effect at the time of grant of the award for time periods approximately equal to the expected term of the award. Our expected dividend yield is 0 and is based on the fact that we have never paid cash dividends and do not expect to pay any cash dividends in the foreseeable future.</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recognize stock-based compensation expense for only the portion of awards that are expected to vest. In developing a forfeiture rate estimate, we have considered our historical experience to estimate pre-vesting forfeitures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6" w:name="page67"/>
    <w:bookmarkEnd w:id="66"/>
    <w:p>
      <w:pPr>
        <w:ind w:right="80"/>
        <w:spacing w:after="0" w:line="277" w:lineRule="auto"/>
        <w:rPr>
          <w:sz w:val="20"/>
          <w:szCs w:val="20"/>
          <w:color w:val="auto"/>
        </w:rPr>
      </w:pPr>
      <w:r>
        <w:rPr>
          <w:rFonts w:ascii="Arial" w:cs="Arial" w:eastAsia="Arial" w:hAnsi="Arial"/>
          <w:sz w:val="18"/>
          <w:szCs w:val="18"/>
          <w:color w:val="auto"/>
        </w:rPr>
        <w:t>for service-based options. If our actual forfeiture rate is materially different from the estimate, our stock-based compensation expense could be different from what we have recorded in the current period.</w:t>
      </w:r>
    </w:p>
    <w:p>
      <w:pPr>
        <w:spacing w:after="0" w:line="170" w:lineRule="exact"/>
        <w:rPr>
          <w:sz w:val="20"/>
          <w:szCs w:val="20"/>
          <w:color w:val="auto"/>
        </w:rPr>
      </w:pPr>
    </w:p>
    <w:p>
      <w:pPr>
        <w:ind w:right="300"/>
        <w:spacing w:after="0" w:line="307" w:lineRule="auto"/>
        <w:rPr>
          <w:sz w:val="20"/>
          <w:szCs w:val="20"/>
          <w:color w:val="auto"/>
        </w:rPr>
      </w:pPr>
      <w:r>
        <w:rPr>
          <w:rFonts w:ascii="Arial" w:cs="Arial" w:eastAsia="Arial" w:hAnsi="Arial"/>
          <w:sz w:val="17"/>
          <w:szCs w:val="17"/>
          <w:color w:val="auto"/>
        </w:rPr>
        <w:t>These assumptions represent our best estimates, but the estimates involve inherent uncertainties and the application of our judgment. As a result, if factors change and we use significantly different assumptions or estimates, our stock-based compensation expense could be materially different.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 Market and Performance-based Stock Unit Awards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awards with service-based vesting conditions, we also have granted performance share units, or PSUs, and relative stockholder return units, or rTSRUs, to certain of our executives. The number of units represents the target number of shares of common stock that may be earned; however, the actual number of shares that may be earned ranges from 0% to 200% of the target number. The fair value of PSUs is based on the fair value of our common stock on the date of grant. The fair value of rTSRUs is based on a Monte Carlo simulation model. Assumptions and estimates utilized in the calculation of the fair value of the rTSRUs include the risk-free interest rate, dividend yield, average closing price, expected volatility based on the historical volatility of publicly traded peer companies and the remaining performance period of the award.</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PSUs vest and result in issuance, at settlement, of common shares for each recipient based upon the recipient’s continued employment with us through the settlement date of the award and our achievement of specified research and development milestones. The requisite service period of the PSUs is generally 2 years. In the case of PSUs, we recognize stock-based compensation expense based on the grant date fair value of the award only when performance-based targets are deemed probable of being achieved.</w:t>
      </w:r>
    </w:p>
    <w:p>
      <w:pPr>
        <w:spacing w:after="0" w:line="186"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The rTSRUs vest and result in the issuance of common stock based upon the recipient’s continuing employment with us through the settlement date of the award and the relative ranking of the total stockholder return, or TSR, of our common stock in relation to the TSR of the component companies in the NASDAQ Biotech Index, generally over a two-year period based on a comparison of average closing stock prices in specified periods noted in the award agreement. The fair value related to the rTSRUs is recorded as stock-based compensation expense over the period from date of grant to the settlement date regardless of whether the related target relative total stockholder return is achieved.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Income taxes are provided for tax effects of transactions reported in the consolidated financial statements and consist of income taxes currently due plus deferred income taxes related to timing differences between the basis of certain assets and liabilities for financial statement reporting purposes and the basis for income tax reporting purposes.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A valuation allowance is provided if, based upon the weight of available evidence, it is more likely than not that some or all of the deferred tax assets will not be realized. At each balance sheet date, we assess the likelihood that deferred tax assets will be realized, and recognize a valuation allowance if it is more likely than not that some portion of the deferred tax assets will not be realized. Assessment of the potential recovery of deferred tax assets requires judgment and is evaluated by estimating the future taxable income expected and considering prudent and feasible tax planning strategies. As of September 30, 2017, we continue to believe it is more likely than not that we will be able to realize our deferred tax assets and therefore no valuation allowance has been recorded in either period.</w:t>
      </w:r>
    </w:p>
    <w:p>
      <w:pPr>
        <w:spacing w:after="0" w:line="7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Uncertain tax positions represent tax positions for which reserves have been established. We account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The provision for income taxes includes the effects of</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any resulting tax reserves, or unrecognized tax benefits, that are considered appropriate as well as the related net interest and penalties.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JOBS Act was signed into law on April 5, 2012 and contains provisions that, among other things, reduce certain reporting requirements for an “emerging growth company.” As an “emerging growth company,” we are electing not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non-emerging growth companies. Section 107 of the JOBS Act provides that our decision not to take advantage of the extended transition period is irrevocable. Subject to certain conditions set forth in the JOBS Act, as an “emerging growth company”, we are not required to, among other things, (i) provide an auditor’s attestation report on our system of internal controls over financial reporting pursuant to Section 404, (ii) provide all of the compensation disclosures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Based on the market value of our common stock at March 31, 2017 and the number of shares of our common stock held by non-affiliates, we continued to be an “emerging growth company” for our fiscal 2017. Therefore, these exemptions will apply until the end of our fiscal year 2018, which includes the fifth anniversary of the completion of our initial public offering in March 2013.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September 30, 2017, 2016, and 2015</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center"/>
              <w:ind w:left="494"/>
              <w:spacing w:after="0"/>
              <w:rPr>
                <w:sz w:val="20"/>
                <w:szCs w:val="20"/>
                <w:color w:val="auto"/>
              </w:rPr>
            </w:pPr>
            <w:r>
              <w:rPr>
                <w:rFonts w:ascii="Arial" w:cs="Arial" w:eastAsia="Arial" w:hAnsi="Arial"/>
                <w:sz w:val="14"/>
                <w:szCs w:val="14"/>
                <w:b w:val="1"/>
                <w:bCs w:val="1"/>
                <w:color w:val="auto"/>
                <w:w w:val="91"/>
              </w:rPr>
              <w:t>Years Ended 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54"/>
              <w:spacing w:after="0" w:line="155" w:lineRule="exact"/>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5"/>
        </w:trPr>
        <w:tc>
          <w:tcPr>
            <w:tcW w:w="4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3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102,814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88,268</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160,880</w:t>
            </w:r>
          </w:p>
        </w:tc>
        <w:tc>
          <w:tcPr>
            <w:tcW w:w="8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57,451</w:t>
            </w:r>
          </w:p>
        </w:tc>
        <w:tc>
          <w:tcPr>
            <w:tcW w:w="18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40,461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23,189</w:t>
            </w:r>
          </w:p>
        </w:tc>
        <w:tc>
          <w:tcPr>
            <w:tcW w:w="80" w:type="dxa"/>
            <w:vAlign w:val="bottom"/>
          </w:tcPr>
          <w:p>
            <w:pPr>
              <w:spacing w:after="0"/>
              <w:rPr>
                <w:sz w:val="19"/>
                <w:szCs w:val="19"/>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20,749</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16,966</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13,543</w:t>
            </w:r>
          </w:p>
        </w:tc>
        <w:tc>
          <w:tcPr>
            <w:tcW w:w="8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2,532</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1,735</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FF0FC"/>
          </w:tcPr>
          <w:p>
            <w:pPr>
              <w:spacing w:after="0"/>
              <w:rPr>
                <w:sz w:val="19"/>
                <w:szCs w:val="19"/>
                <w:color w:val="auto"/>
              </w:rPr>
            </w:pPr>
          </w:p>
        </w:tc>
      </w:tr>
      <w:tr>
        <w:trPr>
          <w:trHeight w:val="229"/>
        </w:trPr>
        <w:tc>
          <w:tcPr>
            <w:tcW w:w="44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5"/>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liability and</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Series 1 nonconvertible preferred stock, net</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FF0FC"/>
          </w:tcPr>
          <w:p>
            <w:pPr>
              <w:spacing w:after="0"/>
              <w:rPr>
                <w:sz w:val="20"/>
                <w:szCs w:val="20"/>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Income tax expense</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(9,237)</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(10,894)</w:t>
            </w:r>
          </w:p>
        </w:tc>
        <w:tc>
          <w:tcPr>
            <w:tcW w:w="3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(46,463)</w:t>
            </w:r>
          </w:p>
        </w:tc>
      </w:tr>
    </w:tbl>
    <w:p>
      <w:pPr>
        <w:spacing w:after="0" w:line="20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recognized revenue of $102.8 million during the year ended September 30, 2017, as compared to $88.3 million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2016. The increase in revenue of $14.5 million year over year was primarily due to timing of milestone payments earned under our AbbVie agreement and was partially offset by lower royalties earned on AbbVie’s net sales of HCV regimens allocated to paritaprevir during 2017 as compared to 2016. During the years ended September 30, 2017 and 2016, we recognized milestone revenue of $65.0 million and $30.0 million, respectively. In fiscal 2017, we earned and received milestone payments as a result of commercialization regulatory approvals for AbbVie’s glecaprevir-containing regimens in the EU and U.S. In fiscal 2016, we earned and received a milestone payment as a result of commercialization regulatory approval for AbbVie’s paritaprevir-containing regimen in Japan. We earned royalties of $37.8 million and $57.7 million during the years ended September 30, 2017 and 2016, respectively, primarily based on the portion of AbbVie’s net sales of its HCV regimens allocable to paritaprevir. We recognized lower royalty revenue in 2017 compared to 2016 due to lower sales of paritaprevir-containing regimens as a result of increased competition from other HCV products on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market. We began earning royalties on the portion of AbbVie’s net sales of glecaprevir-containing regimens in the fourth quarter of fiscal 2017.</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recognized revenue of $88.3 million during the year ended September 30, 2016 as compared to $160.9 million during the year ended September 30, 2015. The decrease in revenue of $72.6 million year over year was primarily due to a decrease in milestone payments received from AbbVie and was partially offset by higher royalties earned on the portions of AbbVie’s net sales of HCV regimens allocated to paritaprevir during 2016. During the years ended September 30, 2016 and 2015, we recognized milestone revenue of $30.0 million and $125.0 million, respectively. In fiscal 2016, we earned and received a milestone payment as a result of commercialization regulatory approval for AbbVie’s paritaprevir-containing regimen in Japan. In fiscal 2015, we earned and received milestone payments as a result of commercialization regulatory approvals for AbbVie’s paritaprevir-containing regimen in the U.S. and EU We earned royalties of $57.7 million and $34.1 million during the years ended September 30, 2016 and 2015, respectively, based on the portion of AbbVie’s net sales of its HCV regimens allocable to paritaprevir. We recognized higher royalty revenue in fiscal 2016 compared to 2015 due to the timing of regulatory approvals of paritaprevir-containing regimens which started in fiscal 2015 and continued in fiscal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496"/>
              <w:spacing w:after="0"/>
              <w:rPr>
                <w:sz w:val="20"/>
                <w:szCs w:val="20"/>
                <w:color w:val="auto"/>
              </w:rPr>
            </w:pPr>
            <w:r>
              <w:rPr>
                <w:rFonts w:ascii="Arial" w:cs="Arial" w:eastAsia="Arial" w:hAnsi="Arial"/>
                <w:sz w:val="14"/>
                <w:szCs w:val="14"/>
                <w:b w:val="1"/>
                <w:bCs w:val="1"/>
                <w:color w:val="auto"/>
                <w:w w:val="91"/>
              </w:rPr>
              <w:t>Years Ended 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5"/>
        </w:trPr>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Liver disease</w:t>
            </w:r>
          </w:p>
        </w:tc>
        <w:tc>
          <w:tcPr>
            <w:tcW w:w="1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34,750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17,840</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9,096</w:t>
            </w:r>
          </w:p>
        </w:tc>
        <w:tc>
          <w:tcPr>
            <w:tcW w:w="80" w:type="dxa"/>
            <w:vAlign w:val="bottom"/>
          </w:tcPr>
          <w:p>
            <w:pPr>
              <w:spacing w:after="0"/>
              <w:rPr>
                <w:sz w:val="19"/>
                <w:szCs w:val="19"/>
                <w:color w:val="auto"/>
              </w:rPr>
            </w:pPr>
          </w:p>
        </w:tc>
      </w:tr>
      <w:tr>
        <w:trPr>
          <w:trHeight w:val="229"/>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Virology</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10,403</w:t>
            </w:r>
          </w:p>
        </w:tc>
        <w:tc>
          <w:tcPr>
            <w:tcW w:w="80" w:type="dxa"/>
            <w:vAlign w:val="bottom"/>
            <w:shd w:val="clear" w:color="auto" w:fill="CFF0FC"/>
          </w:tcPr>
          <w:p>
            <w:pPr>
              <w:spacing w:after="0"/>
              <w:rPr>
                <w:sz w:val="19"/>
                <w:szCs w:val="19"/>
                <w:color w:val="auto"/>
              </w:rPr>
            </w:pPr>
          </w:p>
        </w:tc>
      </w:tr>
      <w:tr>
        <w:trPr>
          <w:trHeight w:val="229"/>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w:t>
            </w:r>
          </w:p>
        </w:tc>
        <w:tc>
          <w:tcPr>
            <w:tcW w:w="8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57,451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40,461</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23,189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Research and development expense increased by $17.0 million for the year ended September 30, 2017 as compared to the same period in 2016 due to progression of preclinical and clinical activities in our liver disease and virology programs. Increases were driven by an increase in headcount to support our clinical and preclinical activities and an increase in external costs for those activities.</w:t>
      </w:r>
    </w:p>
    <w:p>
      <w:pPr>
        <w:spacing w:after="0" w:line="1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Research and development expenses increased by $17.3 million for the year ended September 30, 2016 as compared to the same period in 2015 due to progression of preclinical and clinical activities in our liver disease and virology programs. Increases were driven by an increase in headcount to support our preclinical activities, expansion of our research facility and an increase in external costs for clinical and preclinical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our research and development expenses will continue to increase in the future as we advance our NASH, PBC, RSV and HBV programs.</w:t>
      </w:r>
    </w:p>
    <w:p>
      <w:pPr>
        <w:spacing w:after="0" w:line="24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by $3.8 million for the year ended September 30, 2017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2016 primarily due to an increase in compensation expense due to increased headcount as well as the achievement of milestones in 2017 under existing performance-based stock awards in 2017.</w:t>
      </w:r>
    </w:p>
    <w:p>
      <w:pPr>
        <w:spacing w:after="0" w:line="18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General and administrative expenses increased by $3.4 million for the year ended September 30, 2016 as compared to the same period in 2015 primarily due to an increase in stock-based compensation expense related to an increase in headcount, additional stock option grants to employees, and achievement of performance-based stock awards in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Changes in components of other income (expense), net were as follows: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by $0.8 million for the year ended September 30, 2017 as compared to the same period in 2016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investment balances and changes in interest rates for fiscal 2017 as compared to the same period in 2016.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9" w:name="page70"/>
    <w:bookmarkEnd w:id="69"/>
    <w:p>
      <w:pPr>
        <w:ind w:right="260"/>
        <w:spacing w:after="0" w:line="277" w:lineRule="auto"/>
        <w:rPr>
          <w:sz w:val="20"/>
          <w:szCs w:val="20"/>
          <w:color w:val="auto"/>
        </w:rPr>
      </w:pPr>
      <w:r>
        <w:rPr>
          <w:rFonts w:ascii="Arial" w:cs="Arial" w:eastAsia="Arial" w:hAnsi="Arial"/>
          <w:sz w:val="18"/>
          <w:szCs w:val="18"/>
          <w:color w:val="auto"/>
        </w:rPr>
        <w:t>Interest income increased by $0.8 million for the year ended September 30, 2016 as compared to the same period in 2015 due to higher average investment balances in fiscal 2016 as compared to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represents interest related to our capital lease obligation.</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We recognized other expense of $0.2 million and other income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$0.1 million for the years ended September 30, 2017 and 2016, respectively. We recognized expense in our fiscal 2017 due to an increase in fair value of the outstanding liabilities year over year, and recognized income in our fiscal 2016 due to a decrease in fair value of the outstanding liabilities year over year. During the year ended September 30, 2017, a total of 0.7 million warrants were exercised, resulting in the issuance of 0.7 million shares of Series 1 nonconvertible preferred stock.</w:t>
      </w:r>
    </w:p>
    <w:p>
      <w:pPr>
        <w:spacing w:after="0" w:line="191"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auto"/>
        </w:rPr>
        <w:t>Subsequent to September 30, 2017, a total of 0.9 million warrants were exercised prior to warrant expiration, resulting in 0.9 million shares of Series 1 nonconvertible preferred stock issued. On October 4, 2017, less than 0.1 million of outstanding warrants expired unexercised. The liability associated with these expired warrants will be reversed, resulting in income in 2018.</w:t>
      </w:r>
    </w:p>
    <w:p>
      <w:pPr>
        <w:spacing w:after="0" w:line="168"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We recognized other income of less than $0.1 million and $0.3 million for the years ended September 30, 2016 and 2015 as a result of the remeasurement of the warrant liability and Series 1 nonconvertible preferred stock year over year due to a decrease in fair value of the outstanding liabilities.</w:t>
      </w:r>
    </w:p>
    <w:p>
      <w:pPr>
        <w:spacing w:after="0" w:line="12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was $9.2 million and $10.9 million for the years ended September 30, 2017 and 2016, respectively. The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rate for the years ended September 30, 2017 and 2016 was 34.3% and 33.5%, respectively. The decrease in income tax expense was primarily due to lower profit before taxes as well as an increase in federal research and development tax credits which were deductible for tax purposes. The increase in the effective tax rate was primarily due to an increase in non-deductible stock-based compensation expense. This increase was partially offset by an increase in federal research and development credits as part of our advancement of our wholly owned research and development programs in 2017.</w:t>
      </w:r>
    </w:p>
    <w:p>
      <w:pPr>
        <w:spacing w:after="0" w:line="16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Income tax expense was $10.9 million and $46.5 million for the years ended September 30, 2016, and 2015, respectively. The effective tax rate for the years ended September 30, 2016 and 2015 was 33.5%, and 37.0%, respectively. The decrease in income tax expense was primarily due to lower profit before taxes as well as the reinstatement in fiscal 2016 of the federal research and development tax credits for prior years, which were deductible for tax purposes and included in the Company’s annual effective tax rate for 2016. The decrease in the effective tax rate was primarily due to an increase in federal research and development credits as part of our advancement of our wholly owned research and development programs in 2016. This increase was partially offset by an increase in non-deductible stock-based compensation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for all periods presented was attributable to the tax provision on the earnings of our operations, all of which are domestic.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From our inception through September 30, 2017, we have financed our operations primarily through payments under our collaborations, government research and development contracts and grants, and the net proceeds from our initial public offering of our equity in March 2013.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The following table shows a summary of our cash flows for each of the years ended September 30, 2017, 2016, and 2015:</w:t>
      </w:r>
    </w:p>
    <w:p>
      <w:pPr>
        <w:spacing w:after="0" w:line="311"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center"/>
              <w:ind w:left="496"/>
              <w:spacing w:after="0"/>
              <w:rPr>
                <w:sz w:val="20"/>
                <w:szCs w:val="20"/>
                <w:color w:val="auto"/>
              </w:rPr>
            </w:pPr>
            <w:r>
              <w:rPr>
                <w:rFonts w:ascii="Arial" w:cs="Arial" w:eastAsia="Arial" w:hAnsi="Arial"/>
                <w:sz w:val="14"/>
                <w:szCs w:val="14"/>
                <w:b w:val="1"/>
                <w:bCs w:val="1"/>
                <w:color w:val="auto"/>
                <w:w w:val="91"/>
              </w:rPr>
              <w:t>Years Ended 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5"/>
        </w:trPr>
        <w:tc>
          <w:tcPr>
            <w:tcW w:w="4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52,653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35,809</w:t>
            </w:r>
          </w:p>
        </w:tc>
        <w:tc>
          <w:tcPr>
            <w:tcW w:w="12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76,673</w:t>
            </w:r>
          </w:p>
        </w:tc>
        <w:tc>
          <w:tcPr>
            <w:tcW w:w="80" w:type="dxa"/>
            <w:vAlign w:val="bottom"/>
          </w:tcPr>
          <w:p>
            <w:pPr>
              <w:spacing w:after="0"/>
              <w:rPr>
                <w:sz w:val="19"/>
                <w:szCs w:val="19"/>
                <w:color w:val="auto"/>
              </w:rPr>
            </w:pPr>
          </w:p>
        </w:tc>
      </w:tr>
      <w:tr>
        <w:trPr>
          <w:trHeight w:val="229"/>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(43,663)</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(88,186)</w:t>
            </w: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2,540</w:t>
            </w:r>
          </w:p>
        </w:tc>
        <w:tc>
          <w:tcPr>
            <w:tcW w:w="80" w:type="dxa"/>
            <w:vAlign w:val="bottom"/>
          </w:tcPr>
          <w:p>
            <w:pPr>
              <w:spacing w:after="0"/>
              <w:rPr>
                <w:sz w:val="19"/>
                <w:szCs w:val="19"/>
                <w:color w:val="auto"/>
              </w:rPr>
            </w:pPr>
          </w:p>
        </w:tc>
      </w:tr>
      <w:tr>
        <w:trPr>
          <w:trHeight w:val="208"/>
        </w:trPr>
        <w:tc>
          <w:tcPr>
            <w:tcW w:w="4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increase (decrease) in cash and cash</w:t>
            </w:r>
          </w:p>
        </w:tc>
        <w:tc>
          <w:tcPr>
            <w:tcW w:w="1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equivalents</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49,098</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(5,149)</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(8,973)</w:t>
            </w: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increase in cash provided by operating activities of $16.8 million for the year ended September 30, 2017 as compared to the same period in 2016 was primarily driven by an increase in cash receipts under our collaboration with AbbVie of $15.9 million year over year. We received $105.1 million during 2017, including royalties and $65.0 million in milestone payments, compared to $89.2 million in cash from AbbVie during 2016, including royalties and a $30.0 million milestone payment. In addition, our cash taxes paid, net of refunds received, decreased by $17.5 million, due to lower profit before tax and timing of tax payments and refunds. These increases were partially offset by increased cash spending on research and development during 2017 in order to progress clinical development and preclinical research in our proprietary programs.</w:t>
      </w:r>
    </w:p>
    <w:p>
      <w:pPr>
        <w:spacing w:after="0" w:line="17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decrease in cash provided by operating activities of $40.9 million for the year ended September 30, 2016 as compared to the same period in 2015 was primarily driven by a decrease in cash receipts under our collaboration with AbbVie of $55.5 million year over year. We received $89.2 million in cash from AbbVie during 2016, including royalties and a $30.0 million milestone payment, compared to $144.7 million in cash from AbbVie during 2015, including royalties and $125.0 million in milestone payments. In addition, we increased cash spending on research and development during 2016 in order to progress clinical development and preclinical research in our proprietary programs. These decreases to cash used in operating activities were partially offset by a decrease in income tax payments of $27.5 million based on lower income before income tax in 2016 as compared to 2015.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increase in cash used in investing activities of $39.1 million for the year ended September 30, 2017 as compared to the same period in 2016 was driven by timing of purchases, sales and maturities of marketable securities. In addition, our capital asset outlay decreased by $2.2 million year over year due to the expansion of our research facility which was completed in fiscal 2016.</w:t>
      </w:r>
    </w:p>
    <w:p>
      <w:pPr>
        <w:spacing w:after="0" w:line="18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decrease in cash used in investing activities of $44.5 million for the year ended September 30, 2016 as compared to the same period in 2015 was driven by timing of purchases, sales and maturities of marketable securities. The decrease was partially offset by an increase in capital expenditure outlay in 2016 of $2.4 million compared to 2015 due to the expansion of our research facility in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decrease in cash provided by financing activities of $1.7 million for the year ended September 30, 2017 as compared to the same period in 2016 was driven primarily by tax withholding payments for the vesting of performance stock units in 2017 and a lower income tax benefit for stock options exercised in fiscal 2017 as compared to fiscal 2016.</w:t>
      </w:r>
    </w:p>
    <w:p>
      <w:pPr>
        <w:spacing w:after="0" w:line="1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increase in cash provided by financing activities of $0.2 million for the year ended September 30, 2016 as compared to the same period in 2015 was driven by an increase in proceeds from exercises of stock options.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September 30, 2017, we had $293.7 million in cash, cash equivalents and short-term and long-term marketable securities. We believe that our existing cash, cash equivalents and marketable securities as of September 30, 2017 will be sufficient to meet our anticipated cash requirements for the foreseeable future. However, our forecast that the use of our financial resources will be adequate to support our operations is a forward-looking statement that involves risks and uncertainties, and actual results could vary materially.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200" w:hanging="599"/>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our existing collaboration continues to generate substantial royalties to us;</w:t>
      </w:r>
    </w:p>
    <w:p>
      <w:pPr>
        <w:spacing w:after="0" w:line="116" w:lineRule="exact"/>
        <w:rPr>
          <w:rFonts w:ascii="Arial" w:cs="Arial" w:eastAsia="Arial" w:hAnsi="Arial"/>
          <w:sz w:val="18"/>
          <w:szCs w:val="18"/>
          <w:color w:val="auto"/>
        </w:rPr>
      </w:pPr>
    </w:p>
    <w:p>
      <w:pPr>
        <w:ind w:left="1200" w:hanging="599"/>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6" w:lineRule="exact"/>
        <w:rPr>
          <w:rFonts w:ascii="Arial" w:cs="Arial" w:eastAsia="Arial" w:hAnsi="Arial"/>
          <w:sz w:val="18"/>
          <w:szCs w:val="18"/>
          <w:color w:val="auto"/>
        </w:rPr>
      </w:pPr>
    </w:p>
    <w:p>
      <w:pPr>
        <w:ind w:left="1200" w:right="680" w:hanging="599"/>
        <w:spacing w:after="0" w:line="277"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therapeutic candidates and therapies;</w:t>
      </w:r>
    </w:p>
    <w:p>
      <w:pPr>
        <w:spacing w:after="0" w:line="116" w:lineRule="exact"/>
        <w:rPr>
          <w:rFonts w:ascii="Arial" w:cs="Arial" w:eastAsia="Arial" w:hAnsi="Arial"/>
          <w:sz w:val="18"/>
          <w:szCs w:val="18"/>
          <w:color w:val="auto"/>
        </w:rPr>
      </w:pPr>
    </w:p>
    <w:p>
      <w:pPr>
        <w:ind w:left="1200" w:right="600" w:hanging="599"/>
        <w:spacing w:after="0" w:line="277"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receipt and amount of royalties on paritaprevir and glecaprevir and any sales of our product candidates, if any, or royalties thereon;</w:t>
      </w:r>
    </w:p>
    <w:p>
      <w:pPr>
        <w:spacing w:after="0" w:line="61" w:lineRule="exact"/>
        <w:rPr>
          <w:rFonts w:ascii="Arial" w:cs="Arial" w:eastAsia="Arial" w:hAnsi="Arial"/>
          <w:sz w:val="18"/>
          <w:szCs w:val="18"/>
          <w:color w:val="auto"/>
        </w:rPr>
      </w:pPr>
    </w:p>
    <w:p>
      <w:pPr>
        <w:ind w:left="1200" w:hanging="599"/>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6" w:lineRule="exact"/>
        <w:rPr>
          <w:rFonts w:ascii="Arial" w:cs="Arial" w:eastAsia="Arial" w:hAnsi="Arial"/>
          <w:sz w:val="18"/>
          <w:szCs w:val="18"/>
          <w:color w:val="auto"/>
        </w:rPr>
      </w:pPr>
    </w:p>
    <w:p>
      <w:pPr>
        <w:ind w:left="1200" w:right="380" w:hanging="599"/>
        <w:spacing w:after="0" w:line="277"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1" w:lineRule="exact"/>
        <w:rPr>
          <w:rFonts w:ascii="Arial" w:cs="Arial" w:eastAsia="Arial" w:hAnsi="Arial"/>
          <w:sz w:val="18"/>
          <w:szCs w:val="18"/>
          <w:color w:val="auto"/>
        </w:rPr>
      </w:pPr>
    </w:p>
    <w:p>
      <w:pPr>
        <w:ind w:left="1200" w:right="220" w:hanging="599"/>
        <w:spacing w:after="0" w:line="277"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1" w:lineRule="exact"/>
        <w:rPr>
          <w:rFonts w:ascii="Arial" w:cs="Arial" w:eastAsia="Arial" w:hAnsi="Arial"/>
          <w:sz w:val="18"/>
          <w:szCs w:val="18"/>
          <w:color w:val="auto"/>
        </w:rPr>
      </w:pPr>
    </w:p>
    <w:p>
      <w:pPr>
        <w:ind w:left="1200" w:right="80" w:hanging="599"/>
        <w:spacing w:after="0" w:line="277"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1" w:lineRule="exact"/>
        <w:rPr>
          <w:rFonts w:ascii="Arial" w:cs="Arial" w:eastAsia="Arial" w:hAnsi="Arial"/>
          <w:sz w:val="18"/>
          <w:szCs w:val="18"/>
          <w:color w:val="auto"/>
        </w:rPr>
      </w:pPr>
    </w:p>
    <w:p>
      <w:pPr>
        <w:ind w:left="1200" w:right="480" w:hanging="599"/>
        <w:spacing w:after="0" w:line="277"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in the last three fiscal years. If our costs were to become subject to significant inflationary pressures, we could not offset such higher costs through revenue increases because our revenues are substantially outside of our control. Our inability to do so could harm our business,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We lease office space in Watertown, Massachusetts under a lease that commenced on October 1, 2011 and was amended in 2015 to expand the rented space and extend the lease term through September 2022. In conjunction with the amendment of the lease, the Company entered into a capital lease agreement to fund certain leasehold improvements and the purchase of lab equipment. The following table summarizes our contractual obligations at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September 30, 2017 and the effect such obligations are expected to have on our liquidity and cash flow in future periods:</w:t>
      </w:r>
    </w:p>
    <w:p>
      <w:pPr>
        <w:spacing w:after="0" w:line="284"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6"/>
          </w:tcPr>
          <w:p>
            <w:pPr>
              <w:jc w:val="center"/>
              <w:ind w:left="317"/>
              <w:spacing w:after="0"/>
              <w:rPr>
                <w:sz w:val="20"/>
                <w:szCs w:val="20"/>
                <w:color w:val="auto"/>
              </w:rPr>
            </w:pPr>
            <w:r>
              <w:rPr>
                <w:rFonts w:ascii="Arial" w:cs="Arial" w:eastAsia="Arial" w:hAnsi="Arial"/>
                <w:sz w:val="14"/>
                <w:szCs w:val="14"/>
                <w:b w:val="1"/>
                <w:bCs w:val="1"/>
                <w:color w:val="auto"/>
                <w:w w:val="92"/>
              </w:rPr>
              <w:t>Payments Due by Period</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r>
      <w:tr>
        <w:trPr>
          <w:trHeight w:val="155"/>
        </w:trPr>
        <w:tc>
          <w:tcPr>
            <w:tcW w:w="33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5"/>
              </w:rPr>
              <w:t>2019-2020</w:t>
            </w: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5"/>
              </w:rPr>
              <w:t>2021-2022</w:t>
            </w: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w w:val="96"/>
              </w:rPr>
              <w:t>2023 and later</w:t>
            </w:r>
          </w:p>
        </w:tc>
        <w:tc>
          <w:tcPr>
            <w:tcW w:w="2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97"/>
        </w:trPr>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4,322</w:t>
            </w:r>
          </w:p>
        </w:tc>
        <w:tc>
          <w:tcPr>
            <w:tcW w:w="64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10,673</w:t>
            </w:r>
          </w:p>
        </w:tc>
        <w:tc>
          <w:tcPr>
            <w:tcW w:w="100" w:type="dxa"/>
            <w:vAlign w:val="bottom"/>
            <w:shd w:val="clear" w:color="auto" w:fill="CFF0FC"/>
          </w:tcPr>
          <w:p>
            <w:pPr>
              <w:spacing w:after="0"/>
              <w:rPr>
                <w:sz w:val="19"/>
                <w:szCs w:val="19"/>
                <w:color w:val="auto"/>
              </w:rPr>
            </w:pPr>
          </w:p>
        </w:tc>
      </w:tr>
      <w:tr>
        <w:trPr>
          <w:trHeight w:val="229"/>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FF0FC"/>
            </w:tcBorders>
          </w:tcPr>
          <w:p>
            <w:pPr>
              <w:spacing w:after="0"/>
              <w:rPr>
                <w:sz w:val="19"/>
                <w:szCs w:val="19"/>
                <w:color w:val="auto"/>
              </w:rPr>
            </w:pPr>
          </w:p>
        </w:tc>
      </w:tr>
      <w:tr>
        <w:trPr>
          <w:trHeight w:val="208"/>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contractual commitments and</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4,522</w:t>
            </w:r>
          </w:p>
        </w:tc>
        <w:tc>
          <w:tcPr>
            <w:tcW w:w="64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11,131</w:t>
            </w:r>
          </w:p>
        </w:tc>
        <w:tc>
          <w:tcPr>
            <w:tcW w:w="100" w:type="dxa"/>
            <w:vAlign w:val="bottom"/>
            <w:shd w:val="clear" w:color="auto" w:fill="CFF0FC"/>
          </w:tcPr>
          <w:p>
            <w:pPr>
              <w:spacing w:after="0"/>
              <w:rPr>
                <w:sz w:val="20"/>
                <w:szCs w:val="20"/>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September 30, 2017, we had 1.0 million outstanding warrants for the purchase of Series 1 nonconvertible preferred stock and 1.0 million outstanding shares of Series 1 nonconvertible preferred stock, all of which we classified as long-term liabilities on our consolidated balance sheet and recorded at fair value of $1.6 million. The fair value of both of these classes of instruments was measured based on significant inputs not observable in the market, which represented a Level 3 measurement within the fair value hierarchy. The fair value of these instruments represents less than 10% of liabilities measured at fair value as of September 30, 2017. The Series 1 nonconvertible preferred stock issued combined with the outstanding warrants as of September 30, 2017, would require the payment of $2.0 million upon a qualifying merger or sale of our company. The table above does not include this liability because we are unable to estimate the timing of this required payment, or if it will be required at all.</w:t>
      </w:r>
    </w:p>
    <w:p>
      <w:pPr>
        <w:spacing w:after="0" w:line="28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had cash, cash equivalents and marketable securities of $293.7 million at September 30, 2017, which consisted of cash, money market funds, agency securities, commercial paper, treasury notes and corporate bonds. Interest income is sensitive to changes in the general level of interest rates; however, due to the nature of these investments, a 1% change in market interest rates would not be expected to have a material impact on our financial condition or results of operations. Other than our capital lease obligation, we had no debt outstanding as of September 30, 2017.</w:t>
      </w:r>
    </w:p>
    <w:p>
      <w:pPr>
        <w:spacing w:after="0" w:line="27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on pages F-1 through F-31 of this Annual Report on Form 10-K.</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Company’s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3" w:name="page74"/>
    <w:bookmarkEnd w:id="73"/>
    <w:p>
      <w:pPr>
        <w:ind w:right="40"/>
        <w:spacing w:after="0" w:line="277" w:lineRule="auto"/>
        <w:rPr>
          <w:sz w:val="20"/>
          <w:szCs w:val="20"/>
          <w:color w:val="auto"/>
        </w:rPr>
      </w:pPr>
      <w:r>
        <w:rPr>
          <w:rFonts w:ascii="Arial" w:cs="Arial" w:eastAsia="Arial" w:hAnsi="Arial"/>
          <w:sz w:val="18"/>
          <w:szCs w:val="18"/>
          <w:color w:val="auto"/>
        </w:rPr>
        <w:t>objectives, as the Companies are designed to do, and management necessarily was required to apply its judgment in evaluating the risk related to controls and procedures.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connection with the preparation of this Form 10-K, as of September 30, 2017, an evaluation was performed under the supervision and with the participation of our management, including the CEO and CFO, of the effectiveness of the design and operation of our disclosure controls and procedures (as defined in Rules 13a-15(e) and 15d-15(e) under the Exchange Act). Based on that evaluation, our management concluded that our disclosure controls and procedures were effective at a reasonable assurance level as of September 30, 2017. These conclusions were communicated to the Audit Committee.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system is designed to provide reasonable assurance to the Company’s management and Board of Directors regarding the preparation and fair presentation of published financial statements. All internal control systems, no matter how well designed, have inherent</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limitations. Therefore, even those systems determined to be effective can provide only reasonable assurance with respect to financial statement preparation and presentation.</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Our management has assessed the effectiveness of our internal control over financial reporting as of September 30, 2017. In making this assessment, management used the criteria set forth by the Committee of Sponsoring Organizations of the Treadway Commission (COSO) in its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this assessment, our management has concluded that as of September 30, 2017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is effective.</w:t>
      </w:r>
    </w:p>
    <w:p>
      <w:pPr>
        <w:spacing w:after="0" w:line="1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an Emerging Growth Company, as defined under the terms of the Jobs Act of 2012, the Company’s independent registered accounting firm is not required to issue an attestation report on the internal control over financial reporting.</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Change in Internal Control over Financial Reporting</w:t>
      </w:r>
      <w:r>
        <w:rPr>
          <w:rFonts w:ascii="Arial" w:cs="Arial" w:eastAsia="Arial" w:hAnsi="Arial"/>
          <w:sz w:val="18"/>
          <w:szCs w:val="18"/>
          <w:color w:val="auto"/>
        </w:rPr>
        <w:t>—There were no changes in our internal control over financial reporting that occurred during our last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that have materially affected, or are reasonably likely to materially affect, our internal control over financial reporting.</w:t>
      </w:r>
    </w:p>
    <w:p>
      <w:pPr>
        <w:spacing w:after="0" w:line="27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Portions of the response to this item are incorporated herein by reference from the discussion responsive thereto under the captions “Proposal 1 - Election of Directors—Nominees for Director and Current Directors”, “Section 16(a) Beneficial Ownership Reporting Compliance”, “Executive Officers” and “Corporate Governance—Board and Committee Matters” in the Company’s Definitive Proxy Statement relating to the 2018 Annual Meeting of Stockholders, also referred to as the 2018 Proxy Statement.</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adopted a Code of Business Conduct and Ethics (the code of ethics) that applies to all of our directors, officers and employees. The code of ethics is available on our website at http://www.enanta.com. In addition, if we make any substantive amendments to the code of ethics or grant any waiver, including any implicit waiver, from a provision of the code to any of our executive officers or directors, we will disclose the nature of such amendment or waiver as required by applicable law.</w:t>
      </w:r>
    </w:p>
    <w:p>
      <w:pPr>
        <w:spacing w:after="0" w:line="29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800"/>
        <w:spacing w:after="0" w:line="307" w:lineRule="auto"/>
        <w:rPr>
          <w:sz w:val="20"/>
          <w:szCs w:val="20"/>
          <w:color w:val="auto"/>
        </w:rPr>
      </w:pPr>
      <w:r>
        <w:rPr>
          <w:rFonts w:ascii="Arial" w:cs="Arial" w:eastAsia="Arial" w:hAnsi="Arial"/>
          <w:sz w:val="17"/>
          <w:szCs w:val="17"/>
          <w:color w:val="auto"/>
        </w:rPr>
        <w:t>The response to this item is incorporated herein by reference from the discussion responsive thereto under the following captions in the 2018 Proxy Statement: “Executive Compensation” and “Corporate Governance—Certain Relationships and Related Transactions.”</w:t>
      </w:r>
    </w:p>
    <w:p>
      <w:pPr>
        <w:spacing w:after="0" w:line="251" w:lineRule="exact"/>
        <w:rPr>
          <w:sz w:val="20"/>
          <w:szCs w:val="20"/>
          <w:color w:val="auto"/>
        </w:rPr>
      </w:pPr>
    </w:p>
    <w:p>
      <w:pPr>
        <w:ind w:left="1360" w:right="180" w:hanging="1348"/>
        <w:spacing w:after="0" w:line="281" w:lineRule="auto"/>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response to this item is incorporated herein by reference in part from the discussion responsive thereto under the caption “Beneficial Ownership of Common Stock” in the 2018 Proxy Statement.</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information about the securities authorized for issuance under the Company’s equity compensation plans as of September 30, 2017: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2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Number of securities</w:t>
            </w:r>
          </w:p>
        </w:tc>
        <w:tc>
          <w:tcPr>
            <w:tcW w:w="220" w:type="dxa"/>
            <w:vAlign w:val="bottom"/>
          </w:tcPr>
          <w:p>
            <w:pPr>
              <w:spacing w:after="0"/>
              <w:rPr>
                <w:sz w:val="12"/>
                <w:szCs w:val="12"/>
                <w:color w:val="auto"/>
              </w:rPr>
            </w:pPr>
          </w:p>
        </w:tc>
        <w:tc>
          <w:tcPr>
            <w:tcW w:w="18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2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to be issued</w:t>
            </w:r>
          </w:p>
        </w:tc>
        <w:tc>
          <w:tcPr>
            <w:tcW w:w="22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upon exercise of</w:t>
            </w:r>
          </w:p>
        </w:tc>
        <w:tc>
          <w:tcPr>
            <w:tcW w:w="220" w:type="dxa"/>
            <w:vAlign w:val="bottom"/>
          </w:tcPr>
          <w:p>
            <w:pPr>
              <w:spacing w:after="0"/>
              <w:rPr>
                <w:sz w:val="12"/>
                <w:szCs w:val="12"/>
                <w:color w:val="auto"/>
              </w:rPr>
            </w:pPr>
          </w:p>
        </w:tc>
        <w:tc>
          <w:tcPr>
            <w:tcW w:w="18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options,</w:t>
            </w:r>
          </w:p>
        </w:tc>
        <w:tc>
          <w:tcPr>
            <w:tcW w:w="2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2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2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warrants and rights</w:t>
            </w:r>
          </w:p>
        </w:tc>
        <w:tc>
          <w:tcPr>
            <w:tcW w:w="220" w:type="dxa"/>
            <w:vAlign w:val="bottom"/>
          </w:tcPr>
          <w:p>
            <w:pPr>
              <w:spacing w:after="0"/>
              <w:rPr>
                <w:sz w:val="14"/>
                <w:szCs w:val="14"/>
                <w:color w:val="auto"/>
              </w:rPr>
            </w:pPr>
          </w:p>
        </w:tc>
        <w:tc>
          <w:tcPr>
            <w:tcW w:w="18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rights</w:t>
            </w: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55"/>
        </w:trPr>
        <w:tc>
          <w:tcPr>
            <w:tcW w:w="4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w:t>
            </w:r>
          </w:p>
        </w:tc>
        <w:tc>
          <w:tcPr>
            <w:tcW w:w="3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center"/>
              <w:ind w:right="166"/>
              <w:spacing w:after="0" w:line="155" w:lineRule="exact"/>
              <w:rPr>
                <w:sz w:val="20"/>
                <w:szCs w:val="20"/>
                <w:color w:val="auto"/>
              </w:rPr>
            </w:pPr>
            <w:r>
              <w:rPr>
                <w:rFonts w:ascii="Arial" w:cs="Arial" w:eastAsia="Arial" w:hAnsi="Arial"/>
                <w:sz w:val="14"/>
                <w:szCs w:val="14"/>
                <w:b w:val="1"/>
                <w:bCs w:val="1"/>
                <w:color w:val="auto"/>
              </w:rPr>
              <w:t>(b)</w:t>
            </w:r>
          </w:p>
        </w:tc>
        <w:tc>
          <w:tcPr>
            <w:tcW w:w="360" w:type="dxa"/>
            <w:vAlign w:val="bottom"/>
          </w:tcPr>
          <w:p>
            <w:pPr>
              <w:spacing w:after="0"/>
              <w:rPr>
                <w:sz w:val="13"/>
                <w:szCs w:val="13"/>
                <w:color w:val="auto"/>
              </w:rPr>
            </w:pP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1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security holders </w:t>
            </w:r>
            <w:r>
              <w:rPr>
                <w:rFonts w:ascii="Arial" w:cs="Arial" w:eastAsia="Arial" w:hAnsi="Arial"/>
                <w:sz w:val="15"/>
                <w:szCs w:val="15"/>
                <w:color w:val="auto"/>
              </w:rPr>
              <w:t>(1)</w:t>
            </w:r>
          </w:p>
        </w:tc>
        <w:tc>
          <w:tcPr>
            <w:tcW w:w="208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 xml:space="preserve">3,567  </w:t>
            </w:r>
            <w:r>
              <w:rPr>
                <w:rFonts w:ascii="Arial" w:cs="Arial" w:eastAsia="Arial" w:hAnsi="Arial"/>
                <w:sz w:val="15"/>
                <w:szCs w:val="15"/>
                <w:color w:val="auto"/>
              </w:rPr>
              <w:t>(2)</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360" w:type="dxa"/>
            <w:vAlign w:val="bottom"/>
            <w:shd w:val="clear" w:color="auto" w:fill="CFF0FC"/>
          </w:tcPr>
          <w:p>
            <w:pPr>
              <w:spacing w:after="0"/>
              <w:rPr>
                <w:sz w:val="20"/>
                <w:szCs w:val="20"/>
                <w:color w:val="auto"/>
              </w:rPr>
            </w:pPr>
          </w:p>
        </w:tc>
        <w:tc>
          <w:tcPr>
            <w:tcW w:w="2300" w:type="dxa"/>
            <w:vAlign w:val="bottom"/>
            <w:gridSpan w:val="2"/>
            <w:shd w:val="clear" w:color="auto" w:fill="CFF0FC"/>
          </w:tcPr>
          <w:p>
            <w:pPr>
              <w:ind w:left="1660"/>
              <w:spacing w:after="0"/>
              <w:rPr>
                <w:sz w:val="20"/>
                <w:szCs w:val="20"/>
                <w:color w:val="auto"/>
              </w:rPr>
            </w:pPr>
            <w:r>
              <w:rPr>
                <w:rFonts w:ascii="Arial" w:cs="Arial" w:eastAsia="Arial" w:hAnsi="Arial"/>
                <w:sz w:val="18"/>
                <w:szCs w:val="18"/>
                <w:color w:val="auto"/>
              </w:rPr>
              <w:t xml:space="preserve">460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security holders</w:t>
            </w:r>
          </w:p>
        </w:tc>
        <w:tc>
          <w:tcPr>
            <w:tcW w:w="172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Totals</w:t>
            </w:r>
          </w:p>
        </w:tc>
        <w:tc>
          <w:tcPr>
            <w:tcW w:w="1720" w:type="dxa"/>
            <w:vAlign w:val="bottom"/>
            <w:shd w:val="clear" w:color="auto" w:fill="CFF0FC"/>
          </w:tcPr>
          <w:p>
            <w:pPr>
              <w:ind w:left="1300"/>
              <w:spacing w:after="0"/>
              <w:rPr>
                <w:sz w:val="20"/>
                <w:szCs w:val="20"/>
                <w:color w:val="auto"/>
              </w:rPr>
            </w:pPr>
            <w:r>
              <w:rPr>
                <w:rFonts w:ascii="Arial" w:cs="Arial" w:eastAsia="Arial" w:hAnsi="Arial"/>
                <w:sz w:val="18"/>
                <w:szCs w:val="18"/>
                <w:color w:val="auto"/>
                <w:w w:val="88"/>
              </w:rPr>
              <w:t>3,567</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40" w:type="dxa"/>
            <w:vAlign w:val="bottom"/>
            <w:shd w:val="clear" w:color="auto" w:fill="CFF0FC"/>
          </w:tcPr>
          <w:p>
            <w:pPr>
              <w:ind w:left="1660"/>
              <w:spacing w:after="0"/>
              <w:rPr>
                <w:sz w:val="20"/>
                <w:szCs w:val="20"/>
                <w:color w:val="auto"/>
              </w:rPr>
            </w:pPr>
            <w:r>
              <w:rPr>
                <w:rFonts w:ascii="Arial" w:cs="Arial" w:eastAsia="Arial" w:hAnsi="Arial"/>
                <w:sz w:val="18"/>
                <w:szCs w:val="18"/>
                <w:color w:val="auto"/>
                <w:w w:val="86"/>
              </w:rPr>
              <w:t>460</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00" w:right="80" w:hanging="592"/>
        <w:spacing w:after="0" w:line="258"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the Company’s Amended and Restated 1995 Equity Incentive Plan, as amended, the Company’s 2012 Equity Incentive Plan, as amended, and the Company’s Employee Stock Purchase Plan.</w:t>
      </w:r>
    </w:p>
    <w:p>
      <w:pPr>
        <w:spacing w:after="0" w:line="1" w:lineRule="exact"/>
        <w:rPr>
          <w:rFonts w:ascii="Arial" w:cs="Arial" w:eastAsia="Arial" w:hAnsi="Arial"/>
          <w:sz w:val="18"/>
          <w:szCs w:val="18"/>
          <w:color w:val="auto"/>
        </w:rPr>
      </w:pPr>
    </w:p>
    <w:p>
      <w:pPr>
        <w:ind w:left="600" w:right="100" w:hanging="592"/>
        <w:spacing w:after="0" w:line="250"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shares of the Company’s common stock issuable upon exercise of outstanding options issued under the Company’s Amended and Restated 1995 Equity Incentive Plan and the Company’s 2012 Equity Incentive Plan as well as Series 1 nonconvertible preferred stock issuable upon exercise of outstanding warrants.</w:t>
      </w:r>
    </w:p>
    <w:p>
      <w:pPr>
        <w:ind w:left="600" w:right="40" w:hanging="592"/>
        <w:spacing w:after="0" w:line="260"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shares of the Company’s common stock reserved for future issuance under the Company’s 2012 Equity Incentive Plan and the Company’s Employee Stock Purchase Plan. This does not include 574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899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ind w:left="600"/>
        <w:spacing w:after="0"/>
        <w:rPr>
          <w:sz w:val="20"/>
          <w:szCs w:val="20"/>
          <w:color w:val="auto"/>
        </w:rPr>
      </w:pPr>
      <w:r>
        <w:rPr>
          <w:rFonts w:ascii="Arial" w:cs="Arial" w:eastAsia="Arial" w:hAnsi="Arial"/>
          <w:sz w:val="18"/>
          <w:szCs w:val="18"/>
          <w:color w:val="auto"/>
        </w:rPr>
        <w:t>that were automatically added to the Company’s 2012 Equity Incentive Plan by its terms as of October 1, 2017.</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right="500"/>
        <w:spacing w:after="0" w:line="307" w:lineRule="auto"/>
        <w:rPr>
          <w:sz w:val="20"/>
          <w:szCs w:val="20"/>
          <w:color w:val="auto"/>
        </w:rPr>
      </w:pPr>
      <w:r>
        <w:rPr>
          <w:rFonts w:ascii="Arial" w:cs="Arial" w:eastAsia="Arial" w:hAnsi="Arial"/>
          <w:sz w:val="17"/>
          <w:szCs w:val="17"/>
          <w:color w:val="auto"/>
        </w:rPr>
        <w:t>The response to this item is incorporated herein by reference from the discussion responsive thereto under the caption “Corporate Governance—Certain Relationships and Related Transactions” and “Corporate Governance—Board and Committee Matters” in the 2018 Proxy Statement.</w:t>
      </w:r>
    </w:p>
    <w:p>
      <w:pPr>
        <w:spacing w:after="0" w:line="25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response to this item is incorporated herein by reference from the discussion responsive thereto under the captions “Corporate Governance—Board and Committee Matters” and “Audit Committee Report—Audit Fees” in the 2018 Proxy Statement.</w:t>
      </w:r>
    </w:p>
    <w:p>
      <w:pPr>
        <w:spacing w:after="0" w:line="27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included under Part II, Item 8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STATEMENTS SCHEDULE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Schedules are omitted because they are not applicable, or are not required, or because the information is included in the consolidated financial statements and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exhibits are listed below under Part IV, Item 15(b) of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1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520" w:type="dxa"/>
            <w:vAlign w:val="bottom"/>
            <w:gridSpan w:val="14"/>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Form</w:t>
            </w:r>
          </w:p>
        </w:tc>
        <w:tc>
          <w:tcPr>
            <w:tcW w:w="13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Exhibit</w:t>
            </w:r>
          </w:p>
        </w:tc>
        <w:tc>
          <w:tcPr>
            <w:tcW w:w="14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File Number</w:t>
            </w: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4520" w:type="dxa"/>
            <w:vAlign w:val="bottom"/>
            <w:gridSpan w:val="1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148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4"/>
                <w:szCs w:val="14"/>
                <w:color w:val="auto"/>
              </w:rPr>
            </w:pPr>
          </w:p>
        </w:tc>
        <w:tc>
          <w:tcPr>
            <w:tcW w:w="4660" w:type="dxa"/>
            <w:vAlign w:val="bottom"/>
            <w:tcBorders>
              <w:top w:val="single" w:sz="8" w:color="auto"/>
              <w:bottom w:val="single" w:sz="8" w:color="0000EE"/>
            </w:tcBorders>
            <w:gridSpan w:val="13"/>
          </w:tcPr>
          <w:p>
            <w:pPr>
              <w:spacing w:after="0" w:line="169"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Restated Certificate of Incorporation of Enanta Pharmaceuticals,</w:t>
              </w:r>
            </w:hyperlink>
          </w:p>
        </w:tc>
        <w:tc>
          <w:tcPr>
            <w:tcW w:w="1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40" w:type="dxa"/>
            <w:vAlign w:val="bottom"/>
          </w:tcPr>
          <w:p>
            <w:pPr>
              <w:spacing w:after="0"/>
              <w:rPr>
                <w:sz w:val="14"/>
                <w:szCs w:val="14"/>
                <w:color w:val="auto"/>
              </w:rPr>
            </w:pPr>
          </w:p>
        </w:tc>
        <w:tc>
          <w:tcPr>
            <w:tcW w:w="1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03/28/2013</w:t>
            </w:r>
          </w:p>
        </w:tc>
        <w:tc>
          <w:tcPr>
            <w:tcW w:w="4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4"/>
                <w:szCs w:val="14"/>
                <w:color w:val="auto"/>
              </w:rPr>
            </w:pPr>
          </w:p>
        </w:tc>
        <w:tc>
          <w:tcPr>
            <w:tcW w:w="14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001-35839</w:t>
            </w:r>
          </w:p>
        </w:tc>
        <w:tc>
          <w:tcPr>
            <w:tcW w:w="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Inc.</w:t>
              </w:r>
            </w:hyperlink>
          </w:p>
        </w:tc>
        <w:tc>
          <w:tcPr>
            <w:tcW w:w="4520" w:type="dxa"/>
            <w:vAlign w:val="bottom"/>
            <w:gridSpan w:val="14"/>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4800" w:type="dxa"/>
            <w:vAlign w:val="bottom"/>
            <w:gridSpan w:val="15"/>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Amended and Restated Bylaws of Enanta Pharmaceuticals, Inc.</w:t>
              </w:r>
            </w:hyperlink>
          </w:p>
        </w:tc>
        <w:tc>
          <w:tcPr>
            <w:tcW w:w="116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line="196" w:lineRule="exact"/>
              <w:rPr>
                <w:sz w:val="20"/>
                <w:szCs w:val="20"/>
                <w:color w:val="auto"/>
              </w:rPr>
            </w:pPr>
            <w:r>
              <w:rPr>
                <w:rFonts w:ascii="Arial" w:cs="Arial" w:eastAsia="Arial" w:hAnsi="Arial"/>
                <w:sz w:val="18"/>
                <w:szCs w:val="18"/>
                <w:color w:val="auto"/>
                <w:w w:val="88"/>
              </w:rPr>
              <w:t>08/18/2015</w:t>
            </w:r>
          </w:p>
        </w:tc>
        <w:tc>
          <w:tcPr>
            <w:tcW w:w="4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001-35839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(as amended and restated in August 2015).</w:t>
              </w:r>
            </w:hyperlink>
          </w:p>
        </w:tc>
        <w:tc>
          <w:tcPr>
            <w:tcW w:w="1500" w:type="dxa"/>
            <w:vAlign w:val="bottom"/>
            <w:tcBorders>
              <w:top w:val="single" w:sz="8" w:color="0000EE"/>
            </w:tcBorders>
            <w:gridSpan w:val="9"/>
          </w:tcPr>
          <w:p>
            <w:pPr>
              <w:spacing w:after="0"/>
              <w:rPr>
                <w:sz w:val="17"/>
                <w:szCs w:val="17"/>
                <w:color w:val="auto"/>
              </w:rPr>
            </w:pPr>
          </w:p>
        </w:tc>
        <w:tc>
          <w:tcPr>
            <w:tcW w:w="22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4800" w:type="dxa"/>
            <w:vAlign w:val="bottom"/>
            <w:gridSpan w:val="15"/>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Specimen certificate evidencing shares of common stock.</w:t>
              </w:r>
            </w:hyperlink>
          </w:p>
        </w:tc>
        <w:tc>
          <w:tcPr>
            <w:tcW w:w="116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line="196" w:lineRule="exact"/>
              <w:rPr>
                <w:sz w:val="20"/>
                <w:szCs w:val="20"/>
                <w:color w:val="auto"/>
              </w:rPr>
            </w:pPr>
            <w:r>
              <w:rPr>
                <w:rFonts w:ascii="Arial" w:cs="Arial" w:eastAsia="Arial" w:hAnsi="Arial"/>
                <w:sz w:val="18"/>
                <w:szCs w:val="18"/>
                <w:color w:val="auto"/>
                <w:w w:val="88"/>
              </w:rPr>
              <w:t>02/05/2013</w:t>
            </w:r>
          </w:p>
        </w:tc>
        <w:tc>
          <w:tcPr>
            <w:tcW w:w="4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333-184779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7"/>
                <w:szCs w:val="17"/>
                <w:color w:val="auto"/>
              </w:rPr>
            </w:pPr>
          </w:p>
        </w:tc>
        <w:tc>
          <w:tcPr>
            <w:tcW w:w="4800" w:type="dxa"/>
            <w:vAlign w:val="bottom"/>
            <w:gridSpan w:val="15"/>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Form of Series 1 Non-Convertible Preferred Stock Warrant.</w:t>
              </w:r>
            </w:hyperlink>
          </w:p>
        </w:tc>
        <w:tc>
          <w:tcPr>
            <w:tcW w:w="116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line="196" w:lineRule="exact"/>
              <w:rPr>
                <w:sz w:val="20"/>
                <w:szCs w:val="20"/>
                <w:color w:val="auto"/>
              </w:rPr>
            </w:pPr>
            <w:r>
              <w:rPr>
                <w:rFonts w:ascii="Arial" w:cs="Arial" w:eastAsia="Arial" w:hAnsi="Arial"/>
                <w:sz w:val="18"/>
                <w:szCs w:val="18"/>
                <w:color w:val="auto"/>
                <w:w w:val="88"/>
              </w:rPr>
              <w:t>11/06/2012</w:t>
            </w:r>
          </w:p>
        </w:tc>
        <w:tc>
          <w:tcPr>
            <w:tcW w:w="4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333-184779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6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Specimen certificate evidencing shares of Series 1 Non-</w:t>
              </w:r>
            </w:hyperlink>
          </w:p>
        </w:tc>
        <w:tc>
          <w:tcPr>
            <w:tcW w:w="260" w:type="dxa"/>
            <w:vAlign w:val="bottom"/>
            <w:tcBorders>
              <w:top w:val="single" w:sz="8" w:color="0000EE"/>
            </w:tcBorders>
            <w:gridSpan w:val="2"/>
          </w:tcPr>
          <w:p>
            <w:pPr>
              <w:spacing w:after="0"/>
              <w:rPr>
                <w:sz w:val="17"/>
                <w:szCs w:val="17"/>
                <w:color w:val="auto"/>
              </w:rPr>
            </w:pPr>
          </w:p>
        </w:tc>
        <w:tc>
          <w:tcPr>
            <w:tcW w:w="500" w:type="dxa"/>
            <w:vAlign w:val="bottom"/>
            <w:gridSpan w:val="8"/>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15"/>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Convertible Preferred Stock</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7"/>
                <w:szCs w:val="17"/>
                <w:color w:val="auto"/>
              </w:rPr>
            </w:pPr>
          </w:p>
        </w:tc>
        <w:tc>
          <w:tcPr>
            <w:tcW w:w="45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Form of Indemnification Agreement for directors and officers.</w:t>
              </w:r>
            </w:hyperlink>
          </w:p>
        </w:tc>
        <w:tc>
          <w:tcPr>
            <w:tcW w:w="300" w:type="dxa"/>
            <w:vAlign w:val="bottom"/>
            <w:gridSpan w:val="4"/>
          </w:tcPr>
          <w:p>
            <w:pPr>
              <w:spacing w:after="0"/>
              <w:rPr>
                <w:sz w:val="17"/>
                <w:szCs w:val="17"/>
                <w:color w:val="auto"/>
              </w:rPr>
            </w:pPr>
          </w:p>
        </w:tc>
        <w:tc>
          <w:tcPr>
            <w:tcW w:w="116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line="196" w:lineRule="exact"/>
              <w:rPr>
                <w:sz w:val="20"/>
                <w:szCs w:val="20"/>
                <w:color w:val="auto"/>
              </w:rPr>
            </w:pPr>
            <w:r>
              <w:rPr>
                <w:rFonts w:ascii="Arial" w:cs="Arial" w:eastAsia="Arial" w:hAnsi="Arial"/>
                <w:sz w:val="18"/>
                <w:szCs w:val="18"/>
                <w:color w:val="auto"/>
                <w:w w:val="88"/>
              </w:rPr>
              <w:t>02/05/2013</w:t>
            </w:r>
          </w:p>
        </w:tc>
        <w:tc>
          <w:tcPr>
            <w:tcW w:w="4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10.7</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333-184779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44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Amended and Restated Employment Agreement between the</w:t>
              </w:r>
            </w:hyperlink>
          </w:p>
        </w:tc>
        <w:tc>
          <w:tcPr>
            <w:tcW w:w="380" w:type="dxa"/>
            <w:vAlign w:val="bottom"/>
            <w:gridSpan w:val="5"/>
          </w:tcPr>
          <w:p>
            <w:pPr>
              <w:spacing w:after="0"/>
              <w:rPr>
                <w:sz w:val="17"/>
                <w:szCs w:val="17"/>
                <w:color w:val="auto"/>
              </w:rPr>
            </w:pPr>
          </w:p>
        </w:tc>
        <w:tc>
          <w:tcPr>
            <w:tcW w:w="116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line="196" w:lineRule="exact"/>
              <w:rPr>
                <w:sz w:val="20"/>
                <w:szCs w:val="20"/>
                <w:color w:val="auto"/>
              </w:rPr>
            </w:pPr>
            <w:r>
              <w:rPr>
                <w:rFonts w:ascii="Arial" w:cs="Arial" w:eastAsia="Arial" w:hAnsi="Arial"/>
                <w:sz w:val="18"/>
                <w:szCs w:val="18"/>
                <w:color w:val="auto"/>
                <w:w w:val="88"/>
              </w:rPr>
              <w:t>03/05/2013</w:t>
            </w:r>
          </w:p>
        </w:tc>
        <w:tc>
          <w:tcPr>
            <w:tcW w:w="4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333-184779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Company and Jay R. Luly, Ph.D., dated as of March 4, 2013.</w:t>
              </w:r>
            </w:hyperlink>
          </w:p>
        </w:tc>
        <w:tc>
          <w:tcPr>
            <w:tcW w:w="40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7"/>
                <w:szCs w:val="17"/>
                <w:color w:val="auto"/>
              </w:rPr>
            </w:pPr>
          </w:p>
        </w:tc>
        <w:tc>
          <w:tcPr>
            <w:tcW w:w="43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Form of Amended and Restated Employment Agreement for</w:t>
              </w:r>
            </w:hyperlink>
          </w:p>
        </w:tc>
        <w:tc>
          <w:tcPr>
            <w:tcW w:w="420" w:type="dxa"/>
            <w:vAlign w:val="bottom"/>
            <w:gridSpan w:val="7"/>
          </w:tcPr>
          <w:p>
            <w:pPr>
              <w:spacing w:after="0"/>
              <w:rPr>
                <w:sz w:val="17"/>
                <w:szCs w:val="17"/>
                <w:color w:val="auto"/>
              </w:rPr>
            </w:pPr>
          </w:p>
        </w:tc>
        <w:tc>
          <w:tcPr>
            <w:tcW w:w="116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line="196" w:lineRule="exact"/>
              <w:rPr>
                <w:sz w:val="20"/>
                <w:szCs w:val="20"/>
                <w:color w:val="auto"/>
              </w:rPr>
            </w:pPr>
            <w:r>
              <w:rPr>
                <w:rFonts w:ascii="Arial" w:cs="Arial" w:eastAsia="Arial" w:hAnsi="Arial"/>
                <w:sz w:val="18"/>
                <w:szCs w:val="18"/>
                <w:color w:val="auto"/>
                <w:w w:val="88"/>
              </w:rPr>
              <w:t>03/05/2013</w:t>
            </w:r>
          </w:p>
        </w:tc>
        <w:tc>
          <w:tcPr>
            <w:tcW w:w="4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8"/>
              </w:rPr>
              <w:t>10.17</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333-184779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15"/>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Executive Officers other than Chief Executive Officer.</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7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jc w:val="right"/>
              <w:ind w:right="792"/>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1"/>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0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1380" w:type="dxa"/>
            <w:vAlign w:val="bottom"/>
            <w:tcBorders>
              <w:bottom w:val="single" w:sz="8" w:color="auto"/>
            </w:tcBorders>
          </w:tcPr>
          <w:p>
            <w:pPr>
              <w:spacing w:after="0"/>
              <w:rPr>
                <w:sz w:val="14"/>
                <w:szCs w:val="14"/>
                <w:color w:val="auto"/>
              </w:rPr>
            </w:pPr>
          </w:p>
        </w:tc>
        <w:tc>
          <w:tcPr>
            <w:tcW w:w="7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1520" w:type="dxa"/>
            <w:vAlign w:val="bottom"/>
            <w:vMerge w:val="continue"/>
          </w:tcPr>
          <w:p>
            <w:pPr>
              <w:spacing w:after="0"/>
              <w:rPr>
                <w:sz w:val="10"/>
                <w:szCs w:val="10"/>
                <w:color w:val="auto"/>
              </w:rPr>
            </w:pPr>
          </w:p>
        </w:tc>
        <w:tc>
          <w:tcPr>
            <w:tcW w:w="40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Exhibit Description</w:t>
            </w:r>
          </w:p>
        </w:tc>
        <w:tc>
          <w:tcPr>
            <w:tcW w:w="11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Form</w:t>
            </w:r>
          </w:p>
        </w:tc>
        <w:tc>
          <w:tcPr>
            <w:tcW w:w="11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Date</w:t>
            </w:r>
          </w:p>
        </w:tc>
        <w:tc>
          <w:tcPr>
            <w:tcW w:w="12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File Number</w:t>
            </w: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5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0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380" w:type="dxa"/>
            <w:vAlign w:val="bottom"/>
            <w:vMerge w:val="continue"/>
          </w:tcPr>
          <w:p>
            <w:pPr>
              <w:spacing w:after="0"/>
              <w:rPr>
                <w:sz w:val="16"/>
                <w:szCs w:val="16"/>
                <w:color w:val="auto"/>
              </w:rPr>
            </w:pPr>
          </w:p>
        </w:tc>
        <w:tc>
          <w:tcPr>
            <w:tcW w:w="780" w:type="dxa"/>
            <w:vAlign w:val="bottom"/>
          </w:tcPr>
          <w:p>
            <w:pPr>
              <w:jc w:val="center"/>
              <w:ind w:left="12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p>
      <w:pPr>
        <w:ind w:left="760" w:hanging="754"/>
        <w:spacing w:after="0" w:line="264" w:lineRule="auto"/>
        <w:tabs>
          <w:tab w:leader="none" w:pos="740" w:val="left"/>
        </w:tabs>
        <w:rPr>
          <w:rFonts w:ascii="Arial" w:cs="Arial" w:eastAsia="Arial" w:hAnsi="Arial"/>
          <w:sz w:val="17"/>
          <w:szCs w:val="17"/>
          <w:u w:val="single" w:color="auto"/>
          <w:color w:val="0000EE"/>
        </w:rPr>
      </w:pPr>
      <w:r>
        <w:rPr>
          <w:rFonts w:ascii="Arial" w:cs="Arial" w:eastAsia="Arial" w:hAnsi="Arial"/>
          <w:sz w:val="18"/>
          <w:szCs w:val="18"/>
          <w:color w:val="auto"/>
        </w:rPr>
        <w:t>10.4†</w:t>
      </w:r>
      <w:r>
        <w:rPr>
          <w:sz w:val="20"/>
          <w:szCs w:val="20"/>
          <w:color w:val="auto"/>
        </w:rPr>
        <w:tab/>
      </w:r>
      <w:hyperlink r:id="rId113">
        <w:r>
          <w:rPr>
            <w:rFonts w:ascii="Arial" w:cs="Arial" w:eastAsia="Arial" w:hAnsi="Arial"/>
            <w:sz w:val="17"/>
            <w:szCs w:val="17"/>
            <w:u w:val="single" w:color="auto"/>
            <w:color w:val="0000EE"/>
          </w:rPr>
          <w:t>Collaborative Development and License Agreement between the</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Company and Abbott Laboratories, dated November 27, 2006; as</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amended by a First Amendment to Collaborative Development and</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License Agreement dated January 27, 2009 and a Second</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Amendment to Collaborative Development and License</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Agreement dated December 9, 2009 (assigned to AbbVie Inc. as of</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January 1, 2013).</w:t>
        </w:r>
      </w:hyperlink>
    </w:p>
    <w:p>
      <w:pPr>
        <w:spacing w:after="0" w:line="4" w:lineRule="exact"/>
        <w:rPr>
          <w:rFonts w:ascii="Arial" w:cs="Arial" w:eastAsia="Arial" w:hAnsi="Arial"/>
          <w:sz w:val="17"/>
          <w:szCs w:val="17"/>
          <w:u w:val="single" w:color="auto"/>
          <w:color w:val="0000EE"/>
        </w:rPr>
      </w:pPr>
    </w:p>
    <w:p>
      <w:pPr>
        <w:ind w:left="760" w:right="240" w:hanging="754"/>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14">
        <w:r>
          <w:rPr>
            <w:rFonts w:ascii="Arial" w:cs="Arial" w:eastAsia="Arial" w:hAnsi="Arial"/>
            <w:sz w:val="18"/>
            <w:szCs w:val="18"/>
            <w:u w:val="single" w:color="auto"/>
            <w:color w:val="0000EE"/>
          </w:rPr>
          <w:t>Third Amendment to Collaborative Development and License</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Agreement between the Company and AbbVie dated October 20,</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2014.</w:t>
        </w:r>
      </w:hyperlink>
    </w:p>
    <w:p>
      <w:pPr>
        <w:spacing w:after="0" w:line="1" w:lineRule="exact"/>
        <w:rPr>
          <w:rFonts w:ascii="Arial" w:cs="Arial" w:eastAsia="Arial" w:hAnsi="Arial"/>
          <w:sz w:val="18"/>
          <w:szCs w:val="18"/>
          <w:u w:val="single" w:color="auto"/>
          <w:color w:val="0000EE"/>
        </w:rPr>
      </w:pPr>
    </w:p>
    <w:p>
      <w:pPr>
        <w:ind w:left="760" w:right="60" w:hanging="754"/>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15">
        <w:r>
          <w:rPr>
            <w:rFonts w:ascii="Arial" w:cs="Arial" w:eastAsia="Arial" w:hAnsi="Arial"/>
            <w:sz w:val="18"/>
            <w:szCs w:val="18"/>
            <w:u w:val="single" w:color="auto"/>
            <w:color w:val="0000EE"/>
          </w:rPr>
          <w:t>Fourth Amendment to Collaborative Development and License</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Agreement between the Company and AbbVie dated as of March 3,</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2015.</w:t>
        </w:r>
      </w:hyperlink>
    </w:p>
    <w:p>
      <w:pPr>
        <w:spacing w:after="0" w:line="1" w:lineRule="exact"/>
        <w:rPr>
          <w:rFonts w:ascii="Arial" w:cs="Arial" w:eastAsia="Arial" w:hAnsi="Arial"/>
          <w:sz w:val="18"/>
          <w:szCs w:val="18"/>
          <w:u w:val="single" w:color="auto"/>
          <w:color w:val="0000EE"/>
        </w:rPr>
      </w:pPr>
    </w:p>
    <w:p>
      <w:pPr>
        <w:ind w:left="760" w:right="420" w:hanging="754"/>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16">
        <w:r>
          <w:rPr>
            <w:rFonts w:ascii="Arial" w:cs="Arial" w:eastAsia="Arial" w:hAnsi="Arial"/>
            <w:sz w:val="18"/>
            <w:szCs w:val="18"/>
            <w:u w:val="single" w:color="auto"/>
            <w:color w:val="0000EE"/>
          </w:rPr>
          <w:t>Lease Agreement between Company and ARE-500 Arsenal</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Street LLC, dated as of April 15, 2011.</w:t>
        </w:r>
      </w:hyperlink>
    </w:p>
    <w:p>
      <w:pPr>
        <w:ind w:left="760" w:right="40" w:hanging="754"/>
        <w:spacing w:after="0" w:line="281" w:lineRule="auto"/>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117">
        <w:r>
          <w:rPr>
            <w:rFonts w:ascii="Arial" w:cs="Arial" w:eastAsia="Arial" w:hAnsi="Arial"/>
            <w:sz w:val="16"/>
            <w:szCs w:val="16"/>
            <w:u w:val="single" w:color="auto"/>
            <w:color w:val="0000EE"/>
          </w:rPr>
          <w:t>First Amendment to Lease Agreement made as of March 5, 2015</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between the Company and ARE-500 Arsenal Street LLC.</w:t>
        </w:r>
      </w:hyperlink>
    </w:p>
    <w:p>
      <w:pPr>
        <w:spacing w:after="0" w:line="1" w:lineRule="exact"/>
        <w:rPr>
          <w:sz w:val="20"/>
          <w:szCs w:val="20"/>
          <w:color w:val="auto"/>
        </w:rPr>
      </w:pPr>
    </w:p>
    <w:p>
      <w:pPr>
        <w:ind w:left="760" w:right="280" w:hanging="754"/>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18">
        <w:r>
          <w:rPr>
            <w:rFonts w:ascii="Arial" w:cs="Arial" w:eastAsia="Arial" w:hAnsi="Arial"/>
            <w:sz w:val="18"/>
            <w:szCs w:val="18"/>
            <w:u w:val="single" w:color="auto"/>
            <w:color w:val="0000EE"/>
          </w:rPr>
          <w:t>Third Amended and Restated Registration Rights Agreement,</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dated as of August 23, 2012.</w:t>
        </w:r>
      </w:hyperlink>
    </w:p>
    <w:p>
      <w:pPr>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19">
        <w:r>
          <w:rPr>
            <w:rFonts w:ascii="Arial" w:cs="Arial" w:eastAsia="Arial" w:hAnsi="Arial"/>
            <w:sz w:val="16"/>
            <w:szCs w:val="16"/>
            <w:u w:val="single" w:color="auto"/>
            <w:color w:val="0000EE"/>
          </w:rPr>
          <w:t>Amended and Restated 1995 Equity Incentive Plan.</w:t>
        </w:r>
      </w:hyperlink>
    </w:p>
    <w:p>
      <w:pPr>
        <w:spacing w:after="0" w:line="9" w:lineRule="exact"/>
        <w:rPr>
          <w:sz w:val="20"/>
          <w:szCs w:val="20"/>
          <w:color w:val="auto"/>
        </w:rPr>
      </w:pPr>
    </w:p>
    <w:p>
      <w:pPr>
        <w:ind w:left="760" w:right="120" w:hanging="754"/>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20">
        <w:r>
          <w:rPr>
            <w:rFonts w:ascii="Arial" w:cs="Arial" w:eastAsia="Arial" w:hAnsi="Arial"/>
            <w:sz w:val="18"/>
            <w:szCs w:val="18"/>
            <w:u w:val="single" w:color="auto"/>
            <w:color w:val="0000EE"/>
          </w:rPr>
          <w:t>Form of Incentive Stock Option Certificate under Amended and</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Restated 1995 Equity Incentive Plan.</w:t>
        </w:r>
      </w:hyperlink>
    </w:p>
    <w:p>
      <w:pPr>
        <w:ind w:left="760" w:right="60" w:hanging="754"/>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1">
        <w:r>
          <w:rPr>
            <w:rFonts w:ascii="Arial" w:cs="Arial" w:eastAsia="Arial" w:hAnsi="Arial"/>
            <w:sz w:val="18"/>
            <w:szCs w:val="18"/>
            <w:u w:val="single" w:color="auto"/>
            <w:color w:val="0000EE"/>
          </w:rPr>
          <w:t>Form of Non-Statutory Stock Option Certificate under Amended</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and Restated 1995 Equity Incentive Plan.</w:t>
        </w:r>
      </w:hyperlink>
    </w:p>
    <w:p>
      <w:pPr>
        <w:ind w:left="760" w:right="320" w:hanging="754"/>
        <w:spacing w:after="0" w:line="281" w:lineRule="auto"/>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22">
        <w:r>
          <w:rPr>
            <w:rFonts w:ascii="Arial" w:cs="Arial" w:eastAsia="Arial" w:hAnsi="Arial"/>
            <w:sz w:val="16"/>
            <w:szCs w:val="16"/>
            <w:u w:val="single" w:color="auto"/>
            <w:color w:val="0000EE"/>
          </w:rPr>
          <w:t>Form of Non-Statutory Stock Option Certificate for directors</w:t>
        </w:r>
      </w:hyperlink>
      <w:r>
        <w:rPr>
          <w:rFonts w:ascii="Arial" w:cs="Arial" w:eastAsia="Arial" w:hAnsi="Arial"/>
          <w:sz w:val="16"/>
          <w:szCs w:val="16"/>
          <w:u w:val="single" w:color="auto"/>
          <w:color w:val="0000EE"/>
        </w:rPr>
        <w:t xml:space="preserve"> </w:t>
      </w:r>
      <w:hyperlink r:id="rId122">
        <w:r>
          <w:rPr>
            <w:rFonts w:ascii="Arial" w:cs="Arial" w:eastAsia="Arial" w:hAnsi="Arial"/>
            <w:sz w:val="16"/>
            <w:szCs w:val="16"/>
            <w:u w:val="single" w:color="auto"/>
            <w:color w:val="0000EE"/>
          </w:rPr>
          <w:t>under Amended and Restated 1995 Equity Incentive Plan.</w:t>
        </w:r>
      </w:hyperlink>
    </w:p>
    <w:p>
      <w:pPr>
        <w:spacing w:after="0" w:line="1" w:lineRule="exact"/>
        <w:rPr>
          <w:sz w:val="20"/>
          <w:szCs w:val="20"/>
          <w:color w:val="auto"/>
        </w:rPr>
      </w:pPr>
    </w:p>
    <w:p>
      <w:pPr>
        <w:ind w:left="760" w:hanging="754"/>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23">
        <w:r>
          <w:rPr>
            <w:rFonts w:ascii="Arial" w:cs="Arial" w:eastAsia="Arial" w:hAnsi="Arial"/>
            <w:sz w:val="18"/>
            <w:szCs w:val="18"/>
            <w:u w:val="single" w:color="auto"/>
            <w:color w:val="0000EE"/>
          </w:rPr>
          <w:t>2012 Equity Incentive Plan (As adjusted to reflect the application</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of the 1-for-4.31 reverse stock split of the Company’s common</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stock effected on March 1, 2013).</w:t>
        </w:r>
      </w:hyperlink>
    </w:p>
    <w:p>
      <w:pPr>
        <w:spacing w:after="0" w:line="1" w:lineRule="exact"/>
        <w:rPr>
          <w:rFonts w:ascii="Arial" w:cs="Arial" w:eastAsia="Arial" w:hAnsi="Arial"/>
          <w:sz w:val="18"/>
          <w:szCs w:val="18"/>
          <w:u w:val="single" w:color="auto"/>
          <w:color w:val="0000EE"/>
        </w:rPr>
      </w:pPr>
    </w:p>
    <w:p>
      <w:pPr>
        <w:ind w:left="760" w:right="200" w:hanging="754"/>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24">
        <w:r>
          <w:rPr>
            <w:rFonts w:ascii="Arial" w:cs="Arial" w:eastAsia="Arial" w:hAnsi="Arial"/>
            <w:sz w:val="18"/>
            <w:szCs w:val="18"/>
            <w:u w:val="single" w:color="auto"/>
            <w:color w:val="0000EE"/>
          </w:rPr>
          <w:t>Form of Incentive Stock Option Agreement under 2012 Equity</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Incentive Plan.</w:t>
        </w:r>
      </w:hyperlink>
    </w:p>
    <w:p>
      <w:pPr>
        <w:ind w:left="760" w:right="360" w:hanging="754"/>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25">
        <w:r>
          <w:rPr>
            <w:rFonts w:ascii="Arial" w:cs="Arial" w:eastAsia="Arial" w:hAnsi="Arial"/>
            <w:sz w:val="18"/>
            <w:szCs w:val="18"/>
            <w:u w:val="single" w:color="auto"/>
            <w:color w:val="0000EE"/>
          </w:rPr>
          <w:t>Form of Non-Statutory Stock Option Agreement under 2012</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Equity Incentive Plan.</w:t>
        </w:r>
      </w:hyperlink>
    </w:p>
    <w:p>
      <w:pPr>
        <w:ind w:left="760" w:right="320" w:hanging="754"/>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26">
        <w:r>
          <w:rPr>
            <w:rFonts w:ascii="Arial" w:cs="Arial" w:eastAsia="Arial" w:hAnsi="Arial"/>
            <w:sz w:val="18"/>
            <w:szCs w:val="18"/>
            <w:u w:val="single" w:color="auto"/>
            <w:color w:val="0000EE"/>
          </w:rPr>
          <w:t>Form of Non-Statutory Stock Option Certificate for directors</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under 2012 Equity Incentive Plan.</w:t>
        </w:r>
      </w:hyperlink>
    </w:p>
    <w:p>
      <w:pPr>
        <w:ind w:left="760" w:right="160" w:hanging="754"/>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w:anchor="page113">
        <w:r>
          <w:rPr>
            <w:rFonts w:ascii="Arial" w:cs="Arial" w:eastAsia="Arial" w:hAnsi="Arial"/>
            <w:sz w:val="18"/>
            <w:szCs w:val="18"/>
            <w:u w:val="single" w:color="auto"/>
            <w:color w:val="0000EE"/>
          </w:rPr>
          <w:t>Form of Performance Share Unit Certificate under 2012 Equity</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Incentive Plan.</w:t>
        </w:r>
      </w:hyperlink>
    </w:p>
    <w:p>
      <w:pPr>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w:anchor="page116">
        <w:r>
          <w:rPr>
            <w:rFonts w:ascii="Arial" w:cs="Arial" w:eastAsia="Arial" w:hAnsi="Arial"/>
            <w:sz w:val="16"/>
            <w:szCs w:val="16"/>
            <w:u w:val="single" w:color="auto"/>
            <w:color w:val="0000EE"/>
          </w:rPr>
          <w:t>Form of Relative Total Stockholder Return Unit Certificate under</w:t>
        </w:r>
      </w:hyperlink>
    </w:p>
    <w:p>
      <w:pPr>
        <w:spacing w:after="0" w:line="9" w:lineRule="exact"/>
        <w:rPr>
          <w:sz w:val="20"/>
          <w:szCs w:val="20"/>
          <w:color w:val="auto"/>
        </w:rPr>
      </w:pPr>
    </w:p>
    <w:p>
      <w:pPr>
        <w:ind w:left="76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2012 Equity Incentive Plan.</w:t>
        </w:r>
      </w:hyperlink>
    </w:p>
    <w:p>
      <w:pPr>
        <w:spacing w:after="0" w:line="9" w:lineRule="exact"/>
        <w:rPr>
          <w:sz w:val="20"/>
          <w:szCs w:val="20"/>
          <w:color w:val="auto"/>
        </w:rPr>
      </w:pPr>
    </w:p>
    <w:p>
      <w:pPr>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27">
        <w:r>
          <w:rPr>
            <w:rFonts w:ascii="Arial" w:cs="Arial" w:eastAsia="Arial" w:hAnsi="Arial"/>
            <w:sz w:val="16"/>
            <w:szCs w:val="16"/>
            <w:u w:val="single" w:color="auto"/>
            <w:color w:val="0000EE"/>
          </w:rPr>
          <w:t>Employee Stock Purchase Plan.</w:t>
        </w:r>
      </w:hyperlink>
    </w:p>
    <w:p>
      <w:pPr>
        <w:spacing w:after="0" w:line="9" w:lineRule="exact"/>
        <w:rPr>
          <w:sz w:val="20"/>
          <w:szCs w:val="20"/>
          <w:color w:val="auto"/>
        </w:rPr>
      </w:pPr>
    </w:p>
    <w:p>
      <w:pPr>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121">
        <w:r>
          <w:rPr>
            <w:rFonts w:ascii="Arial" w:cs="Arial" w:eastAsia="Arial" w:hAnsi="Arial"/>
            <w:sz w:val="16"/>
            <w:szCs w:val="16"/>
            <w:u w:val="single" w:color="auto"/>
            <w:color w:val="0000EE"/>
          </w:rPr>
          <w:t>Subsidiaries of the Company.</w:t>
        </w:r>
      </w:hyperlink>
    </w:p>
    <w:p>
      <w:pPr>
        <w:spacing w:after="0" w:line="9" w:lineRule="exact"/>
        <w:rPr>
          <w:sz w:val="20"/>
          <w:szCs w:val="20"/>
          <w:color w:val="auto"/>
        </w:rPr>
      </w:pPr>
    </w:p>
    <w:p>
      <w:pPr>
        <w:ind w:left="760" w:right="780" w:hanging="754"/>
        <w:spacing w:after="0" w:line="26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23.1</w:t>
      </w:r>
      <w:r>
        <w:rPr>
          <w:sz w:val="20"/>
          <w:szCs w:val="20"/>
          <w:color w:val="auto"/>
        </w:rPr>
        <w:tab/>
      </w:r>
      <w:hyperlink w:anchor="page122">
        <w:r>
          <w:rPr>
            <w:rFonts w:ascii="Arial" w:cs="Arial" w:eastAsia="Arial" w:hAnsi="Arial"/>
            <w:sz w:val="18"/>
            <w:szCs w:val="18"/>
            <w:u w:val="single" w:color="auto"/>
            <w:color w:val="0000EE"/>
          </w:rPr>
          <w:t>Consent of PricewaterhouseCoopers LLP, Independent</w:t>
        </w:r>
      </w:hyperlink>
      <w:r>
        <w:rPr>
          <w:rFonts w:ascii="Arial" w:cs="Arial" w:eastAsia="Arial" w:hAnsi="Arial"/>
          <w:sz w:val="18"/>
          <w:szCs w:val="18"/>
          <w:u w:val="single" w:color="auto"/>
          <w:color w:val="0000EE"/>
        </w:rPr>
        <w:t xml:space="preserve"> </w:t>
      </w:r>
      <w:hyperlink w:anchor="page122">
        <w:r>
          <w:rPr>
            <w:rFonts w:ascii="Arial" w:cs="Arial" w:eastAsia="Arial" w:hAnsi="Arial"/>
            <w:sz w:val="18"/>
            <w:szCs w:val="18"/>
            <w:u w:val="single" w:color="auto"/>
            <w:color w:val="0000EE"/>
          </w:rPr>
          <w:t>Registered Public Accounting Firm.</w:t>
        </w:r>
      </w:hyperlink>
    </w:p>
    <w:p>
      <w:pPr>
        <w:spacing w:after="0" w:line="20" w:lineRule="exact"/>
        <w:rPr>
          <w:sz w:val="20"/>
          <w:szCs w:val="20"/>
          <w:color w:val="auto"/>
        </w:rPr>
      </w:pPr>
      <w:r>
        <w:rPr>
          <w:sz w:val="20"/>
          <w:szCs w:val="20"/>
          <w:color w:val="auto"/>
        </w:rPr>
        <w:br w:type="column"/>
      </w:r>
    </w:p>
    <w:p>
      <w:pPr>
        <w:ind w:left="320"/>
        <w:spacing w:after="0"/>
        <w:tabs>
          <w:tab w:leader="none" w:pos="1320" w:val="left"/>
          <w:tab w:leader="none" w:pos="2740" w:val="left"/>
          <w:tab w:leader="none" w:pos="37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02/09/2016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001-35839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12/11/2014</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90"/>
              </w:rPr>
              <w:t>001-35839</w:t>
            </w:r>
          </w:p>
        </w:tc>
      </w:tr>
      <w:tr>
        <w:trPr>
          <w:trHeight w:val="647"/>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05/08/2015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90"/>
              </w:rPr>
              <w:t>001-35839</w:t>
            </w:r>
          </w:p>
        </w:tc>
      </w:tr>
      <w:tr>
        <w:trPr>
          <w:trHeight w:val="647"/>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11/06/2012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32"/>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05/08/2015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90"/>
              </w:rPr>
              <w:t>001-35839</w:t>
            </w:r>
          </w:p>
        </w:tc>
      </w:tr>
      <w:tr>
        <w:trPr>
          <w:trHeight w:val="432"/>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11/06/2012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17"/>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03/05/2013</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230"/>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03/05/2013</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32"/>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03/05/2013</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32"/>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03/05/2013</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32"/>
        </w:trPr>
        <w:tc>
          <w:tcPr>
            <w:tcW w:w="840" w:type="dxa"/>
            <w:vAlign w:val="bottom"/>
          </w:tcPr>
          <w:p>
            <w:pPr>
              <w:jc w:val="center"/>
              <w:ind w:right="190"/>
              <w:spacing w:after="0"/>
              <w:rPr>
                <w:sz w:val="20"/>
                <w:szCs w:val="20"/>
                <w:color w:val="auto"/>
              </w:rPr>
            </w:pPr>
            <w:r>
              <w:rPr>
                <w:rFonts w:ascii="Arial" w:cs="Arial" w:eastAsia="Arial" w:hAnsi="Arial"/>
                <w:sz w:val="18"/>
                <w:szCs w:val="18"/>
                <w:color w:val="auto"/>
              </w:rPr>
              <w:t>10-K/A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01/06/2017</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90"/>
              </w:rPr>
              <w:t>001-35839</w:t>
            </w:r>
          </w:p>
        </w:tc>
      </w:tr>
      <w:tr>
        <w:trPr>
          <w:trHeight w:val="647"/>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03/05/2013</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32"/>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03/05/2013</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32"/>
        </w:trPr>
        <w:tc>
          <w:tcPr>
            <w:tcW w:w="84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03/05/2013</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bl>
    <w:p>
      <w:pPr>
        <w:spacing w:after="0" w:line="201"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80"/>
        <w:spacing w:after="0"/>
        <w:tabs>
          <w:tab w:leader="none" w:pos="1320" w:val="left"/>
          <w:tab w:leader="none" w:pos="2700" w:val="left"/>
          <w:tab w:leader="none" w:pos="372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02/05/2013</w:t>
      </w:r>
      <w:r>
        <w:rPr>
          <w:sz w:val="20"/>
          <w:szCs w:val="20"/>
          <w:color w:val="auto"/>
        </w:rPr>
        <w:tab/>
      </w: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333-184779</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140"/>
            <w:col w:w="5660"/>
          </w:cols>
          <w:pgMar w:left="240" w:top="333" w:right="37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71"/>
        </w:trPr>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1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760" w:type="dxa"/>
            <w:vAlign w:val="bottom"/>
            <w:gridSpan w:val="2"/>
            <w:vMerge w:val="continue"/>
          </w:tcPr>
          <w:p>
            <w:pPr>
              <w:spacing w:after="0"/>
              <w:rPr>
                <w:sz w:val="10"/>
                <w:szCs w:val="10"/>
                <w:color w:val="auto"/>
              </w:rPr>
            </w:pPr>
          </w:p>
        </w:tc>
        <w:tc>
          <w:tcPr>
            <w:tcW w:w="4800" w:type="dxa"/>
            <w:vAlign w:val="bottom"/>
            <w:gridSpan w:val="8"/>
            <w:vMerge w:val="restart"/>
          </w:tcPr>
          <w:p>
            <w:pPr>
              <w:ind w:left="1780"/>
              <w:spacing w:after="0"/>
              <w:rPr>
                <w:sz w:val="20"/>
                <w:szCs w:val="20"/>
                <w:color w:val="auto"/>
              </w:rPr>
            </w:pPr>
            <w:r>
              <w:rPr>
                <w:rFonts w:ascii="Arial" w:cs="Arial" w:eastAsia="Arial" w:hAnsi="Arial"/>
                <w:sz w:val="14"/>
                <w:szCs w:val="14"/>
                <w:b w:val="1"/>
                <w:bCs w:val="1"/>
                <w:color w:val="auto"/>
              </w:rPr>
              <w:t>Exhibit Description</w:t>
            </w:r>
          </w:p>
        </w:tc>
        <w:tc>
          <w:tcPr>
            <w:tcW w:w="11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Form</w:t>
            </w:r>
          </w:p>
        </w:tc>
        <w:tc>
          <w:tcPr>
            <w:tcW w:w="13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Date</w:t>
            </w:r>
          </w:p>
        </w:tc>
        <w:tc>
          <w:tcPr>
            <w:tcW w:w="10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Exhibit</w:t>
            </w:r>
          </w:p>
        </w:tc>
        <w:tc>
          <w:tcPr>
            <w:tcW w:w="14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File Number</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800" w:type="dxa"/>
            <w:vAlign w:val="bottom"/>
            <w:gridSpan w:val="8"/>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148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4"/>
                <w:szCs w:val="14"/>
                <w:color w:val="auto"/>
              </w:rPr>
            </w:pPr>
          </w:p>
        </w:tc>
        <w:tc>
          <w:tcPr>
            <w:tcW w:w="4740" w:type="dxa"/>
            <w:vAlign w:val="bottom"/>
            <w:tcBorders>
              <w:top w:val="single" w:sz="8" w:color="auto"/>
              <w:bottom w:val="single" w:sz="8" w:color="0000EE"/>
            </w:tcBorders>
            <w:gridSpan w:val="6"/>
          </w:tcPr>
          <w:p>
            <w:pPr>
              <w:spacing w:after="0" w:line="169" w:lineRule="exact"/>
              <w:rPr>
                <w:rFonts w:ascii="Arial" w:cs="Arial" w:eastAsia="Arial" w:hAnsi="Arial"/>
                <w:sz w:val="18"/>
                <w:szCs w:val="18"/>
                <w:color w:val="0000EE"/>
                <w:w w:val="92"/>
              </w:rPr>
            </w:pPr>
            <w:hyperlink w:anchor="page123">
              <w:r>
                <w:rPr>
                  <w:rFonts w:ascii="Arial" w:cs="Arial" w:eastAsia="Arial" w:hAnsi="Arial"/>
                  <w:sz w:val="18"/>
                  <w:szCs w:val="18"/>
                  <w:color w:val="0000EE"/>
                  <w:w w:val="92"/>
                </w:rPr>
                <w:t>Certification of the Chief Executive Officer pursuant to Rule 13a-</w:t>
              </w:r>
            </w:hyperlink>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8"/>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14(a) or 15d-14(a) of the Securities Exchange Act of 1934.</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4800" w:type="dxa"/>
            <w:vAlign w:val="bottom"/>
            <w:gridSpan w:val="8"/>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Certification of Chief Financial Officer pursuant to Rule 13a-</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20" w:type="dxa"/>
            <w:vAlign w:val="bottom"/>
            <w:tcBorders>
              <w:top w:val="single" w:sz="8" w:color="0000EE"/>
            </w:tcBorders>
            <w:gridSpan w:val="3"/>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14(a) or 15d-14(a) of the Securities Exchange Act of 1934.</w:t>
              </w:r>
            </w:hyperlink>
          </w:p>
        </w:tc>
        <w:tc>
          <w:tcPr>
            <w:tcW w:w="38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4800" w:type="dxa"/>
            <w:vAlign w:val="bottom"/>
            <w:gridSpan w:val="8"/>
          </w:tcPr>
          <w:p>
            <w:pPr>
              <w:spacing w:after="0" w:line="196" w:lineRule="exact"/>
              <w:rPr>
                <w:rFonts w:ascii="Arial" w:cs="Arial" w:eastAsia="Arial" w:hAnsi="Arial"/>
                <w:sz w:val="18"/>
                <w:szCs w:val="18"/>
                <w:color w:val="0000EE"/>
                <w:w w:val="97"/>
              </w:rPr>
            </w:pPr>
            <w:hyperlink w:anchor="page125">
              <w:r>
                <w:rPr>
                  <w:rFonts w:ascii="Arial" w:cs="Arial" w:eastAsia="Arial" w:hAnsi="Arial"/>
                  <w:sz w:val="18"/>
                  <w:szCs w:val="18"/>
                  <w:color w:val="0000EE"/>
                  <w:w w:val="97"/>
                </w:rPr>
                <w:t>Certification of the Chief Executive Officer and Chief Financial</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8"/>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Officer pursuant to 18 U.S.C. Section 1350, as adopted pursuant</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to Section 906 of the Sarbanes-Oxley Act of 2002.</w:t>
              </w:r>
            </w:hyperlink>
          </w:p>
        </w:tc>
        <w:tc>
          <w:tcPr>
            <w:tcW w:w="18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Arial" w:cs="Arial" w:eastAsia="Arial" w:hAnsi="Arial"/>
                <w:sz w:val="18"/>
                <w:szCs w:val="18"/>
                <w:color w:val="auto"/>
              </w:rPr>
              <w:t>The following materials from the Annual Report of Enanta</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ind w:left="760"/>
        <w:spacing w:after="0"/>
        <w:rPr>
          <w:sz w:val="20"/>
          <w:szCs w:val="20"/>
          <w:color w:val="auto"/>
        </w:rPr>
      </w:pPr>
      <w:r>
        <w:rPr>
          <w:rFonts w:ascii="Arial" w:cs="Arial" w:eastAsia="Arial" w:hAnsi="Arial"/>
          <w:sz w:val="18"/>
          <w:szCs w:val="18"/>
          <w:color w:val="auto"/>
        </w:rPr>
        <w:t>Pharmaceuticals, Inc. on Form 10-K for the year ended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September 30, 2017, formatted in XBRL (eXtensible Business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Reporting Language): (i) Consolidated Balance Sheets as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September 30, 2017 and September 30, 2016 of Enanta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Pharmaceuticals, Inc., (ii) Consolidated Statements of Operations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years ended September 30, 2017, 2016, and 2015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Enanta Pharmaceuticals, Inc., (iii) Consolidated Statements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Comprehensive Income for the years ended September 30, 2017,</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2016, and 2015 of Enanta Pharmaceuticals, Inc., (iv)</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Statements of Stockholders’ Equity (Deficit) for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years ended September 30, 2017, 2016, and 2015 of Enanta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Pharmaceuticals, Inc., (v) Consolidated Statements of Cash</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Flows for the years ended September 30, 2017, 2016, and 2015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Enanta Pharmaceuticals, Inc., and (vi) Notes to Consolidated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Financial Statements of Enanta Pharmaceuticals, Inc.</w:t>
      </w:r>
    </w:p>
    <w:p>
      <w:pPr>
        <w:spacing w:after="0" w:line="129" w:lineRule="exact"/>
        <w:rPr>
          <w:sz w:val="20"/>
          <w:szCs w:val="20"/>
          <w:color w:val="auto"/>
        </w:rPr>
      </w:pPr>
    </w:p>
    <w:p>
      <w:pPr>
        <w:ind w:left="600" w:hanging="592"/>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99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3"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Confidential treatment granted as to portions of this Exhibit. The confidential portions of this Exhibit have been omitted and are marked by asterisks.</w:t>
      </w:r>
    </w:p>
    <w:p>
      <w:pPr>
        <w:spacing w:after="0" w:line="31" w:lineRule="exact"/>
        <w:rPr>
          <w:rFonts w:ascii="Arial" w:cs="Arial" w:eastAsia="Arial" w:hAnsi="Arial"/>
          <w:sz w:val="16"/>
          <w:szCs w:val="16"/>
          <w:color w:val="auto"/>
        </w:rPr>
      </w:pPr>
    </w:p>
    <w:p>
      <w:pPr>
        <w:ind w:left="600" w:right="180" w:hanging="593"/>
        <w:spacing w:after="0" w:line="260" w:lineRule="auto"/>
        <w:rPr>
          <w:rFonts w:ascii="Arial" w:cs="Arial" w:eastAsia="Arial" w:hAnsi="Arial"/>
          <w:sz w:val="16"/>
          <w:szCs w:val="16"/>
          <w:color w:val="auto"/>
        </w:rPr>
      </w:pPr>
      <w:r>
        <w:rPr>
          <w:rFonts w:ascii="Arial" w:cs="Arial" w:eastAsia="Arial" w:hAnsi="Arial"/>
          <w:sz w:val="18"/>
          <w:szCs w:val="18"/>
          <w:color w:val="auto"/>
        </w:rPr>
        <w:t>††This Exhibit has been filed separately with the commission pursuant to an application for confidentiality treatment. The confidential portions of this Exhibit have been omitted and are marked by asterisks.</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this 11th day of December, 2017.</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ENANTA PHARMACEUTICALS, INC.</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 Jay R. Luly, Ph.D.</w:t>
            </w:r>
          </w:p>
        </w:tc>
      </w:tr>
      <w:tr>
        <w:trPr>
          <w:trHeight w:val="195"/>
        </w:trPr>
        <w:tc>
          <w:tcPr>
            <w:tcW w:w="360" w:type="dxa"/>
            <w:vAlign w:val="bottom"/>
          </w:tcPr>
          <w:p>
            <w:pPr>
              <w:spacing w:after="0"/>
              <w:rPr>
                <w:sz w:val="16"/>
                <w:szCs w:val="16"/>
                <w:color w:val="auto"/>
              </w:rPr>
            </w:pPr>
          </w:p>
        </w:tc>
        <w:tc>
          <w:tcPr>
            <w:tcW w:w="5240" w:type="dxa"/>
            <w:vAlign w:val="bottom"/>
          </w:tcPr>
          <w:p>
            <w:pPr>
              <w:jc w:val="center"/>
              <w:spacing w:after="0" w:line="195" w:lineRule="exact"/>
              <w:rPr>
                <w:sz w:val="20"/>
                <w:szCs w:val="20"/>
                <w:color w:val="auto"/>
              </w:rPr>
            </w:pPr>
            <w:r>
              <w:rPr>
                <w:rFonts w:ascii="Arial" w:cs="Arial" w:eastAsia="Arial" w:hAnsi="Arial"/>
                <w:sz w:val="18"/>
                <w:szCs w:val="18"/>
                <w:color w:val="auto"/>
                <w:w w:val="91"/>
              </w:rPr>
              <w:t>Jay R. Luly, Ph.D.</w:t>
            </w:r>
          </w:p>
        </w:tc>
      </w:tr>
      <w:tr>
        <w:trPr>
          <w:trHeight w:val="230"/>
        </w:trPr>
        <w:tc>
          <w:tcPr>
            <w:tcW w:w="3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pacing w:after="0" w:line="2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in the capacities and on the dates indicated.</w:t>
      </w:r>
    </w:p>
    <w:p>
      <w:pPr>
        <w:sectPr>
          <w:pgSz w:w="11900" w:h="16838" w:orient="portrait"/>
          <w:cols w:equalWidth="0" w:num="1">
            <w:col w:w="11420"/>
          </w:cols>
          <w:pgMar w:left="240" w:top="337" w:right="239" w:bottom="1440" w:gutter="0" w:footer="0" w:header="0"/>
        </w:sectPr>
      </w:pPr>
    </w:p>
    <w:p>
      <w:pPr>
        <w:spacing w:after="0" w:line="165" w:lineRule="exact"/>
        <w:rPr>
          <w:sz w:val="20"/>
          <w:szCs w:val="20"/>
          <w:color w:val="auto"/>
        </w:rPr>
      </w:pPr>
    </w:p>
    <w:p>
      <w:pPr>
        <w:ind w:left="2280"/>
        <w:spacing w:after="0"/>
        <w:rPr>
          <w:sz w:val="20"/>
          <w:szCs w:val="20"/>
          <w:color w:val="auto"/>
        </w:rPr>
      </w:pPr>
      <w:r>
        <w:rPr>
          <w:rFonts w:ascii="Arial" w:cs="Arial" w:eastAsia="Arial" w:hAnsi="Arial"/>
          <w:sz w:val="14"/>
          <w:szCs w:val="14"/>
          <w:u w:val="single" w:color="auto"/>
          <w:color w:val="auto"/>
        </w:rPr>
        <w:t>Signature</w:t>
      </w:r>
    </w:p>
    <w:p>
      <w:pPr>
        <w:spacing w:after="0" w:line="113" w:lineRule="exact"/>
        <w:rPr>
          <w:sz w:val="20"/>
          <w:szCs w:val="20"/>
          <w:color w:val="auto"/>
        </w:rPr>
      </w:pPr>
    </w:p>
    <w:p>
      <w:pPr>
        <w:jc w:val="right"/>
        <w:ind w:right="2100"/>
        <w:spacing w:after="0"/>
        <w:rPr>
          <w:sz w:val="20"/>
          <w:szCs w:val="20"/>
          <w:color w:val="auto"/>
        </w:rPr>
      </w:pPr>
      <w:r>
        <w:rPr>
          <w:rFonts w:ascii="Arial" w:cs="Arial" w:eastAsia="Arial" w:hAnsi="Arial"/>
          <w:sz w:val="17"/>
          <w:szCs w:val="17"/>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2467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54"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Jay R. Luly, Ph.D.</w:t>
      </w:r>
    </w:p>
    <w:p>
      <w:pPr>
        <w:spacing w:after="0" w:line="306"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67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43" w:lineRule="exact"/>
        <w:rPr>
          <w:sz w:val="20"/>
          <w:szCs w:val="20"/>
          <w:color w:val="auto"/>
        </w:rPr>
      </w:pPr>
    </w:p>
    <w:p>
      <w:pPr>
        <w:jc w:val="right"/>
        <w:ind w:right="2220"/>
        <w:spacing w:after="0"/>
        <w:rPr>
          <w:sz w:val="20"/>
          <w:szCs w:val="20"/>
          <w:color w:val="auto"/>
        </w:rPr>
      </w:pPr>
      <w:r>
        <w:rPr>
          <w:rFonts w:ascii="Arial" w:cs="Arial" w:eastAsia="Arial" w:hAnsi="Arial"/>
          <w:sz w:val="18"/>
          <w:szCs w:val="18"/>
          <w:color w:val="auto"/>
        </w:rPr>
        <w:t>Paul J. Mellett</w:t>
      </w:r>
    </w:p>
    <w:p>
      <w:pPr>
        <w:spacing w:after="0" w:line="306"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/s/ Stephen Buckley,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2467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66" w:lineRule="exact"/>
        <w:rPr>
          <w:sz w:val="20"/>
          <w:szCs w:val="20"/>
          <w:color w:val="auto"/>
        </w:rPr>
      </w:pPr>
    </w:p>
    <w:p>
      <w:pPr>
        <w:jc w:val="right"/>
        <w:ind w:right="2000"/>
        <w:spacing w:after="0"/>
        <w:rPr>
          <w:sz w:val="20"/>
          <w:szCs w:val="20"/>
          <w:color w:val="auto"/>
        </w:rPr>
      </w:pPr>
      <w:r>
        <w:rPr>
          <w:rFonts w:ascii="Arial" w:cs="Arial" w:eastAsia="Arial" w:hAnsi="Arial"/>
          <w:sz w:val="18"/>
          <w:szCs w:val="18"/>
          <w:color w:val="auto"/>
        </w:rPr>
        <w:t>Stephen Buckley, Jr.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w w:val="98"/>
              </w:rPr>
              <w:t>Title</w:t>
            </w:r>
          </w:p>
        </w:tc>
        <w:tc>
          <w:tcPr>
            <w:tcW w:w="1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Date</w:t>
            </w: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6"/>
        </w:trPr>
        <w:tc>
          <w:tcPr>
            <w:tcW w:w="3100" w:type="dxa"/>
            <w:vAlign w:val="bottom"/>
            <w:gridSpan w:val="3"/>
          </w:tcPr>
          <w:p>
            <w:pPr>
              <w:jc w:val="center"/>
              <w:ind w:right="920"/>
              <w:spacing w:after="0"/>
              <w:rPr>
                <w:sz w:val="20"/>
                <w:szCs w:val="20"/>
                <w:color w:val="auto"/>
              </w:rPr>
            </w:pPr>
            <w:r>
              <w:rPr>
                <w:rFonts w:ascii="Arial" w:cs="Arial" w:eastAsia="Arial" w:hAnsi="Arial"/>
                <w:sz w:val="18"/>
                <w:szCs w:val="18"/>
                <w:color w:val="auto"/>
                <w:w w:val="90"/>
              </w:rPr>
              <w:t>President and Chief Executive</w:t>
            </w:r>
          </w:p>
        </w:tc>
        <w:tc>
          <w:tcPr>
            <w:tcW w:w="2300" w:type="dxa"/>
            <w:vAlign w:val="bottom"/>
            <w:gridSpan w:val="3"/>
          </w:tcPr>
          <w:p>
            <w:pPr>
              <w:ind w:left="900"/>
              <w:spacing w:after="0"/>
              <w:rPr>
                <w:sz w:val="20"/>
                <w:szCs w:val="20"/>
                <w:color w:val="auto"/>
              </w:rPr>
            </w:pPr>
            <w:r>
              <w:rPr>
                <w:rFonts w:ascii="Arial" w:cs="Arial" w:eastAsia="Arial" w:hAnsi="Arial"/>
                <w:sz w:val="18"/>
                <w:szCs w:val="18"/>
                <w:color w:val="auto"/>
                <w:w w:val="87"/>
              </w:rPr>
              <w:t>December 11, 2017</w:t>
            </w:r>
          </w:p>
        </w:tc>
      </w:tr>
      <w:tr>
        <w:trPr>
          <w:trHeight w:val="216"/>
        </w:trPr>
        <w:tc>
          <w:tcPr>
            <w:tcW w:w="3100" w:type="dxa"/>
            <w:vAlign w:val="bottom"/>
            <w:gridSpan w:val="3"/>
          </w:tcPr>
          <w:p>
            <w:pPr>
              <w:jc w:val="center"/>
              <w:ind w:right="920"/>
              <w:spacing w:after="0"/>
              <w:rPr>
                <w:sz w:val="20"/>
                <w:szCs w:val="20"/>
                <w:color w:val="auto"/>
              </w:rPr>
            </w:pPr>
            <w:r>
              <w:rPr>
                <w:rFonts w:ascii="Arial" w:cs="Arial" w:eastAsia="Arial" w:hAnsi="Arial"/>
                <w:sz w:val="18"/>
                <w:szCs w:val="18"/>
                <w:color w:val="auto"/>
                <w:w w:val="93"/>
              </w:rPr>
              <w:t>Officer and Director</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100" w:type="dxa"/>
            <w:vAlign w:val="bottom"/>
            <w:gridSpan w:val="3"/>
          </w:tcPr>
          <w:p>
            <w:pPr>
              <w:jc w:val="center"/>
              <w:ind w:right="900"/>
              <w:spacing w:after="0"/>
              <w:rPr>
                <w:sz w:val="20"/>
                <w:szCs w:val="20"/>
                <w:color w:val="auto"/>
              </w:rPr>
            </w:pPr>
            <w:r>
              <w:rPr>
                <w:rFonts w:ascii="Arial" w:cs="Arial" w:eastAsia="Arial" w:hAnsi="Arial"/>
                <w:sz w:val="18"/>
                <w:szCs w:val="18"/>
                <w:color w:val="auto"/>
                <w:w w:val="93"/>
              </w:rPr>
              <w:t>(Principal Executive Officer)</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6"/>
        </w:trPr>
        <w:tc>
          <w:tcPr>
            <w:tcW w:w="3100" w:type="dxa"/>
            <w:vAlign w:val="bottom"/>
            <w:gridSpan w:val="3"/>
          </w:tcPr>
          <w:p>
            <w:pPr>
              <w:jc w:val="center"/>
              <w:ind w:right="900"/>
              <w:spacing w:after="0"/>
              <w:rPr>
                <w:sz w:val="20"/>
                <w:szCs w:val="20"/>
                <w:color w:val="auto"/>
              </w:rPr>
            </w:pPr>
            <w:r>
              <w:rPr>
                <w:rFonts w:ascii="Arial" w:cs="Arial" w:eastAsia="Arial" w:hAnsi="Arial"/>
                <w:sz w:val="18"/>
                <w:szCs w:val="18"/>
                <w:color w:val="auto"/>
                <w:w w:val="94"/>
              </w:rPr>
              <w:t>Chief Financial Officer</w:t>
            </w:r>
          </w:p>
        </w:tc>
        <w:tc>
          <w:tcPr>
            <w:tcW w:w="2300" w:type="dxa"/>
            <w:vAlign w:val="bottom"/>
            <w:gridSpan w:val="3"/>
          </w:tcPr>
          <w:p>
            <w:pPr>
              <w:ind w:left="900"/>
              <w:spacing w:after="0"/>
              <w:rPr>
                <w:sz w:val="20"/>
                <w:szCs w:val="20"/>
                <w:color w:val="auto"/>
              </w:rPr>
            </w:pPr>
            <w:r>
              <w:rPr>
                <w:rFonts w:ascii="Arial" w:cs="Arial" w:eastAsia="Arial" w:hAnsi="Arial"/>
                <w:sz w:val="18"/>
                <w:szCs w:val="18"/>
                <w:color w:val="auto"/>
                <w:w w:val="87"/>
              </w:rPr>
              <w:t>December 11, 2017</w:t>
            </w:r>
          </w:p>
        </w:tc>
      </w:tr>
      <w:tr>
        <w:trPr>
          <w:trHeight w:val="216"/>
        </w:trPr>
        <w:tc>
          <w:tcPr>
            <w:tcW w:w="3100" w:type="dxa"/>
            <w:vAlign w:val="bottom"/>
            <w:gridSpan w:val="3"/>
          </w:tcPr>
          <w:p>
            <w:pPr>
              <w:jc w:val="center"/>
              <w:ind w:right="900"/>
              <w:spacing w:after="0"/>
              <w:rPr>
                <w:sz w:val="20"/>
                <w:szCs w:val="20"/>
                <w:color w:val="auto"/>
              </w:rPr>
            </w:pPr>
            <w:r>
              <w:rPr>
                <w:rFonts w:ascii="Arial" w:cs="Arial" w:eastAsia="Arial" w:hAnsi="Arial"/>
                <w:sz w:val="18"/>
                <w:szCs w:val="18"/>
                <w:color w:val="auto"/>
                <w:w w:val="91"/>
              </w:rPr>
              <w:t>(Principal Financial and</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100" w:type="dxa"/>
            <w:vAlign w:val="bottom"/>
            <w:gridSpan w:val="3"/>
          </w:tcPr>
          <w:p>
            <w:pPr>
              <w:jc w:val="center"/>
              <w:ind w:right="920"/>
              <w:spacing w:after="0"/>
              <w:rPr>
                <w:sz w:val="20"/>
                <w:szCs w:val="20"/>
                <w:color w:val="auto"/>
              </w:rPr>
            </w:pPr>
            <w:r>
              <w:rPr>
                <w:rFonts w:ascii="Arial" w:cs="Arial" w:eastAsia="Arial" w:hAnsi="Arial"/>
                <w:sz w:val="18"/>
                <w:szCs w:val="18"/>
                <w:color w:val="auto"/>
                <w:w w:val="95"/>
              </w:rPr>
              <w:t>Accounting Officer)</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51"/>
        </w:trPr>
        <w:tc>
          <w:tcPr>
            <w:tcW w:w="3100" w:type="dxa"/>
            <w:vAlign w:val="bottom"/>
            <w:gridSpan w:val="3"/>
          </w:tcPr>
          <w:p>
            <w:pPr>
              <w:jc w:val="center"/>
              <w:ind w:right="900"/>
              <w:spacing w:after="0"/>
              <w:rPr>
                <w:sz w:val="20"/>
                <w:szCs w:val="20"/>
                <w:color w:val="auto"/>
              </w:rPr>
            </w:pPr>
            <w:r>
              <w:rPr>
                <w:rFonts w:ascii="Arial" w:cs="Arial" w:eastAsia="Arial" w:hAnsi="Arial"/>
                <w:sz w:val="18"/>
                <w:szCs w:val="18"/>
                <w:color w:val="auto"/>
                <w:w w:val="95"/>
              </w:rPr>
              <w:t>Director</w:t>
            </w:r>
          </w:p>
        </w:tc>
        <w:tc>
          <w:tcPr>
            <w:tcW w:w="2300" w:type="dxa"/>
            <w:vAlign w:val="bottom"/>
            <w:gridSpan w:val="3"/>
          </w:tcPr>
          <w:p>
            <w:pPr>
              <w:ind w:left="900"/>
              <w:spacing w:after="0"/>
              <w:rPr>
                <w:sz w:val="20"/>
                <w:szCs w:val="20"/>
                <w:color w:val="auto"/>
              </w:rPr>
            </w:pPr>
            <w:r>
              <w:rPr>
                <w:rFonts w:ascii="Arial" w:cs="Arial" w:eastAsia="Arial" w:hAnsi="Arial"/>
                <w:sz w:val="18"/>
                <w:szCs w:val="18"/>
                <w:color w:val="auto"/>
                <w:w w:val="87"/>
              </w:rPr>
              <w:t>December 11, 2017</w:t>
            </w:r>
          </w:p>
        </w:tc>
      </w:tr>
    </w:tbl>
    <w:p>
      <w:pPr>
        <w:spacing w:after="0" w:line="376" w:lineRule="exact"/>
        <w:rPr>
          <w:sz w:val="20"/>
          <w:szCs w:val="20"/>
          <w:color w:val="auto"/>
        </w:rPr>
      </w:pPr>
    </w:p>
    <w:p>
      <w:pPr>
        <w:sectPr>
          <w:pgSz w:w="11900" w:h="16838" w:orient="portrait"/>
          <w:cols w:equalWidth="0" w:num="2">
            <w:col w:w="5300" w:space="720"/>
            <w:col w:w="540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/s/ Bruce L.A. Carter, Ph.D.</w:t>
            </w:r>
          </w:p>
        </w:tc>
        <w:tc>
          <w:tcPr>
            <w:tcW w:w="3600" w:type="dxa"/>
            <w:vAlign w:val="bottom"/>
          </w:tcPr>
          <w:p>
            <w:pPr>
              <w:ind w:left="170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1300"/>
              <w:spacing w:after="0"/>
              <w:rPr>
                <w:sz w:val="20"/>
                <w:szCs w:val="20"/>
                <w:color w:val="auto"/>
              </w:rPr>
            </w:pPr>
            <w:r>
              <w:rPr>
                <w:rFonts w:ascii="Arial" w:cs="Arial" w:eastAsia="Arial" w:hAnsi="Arial"/>
                <w:sz w:val="18"/>
                <w:szCs w:val="18"/>
                <w:color w:val="auto"/>
                <w:w w:val="87"/>
              </w:rPr>
              <w:t>December 11, 2017</w:t>
            </w:r>
          </w:p>
        </w:tc>
      </w:tr>
      <w:tr>
        <w:trPr>
          <w:trHeight w:val="277"/>
        </w:trPr>
        <w:tc>
          <w:tcPr>
            <w:tcW w:w="5120" w:type="dxa"/>
            <w:vAlign w:val="bottom"/>
          </w:tcPr>
          <w:p>
            <w:pPr>
              <w:jc w:val="center"/>
              <w:spacing w:after="0"/>
              <w:rPr>
                <w:sz w:val="20"/>
                <w:szCs w:val="20"/>
                <w:color w:val="auto"/>
              </w:rPr>
            </w:pPr>
            <w:r>
              <w:rPr>
                <w:rFonts w:ascii="Arial" w:cs="Arial" w:eastAsia="Arial" w:hAnsi="Arial"/>
                <w:sz w:val="18"/>
                <w:szCs w:val="18"/>
                <w:color w:val="auto"/>
                <w:w w:val="92"/>
              </w:rPr>
              <w:t>Bruce L.A. Carter, Ph.D.</w:t>
            </w:r>
          </w:p>
        </w:tc>
        <w:tc>
          <w:tcPr>
            <w:tcW w:w="36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37"/>
        </w:trPr>
        <w:tc>
          <w:tcPr>
            <w:tcW w:w="5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/s/ George S. Golumbeski, Ph.D.</w:t>
            </w:r>
          </w:p>
        </w:tc>
        <w:tc>
          <w:tcPr>
            <w:tcW w:w="3600" w:type="dxa"/>
            <w:vAlign w:val="bottom"/>
          </w:tcPr>
          <w:p>
            <w:pPr>
              <w:ind w:left="170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1300"/>
              <w:spacing w:after="0"/>
              <w:rPr>
                <w:sz w:val="20"/>
                <w:szCs w:val="20"/>
                <w:color w:val="auto"/>
              </w:rPr>
            </w:pPr>
            <w:r>
              <w:rPr>
                <w:rFonts w:ascii="Arial" w:cs="Arial" w:eastAsia="Arial" w:hAnsi="Arial"/>
                <w:sz w:val="18"/>
                <w:szCs w:val="18"/>
                <w:color w:val="auto"/>
                <w:w w:val="87"/>
              </w:rPr>
              <w:t>December 11, 2017</w:t>
            </w:r>
          </w:p>
        </w:tc>
      </w:tr>
      <w:tr>
        <w:trPr>
          <w:trHeight w:val="277"/>
        </w:trPr>
        <w:tc>
          <w:tcPr>
            <w:tcW w:w="5120" w:type="dxa"/>
            <w:vAlign w:val="bottom"/>
          </w:tcPr>
          <w:p>
            <w:pPr>
              <w:jc w:val="center"/>
              <w:spacing w:after="0"/>
              <w:rPr>
                <w:sz w:val="20"/>
                <w:szCs w:val="20"/>
                <w:color w:val="auto"/>
              </w:rPr>
            </w:pPr>
            <w:r>
              <w:rPr>
                <w:rFonts w:ascii="Arial" w:cs="Arial" w:eastAsia="Arial" w:hAnsi="Arial"/>
                <w:sz w:val="18"/>
                <w:szCs w:val="18"/>
                <w:color w:val="auto"/>
                <w:w w:val="90"/>
              </w:rPr>
              <w:t>George S. Golumbeski, Ph.D.</w:t>
            </w:r>
          </w:p>
        </w:tc>
        <w:tc>
          <w:tcPr>
            <w:tcW w:w="36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37"/>
        </w:trPr>
        <w:tc>
          <w:tcPr>
            <w:tcW w:w="5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0"/>
              </w:rPr>
              <w:t>/s/ Kristine Peterson</w:t>
            </w:r>
          </w:p>
        </w:tc>
        <w:tc>
          <w:tcPr>
            <w:tcW w:w="3600" w:type="dxa"/>
            <w:vAlign w:val="bottom"/>
          </w:tcPr>
          <w:p>
            <w:pPr>
              <w:ind w:left="170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1300"/>
              <w:spacing w:after="0"/>
              <w:rPr>
                <w:sz w:val="20"/>
                <w:szCs w:val="20"/>
                <w:color w:val="auto"/>
              </w:rPr>
            </w:pPr>
            <w:r>
              <w:rPr>
                <w:rFonts w:ascii="Arial" w:cs="Arial" w:eastAsia="Arial" w:hAnsi="Arial"/>
                <w:sz w:val="18"/>
                <w:szCs w:val="18"/>
                <w:color w:val="auto"/>
                <w:w w:val="87"/>
              </w:rPr>
              <w:t>December 11, 2017</w:t>
            </w:r>
          </w:p>
        </w:tc>
      </w:tr>
      <w:tr>
        <w:trPr>
          <w:trHeight w:val="277"/>
        </w:trPr>
        <w:tc>
          <w:tcPr>
            <w:tcW w:w="5120" w:type="dxa"/>
            <w:vAlign w:val="bottom"/>
          </w:tcPr>
          <w:p>
            <w:pPr>
              <w:jc w:val="center"/>
              <w:spacing w:after="0"/>
              <w:rPr>
                <w:sz w:val="20"/>
                <w:szCs w:val="20"/>
                <w:color w:val="auto"/>
              </w:rPr>
            </w:pPr>
            <w:r>
              <w:rPr>
                <w:rFonts w:ascii="Arial" w:cs="Arial" w:eastAsia="Arial" w:hAnsi="Arial"/>
                <w:sz w:val="18"/>
                <w:szCs w:val="18"/>
                <w:color w:val="auto"/>
                <w:w w:val="90"/>
              </w:rPr>
              <w:t>Kristine Peterson</w:t>
            </w:r>
          </w:p>
        </w:tc>
        <w:tc>
          <w:tcPr>
            <w:tcW w:w="36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37"/>
        </w:trPr>
        <w:tc>
          <w:tcPr>
            <w:tcW w:w="51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 Lesley Russell, MB. Ch.B., MRCP</w:t>
            </w:r>
          </w:p>
        </w:tc>
        <w:tc>
          <w:tcPr>
            <w:tcW w:w="3600" w:type="dxa"/>
            <w:vAlign w:val="bottom"/>
          </w:tcPr>
          <w:p>
            <w:pPr>
              <w:ind w:left="170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1300"/>
              <w:spacing w:after="0"/>
              <w:rPr>
                <w:sz w:val="20"/>
                <w:szCs w:val="20"/>
                <w:color w:val="auto"/>
              </w:rPr>
            </w:pPr>
            <w:r>
              <w:rPr>
                <w:rFonts w:ascii="Arial" w:cs="Arial" w:eastAsia="Arial" w:hAnsi="Arial"/>
                <w:sz w:val="18"/>
                <w:szCs w:val="18"/>
                <w:color w:val="auto"/>
                <w:w w:val="87"/>
              </w:rPr>
              <w:t>December 11, 2017</w:t>
            </w:r>
          </w:p>
        </w:tc>
      </w:tr>
      <w:tr>
        <w:trPr>
          <w:trHeight w:val="277"/>
        </w:trPr>
        <w:tc>
          <w:tcPr>
            <w:tcW w:w="5120" w:type="dxa"/>
            <w:vAlign w:val="bottom"/>
          </w:tcPr>
          <w:p>
            <w:pPr>
              <w:jc w:val="center"/>
              <w:spacing w:after="0"/>
              <w:rPr>
                <w:sz w:val="20"/>
                <w:szCs w:val="20"/>
                <w:color w:val="auto"/>
              </w:rPr>
            </w:pPr>
            <w:r>
              <w:rPr>
                <w:rFonts w:ascii="Arial" w:cs="Arial" w:eastAsia="Arial" w:hAnsi="Arial"/>
                <w:sz w:val="18"/>
                <w:szCs w:val="18"/>
                <w:color w:val="auto"/>
                <w:w w:val="92"/>
              </w:rPr>
              <w:t>Lesley Russell, MB. Ch.B., MRCP</w:t>
            </w:r>
          </w:p>
        </w:tc>
        <w:tc>
          <w:tcPr>
            <w:tcW w:w="36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37"/>
        </w:trPr>
        <w:tc>
          <w:tcPr>
            <w:tcW w:w="5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/s/ Terry Vance</w:t>
            </w:r>
          </w:p>
        </w:tc>
        <w:tc>
          <w:tcPr>
            <w:tcW w:w="3600" w:type="dxa"/>
            <w:vAlign w:val="bottom"/>
          </w:tcPr>
          <w:p>
            <w:pPr>
              <w:ind w:left="170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1300"/>
              <w:spacing w:after="0"/>
              <w:rPr>
                <w:sz w:val="20"/>
                <w:szCs w:val="20"/>
                <w:color w:val="auto"/>
              </w:rPr>
            </w:pPr>
            <w:r>
              <w:rPr>
                <w:rFonts w:ascii="Arial" w:cs="Arial" w:eastAsia="Arial" w:hAnsi="Arial"/>
                <w:sz w:val="18"/>
                <w:szCs w:val="18"/>
                <w:color w:val="auto"/>
                <w:w w:val="87"/>
              </w:rPr>
              <w:t>December 11, 2017</w:t>
            </w:r>
          </w:p>
        </w:tc>
      </w:tr>
      <w:tr>
        <w:trPr>
          <w:trHeight w:val="277"/>
        </w:trPr>
        <w:tc>
          <w:tcPr>
            <w:tcW w:w="5120" w:type="dxa"/>
            <w:vAlign w:val="bottom"/>
          </w:tcPr>
          <w:p>
            <w:pPr>
              <w:jc w:val="center"/>
              <w:spacing w:after="0"/>
              <w:rPr>
                <w:sz w:val="20"/>
                <w:szCs w:val="20"/>
                <w:color w:val="auto"/>
              </w:rPr>
            </w:pPr>
            <w:r>
              <w:rPr>
                <w:rFonts w:ascii="Arial" w:cs="Arial" w:eastAsia="Arial" w:hAnsi="Arial"/>
                <w:sz w:val="18"/>
                <w:szCs w:val="18"/>
                <w:color w:val="auto"/>
                <w:w w:val="89"/>
              </w:rPr>
              <w:t>Terry Vance</w:t>
            </w:r>
          </w:p>
        </w:tc>
        <w:tc>
          <w:tcPr>
            <w:tcW w:w="360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9" w:name="page80"/>
    <w:bookmarkEnd w:id="79"/>
    <w:p>
      <w:pPr>
        <w:jc w:val="center"/>
        <w:ind w:right="2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gridSpan w:val="7"/>
            <w:vMerge w:val="restart"/>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Report of Independent Registered Public Accounting Firm</w:t>
              </w:r>
            </w:hyperlink>
          </w:p>
        </w:tc>
        <w:tc>
          <w:tcPr>
            <w:tcW w:w="660" w:type="dxa"/>
            <w:vAlign w:val="bottom"/>
            <w:vMerge w:val="restart"/>
          </w:tcPr>
          <w:p>
            <w:pPr>
              <w:spacing w:after="0"/>
              <w:rPr>
                <w:sz w:val="14"/>
                <w:szCs w:val="14"/>
                <w:color w:val="auto"/>
              </w:rPr>
            </w:pPr>
          </w:p>
        </w:tc>
        <w:tc>
          <w:tcPr>
            <w:tcW w:w="5860" w:type="dxa"/>
            <w:vAlign w:val="bottom"/>
          </w:tcPr>
          <w:p>
            <w:pPr>
              <w:spacing w:after="0"/>
              <w:rPr>
                <w:sz w:val="14"/>
                <w:szCs w:val="14"/>
                <w:color w:val="auto"/>
              </w:rPr>
            </w:pPr>
          </w:p>
        </w:tc>
        <w:tc>
          <w:tcPr>
            <w:tcW w:w="68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4240" w:type="dxa"/>
            <w:vAlign w:val="bottom"/>
            <w:tcBorders>
              <w:bottom w:val="single" w:sz="8" w:color="0000EE"/>
            </w:tcBorders>
            <w:gridSpan w:val="7"/>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5860" w:type="dxa"/>
            <w:vAlign w:val="bottom"/>
          </w:tcPr>
          <w:p>
            <w:pPr>
              <w:spacing w:after="0"/>
              <w:rPr>
                <w:sz w:val="13"/>
                <w:szCs w:val="13"/>
                <w:color w:val="auto"/>
              </w:rPr>
            </w:pPr>
          </w:p>
        </w:tc>
        <w:tc>
          <w:tcPr>
            <w:tcW w:w="660" w:type="dxa"/>
            <w:vAlign w:val="bottom"/>
            <w:tcBorders>
              <w:top w:val="single" w:sz="8" w:color="auto"/>
            </w:tcBorders>
          </w:tcPr>
          <w:p>
            <w:pPr>
              <w:ind w:left="420"/>
              <w:spacing w:after="0" w:line="142"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0000EE"/>
            </w:tcBorders>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Consolidated Balance Sheets</w:t>
              </w:r>
            </w:hyperlink>
          </w:p>
        </w:tc>
        <w:tc>
          <w:tcPr>
            <w:tcW w:w="2800" w:type="dxa"/>
            <w:vAlign w:val="bottom"/>
            <w:gridSpan w:val="7"/>
          </w:tcPr>
          <w:p>
            <w:pPr>
              <w:spacing w:after="0"/>
              <w:rPr>
                <w:sz w:val="18"/>
                <w:szCs w:val="18"/>
                <w:color w:val="auto"/>
              </w:rPr>
            </w:pPr>
          </w:p>
        </w:tc>
        <w:tc>
          <w:tcPr>
            <w:tcW w:w="5860" w:type="dxa"/>
            <w:vAlign w:val="bottom"/>
          </w:tcPr>
          <w:p>
            <w:pPr>
              <w:spacing w:after="0"/>
              <w:rPr>
                <w:sz w:val="18"/>
                <w:szCs w:val="18"/>
                <w:color w:val="auto"/>
              </w:rPr>
            </w:pPr>
          </w:p>
        </w:tc>
        <w:tc>
          <w:tcPr>
            <w:tcW w:w="680" w:type="dxa"/>
            <w:vAlign w:val="bottom"/>
            <w:gridSpan w:val="2"/>
          </w:tcPr>
          <w:p>
            <w:pPr>
              <w:ind w:left="42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Operations</w:t>
              </w:r>
            </w:hyperlink>
          </w:p>
        </w:tc>
        <w:tc>
          <w:tcPr>
            <w:tcW w:w="2080" w:type="dxa"/>
            <w:vAlign w:val="bottom"/>
            <w:gridSpan w:val="6"/>
          </w:tcPr>
          <w:p>
            <w:pPr>
              <w:spacing w:after="0"/>
              <w:rPr>
                <w:sz w:val="17"/>
                <w:szCs w:val="17"/>
                <w:color w:val="auto"/>
              </w:rPr>
            </w:pPr>
          </w:p>
        </w:tc>
        <w:tc>
          <w:tcPr>
            <w:tcW w:w="5860" w:type="dxa"/>
            <w:vAlign w:val="bottom"/>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Comprehensive Income</w:t>
              </w:r>
            </w:hyperlink>
          </w:p>
        </w:tc>
        <w:tc>
          <w:tcPr>
            <w:tcW w:w="5860" w:type="dxa"/>
            <w:vAlign w:val="bottom"/>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Consolidated Statements of Stockholders’ Equity (Deficit)</w:t>
              </w:r>
            </w:hyperlink>
          </w:p>
        </w:tc>
        <w:tc>
          <w:tcPr>
            <w:tcW w:w="680" w:type="dxa"/>
            <w:vAlign w:val="bottom"/>
            <w:gridSpan w:val="2"/>
          </w:tcPr>
          <w:p>
            <w:pPr>
              <w:spacing w:after="0"/>
              <w:rPr>
                <w:sz w:val="17"/>
                <w:szCs w:val="17"/>
                <w:color w:val="auto"/>
              </w:rPr>
            </w:pPr>
          </w:p>
        </w:tc>
        <w:tc>
          <w:tcPr>
            <w:tcW w:w="5860" w:type="dxa"/>
            <w:vAlign w:val="bottom"/>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Cash Flows</w:t>
              </w:r>
            </w:hyperlink>
          </w:p>
        </w:tc>
        <w:tc>
          <w:tcPr>
            <w:tcW w:w="2020" w:type="dxa"/>
            <w:vAlign w:val="bottom"/>
            <w:gridSpan w:val="5"/>
          </w:tcPr>
          <w:p>
            <w:pPr>
              <w:spacing w:after="0"/>
              <w:rPr>
                <w:sz w:val="17"/>
                <w:szCs w:val="17"/>
                <w:color w:val="auto"/>
              </w:rPr>
            </w:pPr>
          </w:p>
        </w:tc>
        <w:tc>
          <w:tcPr>
            <w:tcW w:w="5860" w:type="dxa"/>
            <w:vAlign w:val="bottom"/>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Notes to Consolidated Financial Statements</w:t>
              </w:r>
            </w:hyperlink>
          </w:p>
        </w:tc>
        <w:tc>
          <w:tcPr>
            <w:tcW w:w="5860" w:type="dxa"/>
            <w:vAlign w:val="bottom"/>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897"/>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40" w:type="dxa"/>
            <w:vAlign w:val="bottom"/>
            <w:gridSpan w:val="3"/>
          </w:tcPr>
          <w:p>
            <w:pPr>
              <w:ind w:left="6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15"/>
        </w:trPr>
        <w:tc>
          <w:tcPr>
            <w:tcW w:w="2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8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50" w:right="219" w:bottom="1440" w:gutter="0" w:footer="0" w:header="0"/>
        </w:sectPr>
      </w:pPr>
    </w:p>
    <w:bookmarkStart w:id="80" w:name="page81"/>
    <w:bookmarkEnd w:id="80"/>
    <w:p>
      <w:pPr>
        <w:spacing w:after="0"/>
        <w:tabs>
          <w:tab w:leader="none" w:pos="13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Enanta Pharmaceuticals, Inc.</w:t>
      </w:r>
    </w:p>
    <w:p>
      <w:pPr>
        <w:spacing w:after="0" w:line="2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comprehensive income, changes in stockholders’ equity (deficit) and cash flows present fairly, in all material respects, the financial position of Enanta Pharmaceuticals, Inc. and its subsidiary as of September 30, 2017 and 2016, and the results of their operations and their cash flows for each of the three years in the period ended September 30, 2017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2017</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8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16,577</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157,994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193,507</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12,841</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9,231</w:t>
            </w:r>
          </w:p>
        </w:tc>
        <w:tc>
          <w:tcPr>
            <w:tcW w:w="12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232,156</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8,004</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70,038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32,119</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8,390</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326,637</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281,277</w:t>
            </w:r>
          </w:p>
        </w:tc>
        <w:tc>
          <w:tcPr>
            <w:tcW w:w="12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20,982</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24,961</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11,341</w:t>
            </w:r>
          </w:p>
        </w:tc>
        <w:tc>
          <w:tcPr>
            <w:tcW w:w="12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$0.01 par value per share, 100,000 shares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19,120 and 19,036 shares issued and outstanding at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September 30, 2017 and September 30, 2016, respectively</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20"/>
                <w:szCs w:val="20"/>
                <w:color w:val="auto"/>
              </w:rPr>
            </w:pPr>
          </w:p>
        </w:tc>
      </w:tr>
      <w:tr>
        <w:trPr>
          <w:trHeight w:val="229"/>
        </w:trPr>
        <w:tc>
          <w:tcPr>
            <w:tcW w:w="78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256,241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242,081</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27,646</w:t>
            </w:r>
          </w:p>
        </w:tc>
        <w:tc>
          <w:tcPr>
            <w:tcW w:w="12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301,676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269,936</w:t>
            </w:r>
          </w:p>
        </w:tc>
        <w:tc>
          <w:tcPr>
            <w:tcW w:w="120" w:type="dxa"/>
            <w:vAlign w:val="bottom"/>
            <w:shd w:val="clear" w:color="auto" w:fill="CFF0FC"/>
          </w:tcPr>
          <w:p>
            <w:pPr>
              <w:spacing w:after="0"/>
              <w:rPr>
                <w:sz w:val="19"/>
                <w:szCs w:val="19"/>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326,637</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281,277</w:t>
            </w:r>
          </w:p>
        </w:tc>
        <w:tc>
          <w:tcPr>
            <w:tcW w:w="12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Years Ended September 30,</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7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Milestones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65,000</w:t>
            </w:r>
          </w:p>
        </w:tc>
        <w:tc>
          <w:tcPr>
            <w:tcW w:w="80" w:type="dxa"/>
            <w:vAlign w:val="bottom"/>
          </w:tcPr>
          <w:p>
            <w:pPr>
              <w:spacing w:after="0"/>
              <w:rPr>
                <w:sz w:val="19"/>
                <w:szCs w:val="19"/>
                <w:color w:val="auto"/>
              </w:rPr>
            </w:pP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9"/>
                <w:szCs w:val="19"/>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9"/>
                <w:szCs w:val="19"/>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Royalties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57,692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34,077</w:t>
            </w:r>
          </w:p>
        </w:tc>
        <w:tc>
          <w:tcPr>
            <w:tcW w:w="100" w:type="dxa"/>
            <w:vAlign w:val="bottom"/>
            <w:shd w:val="clear" w:color="auto" w:fill="CFF0FC"/>
          </w:tcPr>
          <w:p>
            <w:pPr>
              <w:spacing w:after="0"/>
              <w:rPr>
                <w:sz w:val="19"/>
                <w:szCs w:val="19"/>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9"/>
                <w:szCs w:val="19"/>
                <w:color w:val="auto"/>
              </w:rPr>
            </w:pPr>
          </w:p>
        </w:tc>
      </w:tr>
      <w:tr>
        <w:trPr>
          <w:trHeight w:val="223"/>
        </w:trPr>
        <w:tc>
          <w:tcPr>
            <w:tcW w:w="6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102,814</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88,268</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40,461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23,189</w:t>
            </w:r>
          </w:p>
        </w:tc>
        <w:tc>
          <w:tcPr>
            <w:tcW w:w="100" w:type="dxa"/>
            <w:vAlign w:val="bottom"/>
            <w:shd w:val="clear" w:color="auto" w:fill="CFF0FC"/>
          </w:tcPr>
          <w:p>
            <w:pPr>
              <w:spacing w:after="0"/>
              <w:rPr>
                <w:sz w:val="19"/>
                <w:szCs w:val="19"/>
                <w:color w:val="auto"/>
              </w:rPr>
            </w:pPr>
          </w:p>
        </w:tc>
      </w:tr>
      <w:tr>
        <w:trPr>
          <w:trHeight w:val="229"/>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16,966</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13,543</w:t>
            </w:r>
          </w:p>
        </w:tc>
        <w:tc>
          <w:tcPr>
            <w:tcW w:w="10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57,427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36,732</w:t>
            </w:r>
          </w:p>
        </w:tc>
        <w:tc>
          <w:tcPr>
            <w:tcW w:w="100" w:type="dxa"/>
            <w:vAlign w:val="bottom"/>
            <w:shd w:val="clear" w:color="auto" w:fill="CFF0FC"/>
          </w:tcPr>
          <w:p>
            <w:pPr>
              <w:spacing w:after="0"/>
              <w:rPr>
                <w:sz w:val="19"/>
                <w:szCs w:val="19"/>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30,841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124,148</w:t>
            </w:r>
          </w:p>
        </w:tc>
        <w:tc>
          <w:tcPr>
            <w:tcW w:w="100" w:type="dxa"/>
            <w:vAlign w:val="bottom"/>
          </w:tcPr>
          <w:p>
            <w:pPr>
              <w:spacing w:after="0"/>
              <w:rPr>
                <w:sz w:val="19"/>
                <w:szCs w:val="19"/>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15"/>
        </w:trPr>
        <w:tc>
          <w:tcPr>
            <w:tcW w:w="676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 and Series 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60" w:type="dxa"/>
            <w:vAlign w:val="bottom"/>
          </w:tcPr>
          <w:p>
            <w:pPr>
              <w:ind w:left="380"/>
              <w:spacing w:after="0"/>
              <w:rPr>
                <w:sz w:val="20"/>
                <w:szCs w:val="20"/>
                <w:color w:val="auto"/>
              </w:rPr>
            </w:pPr>
            <w:r>
              <w:rPr>
                <w:rFonts w:ascii="Arial" w:cs="Arial" w:eastAsia="Arial" w:hAnsi="Arial"/>
                <w:sz w:val="18"/>
                <w:szCs w:val="18"/>
                <w:color w:val="auto"/>
              </w:rPr>
              <w:t>nonconvertible preferred stock</w:t>
            </w:r>
          </w:p>
        </w:tc>
        <w:tc>
          <w:tcPr>
            <w:tcW w:w="3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r>
      <w:tr>
        <w:trPr>
          <w:trHeight w:val="223"/>
        </w:trPr>
        <w:tc>
          <w:tcPr>
            <w:tcW w:w="6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32,560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125,455</w:t>
            </w:r>
          </w:p>
        </w:tc>
        <w:tc>
          <w:tcPr>
            <w:tcW w:w="100" w:type="dxa"/>
            <w:vAlign w:val="bottom"/>
          </w:tcPr>
          <w:p>
            <w:pPr>
              <w:spacing w:after="0"/>
              <w:rPr>
                <w:sz w:val="19"/>
                <w:szCs w:val="19"/>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(9,237)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(10,894)</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(46,463)</w:t>
            </w:r>
          </w:p>
        </w:tc>
      </w:tr>
      <w:tr>
        <w:trPr>
          <w:trHeight w:val="263"/>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17,710</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21,666</w:t>
            </w:r>
          </w:p>
        </w:tc>
        <w:tc>
          <w:tcPr>
            <w:tcW w:w="22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78,992</w:t>
            </w:r>
          </w:p>
        </w:tc>
        <w:tc>
          <w:tcPr>
            <w:tcW w:w="100" w:type="dxa"/>
            <w:vAlign w:val="bottom"/>
            <w:tcBorders>
              <w:bottom w:val="single" w:sz="8" w:color="CFF0FC"/>
            </w:tcBorders>
          </w:tcPr>
          <w:p>
            <w:pPr>
              <w:spacing w:after="0"/>
              <w:rPr>
                <w:sz w:val="22"/>
                <w:szCs w:val="22"/>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0.93</w:t>
            </w:r>
          </w:p>
        </w:tc>
        <w:tc>
          <w:tcPr>
            <w:tcW w:w="80" w:type="dxa"/>
            <w:vAlign w:val="bottom"/>
          </w:tcPr>
          <w:p>
            <w:pPr>
              <w:spacing w:after="0"/>
              <w:rPr>
                <w:sz w:val="19"/>
                <w:szCs w:val="19"/>
                <w:color w:val="auto"/>
              </w:rPr>
            </w:pP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18,673</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ind w:left="5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19,224</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19,295</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Years Ended September 30,</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7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17,710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78,992</w:t>
            </w:r>
          </w:p>
        </w:tc>
        <w:tc>
          <w:tcPr>
            <w:tcW w:w="100" w:type="dxa"/>
            <w:vAlign w:val="bottom"/>
            <w:shd w:val="clear" w:color="auto" w:fill="CFF0FC"/>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(losses) on marketable securities, net of</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of ($78), ($9) and $20</w:t>
            </w:r>
          </w:p>
        </w:tc>
        <w:tc>
          <w:tcPr>
            <w:tcW w:w="8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20"/>
                <w:szCs w:val="20"/>
                <w:color w:val="auto"/>
              </w:rPr>
            </w:pPr>
          </w:p>
        </w:tc>
      </w:tr>
      <w:tr>
        <w:trPr>
          <w:trHeight w:val="223"/>
        </w:trPr>
        <w:tc>
          <w:tcPr>
            <w:tcW w:w="6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8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FF0FC"/>
            </w:tcBorders>
          </w:tcPr>
          <w:p>
            <w:pPr>
              <w:spacing w:after="0"/>
              <w:rPr>
                <w:sz w:val="19"/>
                <w:szCs w:val="19"/>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17,579</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21,652</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4" w:name="page85"/>
    <w:bookmarkEnd w:id="84"/>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3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Additional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28"/>
        </w:trPr>
        <w:tc>
          <w:tcPr>
            <w:tcW w:w="3740" w:type="dxa"/>
            <w:vAlign w:val="bottom"/>
          </w:tcPr>
          <w:p>
            <w:pPr>
              <w:spacing w:after="0"/>
              <w:rPr>
                <w:sz w:val="19"/>
                <w:szCs w:val="19"/>
                <w:color w:val="auto"/>
              </w:rPr>
            </w:pPr>
          </w:p>
        </w:tc>
        <w:tc>
          <w:tcPr>
            <w:tcW w:w="17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Paid-In</w:t>
            </w: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Treasury Stock</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74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Income (Loss)</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60"/>
              <w:spacing w:after="0" w:line="155" w:lineRule="exact"/>
              <w:rPr>
                <w:sz w:val="20"/>
                <w:szCs w:val="20"/>
                <w:color w:val="auto"/>
              </w:rPr>
            </w:pPr>
            <w:r>
              <w:rPr>
                <w:rFonts w:ascii="Arial" w:cs="Arial" w:eastAsia="Arial" w:hAnsi="Arial"/>
                <w:sz w:val="14"/>
                <w:szCs w:val="14"/>
                <w:b w:val="1"/>
                <w:bCs w:val="1"/>
                <w:color w:val="auto"/>
                <w:w w:val="96"/>
              </w:rPr>
              <w:t>Deficit)</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FF0FC"/>
            </w:tcBorders>
          </w:tcPr>
          <w:p>
            <w:pPr>
              <w:spacing w:after="0"/>
              <w:rPr>
                <w:sz w:val="13"/>
                <w:szCs w:val="13"/>
                <w:color w:val="auto"/>
              </w:rPr>
            </w:pPr>
          </w:p>
        </w:tc>
      </w:tr>
      <w:tr>
        <w:trPr>
          <w:trHeight w:val="209"/>
        </w:trPr>
        <w:tc>
          <w:tcPr>
            <w:tcW w:w="3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2014</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18,803</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221,580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(73,012)</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148,654</w:t>
            </w:r>
          </w:p>
        </w:tc>
        <w:tc>
          <w:tcPr>
            <w:tcW w:w="100" w:type="dxa"/>
            <w:vAlign w:val="bottom"/>
            <w:shd w:val="clear" w:color="auto" w:fill="CFF0FC"/>
          </w:tcPr>
          <w:p>
            <w:pPr>
              <w:spacing w:after="0"/>
              <w:rPr>
                <w:sz w:val="18"/>
                <w:szCs w:val="18"/>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725</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5,838</w:t>
            </w:r>
          </w:p>
        </w:tc>
        <w:tc>
          <w:tcPr>
            <w:tcW w:w="100" w:type="dxa"/>
            <w:vAlign w:val="bottom"/>
            <w:shd w:val="clear" w:color="auto" w:fill="CFF0FC"/>
          </w:tcPr>
          <w:p>
            <w:pPr>
              <w:spacing w:after="0"/>
              <w:rPr>
                <w:sz w:val="19"/>
                <w:szCs w:val="19"/>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Income tax benefit from stock option exercises</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1,814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18"/>
                <w:szCs w:val="18"/>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FF0FC"/>
          </w:tcPr>
          <w:p>
            <w:pPr>
              <w:spacing w:after="0"/>
              <w:rPr>
                <w:sz w:val="19"/>
                <w:szCs w:val="19"/>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Retirement of treasury stock</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78,992</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78,992</w:t>
            </w:r>
          </w:p>
        </w:tc>
        <w:tc>
          <w:tcPr>
            <w:tcW w:w="100" w:type="dxa"/>
            <w:vAlign w:val="bottom"/>
            <w:shd w:val="clear" w:color="auto" w:fill="CFF0FC"/>
          </w:tcPr>
          <w:p>
            <w:pPr>
              <w:spacing w:after="0"/>
              <w:rPr>
                <w:sz w:val="19"/>
                <w:szCs w:val="19"/>
                <w:color w:val="auto"/>
              </w:rPr>
            </w:pPr>
          </w:p>
        </w:tc>
      </w:tr>
      <w:tr>
        <w:trPr>
          <w:trHeight w:val="246"/>
        </w:trPr>
        <w:tc>
          <w:tcPr>
            <w:tcW w:w="3740" w:type="dxa"/>
            <w:vAlign w:val="bottom"/>
          </w:tcPr>
          <w:p>
            <w:pPr>
              <w:spacing w:after="0"/>
              <w:rPr>
                <w:sz w:val="20"/>
                <w:szCs w:val="20"/>
                <w:color w:val="auto"/>
              </w:rPr>
            </w:pPr>
            <w:r>
              <w:rPr>
                <w:rFonts w:ascii="Arial" w:cs="Arial" w:eastAsia="Arial" w:hAnsi="Arial"/>
                <w:sz w:val="16"/>
                <w:szCs w:val="16"/>
                <w:b w:val="1"/>
                <w:bCs w:val="1"/>
                <w:color w:val="auto"/>
              </w:rPr>
              <w:t>Balances at September 30, 2015</w:t>
            </w:r>
          </w:p>
        </w:tc>
        <w:tc>
          <w:tcPr>
            <w:tcW w:w="700" w:type="dxa"/>
            <w:vAlign w:val="bottom"/>
          </w:tcPr>
          <w:p>
            <w:pPr>
              <w:jc w:val="right"/>
              <w:spacing w:after="0"/>
              <w:rPr>
                <w:sz w:val="20"/>
                <w:szCs w:val="20"/>
                <w:color w:val="auto"/>
              </w:rPr>
            </w:pPr>
            <w:r>
              <w:rPr>
                <w:rFonts w:ascii="Arial" w:cs="Arial" w:eastAsia="Arial" w:hAnsi="Arial"/>
                <w:sz w:val="16"/>
                <w:szCs w:val="16"/>
                <w:color w:val="auto"/>
              </w:rPr>
              <w:t>18,717</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187</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229,957</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5,980</w:t>
            </w:r>
          </w:p>
        </w:tc>
        <w:tc>
          <w:tcPr>
            <w:tcW w:w="1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236,157</w:t>
            </w:r>
          </w:p>
        </w:tc>
        <w:tc>
          <w:tcPr>
            <w:tcW w:w="100" w:type="dxa"/>
            <w:vAlign w:val="bottom"/>
          </w:tcPr>
          <w:p>
            <w:pPr>
              <w:spacing w:after="0"/>
              <w:rPr>
                <w:sz w:val="21"/>
                <w:szCs w:val="21"/>
                <w:color w:val="auto"/>
              </w:rPr>
            </w:pPr>
          </w:p>
        </w:tc>
      </w:tr>
      <w:tr>
        <w:trPr>
          <w:trHeight w:val="199"/>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1,023</w:t>
            </w: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9,354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9,354</w:t>
            </w:r>
          </w:p>
        </w:tc>
        <w:tc>
          <w:tcPr>
            <w:tcW w:w="100" w:type="dxa"/>
            <w:vAlign w:val="bottom"/>
          </w:tcPr>
          <w:p>
            <w:pPr>
              <w:spacing w:after="0"/>
              <w:rPr>
                <w:sz w:val="18"/>
                <w:szCs w:val="18"/>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from stock option exercises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FF0FC"/>
          </w:tcPr>
          <w:p>
            <w:pPr>
              <w:spacing w:after="0"/>
              <w:rPr>
                <w:sz w:val="19"/>
                <w:szCs w:val="19"/>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21,666</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21,666</w:t>
            </w:r>
          </w:p>
        </w:tc>
        <w:tc>
          <w:tcPr>
            <w:tcW w:w="100" w:type="dxa"/>
            <w:vAlign w:val="bottom"/>
            <w:shd w:val="clear" w:color="auto" w:fill="CFF0FC"/>
          </w:tcPr>
          <w:p>
            <w:pPr>
              <w:spacing w:after="0"/>
              <w:rPr>
                <w:sz w:val="19"/>
                <w:szCs w:val="19"/>
                <w:color w:val="auto"/>
              </w:rPr>
            </w:pPr>
          </w:p>
        </w:tc>
      </w:tr>
      <w:tr>
        <w:trPr>
          <w:trHeight w:val="246"/>
        </w:trPr>
        <w:tc>
          <w:tcPr>
            <w:tcW w:w="3740" w:type="dxa"/>
            <w:vAlign w:val="bottom"/>
          </w:tcPr>
          <w:p>
            <w:pPr>
              <w:spacing w:after="0"/>
              <w:rPr>
                <w:sz w:val="20"/>
                <w:szCs w:val="20"/>
                <w:color w:val="auto"/>
              </w:rPr>
            </w:pPr>
            <w:r>
              <w:rPr>
                <w:rFonts w:ascii="Arial" w:cs="Arial" w:eastAsia="Arial" w:hAnsi="Arial"/>
                <w:sz w:val="16"/>
                <w:szCs w:val="16"/>
                <w:b w:val="1"/>
                <w:bCs w:val="1"/>
                <w:color w:val="auto"/>
              </w:rPr>
              <w:t>Balances at September 30, 2016</w:t>
            </w:r>
          </w:p>
        </w:tc>
        <w:tc>
          <w:tcPr>
            <w:tcW w:w="700" w:type="dxa"/>
            <w:vAlign w:val="bottom"/>
          </w:tcPr>
          <w:p>
            <w:pPr>
              <w:jc w:val="right"/>
              <w:spacing w:after="0"/>
              <w:rPr>
                <w:sz w:val="20"/>
                <w:szCs w:val="20"/>
                <w:color w:val="auto"/>
              </w:rPr>
            </w:pPr>
            <w:r>
              <w:rPr>
                <w:rFonts w:ascii="Arial" w:cs="Arial" w:eastAsia="Arial" w:hAnsi="Arial"/>
                <w:sz w:val="16"/>
                <w:szCs w:val="16"/>
                <w:color w:val="auto"/>
              </w:rPr>
              <w:t>19,036</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190</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242,081</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27,646</w:t>
            </w:r>
          </w:p>
        </w:tc>
        <w:tc>
          <w:tcPr>
            <w:tcW w:w="1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269,936</w:t>
            </w:r>
          </w:p>
        </w:tc>
        <w:tc>
          <w:tcPr>
            <w:tcW w:w="100" w:type="dxa"/>
            <w:vAlign w:val="bottom"/>
          </w:tcPr>
          <w:p>
            <w:pPr>
              <w:spacing w:after="0"/>
              <w:rPr>
                <w:sz w:val="21"/>
                <w:szCs w:val="21"/>
                <w:color w:val="auto"/>
              </w:rPr>
            </w:pPr>
          </w:p>
        </w:tc>
      </w:tr>
      <w:tr>
        <w:trPr>
          <w:trHeight w:val="199"/>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1,078</w:t>
            </w: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Vesting of restricted stock units, net of withholding</w:t>
            </w: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(202)</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(202)</w:t>
            </w: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13,071</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13,071</w:t>
            </w:r>
          </w:p>
        </w:tc>
        <w:tc>
          <w:tcPr>
            <w:tcW w:w="100" w:type="dxa"/>
            <w:vAlign w:val="bottom"/>
            <w:shd w:val="clear" w:color="auto" w:fill="CFF0FC"/>
          </w:tcPr>
          <w:p>
            <w:pPr>
              <w:spacing w:after="0"/>
              <w:rPr>
                <w:sz w:val="19"/>
                <w:szCs w:val="19"/>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Income tax benefit from stock option exercises</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213</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(131)</w:t>
            </w:r>
          </w:p>
        </w:tc>
      </w:tr>
      <w:tr>
        <w:trPr>
          <w:trHeight w:val="213"/>
        </w:trPr>
        <w:tc>
          <w:tcPr>
            <w:tcW w:w="3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income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17,710</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17,710</w:t>
            </w:r>
          </w:p>
        </w:tc>
        <w:tc>
          <w:tcPr>
            <w:tcW w:w="100" w:type="dxa"/>
            <w:vAlign w:val="bottom"/>
            <w:tcBorders>
              <w:bottom w:val="single" w:sz="8" w:color="CFF0FC"/>
            </w:tcBorders>
          </w:tcPr>
          <w:p>
            <w:pPr>
              <w:spacing w:after="0"/>
              <w:rPr>
                <w:sz w:val="18"/>
                <w:szCs w:val="18"/>
                <w:color w:val="auto"/>
              </w:rPr>
            </w:pPr>
          </w:p>
        </w:tc>
      </w:tr>
      <w:tr>
        <w:trPr>
          <w:trHeight w:val="209"/>
        </w:trPr>
        <w:tc>
          <w:tcPr>
            <w:tcW w:w="3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2017</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19,120</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256,241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45,356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301,676</w:t>
            </w:r>
          </w:p>
        </w:tc>
        <w:tc>
          <w:tcPr>
            <w:tcW w:w="100" w:type="dxa"/>
            <w:vAlign w:val="bottom"/>
            <w:shd w:val="clear" w:color="auto" w:fill="CFF0FC"/>
          </w:tcPr>
          <w:p>
            <w:pPr>
              <w:spacing w:after="0"/>
              <w:rPr>
                <w:sz w:val="18"/>
                <w:szCs w:val="18"/>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Years Ended September 30,</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7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09"/>
        </w:trPr>
        <w:tc>
          <w:tcPr>
            <w:tcW w:w="67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17,710</w:t>
            </w:r>
          </w:p>
        </w:tc>
        <w:tc>
          <w:tcPr>
            <w:tcW w:w="80" w:type="dxa"/>
            <w:vAlign w:val="bottom"/>
          </w:tcPr>
          <w:p>
            <w:pPr>
              <w:spacing w:after="0"/>
              <w:rPr>
                <w:sz w:val="18"/>
                <w:szCs w:val="18"/>
                <w:color w:val="auto"/>
              </w:rPr>
            </w:pPr>
          </w:p>
        </w:tc>
        <w:tc>
          <w:tcPr>
            <w:tcW w:w="48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21,666</w:t>
            </w:r>
          </w:p>
        </w:tc>
        <w:tc>
          <w:tcPr>
            <w:tcW w:w="220" w:type="dxa"/>
            <w:vAlign w:val="bottom"/>
          </w:tcPr>
          <w:p>
            <w:pPr>
              <w:spacing w:after="0"/>
              <w:rPr>
                <w:sz w:val="18"/>
                <w:szCs w:val="18"/>
                <w:color w:val="auto"/>
              </w:rPr>
            </w:pPr>
          </w:p>
        </w:tc>
        <w:tc>
          <w:tcPr>
            <w:tcW w:w="34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78,992</w:t>
            </w:r>
          </w:p>
        </w:tc>
        <w:tc>
          <w:tcPr>
            <w:tcW w:w="100" w:type="dxa"/>
            <w:vAlign w:val="bottom"/>
          </w:tcPr>
          <w:p>
            <w:pPr>
              <w:spacing w:after="0"/>
              <w:rPr>
                <w:sz w:val="18"/>
                <w:szCs w:val="18"/>
                <w:color w:val="auto"/>
              </w:rPr>
            </w:pPr>
          </w:p>
        </w:tc>
      </w:tr>
      <w:tr>
        <w:trPr>
          <w:trHeight w:val="198"/>
        </w:trPr>
        <w:tc>
          <w:tcPr>
            <w:tcW w:w="6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income to net cash provided by</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7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676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13,071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9,354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5,838</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Depreciation and amortization expense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1,661</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50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(1,654)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(2,294)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11,028</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Premium on marketable securities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(1,229)</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(518)</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(3,042)</w:t>
            </w:r>
          </w:p>
        </w:tc>
      </w:tr>
      <w:tr>
        <w:trPr>
          <w:trHeight w:val="216"/>
        </w:trPr>
        <w:tc>
          <w:tcPr>
            <w:tcW w:w="6760" w:type="dxa"/>
            <w:vAlign w:val="bottom"/>
          </w:tcPr>
          <w:p>
            <w:pPr>
              <w:ind w:left="500"/>
              <w:spacing w:after="0"/>
              <w:rPr>
                <w:sz w:val="20"/>
                <w:szCs w:val="20"/>
                <w:color w:val="auto"/>
              </w:rPr>
            </w:pPr>
            <w:r>
              <w:rPr>
                <w:rFonts w:ascii="Arial" w:cs="Arial" w:eastAsia="Arial" w:hAnsi="Arial"/>
                <w:sz w:val="17"/>
                <w:szCs w:val="17"/>
                <w:color w:val="auto"/>
              </w:rPr>
              <w:t>Amortization of premium on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1,511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2,244</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Income tax benefit from exercise of stock options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(1,747)</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(1,814)</w:t>
            </w:r>
          </w:p>
        </w:tc>
      </w:tr>
      <w:tr>
        <w:trPr>
          <w:trHeight w:val="198"/>
        </w:trPr>
        <w:tc>
          <w:tcPr>
            <w:tcW w:w="6760" w:type="dxa"/>
            <w:vAlign w:val="bottom"/>
          </w:tcPr>
          <w:p>
            <w:pPr>
              <w:ind w:left="500"/>
              <w:spacing w:after="0"/>
              <w:rPr>
                <w:sz w:val="20"/>
                <w:szCs w:val="20"/>
                <w:color w:val="auto"/>
              </w:rPr>
            </w:pPr>
            <w:r>
              <w:rPr>
                <w:rFonts w:ascii="Arial" w:cs="Arial" w:eastAsia="Arial" w:hAnsi="Arial"/>
                <w:sz w:val="17"/>
                <w:szCs w:val="17"/>
                <w:color w:val="auto"/>
              </w:rPr>
              <w:t>Change in fair value of warrant liability and Series 1</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6760" w:type="dxa"/>
            <w:vAlign w:val="bottom"/>
          </w:tcPr>
          <w:p>
            <w:pPr>
              <w:ind w:left="620"/>
              <w:spacing w:after="0"/>
              <w:rPr>
                <w:sz w:val="20"/>
                <w:szCs w:val="20"/>
                <w:color w:val="auto"/>
              </w:rPr>
            </w:pPr>
            <w:r>
              <w:rPr>
                <w:rFonts w:ascii="Arial" w:cs="Arial" w:eastAsia="Arial" w:hAnsi="Arial"/>
                <w:sz w:val="17"/>
                <w:szCs w:val="17"/>
                <w:color w:val="auto"/>
              </w:rPr>
              <w:t>nonconvertible preferred stock</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(347)</w:t>
            </w:r>
          </w:p>
        </w:tc>
      </w:tr>
      <w:tr>
        <w:trPr>
          <w:trHeight w:val="218"/>
        </w:trPr>
        <w:tc>
          <w:tcPr>
            <w:tcW w:w="67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non-cash items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(35)</w:t>
            </w:r>
          </w:p>
        </w:tc>
      </w:tr>
      <w:tr>
        <w:trPr>
          <w:trHeight w:val="216"/>
        </w:trPr>
        <w:tc>
          <w:tcPr>
            <w:tcW w:w="6760" w:type="dxa"/>
            <w:vAlign w:val="bottom"/>
          </w:tcPr>
          <w:p>
            <w:pPr>
              <w:ind w:left="500"/>
              <w:spacing w:after="0"/>
              <w:rPr>
                <w:sz w:val="20"/>
                <w:szCs w:val="20"/>
                <w:color w:val="auto"/>
              </w:rPr>
            </w:pPr>
            <w:r>
              <w:rPr>
                <w:rFonts w:ascii="Arial" w:cs="Arial" w:eastAsia="Arial" w:hAnsi="Arial"/>
                <w:sz w:val="17"/>
                <w:szCs w:val="17"/>
                <w:color w:val="auto"/>
              </w:rPr>
              <w:t>Change in operating assets and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receivable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2,448</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(13,565)</w:t>
            </w:r>
          </w:p>
        </w:tc>
      </w:tr>
      <w:tr>
        <w:trPr>
          <w:trHeight w:val="216"/>
        </w:trPr>
        <w:tc>
          <w:tcPr>
            <w:tcW w:w="6760" w:type="dxa"/>
            <w:vAlign w:val="bottom"/>
          </w:tcPr>
          <w:p>
            <w:pPr>
              <w:ind w:left="740"/>
              <w:spacing w:after="0"/>
              <w:rPr>
                <w:sz w:val="20"/>
                <w:szCs w:val="20"/>
                <w:color w:val="auto"/>
              </w:rPr>
            </w:pPr>
            <w:r>
              <w:rPr>
                <w:rFonts w:ascii="Arial" w:cs="Arial" w:eastAsia="Arial" w:hAnsi="Arial"/>
                <w:sz w:val="17"/>
                <w:szCs w:val="17"/>
                <w:color w:val="auto"/>
              </w:rPr>
              <w:t>Unbilled receivables</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2,337</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5,678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(964)</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(6,680)</w:t>
            </w:r>
          </w:p>
        </w:tc>
      </w:tr>
      <w:tr>
        <w:trPr>
          <w:trHeight w:val="216"/>
        </w:trPr>
        <w:tc>
          <w:tcPr>
            <w:tcW w:w="6760" w:type="dxa"/>
            <w:vAlign w:val="bottom"/>
          </w:tcPr>
          <w:p>
            <w:pPr>
              <w:ind w:left="740"/>
              <w:spacing w:after="0"/>
              <w:rPr>
                <w:sz w:val="20"/>
                <w:szCs w:val="20"/>
                <w:color w:val="auto"/>
              </w:rPr>
            </w:pPr>
            <w:r>
              <w:rPr>
                <w:rFonts w:ascii="Arial" w:cs="Arial" w:eastAsia="Arial" w:hAnsi="Arial"/>
                <w:sz w:val="17"/>
                <w:szCs w:val="17"/>
                <w:color w:val="auto"/>
              </w:rPr>
              <w:t>Accounts payable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1,451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(543)</w:t>
            </w:r>
          </w:p>
        </w:tc>
      </w:tr>
      <w:tr>
        <w:trPr>
          <w:trHeight w:val="216"/>
        </w:trPr>
        <w:tc>
          <w:tcPr>
            <w:tcW w:w="67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Accrued expenses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1,858</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(227)</w:t>
            </w:r>
          </w:p>
        </w:tc>
      </w:tr>
      <w:tr>
        <w:trPr>
          <w:trHeight w:val="216"/>
        </w:trPr>
        <w:tc>
          <w:tcPr>
            <w:tcW w:w="6760" w:type="dxa"/>
            <w:vAlign w:val="bottom"/>
          </w:tcPr>
          <w:p>
            <w:pPr>
              <w:ind w:left="740"/>
              <w:spacing w:after="0"/>
              <w:rPr>
                <w:sz w:val="20"/>
                <w:szCs w:val="20"/>
                <w:color w:val="auto"/>
              </w:rPr>
            </w:pPr>
            <w:r>
              <w:rPr>
                <w:rFonts w:ascii="Arial" w:cs="Arial" w:eastAsia="Arial" w:hAnsi="Arial"/>
                <w:sz w:val="17"/>
                <w:szCs w:val="17"/>
                <w:color w:val="auto"/>
              </w:rPr>
              <w:t>Income taxes payable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9,511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1,199</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Other long-term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397</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649</w:t>
            </w:r>
          </w:p>
        </w:tc>
        <w:tc>
          <w:tcPr>
            <w:tcW w:w="100" w:type="dxa"/>
            <w:vAlign w:val="bottom"/>
            <w:shd w:val="clear" w:color="auto" w:fill="CFF0FC"/>
          </w:tcPr>
          <w:p>
            <w:pPr>
              <w:spacing w:after="0"/>
              <w:rPr>
                <w:sz w:val="18"/>
                <w:szCs w:val="18"/>
                <w:color w:val="auto"/>
              </w:rPr>
            </w:pPr>
          </w:p>
        </w:tc>
      </w:tr>
      <w:tr>
        <w:trPr>
          <w:trHeight w:val="209"/>
        </w:trPr>
        <w:tc>
          <w:tcPr>
            <w:tcW w:w="67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52,653</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35,809</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76,673</w:t>
            </w:r>
          </w:p>
        </w:tc>
        <w:tc>
          <w:tcPr>
            <w:tcW w:w="100" w:type="dxa"/>
            <w:vAlign w:val="bottom"/>
            <w:tcBorders>
              <w:bottom w:val="single" w:sz="8" w:color="CFF0FC"/>
            </w:tcBorders>
          </w:tcPr>
          <w:p>
            <w:pPr>
              <w:spacing w:after="0"/>
              <w:rPr>
                <w:sz w:val="18"/>
                <w:szCs w:val="18"/>
                <w:color w:val="auto"/>
              </w:rPr>
            </w:pPr>
          </w:p>
        </w:tc>
      </w:tr>
      <w:tr>
        <w:trPr>
          <w:trHeight w:val="209"/>
        </w:trPr>
        <w:tc>
          <w:tcPr>
            <w:tcW w:w="67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7"/>
                <w:szCs w:val="17"/>
                <w:color w:val="auto"/>
              </w:rPr>
              <w:t>Purchase of marketable securities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(251,371)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(192,429)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(196,304)</w:t>
            </w: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Maturities of marketable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239,287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153,504</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108,407</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7"/>
                <w:szCs w:val="17"/>
                <w:color w:val="auto"/>
              </w:rPr>
              <w:t>Sale of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2,210</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property and equipment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(2,506)</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(4,738)</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(2,336)</w:t>
            </w:r>
          </w:p>
        </w:tc>
      </w:tr>
      <w:tr>
        <w:trPr>
          <w:trHeight w:val="216"/>
        </w:trPr>
        <w:tc>
          <w:tcPr>
            <w:tcW w:w="6760" w:type="dxa"/>
            <w:vAlign w:val="bottom"/>
          </w:tcPr>
          <w:p>
            <w:pPr>
              <w:ind w:left="260"/>
              <w:spacing w:after="0"/>
              <w:rPr>
                <w:sz w:val="20"/>
                <w:szCs w:val="20"/>
                <w:color w:val="auto"/>
              </w:rPr>
            </w:pPr>
            <w:r>
              <w:rPr>
                <w:rFonts w:ascii="Arial" w:cs="Arial" w:eastAsia="Arial" w:hAnsi="Arial"/>
                <w:sz w:val="17"/>
                <w:szCs w:val="17"/>
                <w:color w:val="auto"/>
              </w:rPr>
              <w:t>Other investing activities</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(163)</w:t>
            </w:r>
          </w:p>
        </w:tc>
      </w:tr>
      <w:tr>
        <w:trPr>
          <w:trHeight w:val="209"/>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(4,572)</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(43,663)</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(88,186)</w:t>
            </w: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6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1,026</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726</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7"/>
                <w:szCs w:val="17"/>
                <w:color w:val="auto"/>
              </w:rPr>
              <w:t>Income tax benefit from exercise of stock options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1,747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1,814</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Payments of withholding tax for share-based awards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760" w:type="dxa"/>
            <w:vAlign w:val="bottom"/>
          </w:tcPr>
          <w:p>
            <w:pPr>
              <w:ind w:left="260"/>
              <w:spacing w:after="0"/>
              <w:rPr>
                <w:sz w:val="20"/>
                <w:szCs w:val="20"/>
                <w:color w:val="auto"/>
              </w:rPr>
            </w:pPr>
            <w:r>
              <w:rPr>
                <w:rFonts w:ascii="Arial" w:cs="Arial" w:eastAsia="Arial" w:hAnsi="Arial"/>
                <w:sz w:val="17"/>
                <w:szCs w:val="17"/>
                <w:color w:val="auto"/>
              </w:rPr>
              <w:t>Payments of capital lease obligations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(73)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(68)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1,017</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2,705</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2,540</w:t>
            </w:r>
          </w:p>
        </w:tc>
        <w:tc>
          <w:tcPr>
            <w:tcW w:w="100" w:type="dxa"/>
            <w:vAlign w:val="bottom"/>
            <w:tcBorders>
              <w:top w:val="single" w:sz="8" w:color="CFF0FC"/>
            </w:tcBorders>
            <w:shd w:val="clear" w:color="auto" w:fill="CFF0FC"/>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49,098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(5,149)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(8,973)</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at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16,577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21,726</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30,699</w:t>
            </w:r>
          </w:p>
        </w:tc>
        <w:tc>
          <w:tcPr>
            <w:tcW w:w="100" w:type="dxa"/>
            <w:vAlign w:val="bottom"/>
            <w:shd w:val="clear" w:color="auto" w:fill="CFF0FC"/>
          </w:tcPr>
          <w:p>
            <w:pPr>
              <w:spacing w:after="0"/>
              <w:rPr>
                <w:sz w:val="18"/>
                <w:szCs w:val="18"/>
                <w:color w:val="auto"/>
              </w:rPr>
            </w:pPr>
          </w:p>
        </w:tc>
      </w:tr>
      <w:tr>
        <w:trPr>
          <w:trHeight w:val="209"/>
        </w:trPr>
        <w:tc>
          <w:tcPr>
            <w:tcW w:w="67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end of period</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65,675</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16,577</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21,726</w:t>
            </w:r>
          </w:p>
        </w:tc>
        <w:tc>
          <w:tcPr>
            <w:tcW w:w="100" w:type="dxa"/>
            <w:vAlign w:val="bottom"/>
            <w:tcBorders>
              <w:bottom w:val="single" w:sz="8" w:color="CFF0FC"/>
            </w:tcBorders>
          </w:tcPr>
          <w:p>
            <w:pPr>
              <w:spacing w:after="0"/>
              <w:rPr>
                <w:sz w:val="18"/>
                <w:szCs w:val="18"/>
                <w:color w:val="auto"/>
              </w:rPr>
            </w:pPr>
          </w:p>
        </w:tc>
      </w:tr>
      <w:tr>
        <w:trPr>
          <w:trHeight w:val="209"/>
        </w:trPr>
        <w:tc>
          <w:tcPr>
            <w:tcW w:w="67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1,588</w:t>
            </w:r>
          </w:p>
        </w:tc>
        <w:tc>
          <w:tcPr>
            <w:tcW w:w="80" w:type="dxa"/>
            <w:vAlign w:val="bottom"/>
          </w:tcPr>
          <w:p>
            <w:pPr>
              <w:spacing w:after="0"/>
              <w:rPr>
                <w:sz w:val="18"/>
                <w:szCs w:val="18"/>
                <w:color w:val="auto"/>
              </w:rPr>
            </w:pPr>
          </w:p>
        </w:tc>
        <w:tc>
          <w:tcPr>
            <w:tcW w:w="48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12,616</w:t>
            </w:r>
          </w:p>
        </w:tc>
        <w:tc>
          <w:tcPr>
            <w:tcW w:w="220" w:type="dxa"/>
            <w:vAlign w:val="bottom"/>
          </w:tcPr>
          <w:p>
            <w:pPr>
              <w:spacing w:after="0"/>
              <w:rPr>
                <w:sz w:val="18"/>
                <w:szCs w:val="18"/>
                <w:color w:val="auto"/>
              </w:rPr>
            </w:pPr>
          </w:p>
        </w:tc>
        <w:tc>
          <w:tcPr>
            <w:tcW w:w="34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40,072</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Non-cash items: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760" w:type="dxa"/>
            <w:vAlign w:val="bottom"/>
          </w:tcPr>
          <w:p>
            <w:pPr>
              <w:ind w:left="260"/>
              <w:spacing w:after="0"/>
              <w:rPr>
                <w:sz w:val="20"/>
                <w:szCs w:val="20"/>
                <w:color w:val="auto"/>
              </w:rPr>
            </w:pPr>
            <w:r>
              <w:rPr>
                <w:rFonts w:ascii="Arial" w:cs="Arial" w:eastAsia="Arial" w:hAnsi="Arial"/>
                <w:sz w:val="17"/>
                <w:szCs w:val="17"/>
                <w:color w:val="auto"/>
              </w:rPr>
              <w:t>Purchases of fixed assets included in accounts payable 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6760" w:type="dxa"/>
            <w:vAlign w:val="bottom"/>
          </w:tcPr>
          <w:p>
            <w:pPr>
              <w:ind w:left="380"/>
              <w:spacing w:after="0"/>
              <w:rPr>
                <w:sz w:val="20"/>
                <w:szCs w:val="20"/>
                <w:color w:val="auto"/>
              </w:rPr>
            </w:pPr>
            <w:r>
              <w:rPr>
                <w:rFonts w:ascii="Arial" w:cs="Arial" w:eastAsia="Arial" w:hAnsi="Arial"/>
                <w:sz w:val="17"/>
                <w:szCs w:val="17"/>
                <w:color w:val="auto"/>
              </w:rPr>
              <w:t>accrued expenses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318</w:t>
            </w:r>
          </w:p>
        </w:tc>
        <w:tc>
          <w:tcPr>
            <w:tcW w:w="80" w:type="dxa"/>
            <w:vAlign w:val="bottom"/>
          </w:tcPr>
          <w:p>
            <w:pPr>
              <w:spacing w:after="0"/>
              <w:rPr>
                <w:sz w:val="18"/>
                <w:szCs w:val="18"/>
                <w:color w:val="auto"/>
              </w:rPr>
            </w:pPr>
          </w:p>
        </w:tc>
        <w:tc>
          <w:tcPr>
            <w:tcW w:w="48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637</w:t>
            </w:r>
          </w:p>
        </w:tc>
        <w:tc>
          <w:tcPr>
            <w:tcW w:w="220" w:type="dxa"/>
            <w:vAlign w:val="bottom"/>
          </w:tcPr>
          <w:p>
            <w:pPr>
              <w:spacing w:after="0"/>
              <w:rPr>
                <w:sz w:val="18"/>
                <w:szCs w:val="18"/>
                <w:color w:val="auto"/>
              </w:rPr>
            </w:pPr>
          </w:p>
        </w:tc>
        <w:tc>
          <w:tcPr>
            <w:tcW w:w="34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1,562</w:t>
            </w:r>
          </w:p>
        </w:tc>
        <w:tc>
          <w:tcPr>
            <w:tcW w:w="100" w:type="dxa"/>
            <w:vAlign w:val="bottom"/>
          </w:tcPr>
          <w:p>
            <w:pPr>
              <w:spacing w:after="0"/>
              <w:rPr>
                <w:sz w:val="18"/>
                <w:szCs w:val="18"/>
                <w:color w:val="auto"/>
              </w:rPr>
            </w:pPr>
          </w:p>
        </w:tc>
      </w:tr>
      <w:tr>
        <w:trPr>
          <w:trHeight w:val="218"/>
        </w:trPr>
        <w:tc>
          <w:tcPr>
            <w:tcW w:w="6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Fixed assets financed by landlord</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ind w:right="145"/>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FF0FC"/>
          </w:tcPr>
          <w:p>
            <w:pPr>
              <w:jc w:val="right"/>
              <w:ind w:right="14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7"/>
                <w:szCs w:val="17"/>
                <w:color w:val="auto"/>
              </w:rPr>
              <w:t>Fixed assets purchased through capital lease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598</w:t>
            </w:r>
          </w:p>
        </w:tc>
        <w:tc>
          <w:tcPr>
            <w:tcW w:w="100" w:type="dxa"/>
            <w:vAlign w:val="bottom"/>
          </w:tcPr>
          <w:p>
            <w:pPr>
              <w:spacing w:after="0"/>
              <w:rPr>
                <w:sz w:val="18"/>
                <w:szCs w:val="18"/>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Enanta Pharmaceuticals, Inc. (the “Company”), incorporated in Delaware in 1995, is a biotechnology company that uses its robust, chemistry-driven approach and drug discovery capabilities to create small molecule drugs primarily for the treatment of viral infections and liver diseases. The Company discovered glecaprevir, the second of two protease inhibitors discovered and developed through the Company’s collaboration with AbbVie and marketed as part of AbbVie’s new direct-acting antiviral (DAA) regimen under the tradenames MAVYRET™ (U.S.) or MAVIRET™ (ex-U.S.) (glecaprevir/pibrentasvir) for the treatment of chronic hepatitis C virus, or HCV. The other protease inhibitor under the Company’s HCV collaboration is part of AbbVie’s initial DAA regimens for the treatment of chronic HCV marketed under the tradenames VIEKIRA PAK</w:t>
      </w:r>
      <w:r>
        <w:rPr>
          <w:rFonts w:ascii="Arial" w:cs="Arial" w:eastAsia="Arial" w:hAnsi="Arial"/>
          <w:sz w:val="13"/>
          <w:szCs w:val="13"/>
          <w:color w:val="auto"/>
        </w:rPr>
        <w:t>®</w:t>
      </w:r>
      <w:r>
        <w:rPr>
          <w:rFonts w:ascii="Arial" w:cs="Arial" w:eastAsia="Arial" w:hAnsi="Arial"/>
          <w:sz w:val="16"/>
          <w:szCs w:val="16"/>
          <w:color w:val="auto"/>
        </w:rPr>
        <w:t xml:space="preserve"> (paritaprevir/ritonavir/ombitasvir/dasabuvir) (U.S.) or VIEKIRAX</w:t>
      </w:r>
      <w:r>
        <w:rPr>
          <w:rFonts w:ascii="Arial" w:cs="Arial" w:eastAsia="Arial" w:hAnsi="Arial"/>
          <w:sz w:val="13"/>
          <w:szCs w:val="13"/>
          <w:color w:val="auto"/>
        </w:rPr>
        <w:t>®</w:t>
      </w:r>
      <w:r>
        <w:rPr>
          <w:rFonts w:ascii="Arial" w:cs="Arial" w:eastAsia="Arial" w:hAnsi="Arial"/>
          <w:sz w:val="16"/>
          <w:szCs w:val="16"/>
          <w:color w:val="auto"/>
        </w:rPr>
        <w:t xml:space="preserve"> (paritaprevir/ritonavir/ombitasvir) (ex-U.S.). The royalties from the AbbVie collaboration and the Company’s existing financial resources provides funding to support the Company’s wholly owned research and development efforts, which are currently focused on the following disease targets: hepatitis B virus (“HBV”); non-alcoholic steatohepatitis (“NASH”); primary biliary cholangitis (“PBC”); and respiratory syncytial virus (“RSV”).</w:t>
      </w:r>
    </w:p>
    <w:p>
      <w:pPr>
        <w:spacing w:after="0" w:line="1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regulations and the need to obtain additional financing. Product candidates currently under development will require significant additional research and development efforts, including extensive preclinical and clinical testing and regulatory approvals, prior to commercialization. These efforts require significant amounts of capital and adequate personnel infrastructure and compliance reporting capabilities.</w:t>
      </w:r>
    </w:p>
    <w:p>
      <w:pPr>
        <w:spacing w:after="0" w:line="264" w:lineRule="exact"/>
        <w:rPr>
          <w:sz w:val="20"/>
          <w:szCs w:val="20"/>
          <w:color w:val="auto"/>
        </w:rPr>
      </w:pPr>
    </w:p>
    <w:p>
      <w:pPr>
        <w:ind w:right="7840" w:firstLine="8"/>
        <w:spacing w:after="0" w:line="377" w:lineRule="auto"/>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accompanying consolidated financial statements include those of the Company and its subsidiary, Enanta Pharmaceuticals Security Corporation, after elimination of all intercompany accounts and transactions. The accompanying consolidated financial statements have been prepared in conformity with accounting principles generally accepted in the United States of America (“GAAP”).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warrants, Series 1 nonconvertible preferred stock and stock-based awards;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Marketable Securities</w:t>
      </w:r>
    </w:p>
    <w:p>
      <w:pPr>
        <w:spacing w:after="0" w:line="12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Marketable securities with original maturities of greater than ninety days and remaining maturities of less than one year from the balance sheet date are classified as short-term marketable securities. Marketable securities with remaining maturities of greater than one year from the balance sheet date are classified as long-term marketable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7" w:name="page88"/>
    <w:bookmarkEnd w:id="87"/>
    <w:p>
      <w:pPr>
        <w:ind w:right="120"/>
        <w:spacing w:after="0" w:line="290" w:lineRule="auto"/>
        <w:rPr>
          <w:sz w:val="20"/>
          <w:szCs w:val="20"/>
          <w:color w:val="auto"/>
        </w:rPr>
      </w:pPr>
      <w:r>
        <w:rPr>
          <w:rFonts w:ascii="Arial" w:cs="Arial" w:eastAsia="Arial" w:hAnsi="Arial"/>
          <w:sz w:val="16"/>
          <w:szCs w:val="16"/>
          <w:color w:val="auto"/>
        </w:rPr>
        <w:t>The Company classifies all of its marketable securities as available-for-sale. All marketable securities are held with one investment manager. The Company continually evaluates the credit ratings of its investment portfolio and underlying securities. The Company invests in accordance with its investment policy and invests at the date of purchase in securities with a rating of A3 or higher and A- or higher according to Moody’s and S&amp;P, respectively. The Company reports available-for-sale investments at fair value as of each balance sheet date and records any unrealized gains or losses as a component of stockholders’ equity. The cost of securities sold is determined on a specific identification basis, and realized gains and losses are included in other income (expense), net within the consolidated statements of operations. If any adjustment to fair value reflects a decline in the value of the investment, the Company considers available evidence to evaluate the extent to which the decline is “other than temporary” and reduces the investment to fair value through a charge to the consolidated statements of operations. There were no such adjustments necessary during the years ended September 30, 2017, 2016, and 2015.</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color w:val="auto"/>
        </w:rPr>
        <w:t>As of September 30, 2017 and 2016, the Company had an outstanding letter of credit collateralized by a money market account of $608 to the benefit of the landlord of the Company’s current building lease. This amount was classified as long-term restricted cash as of September 30, 2017 and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Customers and Suppliers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cash equivalents, marketable securities, accounts receivable and unbilled receivables. The Company has all cash and investment balances at one accredited financial institution, including cash in amounts that exceed federally insured limits. The Company does not believe that it is subject to unusual credit risk beyond the normal credit risk associated with commercial banking relationships.</w:t>
      </w:r>
    </w:p>
    <w:p>
      <w:pPr>
        <w:spacing w:after="0" w:line="186"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auto"/>
        </w:rPr>
        <w:t>The Company has historically generated all of its revenue from its collaborative research and license agreements as well as a U.S. government contract (see Note 7). As of September 30, 2017 and 2016, accounts receivable consisted of amounts due from the Company’s principal collaborator (see Note 7).</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 completely dependent on third-party manufacturers for product supply for preclinical and clinical research activities in its non-partnered programs. The Company relies and expects to continue to rely exclusively on several manufacturers to supply it with its requirements for the active pharmaceutical ingredients related to these programs. These research programs would be adversely affected by a significant interruption in the supply of its active pharmaceutical ingredients.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is based on three levels of inputs which are used to measure fair value, of which the first two levels are considered observable and the last is considered unobservable:</w:t>
      </w:r>
    </w:p>
    <w:p>
      <w:pPr>
        <w:spacing w:after="0" w:line="83" w:lineRule="exact"/>
        <w:rPr>
          <w:sz w:val="20"/>
          <w:szCs w:val="20"/>
          <w:color w:val="auto"/>
        </w:rPr>
      </w:pPr>
    </w:p>
    <w:p>
      <w:pPr>
        <w:ind w:left="1200" w:hanging="599"/>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16" w:lineRule="exact"/>
        <w:rPr>
          <w:rFonts w:ascii="Arial" w:cs="Arial" w:eastAsia="Arial" w:hAnsi="Arial"/>
          <w:sz w:val="18"/>
          <w:szCs w:val="18"/>
          <w:color w:val="auto"/>
        </w:rPr>
      </w:pPr>
    </w:p>
    <w:p>
      <w:pPr>
        <w:ind w:left="1200" w:hanging="599"/>
        <w:spacing w:after="0" w:line="263"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4" w:lineRule="exact"/>
        <w:rPr>
          <w:rFonts w:ascii="Arial" w:cs="Arial" w:eastAsia="Arial" w:hAnsi="Arial"/>
          <w:sz w:val="18"/>
          <w:szCs w:val="18"/>
          <w:color w:val="auto"/>
        </w:rPr>
      </w:pPr>
    </w:p>
    <w:p>
      <w:pPr>
        <w:ind w:left="1200" w:right="200" w:hanging="599"/>
        <w:spacing w:after="0" w:line="277"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instruments that are carried at fair value are cash equivalents, marketable securities and the warrant and Series 1 nonconvertible preferred stock liabilities. The carrying values of accounts receivable and unbilled</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receivables, accounts payable and accrued expenses approximate their fair value due to the short-term nature of these assets and liabilities.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or amortization. Depreciation and amortization expense is recognized using the straight-line method over the following estimated useful lives: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Laboratory and office equipment</w:t>
            </w:r>
          </w:p>
        </w:tc>
        <w:tc>
          <w:tcPr>
            <w:tcW w:w="4140" w:type="dxa"/>
            <w:vAlign w:val="bottom"/>
          </w:tcPr>
          <w:p>
            <w:pPr>
              <w:jc w:val="center"/>
              <w:ind w:left="730"/>
              <w:spacing w:after="0"/>
              <w:rPr>
                <w:sz w:val="20"/>
                <w:szCs w:val="20"/>
                <w:color w:val="auto"/>
              </w:rPr>
            </w:pPr>
            <w:r>
              <w:rPr>
                <w:rFonts w:ascii="Arial" w:cs="Arial" w:eastAsia="Arial" w:hAnsi="Arial"/>
                <w:sz w:val="18"/>
                <w:szCs w:val="18"/>
                <w:color w:val="auto"/>
                <w:w w:val="88"/>
              </w:rPr>
              <w:t>5 years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140" w:type="dxa"/>
            <w:vAlign w:val="bottom"/>
          </w:tcPr>
          <w:p>
            <w:pPr>
              <w:jc w:val="center"/>
              <w:ind w:left="750"/>
              <w:spacing w:after="0"/>
              <w:rPr>
                <w:sz w:val="20"/>
                <w:szCs w:val="20"/>
                <w:color w:val="auto"/>
              </w:rPr>
            </w:pPr>
            <w:r>
              <w:rPr>
                <w:rFonts w:ascii="Arial" w:cs="Arial" w:eastAsia="Arial" w:hAnsi="Arial"/>
                <w:sz w:val="18"/>
                <w:szCs w:val="18"/>
                <w:color w:val="auto"/>
                <w:w w:val="91"/>
              </w:rPr>
              <w:t>Shorter of life of lease or estimated useful life</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Purchased software</w:t>
            </w:r>
          </w:p>
        </w:tc>
        <w:tc>
          <w:tcPr>
            <w:tcW w:w="4140" w:type="dxa"/>
            <w:vAlign w:val="bottom"/>
          </w:tcPr>
          <w:p>
            <w:pPr>
              <w:jc w:val="center"/>
              <w:ind w:left="730"/>
              <w:spacing w:after="0"/>
              <w:rPr>
                <w:sz w:val="20"/>
                <w:szCs w:val="20"/>
                <w:color w:val="auto"/>
              </w:rPr>
            </w:pPr>
            <w:r>
              <w:rPr>
                <w:rFonts w:ascii="Arial" w:cs="Arial" w:eastAsia="Arial" w:hAnsi="Arial"/>
                <w:sz w:val="18"/>
                <w:szCs w:val="18"/>
                <w:color w:val="auto"/>
                <w:w w:val="88"/>
              </w:rPr>
              <w:t>3 years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Computer equipment</w:t>
            </w:r>
          </w:p>
        </w:tc>
        <w:tc>
          <w:tcPr>
            <w:tcW w:w="4140" w:type="dxa"/>
            <w:vAlign w:val="bottom"/>
          </w:tcPr>
          <w:p>
            <w:pPr>
              <w:jc w:val="center"/>
              <w:ind w:left="730"/>
              <w:spacing w:after="0"/>
              <w:rPr>
                <w:sz w:val="20"/>
                <w:szCs w:val="20"/>
                <w:color w:val="auto"/>
              </w:rPr>
            </w:pPr>
            <w:r>
              <w:rPr>
                <w:rFonts w:ascii="Arial" w:cs="Arial" w:eastAsia="Arial" w:hAnsi="Arial"/>
                <w:sz w:val="18"/>
                <w:szCs w:val="18"/>
                <w:color w:val="auto"/>
                <w:w w:val="88"/>
              </w:rPr>
              <w:t>3 years</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Furniture</w:t>
            </w:r>
          </w:p>
        </w:tc>
        <w:tc>
          <w:tcPr>
            <w:tcW w:w="4140" w:type="dxa"/>
            <w:vAlign w:val="bottom"/>
          </w:tcPr>
          <w:p>
            <w:pPr>
              <w:jc w:val="center"/>
              <w:ind w:left="730"/>
              <w:spacing w:after="0"/>
              <w:rPr>
                <w:sz w:val="20"/>
                <w:szCs w:val="20"/>
                <w:color w:val="auto"/>
              </w:rPr>
            </w:pPr>
            <w:r>
              <w:rPr>
                <w:rFonts w:ascii="Arial" w:cs="Arial" w:eastAsia="Arial" w:hAnsi="Arial"/>
                <w:sz w:val="18"/>
                <w:szCs w:val="18"/>
                <w:color w:val="auto"/>
                <w:w w:val="88"/>
              </w:rPr>
              <w:t>7 years</w:t>
            </w:r>
          </w:p>
        </w:tc>
      </w:tr>
    </w:tbl>
    <w:p>
      <w:pPr>
        <w:spacing w:after="0" w:line="20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Expenditures for repairs and maintenance of assets are charged to expense as incurred. Costs of major additions and betterments are capitalized and depreciated on a straight-line basis over their useful lives. Upon retirement or sale, the cost and related accumulated depreciation or amortization of assets disposed are removed from the accounts and any resulting gain or loss is included in income from operations in the consolidated statements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reviews long-lived assets, including property and equipment,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In all instances, revenue is recognized only when the price is fixed or determinable, persuasive evidence of an arrangement exists, delivery has occurred or the services have been rendered, collectibility of the resulting receivable is reasonably assured, and the Company has fulfilled its performance obligations under the contract.</w:t>
      </w:r>
    </w:p>
    <w:p>
      <w:pPr>
        <w:spacing w:after="0" w:line="16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On October 1, 2011, the Company adopted Accounting Standards Update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(“ASU 2009-13”). This guidance, which applies to multiple-element arrangements entered into or materially modified on or after October 1, 2011, amends the criteria for separating and allocating consideration in a multiple-element arrangement by modifying the fair value requirements for revenue recognition and eliminating the use of the residual value method. The selling prices of deliverables under the arrangement may be derived using third-party evidence (“TPE”) or a best estimate of selling price (“BESP”), if vendor-specific objective evidence (“VSOE”) is not available. The objective of BESP is to determine the price at which the Company would transact a sale if the element within the license agreement was sold on a standalone basis. Establishing BESP involves management’s judgment and considers multiple factors, including market conditions and company-specific factors including those factors contemplated in negotiating the agreements as well as internally developed models that include assumptions related to market opportunity, discounted cash flows,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89" w:name="page90"/>
    <w:bookmarkEnd w:id="89"/>
    <w:p>
      <w:pPr>
        <w:ind w:right="80"/>
        <w:spacing w:after="0" w:line="254" w:lineRule="auto"/>
        <w:rPr>
          <w:sz w:val="20"/>
          <w:szCs w:val="20"/>
          <w:color w:val="auto"/>
        </w:rPr>
      </w:pPr>
      <w:r>
        <w:rPr>
          <w:rFonts w:ascii="Arial" w:cs="Arial" w:eastAsia="Arial" w:hAnsi="Arial"/>
          <w:sz w:val="18"/>
          <w:szCs w:val="18"/>
          <w:color w:val="auto"/>
        </w:rPr>
        <w:t>estimated development costs, probability of success, and the time needed to commercialize a product candidate pursuant to the license. Deliverables under a multiple-element arrangement are separated into multiple units if (i) the delivered item has value to the customer on a standalone basis, and (ii) if the arrangement includes a general right of return relative to the delivered item, delivery or performance of the undelivered item is considered probable and substantially within the control of the Company. The arrangement consideration that is fixed or determinable at the inception of the arrangement is allocated to the separate units of accounting based on their relative selling prices derived using TPE or BESP. The appropriate revenue recognition model is applied to each element, and revenue is accordingly recognized as each element is delivered. The Company may exercise significant judgment in determining whether a deliverable is a separate unit of accounting.</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determining the separate units of accounting, the Company evaluates whether the license has standalone value to the collaborator based on consideration of the relevant facts and circumstances for each arrangement. Factors considered in this determination include the research and development capabilities of the collaborator and the availability of relevant research expertise in the marketplace. In addition, the Company considers whether or not (i) the collaborator can use the license for its intended purpose without the receipt of the remaining deliverables, (ii) the value of the license is dependent on the undelivered items, and (iii) the collaborator or other vendors can provide the undelivered items.</w:t>
      </w:r>
    </w:p>
    <w:p>
      <w:pPr>
        <w:spacing w:after="0" w:line="19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all periods presented, whenever the Company determines that an element is delivered over a period of time, revenue is recognized using either a proportional performance model or a straight-line model over the period of performance, which is typically the research and development term. Full-time equivalents (“FTEs”) are typically used as the measure of performance. At each reporting period, the Company reassesses its cumulative measure of performance and makes appropriate adjustments, if necessary. The Company recognizes revenue using the proportional performance model whenever the Company can make reasonably reliable estimates of the level of effort required to complete its performance obligations under an arrangement. Revenue recognized under the proportional performance model at each reporting period is determined by multiplying the total expected payments under the contract (excluding royalties and payments contingent upon achievement of milestones) by the ratio of the level of effort incurred to date to the estimated total level of effort required to complete the performance obligations under the arrangement. Revenue is limited to the lesser of the cumulative amount of payments received or the cumulative amount of revenue earned, as determined using the proportional performance model as of each reporting period. Alternatively, if the Company cannot make reasonably reliable estimates of the level of effort required to complete its performance obligations under an arrangement, then revenue under the arrangement is recognized on a straight-line basis over the period expected to complete the Company’s performance obligations. If and when a contingent milestone payment is earned, the additional consideration to be received is allocated to the separate units of accounting in the arrangement based on their relative selling prices at the inception of the arrangement. Revenue is limited to the lesser of the cumulative amount of payments received or the cumulative amount of revenue earned, as determined on a straight-line basis as of the period end date. If the Company cannot reasonably estimate when its performance obligation period ends, then revenue is deferred until the Company can reasonably estimate when the performance obligation period ends.</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Royalty revenue is recognized based on contractual terms when reported sales are reliably measurable and collectibility is reasonably assured, provided that there are no performance obligations remaining.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years ended September 30, 2016 and 2015, the Company also generated revenue from a government contract, under which the Company was reimbursed for certain allowable costs for the funded project. Revenue from the government contract was recognized when the related service was performed. The related costs incurred by the Company under the government contract were included in research and development expenses in the consolidated statements of operations.</w:t>
      </w:r>
    </w:p>
    <w:p>
      <w:pPr>
        <w:spacing w:after="0" w:line="18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183" w:lineRule="exact"/>
        <w:rPr>
          <w:sz w:val="20"/>
          <w:szCs w:val="20"/>
          <w:color w:val="auto"/>
        </w:rPr>
      </w:pPr>
    </w:p>
    <w:p>
      <w:pPr>
        <w:ind w:right="200"/>
        <w:spacing w:after="0" w:line="341" w:lineRule="auto"/>
        <w:rPr>
          <w:sz w:val="20"/>
          <w:szCs w:val="20"/>
          <w:color w:val="auto"/>
        </w:rPr>
      </w:pPr>
      <w:r>
        <w:rPr>
          <w:rFonts w:ascii="Arial" w:cs="Arial" w:eastAsia="Arial" w:hAnsi="Arial"/>
          <w:sz w:val="16"/>
          <w:szCs w:val="16"/>
          <w:color w:val="auto"/>
        </w:rPr>
        <w:t>In the event that a collaborative research and license agreement is terminated and the Company then has no further performance obligations, the Company recognizes as revenue any amounts that had not previously been recorded as revenue but were classified as deferred revenue at the date of such termination.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Research and development costs are expensed as incurred. Included in research and development costs are wages, stock-based compensation and benefits of employees, third-party license fees and other operational costs related to the Company’s research and development activities, including facility-related expenses and external costs of outside contractors engaged to conduct both preclinical and clinical studies and manufacture quantities of product for preclinical and clinical studies. The Company also includes in research and development expense the costs to complete the Company’s obligations under research collaborations.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measures all stock options and other stock-based awards granted to employees at fair value on the date of grant. The Company uses the Black-Scholes option-pricing model in the valuation of its stock options. The fair value of performance-based awards and restricted stock units is based on intrinsic value of the stock on the date of grant. The Company uses the Monte-Carlo simulation in order to calculate the fair value of the market-based awards. The fair value of options is recognized as stock-based compensation expense, net of estimated forfeitures, over the requisite service period, which is generally the vesting period of the respective award. The straight-line method of expense recognition is applied to all awards with service-based and market-based conditions. The Company records stock-based compensation expense related to performance-based awards when the performance-based targets are probable of being achieved. The Company classifies stock-based compensation expense in the consolidated statements of operations in the same manner in which the award recipient’s payroll costs are classified.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Uncertain tax positions represent tax positions for which reserves have been established. 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Basic net income per common share is computed by dividing the net income by the weighted average number of shares of common stock outstanding for the period. Diluted net income per common share is computed by dividing net income by the weighted average number of common shares outstanding for the period, including potential dilutive common shares assuming the dilutive effect of outstanding stock options and unvested restricted stock units.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1" w:name="page92"/>
    <w:bookmarkEnd w:id="91"/>
    <w:p>
      <w:pPr>
        <w:ind w:right="60"/>
        <w:spacing w:after="0" w:line="277" w:lineRule="auto"/>
        <w:rPr>
          <w:sz w:val="20"/>
          <w:szCs w:val="20"/>
          <w:color w:val="auto"/>
        </w:rPr>
      </w:pPr>
      <w:r>
        <w:rPr>
          <w:rFonts w:ascii="Arial" w:cs="Arial" w:eastAsia="Arial" w:hAnsi="Arial"/>
          <w:sz w:val="18"/>
          <w:szCs w:val="18"/>
          <w:color w:val="auto"/>
        </w:rPr>
        <w:t>Market-based awards are included in diluted net income per common share to the extent they would have vested if the period end date was the market criteria measurement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jc w:val="both"/>
        <w:ind w:right="480"/>
        <w:spacing w:after="0" w:line="311" w:lineRule="auto"/>
        <w:rPr>
          <w:sz w:val="20"/>
          <w:szCs w:val="20"/>
          <w:color w:val="auto"/>
        </w:rPr>
      </w:pPr>
      <w:r>
        <w:rPr>
          <w:rFonts w:ascii="Arial" w:cs="Arial" w:eastAsia="Arial" w:hAnsi="Arial"/>
          <w:sz w:val="16"/>
          <w:szCs w:val="16"/>
          <w:color w:val="auto"/>
        </w:rPr>
        <w:t>The Company manages its operations as a single segment for the purposes of assessing performance and making operating decisions. The Company is a biotechnology company focused on discovering and developing small molecule drugs for the treatment of viral infections and liver diseases. Revenue is generated exclusively from transactions occurring with partners located in the United States and all assets are held in the United States.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Comprehensive income includes net income as well as other changes in stockholders’ equity that result from transactions and economic events other than those with stockholders. The Company’s only element of other comprehensive income is unrealized gains and losses on available-for-sale marketable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In August 2014, the Financial Accounting Standards Board (the “FASB”) issued ASU 2014-15,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205-40) </w:t>
      </w:r>
      <w:r>
        <w:rPr>
          <w:rFonts w:ascii="Arial" w:cs="Arial" w:eastAsia="Arial" w:hAnsi="Arial"/>
          <w:sz w:val="17"/>
          <w:szCs w:val="17"/>
          <w:color w:val="auto"/>
        </w:rPr>
        <w:t>(“ASU 2014-15”). The Company adopted this standard as of September 30, 2017. The standard requires the Company to assess its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continue as a going concern one year beyond the date of filing and, in certain circumstances, provide additional footnote disclosures. Based on a detailed cash forecast incorporating current research and development activities and related spending plans, the Company believes that current cash, cash equivalents and marketable securities on hand at September 30, 2017 should be sufficient to fund operations for the foreseeable future, including at least the next twelve months beyond the date of issuance of these financial statements. The amount of capital available will depend on the Company’s management of its existing cash, cash equivalents and marketable securities, as well as the level of future royalties the Company earns under its collaboration with AbbVie. If the Company should require financing beyond these resources to fund its research and development efforts, it may not be able to obtain financing on acceptable terms, or at all.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which intends to simplify several aspects of accounting for share-based payment transactions, including the income tax consequences, classification of awards as either equity or liabilities, a choice to recognize gross stock compensation expense with actual forfeitures recognized as they occur, as well as certain classifications on the statement of cash flows. This amendment will be effective for the Company in the fiscal year beginning October 1, 2017. The Company expects to change its forfeiture rate policy on a prospective basis by recording forfeitures as they occur. Upon adoption, the cumulative impact of this policy change to retained earnings will not be material to the consolidated balance sheet. Once adopted, the consolidated statements of cash flows will present any excess tax benefits as a cash flow from operating activities. The Company has elected to adopt this change on a prospective basis. The adoption of the standard is also expected to create variability in the consolidated statements of operations on a prospective basis as the tax consequences of settled share-based payments will be recognized in income tax expense when share-based payment awards are settled.</w:t>
      </w:r>
    </w:p>
    <w:p>
      <w:pPr>
        <w:spacing w:after="0" w:line="1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Arial" w:cs="Arial" w:eastAsia="Arial" w:hAnsi="Arial"/>
          <w:sz w:val="17"/>
          <w:szCs w:val="17"/>
          <w:i w:val="1"/>
          <w:iCs w:val="1"/>
          <w:color w:val="auto"/>
        </w:rPr>
        <w:t>, Revenue from Contract with Customers: Principal versus Agent Considerations</w:t>
      </w:r>
      <w:r>
        <w:rPr>
          <w:rFonts w:ascii="Arial" w:cs="Arial" w:eastAsia="Arial" w:hAnsi="Arial"/>
          <w:sz w:val="17"/>
          <w:szCs w:val="17"/>
          <w:color w:val="auto"/>
        </w:rPr>
        <w:t xml:space="preserve">, ASU 2016-10,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Identifying Performance Obligations and Licensing</w:t>
      </w:r>
      <w:r>
        <w:rPr>
          <w:rFonts w:ascii="Arial" w:cs="Arial" w:eastAsia="Arial" w:hAnsi="Arial"/>
          <w:sz w:val="17"/>
          <w:szCs w:val="17"/>
          <w:color w:val="auto"/>
        </w:rPr>
        <w:t>, and ASU 2016-12,</w:t>
      </w:r>
      <w:r>
        <w:rPr>
          <w:rFonts w:ascii="Arial" w:cs="Arial" w:eastAsia="Arial" w:hAnsi="Arial"/>
          <w:sz w:val="17"/>
          <w:szCs w:val="17"/>
          <w:i w:val="1"/>
          <w:iCs w:val="1"/>
          <w:color w:val="auto"/>
        </w:rPr>
        <w:t xml:space="preserve"> Revenue from Contracts with Customers: Narrow-Scope Improvements and Practical Expedients. </w:t>
      </w:r>
      <w:r>
        <w:rPr>
          <w:rFonts w:ascii="Arial" w:cs="Arial" w:eastAsia="Arial" w:hAnsi="Arial"/>
          <w:sz w:val="17"/>
          <w:szCs w:val="17"/>
          <w:color w:val="auto"/>
        </w:rPr>
        <w:t>These amendments address a number of areas, including 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2" w:name="page93"/>
    <w:bookmarkEnd w:id="92"/>
    <w:p>
      <w:pPr>
        <w:ind w:right="60"/>
        <w:spacing w:after="0" w:line="288" w:lineRule="auto"/>
        <w:rPr>
          <w:sz w:val="20"/>
          <w:szCs w:val="20"/>
          <w:color w:val="auto"/>
        </w:rPr>
      </w:pPr>
      <w:r>
        <w:rPr>
          <w:rFonts w:ascii="Arial" w:cs="Arial" w:eastAsia="Arial" w:hAnsi="Arial"/>
          <w:sz w:val="16"/>
          <w:szCs w:val="16"/>
          <w:color w:val="auto"/>
        </w:rPr>
        <w:t>entity’s identification of its performance obligations in a contract, collectibility, non-cash consideration, presentation of sales tax and an entity’s evaluation of the nature of its promise to grant a license of intellectual property and whether or not that revenue is recognized over time or at a point in time. The new guidance must be adopted using either a modified retrospective approach or a full retrospective approach for all periods presented. Under the modified retrospective method, the cumulative effect of applying the new standard would be recognized at the adoption date in retained earnings on the consolidated balance sheet. Under the full retrospective approach, the new standard would be applied to each prior reporting period presented. These new standards will be effective for the Company beginning October 1, 2018. Currently, the Company has only one revenue-generating contract – the AbbVie Agreement. The Company has completed its substantial performance obligations under the contract and is eligible to earn annually tiered per-product royalties on the portion of AbbVie’s net sales of HCV regimens allocable to the protease inhibitor in the regimen. The Company is in process of determining the method of adoption but under either method, the impact of adoption is not expected to have a material impact on the Company’s consolidated financial statements as it only has one revenue-generating arrangement outstanding to date in which all performance obligations have been achieved.</w:t>
      </w:r>
    </w:p>
    <w:p>
      <w:pPr>
        <w:spacing w:after="0" w:line="16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the Company in the fiscal year beginning October 1, 2018, but early adoption is permissible. The Company is currently evaluating the potential impact that ASU 2016-18 may have on its statement of cash flows.</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requires companies to amend the amortization period for premiums on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explicit call features to be the earliest call date rather than through the contractual life of the debt instrument. This amendment aims to more closely align the recognition of interest income with the manner in which market participants price such instruments. This amendment is effective for the Company in the fiscal year beginning October 1, 2019, but early adoption is permissible. The Company is currently evaluating the potential impact that ASU 2017-08 may have on its financial position and results of operations.</w:t>
      </w:r>
    </w:p>
    <w:p>
      <w:pPr>
        <w:spacing w:after="0" w:line="1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(“ASU 2017-09”) which provides updated guidance about changes to the terms or conditions of a share-based payment award that require companies to apply modification accounting under Topic 718. This amendment is effective for the Company in the fiscal year beginning October 1, 2018, but early adoption is permissible. The Company is currently evaluating the potential impact that ASU 2017-09 may have on its financial position and results of operations.</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3" w:name="page94"/>
    <w:bookmarkEnd w:id="93"/>
    <w:p>
      <w:pPr>
        <w:ind w:right="16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The following tables present information about the Company’s financial assets and liabilities that were subject to fair value measurement on a recurring basis as of September 30, 2017 and 2016 and indicate the fair value hierarchy of the valuation inputs utilized to determine such fair value:</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9"/>
          </w:tcPr>
          <w:p>
            <w:pPr>
              <w:jc w:val="center"/>
              <w:ind w:left="413"/>
              <w:spacing w:after="0"/>
              <w:rPr>
                <w:sz w:val="20"/>
                <w:szCs w:val="20"/>
                <w:color w:val="auto"/>
              </w:rPr>
            </w:pPr>
            <w:r>
              <w:rPr>
                <w:rFonts w:ascii="Arial" w:cs="Arial" w:eastAsia="Arial" w:hAnsi="Arial"/>
                <w:sz w:val="14"/>
                <w:szCs w:val="14"/>
                <w:b w:val="1"/>
                <w:bCs w:val="1"/>
                <w:color w:val="auto"/>
                <w:w w:val="92"/>
              </w:rPr>
              <w:t>Fair Value Measurements at September 30, 2017 Using:</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4"/>
          </w:tcPr>
          <w:p>
            <w:pPr>
              <w:jc w:val="center"/>
              <w:ind w:right="132"/>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Cash equivalents: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19,863</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bonds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notes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150,731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U.S. Agency bonds</w:t>
            </w:r>
          </w:p>
        </w:tc>
        <w:tc>
          <w:tcPr>
            <w:tcW w:w="1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80,706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199,945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280,651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1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9"/>
          </w:tcPr>
          <w:p>
            <w:pPr>
              <w:jc w:val="center"/>
              <w:ind w:left="413"/>
              <w:spacing w:after="0"/>
              <w:rPr>
                <w:sz w:val="20"/>
                <w:szCs w:val="20"/>
                <w:color w:val="auto"/>
              </w:rPr>
            </w:pPr>
            <w:r>
              <w:rPr>
                <w:rFonts w:ascii="Arial" w:cs="Arial" w:eastAsia="Arial" w:hAnsi="Arial"/>
                <w:sz w:val="14"/>
                <w:szCs w:val="14"/>
                <w:b w:val="1"/>
                <w:bCs w:val="1"/>
                <w:color w:val="auto"/>
                <w:w w:val="92"/>
              </w:rPr>
              <w:t>Fair Value Measurements at September 30, 2016 Using:</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4"/>
          </w:tcPr>
          <w:p>
            <w:pPr>
              <w:jc w:val="center"/>
              <w:ind w:right="132"/>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Cash equivalents: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15,295</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notes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69,608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U.S. Agency bonds</w:t>
            </w:r>
          </w:p>
        </w:tc>
        <w:tc>
          <w:tcPr>
            <w:tcW w:w="1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84,903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156,018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1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equivalents at September 30, 2017 and 2016 consist of money market funds, corporate bonds and commercial paper which are readily convertible to cash and with less than 90 days until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September 30, 2017, 2016, and 2015, there were no transfers between Level 1, Level 2 and Level 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94" w:name="page95"/>
    <w:bookmarkEnd w:id="94"/>
    <w:p>
      <w:pPr>
        <w:ind w:right="220"/>
        <w:spacing w:after="0" w:line="273" w:lineRule="auto"/>
        <w:rPr>
          <w:sz w:val="20"/>
          <w:szCs w:val="20"/>
          <w:color w:val="auto"/>
        </w:rPr>
      </w:pPr>
      <w:r>
        <w:rPr>
          <w:rFonts w:ascii="Arial" w:cs="Arial" w:eastAsia="Arial" w:hAnsi="Arial"/>
          <w:sz w:val="17"/>
          <w:szCs w:val="17"/>
          <w:color w:val="auto"/>
        </w:rPr>
        <w:t>As of September 30, 2017 and 2016, the warrant liability was comprised of the value of the warrants for the purchase of Series 1 nonconvertible preferred stock measured at fair value. As of September 30, 2017 and 2016, the outstanding Series 1 nonconvertible preferred stock was also measured at fair value. The fair values of these instruments were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values of the warrant liability and Series 1 nonconvertible preferred stock are recognized in other income (expense), net, in the consolidated statements of operations.</w:t>
      </w:r>
    </w:p>
    <w:p>
      <w:pPr>
        <w:spacing w:after="0" w:line="1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recurring Level 3 fair value measurements of the Company’s warrant liability and Series 1 nonconvertible preferred stock using probability-weighted discounted cash flow include the following significant unobservable inputs:</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4"/>
          </w:tcPr>
          <w:p>
            <w:pPr>
              <w:ind w:left="36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gridSpan w:val="2"/>
            <w:vMerge w:val="restart"/>
          </w:tcPr>
          <w:p>
            <w:pPr>
              <w:ind w:left="2060"/>
              <w:spacing w:after="0"/>
              <w:rPr>
                <w:sz w:val="20"/>
                <w:szCs w:val="20"/>
                <w:color w:val="auto"/>
              </w:rPr>
            </w:pPr>
            <w:r>
              <w:rPr>
                <w:rFonts w:ascii="Arial" w:cs="Arial" w:eastAsia="Arial" w:hAnsi="Arial"/>
                <w:sz w:val="14"/>
                <w:szCs w:val="14"/>
                <w:b w:val="1"/>
                <w:bCs w:val="1"/>
                <w:color w:val="auto"/>
              </w:rPr>
              <w:t>Unobservable Input</w:t>
            </w:r>
          </w:p>
        </w:tc>
        <w:tc>
          <w:tcPr>
            <w:tcW w:w="2460" w:type="dxa"/>
            <w:vAlign w:val="bottom"/>
            <w:gridSpan w:val="4"/>
          </w:tcPr>
          <w:p>
            <w:pPr>
              <w:ind w:lef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1100" w:type="dxa"/>
            <w:vAlign w:val="bottom"/>
            <w:tcBorders>
              <w:top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Probabilities of payout</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ind w:right="161"/>
              <w:spacing w:after="0"/>
              <w:rPr>
                <w:sz w:val="20"/>
                <w:szCs w:val="20"/>
                <w:color w:val="auto"/>
              </w:rPr>
            </w:pPr>
            <w:r>
              <w:rPr>
                <w:rFonts w:ascii="Arial" w:cs="Arial" w:eastAsia="Arial" w:hAnsi="Arial"/>
                <w:sz w:val="18"/>
                <w:szCs w:val="18"/>
                <w:color w:val="auto"/>
              </w:rPr>
              <w:t>0%-65%</w:t>
            </w:r>
          </w:p>
        </w:tc>
        <w:tc>
          <w:tcPr>
            <w:tcW w:w="180" w:type="dxa"/>
            <w:vAlign w:val="bottom"/>
          </w:tcPr>
          <w:p>
            <w:pPr>
              <w:spacing w:after="0"/>
              <w:rPr>
                <w:sz w:val="19"/>
                <w:szCs w:val="19"/>
                <w:color w:val="auto"/>
              </w:rPr>
            </w:pPr>
          </w:p>
        </w:tc>
        <w:tc>
          <w:tcPr>
            <w:tcW w:w="110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0%-60%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1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1</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Warrant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Nonconvertible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Liability</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400" w:type="dxa"/>
            <w:vAlign w:val="bottom"/>
            <w:shd w:val="clear" w:color="auto" w:fill="CFF0FC"/>
          </w:tcPr>
          <w:p>
            <w:pPr>
              <w:spacing w:after="0"/>
              <w:rPr>
                <w:sz w:val="19"/>
                <w:szCs w:val="19"/>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40"/>
              <w:spacing w:after="0"/>
              <w:rPr>
                <w:sz w:val="20"/>
                <w:szCs w:val="20"/>
                <w:color w:val="auto"/>
              </w:rPr>
            </w:pPr>
            <w:r>
              <w:rPr>
                <w:rFonts w:ascii="Arial" w:cs="Arial" w:eastAsia="Arial" w:hAnsi="Arial"/>
                <w:sz w:val="18"/>
                <w:szCs w:val="18"/>
                <w:color w:val="auto"/>
              </w:rPr>
              <w:t>Decrease in fair value</w:t>
            </w:r>
          </w:p>
        </w:tc>
        <w:tc>
          <w:tcPr>
            <w:tcW w:w="2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2015</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240"/>
              <w:spacing w:after="0"/>
              <w:rPr>
                <w:sz w:val="20"/>
                <w:szCs w:val="20"/>
                <w:color w:val="auto"/>
              </w:rPr>
            </w:pPr>
            <w:r>
              <w:rPr>
                <w:rFonts w:ascii="Arial" w:cs="Arial" w:eastAsia="Arial" w:hAnsi="Arial"/>
                <w:sz w:val="18"/>
                <w:szCs w:val="18"/>
                <w:color w:val="auto"/>
              </w:rPr>
              <w:t>Decrease in fair value</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2016</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240"/>
              <w:spacing w:after="0"/>
              <w:rPr>
                <w:sz w:val="20"/>
                <w:szCs w:val="20"/>
                <w:color w:val="auto"/>
              </w:rPr>
            </w:pPr>
            <w:r>
              <w:rPr>
                <w:rFonts w:ascii="Arial" w:cs="Arial" w:eastAsia="Arial" w:hAnsi="Arial"/>
                <w:sz w:val="18"/>
                <w:szCs w:val="18"/>
                <w:color w:val="auto"/>
              </w:rPr>
              <w:t>Warrants exercised</w:t>
            </w: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in fair value</w:t>
            </w: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September 30, 2017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and 2016, the fair value of available-for-sale marketable securities, by type of security,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September 30, 2017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55"/>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150,841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150,731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U.S. Treasury notes</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60,843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U.S. Agency bonds</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90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228,211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F-16</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5" w:name="page96"/>
    <w:bookmarkEnd w:id="95"/>
    <w:tbl>
      <w:tblPr>
        <w:tblLayout w:type="fixed"/>
        <w:tblInd w:w="11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September 30, 2016</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55"/>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76,077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U.S. Treasury notes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U.S. Agency bonds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bottom w:val="single" w:sz="8" w:color="CFF0FC"/>
            </w:tcBorders>
            <w:shd w:val="clear" w:color="auto" w:fill="CFF0FC"/>
          </w:tcPr>
          <w:p>
            <w:pPr>
              <w:spacing w:after="0"/>
              <w:rPr>
                <w:sz w:val="19"/>
                <w:szCs w:val="19"/>
                <w:color w:val="auto"/>
              </w:rPr>
            </w:pP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225,596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As of September 30, 2017 and 2016, marketable securities consisted of investments that mature within one year, with the exception of certain corporate bonds and U.S. Treasury notes, which have maturities between one and three years and an aggregate fair value of $70,038 and $32,119,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September 30, 2017 and 2016:</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5"/>
        </w:trPr>
        <w:tc>
          <w:tcPr>
            <w:tcW w:w="6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jc w:val="right"/>
              <w:ind w:right="7"/>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9,521</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7,440</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Purchased software</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Furniture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Computer equipment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tcPr>
          <w:p>
            <w:pPr>
              <w:spacing w:after="0"/>
              <w:rPr>
                <w:sz w:val="19"/>
                <w:szCs w:val="19"/>
                <w:color w:val="auto"/>
              </w:rPr>
            </w:pPr>
          </w:p>
        </w:tc>
      </w:tr>
      <w:tr>
        <w:trPr>
          <w:trHeight w:val="223"/>
        </w:trPr>
        <w:tc>
          <w:tcPr>
            <w:tcW w:w="6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15,103</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13,102</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(7,054)</w:t>
            </w: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(5,098)</w:t>
            </w:r>
          </w:p>
        </w:tc>
      </w:tr>
      <w:tr>
        <w:trPr>
          <w:trHeight w:val="223"/>
        </w:trPr>
        <w:tc>
          <w:tcPr>
            <w:tcW w:w="6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Depreciation and amortization expense for property and equipment, including assets acquired under capital leases, was $2,137, $1,661 and $639 for the years ended September 30, 2017, 2016, and 2015,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Other Current Liabilities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other current liabilities and other long-term liabilities consisted of the following as of September 30, 2017 and 2016:</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96" w:name="page97"/>
    <w:bookmarkEnd w:id="96"/>
    <w:tbl>
      <w:tblPr>
        <w:tblLayout w:type="fixed"/>
        <w:tblInd w:w="116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w:t>
            </w:r>
          </w:p>
        </w:tc>
        <w:tc>
          <w:tcPr>
            <w:tcW w:w="1260" w:type="dxa"/>
            <w:vAlign w:val="bottom"/>
          </w:tcPr>
          <w:p>
            <w:pPr>
              <w:spacing w:after="0"/>
              <w:rPr>
                <w:sz w:val="13"/>
                <w:szCs w:val="13"/>
                <w:color w:val="auto"/>
              </w:rPr>
            </w:pPr>
          </w:p>
        </w:tc>
        <w:tc>
          <w:tcPr>
            <w:tcW w:w="108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gridSpan w:val="4"/>
          </w:tcPr>
          <w:p>
            <w:pPr>
              <w:jc w:val="right"/>
              <w:ind w:right="107"/>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Accrued preclinical and clinical expenses</w:t>
            </w:r>
          </w:p>
        </w:tc>
        <w:tc>
          <w:tcPr>
            <w:tcW w:w="2340" w:type="dxa"/>
            <w:vAlign w:val="bottom"/>
            <w:gridSpan w:val="2"/>
            <w:shd w:val="clear" w:color="auto" w:fill="CFF0FC"/>
          </w:tcPr>
          <w:p>
            <w:pPr>
              <w:jc w:val="right"/>
              <w:ind w:right="896"/>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w:t>
            </w:r>
          </w:p>
        </w:tc>
        <w:tc>
          <w:tcPr>
            <w:tcW w:w="2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Accrued vendor manufacturing</w:t>
            </w: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w:t>
            </w: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1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7,970</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340" w:type="dxa"/>
            <w:vAlign w:val="bottom"/>
            <w:gridSpan w:val="2"/>
          </w:tcPr>
          <w:p>
            <w:pPr>
              <w:jc w:val="right"/>
              <w:ind w:right="896"/>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1,175</w:t>
            </w:r>
          </w:p>
        </w:tc>
        <w:tc>
          <w:tcPr>
            <w:tcW w:w="260" w:type="dxa"/>
            <w:vAlign w:val="bottom"/>
          </w:tcPr>
          <w:p>
            <w:pPr>
              <w:spacing w:after="0"/>
              <w:rPr>
                <w:sz w:val="19"/>
                <w:szCs w:val="19"/>
                <w:color w:val="auto"/>
              </w:rPr>
            </w:pPr>
          </w:p>
        </w:tc>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Accrued rent expense</w:t>
            </w: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12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9160" w:firstLine="8"/>
        <w:spacing w:after="0" w:line="424" w:lineRule="auto"/>
        <w:tabs>
          <w:tab w:leader="none" w:pos="18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AbbVie Collaboration</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November 27, 2006, the Company entered into a Collaborative Development and License Agreement (the “AbbVie Agreement”) with Abbott Laboratories to identify, develop and commercialize HCV NS3 and NS3/4A protease inhibitor compounds, including paritaprevir and glecaprevir. The agreement was assigned by Abbott to AbbVie Inc. on January 1, 2013 in connection with Abbott’s transfer of its research-based pharmaceuticals business to AbbVie.</w:t>
      </w:r>
    </w:p>
    <w:p>
      <w:pPr>
        <w:spacing w:after="0" w:line="18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Under the terms of the AbbVie Agreement, as amended, AbbVie paid the Company upfront license payments and FTE reimbursements to fund research activities. The Company is also eligible to receive milestone payments for the successful development by AbbVie of one or more HCV compounds, as well as annually tiered, per-product royalties on the portion of AbbVie’s net sales of its HCV treatment regimens allocated to the protease inhibitor product.</w:t>
      </w:r>
    </w:p>
    <w:p>
      <w:pPr>
        <w:spacing w:after="0" w:line="14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determined that the deliverables under the AbbVie Agreement included (i) the non-exclusive, royalty-free, worldwide research license and the exclusive, royalty-bearing development and commercialization license, (ii) the research services, and (iii) a commitment to participate on a steering committee, all of which were to be delivered over a three-year period. The Company concluded that the license did not have standalone value as it was dependent, in part, upon the Company’s continuing involvement in the HCV protease inhibitor research and its involvement in the joint steering committee. Additionally, the undelivered items, including the Company’s participation in the joint steering committee, which was considered participatory due to its decision making responsibilities, and the research services, did not have VSOE or VOE of fair value. Therefore, the license, the research services, and the joint steering committee participation were treated as a single unit of accounting. Accordingly, all amounts received were deferred, and revenue was recognized using the proportional performance model over the period during which the Company performed research services in connection with the AbbVie Agreement, as amended.</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Subsequent to the research and evaluation period, which ended in June 2011, all decisions related to the development, commercialization and marketing have been made by AbbVie. The Company has the right to continue to attend the joint steering committee meetings to monitor the development and marketing plans; however, the Company has no decision-making rights. As such, the joint steering committee commitment became protective in nature as of June 16, 2011.</w:t>
      </w:r>
    </w:p>
    <w:p>
      <w:pPr>
        <w:spacing w:after="0" w:line="1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years ended September 30, 2017, 2016, and 2015, the Company received $65,000, $30,000, and $125,000, respectively, in milestone payments under the AbbVie Agreement as a result of AbbVie’s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97" w:name="page98"/>
    <w:bookmarkEnd w:id="97"/>
    <w:p>
      <w:pPr>
        <w:spacing w:after="0" w:line="255" w:lineRule="auto"/>
        <w:rPr>
          <w:sz w:val="20"/>
          <w:szCs w:val="20"/>
          <w:color w:val="auto"/>
        </w:rPr>
      </w:pPr>
      <w:r>
        <w:rPr>
          <w:rFonts w:ascii="Arial" w:cs="Arial" w:eastAsia="Arial" w:hAnsi="Arial"/>
          <w:sz w:val="18"/>
          <w:szCs w:val="18"/>
          <w:color w:val="auto"/>
        </w:rPr>
        <w:t>commercialization regulatory approvals for regimens containing the collaboration’s first protease inhibitor. From commencement of the collaboration through September 30, 2017, the Company received a total of $500,000 under the AbbVie Agreement consisting of an upfront license payment, research funding, milestone payments, royalties and preferred stock financing. As of September 30, 2017, the Company is eligible to receive an additional milestone payment of $15,000 upon AbbVie’s achievement of commercialization regulatory approval in Japan for MAVIRET. Since the Company completed all its performance obligations under the AbbVie Agreement by the end of fiscal 2011, any milestone payments earned since then have been and will be recognized as revenue when the associated milestone is achieved by AbbVie.</w:t>
      </w:r>
    </w:p>
    <w:p>
      <w:pPr>
        <w:spacing w:after="0" w:line="19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receives annually tiered royalties on each protease product developed under the AbbVie Agreement, ranging from the low double digits up to twenty percent, or on a blended basis from the low double digits up to the high teens, based on the portion of AbbVie’s calendar year net sales of the corresponding HCV regimen that is allocated to the protease product contained in the regimen. The portion of a product that is determined to be a combination product, as is the case for both regimens containing paritaprevir or glecaprevir, the net sales of the combination product are adjusted on a country-by-country and product-by-product basis to reflect a good faith determination of the relative value of each pharmaceutically active ingredient, based on the estimated fair market value. Under the terms of the amended agreement, 50% of AbbVie’s net sales of regimens containing glecaprevir are allocated to glecaprevir net sales for purposes of calculating royalties, whereas only 30% of net sales of a 3-DAA regimen containing paritaprevir and 45% of net sales of a 2-DAA regimen containing paritaprevir are allocated to paritaprevir net sales.</w:t>
      </w:r>
    </w:p>
    <w:p>
      <w:pPr>
        <w:spacing w:after="0" w:line="1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Royalties owed to the Company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and (iii) where sales of a generic product are equal to at least a specified percentage of AbbVie’s market share of its product in a country.</w:t>
      </w:r>
    </w:p>
    <w:p>
      <w:pPr>
        <w:spacing w:after="0" w:line="19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AbbVie’s obligation to pay royalties on a product developed under the agreement expires on a country-by-country basis upon the later of (i) the date of expiration of the last of the licensed patents with a valid claim covering the product in the applicable country, or (ii) ten years after the first commercial sale of the product in the applicable country.</w:t>
      </w:r>
    </w:p>
    <w:p>
      <w:pPr>
        <w:spacing w:after="0" w:line="183"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Subject to certain exceptions,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have ended. Accordingly, the final expiration date of the agreement is currently indeterminable.</w:t>
      </w:r>
    </w:p>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If the Company terminates the agreement for cause or AbbVie terminates without cause, any licenses and other rights granted to AbbVie will terminate and AbbVie will be deemed to have granted the Company (i) a non-exclusive, perpetual, fully-paid, worldwide, royalty-free license, with the right to sublicense, under AbbVie’s intellectual property used in any product candidate, and (ii) an exclusive (even as to AbbVie), perpetual, fully-paid, worldwide, royalty-free license, with the right to sublicense, under AbbVie’s interest in any joint intellectual property rights to develop product candidates resulting from covered compounds and to commercialize any products derived from such compounds. Upon the Company’s request, AbbVie will also transfer to the Company all right, title and interest in any related product trademarks, regulatory filings and clinical trials.</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AbbVie terminates the agreement for the Company’s uncured breach, the milestone and royalty payments payable by AbbVie may be reduced, the licenses granted to AbbVie will remain in place, the Company will be deemed to have granted AbbVie an exclusive license under the Company’s interest in joint intellectual property, AbbVie will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continue to have the right to commercialize any covered products, and all rights and licenses granted to the Company by AbbVie will terminate.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NIAID Contract</w:t>
      </w:r>
    </w:p>
    <w:p>
      <w:pPr>
        <w:spacing w:after="0" w:line="121"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On September 30, 2011, the Company entered into a contract with the National Institute of Allergy and Infectious Diseases (“NIAID”), a division of the National Institutes of Health (“NIH”), providing development funding to the Company for the preclinical and clinical development of a bridged bicyclic antibiotic. The contract was completed in August 2015 upon the Company’s delivery of the study report for the Phase 1 clinical study.</w:t>
      </w:r>
    </w:p>
    <w:p>
      <w:pPr>
        <w:spacing w:after="0" w:line="16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recognized revenue under this contract as development services were performed in accordance with the funding agreement. During the years ended September 30, 2016 and 2015, the Company recognized revenue of $576 and $1,803, respectively, under this contract. The Company received aggregate payments of $20,637 under the NIAID contract from its commencement through January 31, 2016.</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4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 is authorized to issue 100,000 shares of common stock at a par value of $0.01. Each share of common stock entitles the holder to one vote on all matters submitted to a vote of the Company’s stockholders. Common stockholders are entitled to receive such dividends as may be declared by the board of directors, if any.</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previously had 209 shares of treasury stock outstanding, which were retired on September 30, 2015, resulting in a decrease in the same number of issued shares of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Series 1 Nonconvertible Preferred Stock and Warrants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Certificate of Incorporation authorizes the issuance of up to 2,000 shares of Series 1 nonconvertible preferred stock at a par value of $0.01 per share. Holders of Series 1 nonconvertible preferred stock are not entitled to receive dividends. In the event of any liquidation, deemed liquidation, dissolution or winding up of the Company, the Series 1 nonconvertible preferred stockholders are entitled to receive in preference to all other stockholders, an amount equal to $1.00 per share, adjusted for any stock dividends, stock splits or reclassifications. Series 1 nonconvertible preferred stockholders will not be entitled to vote unless required by the Company pursuant to the laws of the State of Delaware. The Company may redeem the Series 1 nonconvertible preferred stock with the approval of the holders of a majority of the outstanding shares of Series 1 nonconvertible preferred stock at a redemption price of $1.00 per share. The Company must redeem the stock within 60 days of such election. Shares that are redeemed will be retired or canceled and not reissued by the Company.</w:t>
      </w:r>
    </w:p>
    <w:p>
      <w:pPr>
        <w:spacing w:after="0" w:line="16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October and November 2010, a total of 2,000 warrants to purchase Series 1 nonconvertible preferred stock were issued. The warrants had an expiration date of October 4, 2017. As these warrants are free-standing financial instruments that may require the Company to transfer assets upon exercise, up to a maximum of $2,000, these warrants are classified as liabilities on the Company’s consolidated balance sheet.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following table summarizes the Company’s outstanding warrants:</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1</w:t>
            </w:r>
          </w:p>
        </w:tc>
        <w:tc>
          <w:tcPr>
            <w:tcW w:w="300" w:type="dxa"/>
            <w:vAlign w:val="bottom"/>
          </w:tcPr>
          <w:p>
            <w:pPr>
              <w:spacing w:after="0"/>
              <w:rPr>
                <w:sz w:val="14"/>
                <w:szCs w:val="14"/>
                <w:color w:val="auto"/>
              </w:rPr>
            </w:pPr>
          </w:p>
        </w:tc>
        <w:tc>
          <w:tcPr>
            <w:tcW w:w="1160" w:type="dxa"/>
            <w:vAlign w:val="bottom"/>
            <w:vMerge w:val="restart"/>
          </w:tcPr>
          <w:p>
            <w:pPr>
              <w:jc w:val="center"/>
              <w:ind w:right="25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Nonconvertible</w:t>
            </w: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Preferred</w:t>
            </w:r>
          </w:p>
        </w:tc>
        <w:tc>
          <w:tcPr>
            <w:tcW w:w="300" w:type="dxa"/>
            <w:vAlign w:val="bottom"/>
          </w:tcPr>
          <w:p>
            <w:pPr>
              <w:spacing w:after="0"/>
              <w:rPr>
                <w:sz w:val="12"/>
                <w:szCs w:val="12"/>
                <w:color w:val="auto"/>
              </w:rPr>
            </w:pPr>
          </w:p>
        </w:tc>
        <w:tc>
          <w:tcPr>
            <w:tcW w:w="11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Stock Warrants</w:t>
            </w:r>
          </w:p>
        </w:tc>
        <w:tc>
          <w:tcPr>
            <w:tcW w:w="300" w:type="dxa"/>
            <w:vAlign w:val="bottom"/>
          </w:tcPr>
          <w:p>
            <w:pPr>
              <w:spacing w:after="0"/>
              <w:rPr>
                <w:sz w:val="12"/>
                <w:szCs w:val="12"/>
                <w:color w:val="auto"/>
              </w:rPr>
            </w:pPr>
          </w:p>
        </w:tc>
        <w:tc>
          <w:tcPr>
            <w:tcW w:w="11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Exercisable</w:t>
            </w:r>
          </w:p>
        </w:tc>
        <w:tc>
          <w:tcPr>
            <w:tcW w:w="300" w:type="dxa"/>
            <w:vAlign w:val="bottom"/>
          </w:tcPr>
          <w:p>
            <w:pPr>
              <w:spacing w:after="0"/>
              <w:rPr>
                <w:sz w:val="14"/>
                <w:szCs w:val="14"/>
                <w:color w:val="auto"/>
              </w:rPr>
            </w:pPr>
          </w:p>
        </w:tc>
        <w:tc>
          <w:tcPr>
            <w:tcW w:w="116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290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2014</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1,775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29"/>
        </w:trPr>
        <w:tc>
          <w:tcPr>
            <w:tcW w:w="62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2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2015</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CFF0FC"/>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4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2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CFF0FC"/>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4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2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CFF0FC"/>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years ended September 30, 2017, 2016, and 2015, the remeasurement of the warrants and Series 1 nonconvertible preferred stock resulted in income (expense) recorded in the consolidated statements of operations of ($159), $29, and $347, respectively. As of September 30, 2017 and 2016, the total fair value of the Series 1 nonconvertible preferred stock was $762 and $159, respectively. As of September 30, 2017 and 2016, the total fair value of the Series 1 nonconvertible preferred stock warrants was $807 and $1,251, respectively.</w:t>
      </w:r>
    </w:p>
    <w:p>
      <w:pPr>
        <w:spacing w:after="0" w:line="186" w:lineRule="exact"/>
        <w:rPr>
          <w:sz w:val="20"/>
          <w:szCs w:val="20"/>
          <w:color w:val="auto"/>
        </w:rPr>
      </w:pPr>
    </w:p>
    <w:p>
      <w:pPr>
        <w:ind w:right="140"/>
        <w:spacing w:after="0" w:line="302" w:lineRule="auto"/>
        <w:rPr>
          <w:sz w:val="20"/>
          <w:szCs w:val="20"/>
          <w:color w:val="auto"/>
        </w:rPr>
      </w:pPr>
      <w:r>
        <w:rPr>
          <w:rFonts w:ascii="Arial" w:cs="Arial" w:eastAsia="Arial" w:hAnsi="Arial"/>
          <w:sz w:val="17"/>
          <w:szCs w:val="17"/>
          <w:color w:val="auto"/>
        </w:rPr>
        <w:t>Subsequent to September 30, 2017, warrants to purchase a total of 977 shares of Series 1 nonconvertible preferred stock were exercised prior to warrant expiration, resulting in the issuance of 970 shares of Series 1 nonconvertible preferred stock. On October 4, 2017, a total of 52 outstanding warrants expired unexercised. The liability associated with these expired warrants will be reversed, resulting in income in 2018.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Awards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2012 Equity Incentive Plan (the “2012 Plan”) permits the Company to sell or issue awards of common stock or restricted common stock or to grant awards of incentive stock options or nonqualified stock options for the purchase of common stock, restricted stock units, performance units, stock appreciation rights or other cash incentive awards, to employees, members of the board of directors and consultants of the Company. The number of shares of common stock that may be issued under the 2012 Plan is subject to increase by the number of shares forfeited under any options terminated and not exercised under the 2012 Plan or a predecessor plan, known as the 1995 Equity Incentive Plan, as well as by the number of shares added on the first day of each fiscal year, which is the lowest amount among the following: (i) 3% of the Company’s outstanding shares of common stock as of that date, (ii) 2,088 shares of common stock, or (iii) an amount determined by the Compensation Committee of the Board of Directors. On October 1, 2017, the number of shares of common stock that might be issued under the 2012 Plan was increased by 574 shares. As of September 30, 2017, 274 shares remained available for future award.</w:t>
      </w:r>
    </w:p>
    <w:p>
      <w:pPr>
        <w:spacing w:after="0" w:line="19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2012 Plan replaces and is the successor to the 1995 Equity Incentive Plan (the “1995 Plan”). The 1995 Plan provided for the Company to sell or issue awards of common stock or restricted common stock, or to grant awards of incentive stock options or nonqualified stock options for the purchase of common stock, to employees, members of the board of directors and consultants of the Company. Sales, issuances or grants of shares entitle the holder to purchase common stock from the Company, for a specified exercise price, during a period specified by the applicable equity award agreement. Upon the closing of the Company’s initial public offering, all remaining shares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reserved for issuance under the 1995 Plan were transferred to the 2012 Plan and no further awards were or will be made under the 1995 Plan.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the Company’s Employee Stock Purchase Plan (“ESPP”) a total of 186 shares of common stock are reserved for issuance. As of September 30, 2017, the Company had not commenced any offering under the ESPP and no plan shares have been issued.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applies the fair value recognition provisions for all stock-based awards granted or modified. In the case of service-based awards, the compensation cost is recorded over the requisite service period of the award on the straight-line method based on the grant-date fair value. The requisite service period for service-based option awards is generally four years. Options granted under the 2012 Plan to employees generally vest over four years and to non-employee directors over one year, and expire after ten years.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option-pricing model. The Company estimates expected volatility based on the historical volatility of publicly traded peer companies. The Company expects to continue to do so until such time as adequate historical data regarding the volatility of the Company’s traded stock price following our March 2013 IPO is available. The expected term of the Company’s options has been determined utilizing the “simplified” method for awards that qualify as “plain-vanilla” options. The Company expects to continue to utilize this method until such time as we have adequate historical data regarding our employee exercise patterns. The risk-free interest rate is determined by reference to the U.S. Treasury yield curve in effect at the time of grant of the award for time periods approximately equal to the expected term of the award. The expected dividend yield is zero on the fact that the Company has never paid cash dividends and does not expect to pay any cash dividends in the foreseeable future. The relevant data used to determine the value of the stock option awards are as follows, presented on a weighted average basis:</w:t>
      </w:r>
    </w:p>
    <w:p>
      <w:pPr>
        <w:spacing w:after="0" w:line="250"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Years Ended September 30,</w:t>
      </w:r>
    </w:p>
    <w:p>
      <w:pPr>
        <w:spacing w:after="0" w:line="10" w:lineRule="exact"/>
        <w:rPr>
          <w:sz w:val="20"/>
          <w:szCs w:val="20"/>
          <w:color w:val="auto"/>
        </w:rPr>
      </w:pPr>
    </w:p>
    <w:tbl>
      <w:tblPr>
        <w:tblLayout w:type="fixed"/>
        <w:tblInd w:w="1160" w:type="dxa"/>
        <w:tblCellMar>
          <w:top w:w="0" w:type="dxa"/>
          <w:left w:w="0" w:type="dxa"/>
          <w:bottom w:w="0" w:type="dxa"/>
          <w:right w:w="0" w:type="dxa"/>
        </w:tblCellMar>
      </w:tblPr>
      <w:tr>
        <w:trPr>
          <w:trHeight w:val="155"/>
        </w:trPr>
        <w:tc>
          <w:tcPr>
            <w:tcW w:w="522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1.97%</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1.77%</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6.05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9"/>
                <w:szCs w:val="19"/>
                <w:color w:val="auto"/>
              </w:rPr>
            </w:pPr>
          </w:p>
        </w:tc>
      </w:tr>
      <w:tr>
        <w:trPr>
          <w:trHeight w:val="229"/>
        </w:trPr>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Expected dividends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recognizes stock-based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its stock-based compensation expense in future periods. Beginning in fiscal 2018, the Company will no longer utilize a forfeiture rate estimate in calculating stock-based compensation expense and will recognize forfeitures as they occur.</w:t>
      </w:r>
    </w:p>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required by the 1995 Plan and the 2012 Plan, the exercise price for awards granted is not to be less than the fair value of common shares as estimated by the Company as of the date of grant.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The following table summarizes stock option activity, including aggregate intrinsic value for the year ended September 30, 2017:</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Under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30.93</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18.73</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37,821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 as of</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36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September 30, 2017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4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30.35</w:t>
            </w:r>
          </w:p>
        </w:tc>
        <w:tc>
          <w:tcPr>
            <w:tcW w:w="220" w:type="dxa"/>
            <w:vAlign w:val="bottom"/>
            <w:tcBorders>
              <w:bottom w:val="single" w:sz="8" w:color="CFF0FC"/>
            </w:tcBorders>
          </w:tcPr>
          <w:p>
            <w:pPr>
              <w:spacing w:after="0"/>
              <w:rPr>
                <w:sz w:val="23"/>
                <w:szCs w:val="23"/>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37,596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September 30, 2017</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28.52</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24,705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options and the fair value of the Company’s common stock. The following tables summarize additional exercise and grant date information:</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right="207"/>
              <w:spacing w:after="0"/>
              <w:rPr>
                <w:sz w:val="20"/>
                <w:szCs w:val="20"/>
                <w:color w:val="auto"/>
              </w:rPr>
            </w:pPr>
            <w:r>
              <w:rPr>
                <w:rFonts w:ascii="Arial" w:cs="Arial" w:eastAsia="Arial" w:hAnsi="Arial"/>
                <w:sz w:val="14"/>
                <w:szCs w:val="14"/>
                <w:b w:val="1"/>
                <w:bCs w:val="1"/>
                <w:color w:val="auto"/>
                <w:w w:val="91"/>
              </w:rPr>
              <w:t>Years Ended September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5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69"/>
        </w:trPr>
        <w:tc>
          <w:tcPr>
            <w:tcW w:w="5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Aggregate intrinsic value of stock options exercised</w:t>
            </w:r>
          </w:p>
        </w:tc>
        <w:tc>
          <w:tcPr>
            <w:tcW w:w="132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1,503</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w:t>
            </w:r>
          </w:p>
        </w:tc>
        <w:tc>
          <w:tcPr>
            <w:tcW w:w="5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4,827</w:t>
            </w:r>
          </w:p>
        </w:tc>
        <w:tc>
          <w:tcPr>
            <w:tcW w:w="10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132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1,079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1,026</w:t>
            </w: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r>
      <w:tr>
        <w:trPr>
          <w:trHeight w:val="458"/>
        </w:trPr>
        <w:tc>
          <w:tcPr>
            <w:tcW w:w="5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center"/>
              <w:ind w:right="207"/>
              <w:spacing w:after="0"/>
              <w:rPr>
                <w:sz w:val="20"/>
                <w:szCs w:val="20"/>
                <w:color w:val="auto"/>
              </w:rPr>
            </w:pPr>
            <w:r>
              <w:rPr>
                <w:rFonts w:ascii="Arial" w:cs="Arial" w:eastAsia="Arial" w:hAnsi="Arial"/>
                <w:sz w:val="14"/>
                <w:szCs w:val="14"/>
                <w:b w:val="1"/>
                <w:bCs w:val="1"/>
                <w:color w:val="auto"/>
                <w:w w:val="91"/>
              </w:rPr>
              <w:t>Years Ended September 30,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5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Weighted average grant date fair value of options granted (per share)</w:t>
            </w:r>
          </w:p>
        </w:tc>
        <w:tc>
          <w:tcPr>
            <w:tcW w:w="5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17.52</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Options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2013, the Company granted to certain executives 167 options that vest upon the achievement of certain performance-based targets. The aggregate grant date fair value of these options was $2,479. During the years ended September 30, 2017 and 2016, certain performance-based targets were achieved and the Company recorded stock-based compensation expense of $413 and $620, respectively, related to achievement of those targets. No stock-based compensation expense related to these options was recognized during the year ended September 30, 2015, as none of the performance-based targets was deemed to have become probable of being achieved in that period. The performance period for these options ended during the year ended September 30,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200% of the target number.</w:t>
      </w:r>
    </w:p>
    <w:p>
      <w:pPr>
        <w:spacing w:after="0" w:line="18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PSUs will vest and result in issuance, or settlement, of common shares for each recipient, based upon the recipient’s continued employment with the Company through the settlement date of the award and the Company’s achievement of specified research and development milestones. The requisite service period of the PSUs is generally 2 years.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2" w:name="page103"/>
    <w:bookmarkEnd w:id="102"/>
    <w:p>
      <w:pPr>
        <w:ind w:right="60"/>
        <w:spacing w:after="0" w:line="290" w:lineRule="auto"/>
        <w:rPr>
          <w:sz w:val="20"/>
          <w:szCs w:val="20"/>
          <w:color w:val="auto"/>
        </w:rPr>
      </w:pPr>
      <w:r>
        <w:rPr>
          <w:rFonts w:ascii="Arial" w:cs="Arial" w:eastAsia="Arial" w:hAnsi="Arial"/>
          <w:sz w:val="16"/>
          <w:szCs w:val="16"/>
          <w:color w:val="auto"/>
        </w:rPr>
        <w:t>The rTSRUs will vest and result in the issuance of common stock based upon the recipient’s continuing employment with the Company through the settlement date of the award and the relative ranking of the total stockholder return, or TSR, of the Company’s common stock in relation to the TSR of the component companies in the NASDAQ Biotech Index over a two-year period based on a comparison of average closing stock prices in specified periods noted in the award agreement. The number of market-based rTSRUs awarded represents the target number of shares of common stock that may be earned; however, the actual number of shares that may be earned ranges from 0% to 200% of the target number. The Company used a Monte Carlo simulation model to estimate the grant-date fair value of the rTSRUs. Assumptions and estimates utilized in the calculation of the fair value of the rTSRUs include the risk-free interest rate, dividend yield, expected volatility based on the historical volatility of publicly traded peer companies and the remaining performance period of the award. The table below sets forth the weighted average grant date fair value assumptions used to value the rTSRUs:</w:t>
      </w:r>
    </w:p>
    <w:p>
      <w:pPr>
        <w:spacing w:after="0" w:line="169"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4056380</wp:posOffset>
            </wp:positionH>
            <wp:positionV relativeFrom="paragraph">
              <wp:posOffset>57785</wp:posOffset>
            </wp:positionV>
            <wp:extent cx="23558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75" w:lineRule="exact"/>
        <w:rPr>
          <w:sz w:val="20"/>
          <w:szCs w:val="20"/>
          <w:color w:val="auto"/>
        </w:rPr>
      </w:pPr>
    </w:p>
    <w:p>
      <w:pPr>
        <w:ind w:left="6760"/>
        <w:spacing w:after="0"/>
        <w:tabs>
          <w:tab w:leader="none" w:pos="8080" w:val="left"/>
          <w:tab w:leader="none" w:pos="94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6350</wp:posOffset>
            </wp:positionV>
            <wp:extent cx="5790565"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5790565" cy="16256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p>
      <w:pPr>
        <w:spacing w:after="0" w:line="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Risk-free interest rate</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Dividend yield</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Expected volatility</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Remaining performance period (years)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330"/>
              <w:spacing w:after="0"/>
              <w:rPr>
                <w:sz w:val="20"/>
                <w:szCs w:val="20"/>
                <w:color w:val="auto"/>
              </w:rPr>
            </w:pPr>
            <w:r>
              <w:rPr>
                <w:rFonts w:ascii="Arial" w:cs="Arial" w:eastAsia="Arial" w:hAnsi="Arial"/>
                <w:sz w:val="18"/>
                <w:szCs w:val="18"/>
                <w:color w:val="auto"/>
                <w:w w:val="90"/>
              </w:rPr>
              <w:t>1.24%</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0.94%</w:t>
            </w:r>
          </w:p>
        </w:tc>
        <w:tc>
          <w:tcPr>
            <w:tcW w:w="90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43"/>
        </w:trPr>
        <w:tc>
          <w:tcPr>
            <w:tcW w:w="90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900" w:type="dxa"/>
            <w:vAlign w:val="bottom"/>
          </w:tcPr>
          <w:p>
            <w:pPr>
              <w:jc w:val="right"/>
              <w:ind w:right="330"/>
              <w:spacing w:after="0"/>
              <w:rPr>
                <w:sz w:val="20"/>
                <w:szCs w:val="20"/>
                <w:color w:val="auto"/>
              </w:rPr>
            </w:pPr>
            <w:r>
              <w:rPr>
                <w:rFonts w:ascii="Arial" w:cs="Arial" w:eastAsia="Arial" w:hAnsi="Arial"/>
                <w:sz w:val="18"/>
                <w:szCs w:val="18"/>
                <w:color w:val="auto"/>
              </w:rPr>
              <w:t>66%</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65%</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900" w:type="dxa"/>
            <w:vAlign w:val="bottom"/>
          </w:tcPr>
          <w:p>
            <w:pPr>
              <w:jc w:val="right"/>
              <w:ind w:right="490"/>
              <w:spacing w:after="0"/>
              <w:rPr>
                <w:sz w:val="20"/>
                <w:szCs w:val="20"/>
                <w:color w:val="auto"/>
              </w:rPr>
            </w:pPr>
            <w:r>
              <w:rPr>
                <w:rFonts w:ascii="Arial" w:cs="Arial" w:eastAsia="Arial" w:hAnsi="Arial"/>
                <w:sz w:val="18"/>
                <w:szCs w:val="18"/>
                <w:color w:val="auto"/>
                <w:w w:val="85"/>
              </w:rPr>
              <w:t>1.99</w:t>
            </w: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1.93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-307975</wp:posOffset>
            </wp:positionV>
            <wp:extent cx="579056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579056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00"/>
          </w:cols>
          <w:pgMar w:left="240" w:top="557" w:right="2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the year ended September 30, 2017 based on a target achievement of 100%:</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279"/>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rPr>
              <w:t>Grant</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7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8"/>
              </w:rPr>
              <w:t>PSUs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rPr>
              <w:t>Date Fair</w:t>
            </w: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rTSRUs</w:t>
            </w:r>
          </w:p>
        </w:tc>
        <w:tc>
          <w:tcPr>
            <w:tcW w:w="2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259"/>
              <w:spacing w:after="0"/>
              <w:rPr>
                <w:sz w:val="20"/>
                <w:szCs w:val="20"/>
                <w:color w:val="auto"/>
              </w:rPr>
            </w:pPr>
            <w:r>
              <w:rPr>
                <w:rFonts w:ascii="Arial" w:cs="Arial" w:eastAsia="Arial" w:hAnsi="Arial"/>
                <w:sz w:val="14"/>
                <w:szCs w:val="14"/>
                <w:b w:val="1"/>
                <w:bCs w:val="1"/>
                <w:color w:val="auto"/>
                <w:w w:val="92"/>
              </w:rPr>
              <w:t>Value - PSUs</w:t>
            </w:r>
          </w:p>
        </w:tc>
        <w:tc>
          <w:tcPr>
            <w:tcW w:w="1160" w:type="dxa"/>
            <w:vAlign w:val="bottom"/>
            <w:gridSpan w:val="2"/>
            <w:vMerge w:val="continue"/>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Value - rTSRUs</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(in thousands, except per share data)</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2016</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33.70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9"/>
              <w:spacing w:after="0"/>
              <w:rPr>
                <w:sz w:val="20"/>
                <w:szCs w:val="20"/>
                <w:color w:val="auto"/>
              </w:rPr>
            </w:pPr>
            <w:r>
              <w:rPr>
                <w:rFonts w:ascii="Arial" w:cs="Arial" w:eastAsia="Arial" w:hAnsi="Arial"/>
                <w:sz w:val="18"/>
                <w:szCs w:val="18"/>
                <w:color w:val="auto"/>
              </w:rPr>
              <w:t>35.89</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35.47</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Cancelled</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9"/>
              <w:spacing w:after="0"/>
              <w:rPr>
                <w:sz w:val="20"/>
                <w:szCs w:val="20"/>
                <w:color w:val="auto"/>
              </w:rPr>
            </w:pPr>
            <w:r>
              <w:rPr>
                <w:rFonts w:ascii="Arial" w:cs="Arial" w:eastAsia="Arial" w:hAnsi="Arial"/>
                <w:sz w:val="18"/>
                <w:szCs w:val="18"/>
                <w:color w:val="auto"/>
              </w:rPr>
              <w:t>35.47</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2017</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FF0FC"/>
              <w:bottom w:val="single" w:sz="8" w:color="CFF0FC"/>
            </w:tcBorders>
            <w:shd w:val="clear" w:color="auto" w:fill="CFF0FC"/>
          </w:tcPr>
          <w:p>
            <w:pPr>
              <w:jc w:val="right"/>
              <w:ind w:right="159"/>
              <w:spacing w:after="0"/>
              <w:rPr>
                <w:sz w:val="20"/>
                <w:szCs w:val="20"/>
                <w:color w:val="auto"/>
              </w:rPr>
            </w:pPr>
            <w:r>
              <w:rPr>
                <w:rFonts w:ascii="Arial" w:cs="Arial" w:eastAsia="Arial" w:hAnsi="Arial"/>
                <w:sz w:val="18"/>
                <w:szCs w:val="18"/>
                <w:color w:val="auto"/>
              </w:rPr>
              <w:t>34.51</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PSUs that vested in fiscal 2017 relate to awards that achieved certain research and development milestones for which the Company recognized stock-based compensation expense during the year ended September 30,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weighted average grant date fair value of these awards granted:</w:t>
      </w:r>
    </w:p>
    <w:p>
      <w:pPr>
        <w:spacing w:after="0" w:line="9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87"/>
              <w:spacing w:after="0"/>
              <w:rPr>
                <w:sz w:val="20"/>
                <w:szCs w:val="20"/>
                <w:color w:val="auto"/>
              </w:rPr>
            </w:pPr>
            <w:r>
              <w:rPr>
                <w:rFonts w:ascii="Arial" w:cs="Arial" w:eastAsia="Arial" w:hAnsi="Arial"/>
                <w:sz w:val="14"/>
                <w:szCs w:val="14"/>
                <w:b w:val="1"/>
                <w:bCs w:val="1"/>
                <w:color w:val="auto"/>
              </w:rPr>
              <w:t>Years Ended 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1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of PSUs granted (per unit)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w:t>
            </w:r>
          </w:p>
        </w:tc>
        <w:tc>
          <w:tcPr>
            <w:tcW w:w="8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w w:val="94"/>
              </w:rPr>
              <w:t>Weighted average grant date fair value of rTSRUs granted (per unit)</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46.11</w:t>
            </w:r>
          </w:p>
        </w:tc>
        <w:tc>
          <w:tcPr>
            <w:tcW w:w="20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35.70</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26.51</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2016, the Company awarded restricted stock units to its employees, of which 50% vests in three years and 50% vests in four years, provided the employee remains employed with the Company at the time of vesting. The fair value of these awards was determined based on the intrinsic value of the stock on the date of grant and is recognized as stock-based compensation expense, net of estimated forfeitures, over the requisite service period. The following table summarizes the restricted stock unit activity for the year to date period ending September 30,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type w:val="continuous"/>
        </w:sectPr>
      </w:pPr>
    </w:p>
    <w:bookmarkStart w:id="103" w:name="page104"/>
    <w:bookmarkEnd w:id="103"/>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Restricted Stock</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p>
        </w:tc>
        <w:tc>
          <w:tcPr>
            <w:tcW w:w="2500" w:type="dxa"/>
            <w:vAlign w:val="bottom"/>
            <w:gridSpan w:val="5"/>
          </w:tcPr>
          <w:p>
            <w:pPr>
              <w:ind w:left="80"/>
              <w:spacing w:after="0"/>
              <w:rPr>
                <w:sz w:val="20"/>
                <w:szCs w:val="20"/>
                <w:color w:val="auto"/>
              </w:rPr>
            </w:pPr>
            <w:r>
              <w:rPr>
                <w:rFonts w:ascii="Arial" w:cs="Arial" w:eastAsia="Arial" w:hAnsi="Arial"/>
                <w:sz w:val="14"/>
                <w:szCs w:val="14"/>
                <w:b w:val="1"/>
                <w:bCs w:val="1"/>
                <w:color w:val="auto"/>
                <w:w w:val="96"/>
              </w:rPr>
              <w:t>(in thousands, except per share data)</w:t>
            </w: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2016</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2017</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the following stock-based compensation expense for the years ended September 30, 2017, 2016, and 2015:</w:t>
      </w:r>
    </w:p>
    <w:p>
      <w:pPr>
        <w:spacing w:after="0" w:line="311"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center"/>
              <w:ind w:left="496"/>
              <w:spacing w:after="0"/>
              <w:rPr>
                <w:sz w:val="20"/>
                <w:szCs w:val="20"/>
                <w:color w:val="auto"/>
              </w:rPr>
            </w:pPr>
            <w:r>
              <w:rPr>
                <w:rFonts w:ascii="Arial" w:cs="Arial" w:eastAsia="Arial" w:hAnsi="Arial"/>
                <w:sz w:val="14"/>
                <w:szCs w:val="14"/>
                <w:b w:val="1"/>
                <w:bCs w:val="1"/>
                <w:color w:val="auto"/>
                <w:w w:val="91"/>
              </w:rPr>
              <w:t>Years Ended 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222"/>
        </w:trPr>
        <w:tc>
          <w:tcPr>
            <w:tcW w:w="3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4,078</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2,882</w:t>
            </w:r>
          </w:p>
        </w:tc>
        <w:tc>
          <w:tcPr>
            <w:tcW w:w="200" w:type="dxa"/>
            <w:vAlign w:val="bottom"/>
          </w:tcPr>
          <w:p>
            <w:pPr>
              <w:spacing w:after="0"/>
              <w:rPr>
                <w:sz w:val="20"/>
                <w:szCs w:val="20"/>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1,644</w:t>
            </w:r>
          </w:p>
        </w:tc>
        <w:tc>
          <w:tcPr>
            <w:tcW w:w="80" w:type="dxa"/>
            <w:vAlign w:val="bottom"/>
          </w:tcPr>
          <w:p>
            <w:pPr>
              <w:spacing w:after="0"/>
              <w:rPr>
                <w:sz w:val="20"/>
                <w:szCs w:val="20"/>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8,993</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w:t>
            </w:r>
          </w:p>
        </w:tc>
        <w:tc>
          <w:tcPr>
            <w:tcW w:w="80" w:type="dxa"/>
            <w:vAlign w:val="bottom"/>
            <w:shd w:val="clear" w:color="auto" w:fill="CFF0FC"/>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8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center"/>
              <w:ind w:left="496"/>
              <w:spacing w:after="0"/>
              <w:rPr>
                <w:sz w:val="20"/>
                <w:szCs w:val="20"/>
                <w:color w:val="auto"/>
              </w:rPr>
            </w:pPr>
            <w:r>
              <w:rPr>
                <w:rFonts w:ascii="Arial" w:cs="Arial" w:eastAsia="Arial" w:hAnsi="Arial"/>
                <w:sz w:val="14"/>
                <w:szCs w:val="14"/>
                <w:b w:val="1"/>
                <w:bCs w:val="1"/>
                <w:color w:val="auto"/>
                <w:w w:val="91"/>
              </w:rPr>
              <w:t>Years Ended September 30,</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169"/>
        </w:trPr>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9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8,661</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8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PSUs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6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2017, the Company had an aggregate of $24,613 of unrecognized stock-based compensation cost, which is expected to be recognized over a weighted average period of 2.2 years.</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549" w:right="5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11.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common share was calculated as follows for the years ended September 30, 2017, 2016, and 2015:</w:t>
      </w:r>
    </w:p>
    <w:p>
      <w:pPr>
        <w:spacing w:after="0" w:line="311"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Years Ended September 30,</w:t>
            </w: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2"/>
              <w:spacing w:after="0" w:line="155"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80" w:type="dxa"/>
            <w:vAlign w:val="bottom"/>
            <w:gridSpan w:val="6"/>
          </w:tcPr>
          <w:p>
            <w:pPr>
              <w:jc w:val="center"/>
              <w:ind w:left="473"/>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per share:</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17,710</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w w:val="96"/>
              </w:rPr>
              <w:t>Weighted average common shares outstanding — basic</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240"/>
              <w:spacing w:after="0"/>
              <w:rPr>
                <w:sz w:val="20"/>
                <w:szCs w:val="20"/>
                <w:color w:val="auto"/>
              </w:rPr>
            </w:pPr>
            <w:r>
              <w:rPr>
                <w:rFonts w:ascii="Arial" w:cs="Arial" w:eastAsia="Arial" w:hAnsi="Arial"/>
                <w:sz w:val="18"/>
                <w:szCs w:val="18"/>
                <w:color w:val="auto"/>
              </w:rPr>
              <w:t>Net income per share common share — basic</w:t>
            </w:r>
          </w:p>
        </w:tc>
        <w:tc>
          <w:tcPr>
            <w:tcW w:w="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per share:</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17,710</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6"/>
              </w:rPr>
              <w:t>Weighted average common shares outstanding — basic</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Dilutive effect of common stock equivalents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w w:val="94"/>
              </w:rPr>
              <w:t>Weighted average common shares outstanding — diluted</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19,407</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240"/>
              <w:spacing w:after="0"/>
              <w:rPr>
                <w:sz w:val="20"/>
                <w:szCs w:val="20"/>
                <w:color w:val="auto"/>
              </w:rPr>
            </w:pPr>
            <w:r>
              <w:rPr>
                <w:rFonts w:ascii="Arial" w:cs="Arial" w:eastAsia="Arial" w:hAnsi="Arial"/>
                <w:sz w:val="18"/>
                <w:szCs w:val="18"/>
                <w:color w:val="auto"/>
              </w:rPr>
              <w:t>Net income per share common share — diluted</w:t>
            </w:r>
          </w:p>
        </w:tc>
        <w:tc>
          <w:tcPr>
            <w:tcW w:w="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2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Anti-dilutive common stock equivalents excluded from above</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impact of certain common stock equivalents were excluded from the computation of diluted net income per common share attributable to common stockholders for the years ended September 30, 2017, 2016, and 2015, because those options had an anti-dilutive impact due to the assumed proceeds per share using the treasury stock method being greater than the average fair value of the Company’s common shares for those periods.</w:t>
      </w:r>
    </w:p>
    <w:p>
      <w:pPr>
        <w:spacing w:after="0" w:line="1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September 30, 2017, 2016, and 2015, the Company excluded unvested performance stock awards from the calculation of diluted net income per common share as these awards contain performance conditions that would not have been achieved as of the end of each reporting period had the measurement period ended as of that date.</w:t>
      </w:r>
    </w:p>
    <w:p>
      <w:pPr>
        <w:spacing w:after="0" w:line="287" w:lineRule="exact"/>
        <w:rPr>
          <w:sz w:val="20"/>
          <w:szCs w:val="20"/>
          <w:color w:val="auto"/>
        </w:rPr>
      </w:pPr>
    </w:p>
    <w:p>
      <w:pPr>
        <w:ind w:right="8600" w:firstLine="8"/>
        <w:spacing w:after="0" w:line="377" w:lineRule="auto"/>
        <w:tabs>
          <w:tab w:leader="none" w:pos="27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 had an office and laboratory lease that was effective from fiscal 2011 to 2018. During the year ended September 30, 2015, the Company amended the lease to expand the rented space and extend the lease term through September 2022. Payment escalations specified in the lease agreement, as amended, are accrued such that rent expense is recognized on a straight-line basis over the term of occupancy. For the years ended September 30, 2017, 2016, and 2015, the Company recognized rent expense of $2,025, $2,025, and $1,326, respectively, in the consolidated statements of operations.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Future minimum lease payments as of September 30, 2017 are as follows:</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September 30,</w:t>
            </w:r>
          </w:p>
        </w:tc>
        <w:tc>
          <w:tcPr>
            <w:tcW w:w="2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Operating</w:t>
            </w:r>
          </w:p>
        </w:tc>
        <w:tc>
          <w:tcPr>
            <w:tcW w:w="36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65"/>
        </w:trPr>
        <w:tc>
          <w:tcPr>
            <w:tcW w:w="6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84"/>
              </w:rPr>
              <w:t>Leases</w:t>
            </w:r>
          </w:p>
        </w:tc>
        <w:tc>
          <w:tcPr>
            <w:tcW w:w="360" w:type="dxa"/>
            <w:vAlign w:val="bottom"/>
          </w:tcPr>
          <w:p>
            <w:pPr>
              <w:spacing w:after="0"/>
              <w:rPr>
                <w:sz w:val="14"/>
                <w:szCs w:val="14"/>
                <w:color w:val="auto"/>
              </w:rPr>
            </w:pPr>
          </w:p>
        </w:tc>
        <w:tc>
          <w:tcPr>
            <w:tcW w:w="102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62"/>
        </w:trPr>
        <w:tc>
          <w:tcPr>
            <w:tcW w:w="1680" w:type="dxa"/>
            <w:vAlign w:val="bottom"/>
            <w:tcBorders>
              <w:top w:val="single" w:sz="8" w:color="auto"/>
            </w:tcBorders>
          </w:tcPr>
          <w:p>
            <w:pPr>
              <w:spacing w:after="0"/>
              <w:rPr>
                <w:sz w:val="14"/>
                <w:szCs w:val="14"/>
                <w:color w:val="auto"/>
              </w:rPr>
            </w:pPr>
          </w:p>
        </w:tc>
        <w:tc>
          <w:tcPr>
            <w:tcW w:w="45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2018</w:t>
            </w:r>
          </w:p>
        </w:tc>
        <w:tc>
          <w:tcPr>
            <w:tcW w:w="45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ind w:left="240"/>
              <w:spacing w:after="0"/>
              <w:rPr>
                <w:sz w:val="20"/>
                <w:szCs w:val="20"/>
                <w:color w:val="auto"/>
              </w:rPr>
            </w:pPr>
            <w:r>
              <w:rPr>
                <w:rFonts w:ascii="Arial" w:cs="Arial" w:eastAsia="Arial" w:hAnsi="Arial"/>
                <w:sz w:val="18"/>
                <w:szCs w:val="18"/>
                <w:color w:val="auto"/>
              </w:rPr>
              <w:t>2019</w:t>
            </w:r>
          </w:p>
        </w:tc>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2020</w:t>
            </w:r>
          </w:p>
        </w:tc>
        <w:tc>
          <w:tcPr>
            <w:tcW w:w="4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ind w:left="240"/>
              <w:spacing w:after="0"/>
              <w:rPr>
                <w:sz w:val="20"/>
                <w:szCs w:val="20"/>
                <w:color w:val="auto"/>
              </w:rPr>
            </w:pPr>
            <w:r>
              <w:rPr>
                <w:rFonts w:ascii="Arial" w:cs="Arial" w:eastAsia="Arial" w:hAnsi="Arial"/>
                <w:sz w:val="18"/>
                <w:szCs w:val="18"/>
                <w:color w:val="auto"/>
              </w:rPr>
              <w:t>2021</w:t>
            </w:r>
          </w:p>
        </w:tc>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4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In connection with the current lease, the Company has an outstanding letter of credit in the amount of $608 as of September 30, 2017 and 2016, collateralized by a money market account. As of September 30, 2017 and 2016, the Company classified the money market account as long-term restricted cash.</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amended lease also included a $598 tenant improvement allowance from the landlord, which was accounted for as a capital lease obligation.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has a non-exclusive intellectual property license agreement with a licensor of research technology. Under the 2012 agreement, the Company was required to pay the third party licensor an upfront license fee and additional fees up to the third anniversary of the agreement. In addition, the Company was required to pay annual maintenance fees for each year that the agreement remains in effect, commencing on the first anniversary of the agreement, in order to maintain the right to use the license. During the years ended September 30, 2017, 2016, and 2015, the Company paid $115, $120 and $200, respectively, under the agreement. The license agreement was terminated during the year ended September 30, 2017.</w:t>
      </w:r>
    </w:p>
    <w:p>
      <w:pPr>
        <w:spacing w:after="0" w:line="16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year ended September 30, 2013, the Company amended an existing license agreement to extend rights to patents previously licensed for one of its programs for use in its HCV research. Under the license, the Company is obligated to pay milestones totaling up to $5,000 plus low single-digit royalties, for the development and regulatory approval of each HCV product outside of the Company’s collaboration with AbbVie and any other collaboration it may enter into in the future with a partner that has already licensed these patents. During the year ended September 30, 2016, the Company paid a $500 milestone payment under this amended agreement as a result of the Company’s filing to commence clinical development of its own HCV product candidate which was recorded as a research and development expense. There were no such payments made during the years ended September 30, 2017 and 2015. The Company has stopped further development of its own HCV product candidate.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from services to be provided by the Company,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September 30, 2017 and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Income before income taxes for all periods presented is from domestic operations, which are the Company’s only operations. During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2016, and 2015, the Company recorded income tax expense as follows:</w:t>
      </w:r>
    </w:p>
    <w:p>
      <w:pPr>
        <w:spacing w:after="0" w:line="296"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center"/>
              <w:ind w:left="495"/>
              <w:spacing w:after="0"/>
              <w:rPr>
                <w:sz w:val="20"/>
                <w:szCs w:val="20"/>
                <w:color w:val="auto"/>
              </w:rPr>
            </w:pPr>
            <w:r>
              <w:rPr>
                <w:rFonts w:ascii="Arial" w:cs="Arial" w:eastAsia="Arial" w:hAnsi="Arial"/>
                <w:sz w:val="14"/>
                <w:szCs w:val="14"/>
                <w:b w:val="1"/>
                <w:bCs w:val="1"/>
                <w:color w:val="auto"/>
                <w:w w:val="91"/>
              </w:rPr>
              <w:t>Years Ended 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4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169"/>
        </w:trPr>
        <w:tc>
          <w:tcPr>
            <w:tcW w:w="4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 benefit: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Federal</w:t>
            </w:r>
          </w:p>
        </w:tc>
        <w:tc>
          <w:tcPr>
            <w:tcW w:w="15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(12,233)</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(35,040)</w:t>
            </w: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(2,172)</w:t>
            </w: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(7,371)</w:t>
            </w: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State</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(1,880)</w:t>
            </w:r>
          </w:p>
        </w:tc>
      </w:tr>
      <w:tr>
        <w:trPr>
          <w:trHeight w:val="223"/>
        </w:trPr>
        <w:tc>
          <w:tcPr>
            <w:tcW w:w="410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the Company’s effective tax rate is as follows:</w:t>
      </w:r>
    </w:p>
    <w:p>
      <w:pPr>
        <w:spacing w:after="0" w:line="230"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Years Ended September 30,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5220" w:type="dxa"/>
            <w:vAlign w:val="bottom"/>
            <w:tcBorders>
              <w:bottom w:val="single" w:sz="8" w:color="CFF0FC"/>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CFF0FC"/>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CFF0FC"/>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7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3"/>
              </w:rPr>
              <w:t>35.0%</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35.0%</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State taxes, net of federal benefit</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5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Federal research and development tax credit</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(7.4)</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5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Change in statutory rate</w:t>
            </w:r>
          </w:p>
        </w:tc>
        <w:tc>
          <w:tcPr>
            <w:tcW w:w="1320" w:type="dxa"/>
            <w:vAlign w:val="bottom"/>
            <w:gridSpan w:val="3"/>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68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3"/>
              </w:rPr>
              <w:t>34.3%</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33.5%</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60" w:type="dxa"/>
            <w:vAlign w:val="bottom"/>
          </w:tcPr>
          <w:p>
            <w:pPr>
              <w:spacing w:after="0"/>
              <w:rPr>
                <w:sz w:val="24"/>
                <w:szCs w:val="24"/>
                <w:color w:val="auto"/>
              </w:rPr>
            </w:pPr>
          </w:p>
        </w:tc>
        <w:tc>
          <w:tcPr>
            <w:tcW w:w="5920" w:type="dxa"/>
            <w:vAlign w:val="bottom"/>
            <w:gridSpan w:val="2"/>
          </w:tcPr>
          <w:p>
            <w:pPr>
              <w:ind w:left="4380"/>
              <w:spacing w:after="0"/>
              <w:rPr>
                <w:sz w:val="20"/>
                <w:szCs w:val="20"/>
                <w:color w:val="auto"/>
              </w:rPr>
            </w:pPr>
            <w:r>
              <w:rPr>
                <w:rFonts w:ascii="Arial" w:cs="Arial" w:eastAsia="Arial" w:hAnsi="Arial"/>
                <w:sz w:val="18"/>
                <w:szCs w:val="18"/>
                <w:color w:val="auto"/>
              </w:rPr>
              <w:t>F-28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52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Net deferred tax assets as of September 30, 2017 and 2016 consisted of the following:</w:t>
      </w:r>
    </w:p>
    <w:p>
      <w:pPr>
        <w:spacing w:after="0" w:line="311"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5"/>
        </w:trPr>
        <w:tc>
          <w:tcPr>
            <w:tcW w:w="6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jc w:val="right"/>
              <w:ind w:right="7"/>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7,899</w:t>
            </w:r>
          </w:p>
        </w:tc>
        <w:tc>
          <w:tcPr>
            <w:tcW w:w="220" w:type="dxa"/>
            <w:vAlign w:val="bottom"/>
          </w:tcPr>
          <w:p>
            <w:pPr>
              <w:spacing w:after="0"/>
              <w:rPr>
                <w:sz w:val="19"/>
                <w:szCs w:val="19"/>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research and development expenses</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ind w:left="240"/>
              <w:spacing w:after="0"/>
              <w:rPr>
                <w:sz w:val="20"/>
                <w:szCs w:val="20"/>
                <w:color w:val="auto"/>
              </w:rPr>
            </w:pPr>
            <w:r>
              <w:rPr>
                <w:rFonts w:ascii="Arial" w:cs="Arial" w:eastAsia="Arial" w:hAnsi="Arial"/>
                <w:sz w:val="18"/>
                <w:szCs w:val="18"/>
                <w:color w:val="auto"/>
              </w:rPr>
              <w:t>Other temporary differences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loss</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tcPr>
          <w:p>
            <w:pPr>
              <w:ind w:left="48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11,337</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tcPr>
          <w:p>
            <w:pPr>
              <w:ind w:left="24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11,337</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(1,026)</w:t>
            </w: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r>
      <w:tr>
        <w:trPr>
          <w:trHeight w:val="229"/>
        </w:trPr>
        <w:tc>
          <w:tcPr>
            <w:tcW w:w="6240" w:type="dxa"/>
            <w:vAlign w:val="bottom"/>
          </w:tcPr>
          <w:p>
            <w:pPr>
              <w:ind w:left="48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4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Unrealized gain</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23"/>
        </w:trPr>
        <w:tc>
          <w:tcPr>
            <w:tcW w:w="624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Net deferred income tax assets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is presented as a long-term asset on the consolidated balance sheets.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consideration of all the evidence, both positive and negative, the Company determined that no valuation allowance is needed for all or a portion of its deferred tax assets as of September 30, 2017 because it is more likely than not that the deferred tax assets will be realized. In subsequent periods, the Company may determine that it is more likely than not that the deferred tax assets will not be realized and thus, a valuation allowance may be recorded against all or any portion of its deferred tax assets on the Company’s consolidated balance sheet with a corresponding non-cash charge to income tax expense in the consolidated statements of operations.</w:t>
      </w:r>
    </w:p>
    <w:p>
      <w:pPr>
        <w:spacing w:after="0" w:line="25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year ended September 30, 2015, the Company utilized $0 and $8,433 of federal and state net operating loss carryforwards, respectively generated during fiscal 2014. During the year ended September 30, 2015, the Company also utilized $4,481 and $2,214 of federal and state research and development tax credit and other credit carryforwards, respectively, generated during 2014.</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2013 to the present. Earlier years may be examined to the extent that tax credit or net operating loss carryforwards are used in future periods. The Company has recently received notification of examination by the Internal Revenue Service for the year ending September 30, 2016. No adjustments have been proposed to date. The Company has not received notice of examination by any other jurisdictions for any other tax year open under statute.</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Uncertain tax positions represent tax positions for which reserves have been established. The Company’s policy is to record interest and penalties related to uncertain tax positions as part of income tax expense. A reconciliation of the beginning and ending amount of uncertain tax positions is summarized as follows:</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81" w:right="2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5"/>
        </w:trPr>
        <w:tc>
          <w:tcPr>
            <w:tcW w:w="6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gridSpan w:val="4"/>
          </w:tcPr>
          <w:p>
            <w:pPr>
              <w:jc w:val="right"/>
              <w:ind w:right="67"/>
              <w:spacing w:after="0" w:line="155"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Beginning Balance</w:t>
            </w:r>
          </w:p>
        </w:tc>
        <w:tc>
          <w:tcPr>
            <w:tcW w:w="29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FF0FC"/>
          </w:tcPr>
          <w:p>
            <w:pPr>
              <w:spacing w:after="0"/>
              <w:rPr>
                <w:sz w:val="19"/>
                <w:szCs w:val="19"/>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Additions based on tax positions for the current period</w:t>
            </w:r>
          </w:p>
        </w:tc>
        <w:tc>
          <w:tcPr>
            <w:tcW w:w="1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based on tax positions for prior periods</w:t>
            </w:r>
          </w:p>
        </w:tc>
        <w:tc>
          <w:tcPr>
            <w:tcW w:w="19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Reductions for tax positions of prior periods</w:t>
            </w:r>
          </w:p>
        </w:tc>
        <w:tc>
          <w:tcPr>
            <w:tcW w:w="1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23"/>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Ending Balance</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that its uncertain tax position will materially change within the next twelve months.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401(k) Plan</w:t>
      </w:r>
    </w:p>
    <w:p>
      <w:pPr>
        <w:spacing w:after="0" w:line="121" w:lineRule="exact"/>
        <w:rPr>
          <w:sz w:val="20"/>
          <w:szCs w:val="20"/>
          <w:color w:val="auto"/>
        </w:rPr>
      </w:pPr>
    </w:p>
    <w:p>
      <w:pPr>
        <w:ind w:right="440"/>
        <w:spacing w:after="0" w:line="341" w:lineRule="auto"/>
        <w:rPr>
          <w:sz w:val="20"/>
          <w:szCs w:val="20"/>
          <w:color w:val="auto"/>
        </w:rPr>
      </w:pPr>
      <w:r>
        <w:rPr>
          <w:rFonts w:ascii="Arial" w:cs="Arial" w:eastAsia="Arial" w:hAnsi="Arial"/>
          <w:sz w:val="16"/>
          <w:szCs w:val="16"/>
          <w:color w:val="auto"/>
        </w:rPr>
        <w:t>The Company has a 401(k) plan. This plan covers substantially all employees who meet minimum age and service requirements. During the years ended September 30, 2017, 2016, and 2015, the Company recognized $712, $513 and $382, respectively, of expense related to its contributions to this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Quarterly financial information for fiscal 2017 and 2016 is presented in the following table:</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2017 Quarter Ended</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9"/>
              </w:rPr>
              <w:t>December 31, 2016</w:t>
            </w:r>
          </w:p>
        </w:tc>
        <w:tc>
          <w:tcPr>
            <w:tcW w:w="126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March 31, 2017</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w w:val="90"/>
              </w:rPr>
              <w:t>June 30, 2017</w:t>
            </w:r>
          </w:p>
        </w:tc>
        <w:tc>
          <w:tcPr>
            <w:tcW w:w="128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w w:val="90"/>
              </w:rPr>
              <w:t>September 30, 2017</w:t>
            </w:r>
          </w:p>
        </w:tc>
        <w:tc>
          <w:tcPr>
            <w:tcW w:w="100" w:type="dxa"/>
            <w:vAlign w:val="bottom"/>
          </w:tcPr>
          <w:p>
            <w:pPr>
              <w:spacing w:after="0"/>
              <w:rPr>
                <w:sz w:val="13"/>
                <w:szCs w:val="13"/>
                <w:color w:val="auto"/>
              </w:rPr>
            </w:pPr>
          </w:p>
        </w:tc>
      </w:tr>
      <w:tr>
        <w:trPr>
          <w:trHeight w:val="155"/>
        </w:trPr>
        <w:tc>
          <w:tcPr>
            <w:tcW w:w="2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520" w:type="dxa"/>
            <w:vAlign w:val="bottom"/>
            <w:gridSpan w:val="4"/>
          </w:tcPr>
          <w:p>
            <w:pPr>
              <w:ind w:left="120"/>
              <w:spacing w:after="0" w:line="155" w:lineRule="exact"/>
              <w:rPr>
                <w:sz w:val="20"/>
                <w:szCs w:val="20"/>
                <w:color w:val="auto"/>
              </w:rPr>
            </w:pPr>
            <w:r>
              <w:rPr>
                <w:rFonts w:ascii="Arial" w:cs="Arial" w:eastAsia="Arial" w:hAnsi="Arial"/>
                <w:sz w:val="14"/>
                <w:szCs w:val="14"/>
                <w:b w:val="1"/>
                <w:bCs w:val="1"/>
                <w:color w:val="auto"/>
                <w:w w:val="95"/>
              </w:rPr>
              <w:t>(in thousands, except per share data)</w:t>
            </w: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5"/>
                <w:szCs w:val="15"/>
                <w:color w:val="auto"/>
              </w:rPr>
              <w:t>(1)</w:t>
            </w:r>
          </w:p>
        </w:tc>
        <w:tc>
          <w:tcPr>
            <w:tcW w:w="1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10,417</w:t>
            </w:r>
          </w:p>
        </w:tc>
        <w:tc>
          <w:tcPr>
            <w:tcW w:w="40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8,959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7,511</w:t>
            </w:r>
          </w:p>
        </w:tc>
        <w:tc>
          <w:tcPr>
            <w:tcW w:w="4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75,927</w:t>
            </w:r>
          </w:p>
        </w:tc>
        <w:tc>
          <w:tcPr>
            <w:tcW w:w="100" w:type="dxa"/>
            <w:vAlign w:val="bottom"/>
            <w:shd w:val="clear" w:color="auto" w:fill="CFF0FC"/>
          </w:tcPr>
          <w:p>
            <w:pPr>
              <w:spacing w:after="0"/>
              <w:rPr>
                <w:sz w:val="19"/>
                <w:szCs w:val="19"/>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17,463</w:t>
            </w:r>
          </w:p>
        </w:tc>
        <w:tc>
          <w:tcPr>
            <w:tcW w:w="40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18,465</w:t>
            </w:r>
          </w:p>
        </w:tc>
        <w:tc>
          <w:tcPr>
            <w:tcW w:w="16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20,640</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21,632</w:t>
            </w:r>
          </w:p>
        </w:tc>
        <w:tc>
          <w:tcPr>
            <w:tcW w:w="100" w:type="dxa"/>
            <w:vAlign w:val="bottom"/>
          </w:tcPr>
          <w:p>
            <w:pPr>
              <w:spacing w:after="0"/>
              <w:rPr>
                <w:sz w:val="19"/>
                <w:szCs w:val="19"/>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524</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600</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FF0FC"/>
          </w:tcPr>
          <w:p>
            <w:pPr>
              <w:spacing w:after="0"/>
              <w:rPr>
                <w:sz w:val="19"/>
                <w:szCs w:val="19"/>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1,542</w:t>
            </w:r>
          </w:p>
        </w:tc>
        <w:tc>
          <w:tcPr>
            <w:tcW w:w="40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3,565</w:t>
            </w:r>
          </w:p>
        </w:tc>
        <w:tc>
          <w:tcPr>
            <w:tcW w:w="16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4,103</w:t>
            </w:r>
          </w:p>
        </w:tc>
        <w:tc>
          <w:tcPr>
            <w:tcW w:w="4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(18,447)</w:t>
            </w: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(5,392)</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(8,426)</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36,508</w:t>
            </w:r>
          </w:p>
        </w:tc>
        <w:tc>
          <w:tcPr>
            <w:tcW w:w="100" w:type="dxa"/>
            <w:vAlign w:val="bottom"/>
            <w:shd w:val="clear" w:color="auto" w:fill="CFF0FC"/>
          </w:tcPr>
          <w:p>
            <w:pPr>
              <w:spacing w:after="0"/>
              <w:rPr>
                <w:sz w:val="19"/>
                <w:szCs w:val="19"/>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w w:val="91"/>
              </w:rPr>
              <w:t>Net income (loss) per common share —</w:t>
            </w:r>
          </w:p>
        </w:tc>
        <w:tc>
          <w:tcPr>
            <w:tcW w:w="1360" w:type="dxa"/>
            <w:vAlign w:val="bottom"/>
          </w:tcPr>
          <w:p>
            <w:pPr>
              <w:ind w:left="8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40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(0.44)</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w w:val="91"/>
              </w:rPr>
              <w:t>Net income (loss) per common share —</w:t>
            </w:r>
          </w:p>
        </w:tc>
        <w:tc>
          <w:tcPr>
            <w:tcW w:w="1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diluted</w:t>
            </w:r>
          </w:p>
        </w:tc>
        <w:tc>
          <w:tcPr>
            <w:tcW w:w="11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40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4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r>
      <w:tr>
        <w:trPr>
          <w:trHeight w:val="405"/>
        </w:trPr>
        <w:tc>
          <w:tcPr>
            <w:tcW w:w="2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2016 Quarter Ended</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9"/>
              </w:rPr>
              <w:t>December 31, 2015</w:t>
            </w:r>
          </w:p>
        </w:tc>
        <w:tc>
          <w:tcPr>
            <w:tcW w:w="126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March 31, 2016</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w w:val="90"/>
              </w:rPr>
              <w:t>June 30, 2016</w:t>
            </w:r>
          </w:p>
        </w:tc>
        <w:tc>
          <w:tcPr>
            <w:tcW w:w="128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w w:val="90"/>
              </w:rPr>
              <w:t>September 30, 2016</w:t>
            </w:r>
          </w:p>
        </w:tc>
        <w:tc>
          <w:tcPr>
            <w:tcW w:w="100" w:type="dxa"/>
            <w:vAlign w:val="bottom"/>
          </w:tcPr>
          <w:p>
            <w:pPr>
              <w:spacing w:after="0"/>
              <w:rPr>
                <w:sz w:val="13"/>
                <w:szCs w:val="13"/>
                <w:color w:val="auto"/>
              </w:rPr>
            </w:pPr>
          </w:p>
        </w:tc>
      </w:tr>
      <w:tr>
        <w:trPr>
          <w:trHeight w:val="155"/>
        </w:trPr>
        <w:tc>
          <w:tcPr>
            <w:tcW w:w="2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520" w:type="dxa"/>
            <w:vAlign w:val="bottom"/>
            <w:gridSpan w:val="4"/>
          </w:tcPr>
          <w:p>
            <w:pPr>
              <w:ind w:left="120"/>
              <w:spacing w:after="0" w:line="155" w:lineRule="exact"/>
              <w:rPr>
                <w:sz w:val="20"/>
                <w:szCs w:val="20"/>
                <w:color w:val="auto"/>
              </w:rPr>
            </w:pPr>
            <w:r>
              <w:rPr>
                <w:rFonts w:ascii="Arial" w:cs="Arial" w:eastAsia="Arial" w:hAnsi="Arial"/>
                <w:sz w:val="14"/>
                <w:szCs w:val="14"/>
                <w:b w:val="1"/>
                <w:bCs w:val="1"/>
                <w:color w:val="auto"/>
                <w:w w:val="95"/>
              </w:rPr>
              <w:t>(in thousands, except per share data)</w:t>
            </w: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5"/>
                <w:szCs w:val="15"/>
                <w:color w:val="auto"/>
              </w:rPr>
              <w:t>(2)</w:t>
            </w:r>
          </w:p>
        </w:tc>
        <w:tc>
          <w:tcPr>
            <w:tcW w:w="1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48,445</w:t>
            </w:r>
          </w:p>
        </w:tc>
        <w:tc>
          <w:tcPr>
            <w:tcW w:w="40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13,004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13,978</w:t>
            </w:r>
          </w:p>
        </w:tc>
        <w:tc>
          <w:tcPr>
            <w:tcW w:w="4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12,841</w:t>
            </w:r>
          </w:p>
        </w:tc>
        <w:tc>
          <w:tcPr>
            <w:tcW w:w="100" w:type="dxa"/>
            <w:vAlign w:val="bottom"/>
            <w:shd w:val="clear" w:color="auto" w:fill="CFF0FC"/>
          </w:tcPr>
          <w:p>
            <w:pPr>
              <w:spacing w:after="0"/>
              <w:rPr>
                <w:sz w:val="19"/>
                <w:szCs w:val="19"/>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12,851</w:t>
            </w:r>
          </w:p>
        </w:tc>
        <w:tc>
          <w:tcPr>
            <w:tcW w:w="40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13,569</w:t>
            </w:r>
          </w:p>
        </w:tc>
        <w:tc>
          <w:tcPr>
            <w:tcW w:w="16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15,067</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15,940</w:t>
            </w:r>
          </w:p>
        </w:tc>
        <w:tc>
          <w:tcPr>
            <w:tcW w:w="100" w:type="dxa"/>
            <w:vAlign w:val="bottom"/>
          </w:tcPr>
          <w:p>
            <w:pPr>
              <w:spacing w:after="0"/>
              <w:rPr>
                <w:sz w:val="19"/>
                <w:szCs w:val="19"/>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329</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447</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FF0FC"/>
          </w:tcPr>
          <w:p>
            <w:pPr>
              <w:spacing w:after="0"/>
              <w:rPr>
                <w:sz w:val="19"/>
                <w:szCs w:val="19"/>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(9,734)</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(1,552)</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26,189</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(1,802)</w:t>
            </w: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w w:val="91"/>
              </w:rPr>
              <w:t>Net income (loss) per common share —</w:t>
            </w:r>
          </w:p>
        </w:tc>
        <w:tc>
          <w:tcPr>
            <w:tcW w:w="1360" w:type="dxa"/>
            <w:vAlign w:val="bottom"/>
          </w:tcPr>
          <w:p>
            <w:pPr>
              <w:ind w:left="8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1.39</w:t>
            </w:r>
          </w:p>
        </w:tc>
        <w:tc>
          <w:tcPr>
            <w:tcW w:w="40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w w:val="91"/>
              </w:rPr>
              <w:t>Net income (loss) per common share —</w:t>
            </w:r>
          </w:p>
        </w:tc>
        <w:tc>
          <w:tcPr>
            <w:tcW w:w="1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diluted</w:t>
            </w:r>
          </w:p>
        </w:tc>
        <w:tc>
          <w:tcPr>
            <w:tcW w:w="11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4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(0.09)</w:t>
            </w:r>
          </w:p>
        </w:tc>
      </w:tr>
    </w:tbl>
    <w:p>
      <w:pPr>
        <w:spacing w:after="0" w:line="134" w:lineRule="exact"/>
        <w:rPr>
          <w:sz w:val="20"/>
          <w:szCs w:val="20"/>
          <w:color w:val="auto"/>
        </w:rPr>
      </w:pPr>
    </w:p>
    <w:p>
      <w:pPr>
        <w:ind w:left="600" w:right="420" w:hanging="592"/>
        <w:spacing w:after="0" w:line="258"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fourth quarter of 2017, the Company recognized $65,000 in milestone revenue from AbbVie upon achievement of commercialization regulatory approval of AbbVie’s glecaprevir-containing regimen in the U.S. and EU</w:t>
      </w:r>
    </w:p>
    <w:p>
      <w:pPr>
        <w:spacing w:after="0" w:line="1" w:lineRule="exact"/>
        <w:rPr>
          <w:rFonts w:ascii="Arial" w:cs="Arial" w:eastAsia="Arial" w:hAnsi="Arial"/>
          <w:sz w:val="18"/>
          <w:szCs w:val="18"/>
          <w:color w:val="auto"/>
        </w:rPr>
      </w:pPr>
    </w:p>
    <w:p>
      <w:pPr>
        <w:ind w:left="600" w:right="40" w:hanging="592"/>
        <w:spacing w:after="0" w:line="260"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first quarter of 2016, the Company recognized $30,000 in milestone revenue from AbbVie upon achievement of commercialization regulatory approval of AbbVie’s paritaprevir-containing regimen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899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In November 2017, the Company earned the remaining $15,000 milestone payment for the commercialization regulatory approval of AbbVie’s MAVIRET in Japan, which will be reflected in the Company’s consolidated statement of operations for the quarter ending December 31, 2017.</w:t>
      </w:r>
    </w:p>
    <w:p>
      <w:pPr>
        <w:spacing w:after="0" w:line="36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240" w:top="661" w:right="519" w:bottom="1440" w:gutter="0" w:footer="0" w:header="0"/>
        </w:sectPr>
      </w:pPr>
    </w:p>
    <w:bookmarkStart w:id="110" w:name="page111"/>
    <w:bookmarkEnd w:id="110"/>
    <w:p>
      <w:pPr>
        <w:ind w:left="9380"/>
        <w:spacing w:after="0"/>
        <w:rPr>
          <w:sz w:val="20"/>
          <w:szCs w:val="20"/>
          <w:color w:val="auto"/>
        </w:rPr>
      </w:pPr>
      <w:r>
        <w:rPr>
          <w:rFonts w:ascii="Arial" w:cs="Arial" w:eastAsia="Arial" w:hAnsi="Arial"/>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31750</wp:posOffset>
            </wp:positionV>
            <wp:extent cx="7289165" cy="8801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289165" cy="880110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11" w:name="page112"/>
    <w:bookmarkEnd w:id="111"/>
    <w:p>
      <w:pPr>
        <w:jc w:val="both"/>
        <w:spacing w:after="0" w:line="249" w:lineRule="auto"/>
        <w:rPr>
          <w:sz w:val="20"/>
          <w:szCs w:val="20"/>
          <w:color w:val="auto"/>
        </w:rPr>
      </w:pPr>
      <w:r>
        <w:rPr>
          <w:rFonts w:ascii="Arial" w:cs="Arial" w:eastAsia="Arial" w:hAnsi="Arial"/>
          <w:sz w:val="21"/>
          <w:szCs w:val="21"/>
          <w:color w:val="auto"/>
        </w:rPr>
        <w:t>The shares of stock represented by this certificate have not been registered or qualified under the Securities Act of 1933, as amended (the “Act”), or applicable state securities laws and may not be sold, transferred, assigned or otherwise disposed of unless registered or qualified under the Act and such laws or an opinion of counsel satisfactory to the Company is furnished to the Company to the effect that such registration and qualification is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3415665</wp:posOffset>
            </wp:positionV>
            <wp:extent cx="5208270" cy="23812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5208270" cy="2381250"/>
                    </a:xfrm>
                    <a:prstGeom prst="rect">
                      <a:avLst/>
                    </a:prstGeom>
                    <a:noFill/>
                  </pic:spPr>
                </pic:pic>
              </a:graphicData>
            </a:graphic>
          </wp:anchor>
        </w:drawing>
      </w:r>
    </w:p>
    <w:p>
      <w:pPr>
        <w:sectPr>
          <w:pgSz w:w="11900" w:h="16838" w:orient="portrait"/>
          <w:cols w:equalWidth="0" w:num="1">
            <w:col w:w="9020"/>
          </w:cols>
          <w:pgMar w:left="1440" w:top="334" w:right="1439" w:bottom="1440" w:gutter="0" w:footer="0" w:header="0"/>
        </w:sectPr>
      </w:pPr>
    </w:p>
    <w:bookmarkStart w:id="112" w:name="page113"/>
    <w:bookmarkEnd w:id="112"/>
    <w:p>
      <w:pPr>
        <w:jc w:val="right"/>
        <w:ind w:right="100"/>
        <w:spacing w:after="0"/>
        <w:rPr>
          <w:sz w:val="20"/>
          <w:szCs w:val="20"/>
          <w:color w:val="auto"/>
        </w:rPr>
      </w:pPr>
      <w:r>
        <w:rPr>
          <w:rFonts w:ascii="Arial" w:cs="Arial" w:eastAsia="Arial" w:hAnsi="Arial"/>
          <w:sz w:val="18"/>
          <w:szCs w:val="18"/>
          <w:b w:val="1"/>
          <w:bCs w:val="1"/>
          <w:color w:val="auto"/>
        </w:rPr>
        <w:t>Exhibit 10.18</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ENANTA PHARMACEUTICALS, INC.</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2012 Equity Incentive Plan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Performance Share Unit Certificate</w:t>
      </w:r>
    </w:p>
    <w:p>
      <w:pPr>
        <w:spacing w:after="0" w:line="200" w:lineRule="exact"/>
        <w:rPr>
          <w:sz w:val="20"/>
          <w:szCs w:val="20"/>
          <w:color w:val="auto"/>
        </w:rPr>
      </w:pPr>
    </w:p>
    <w:p>
      <w:pPr>
        <w:spacing w:after="0" w:line="247" w:lineRule="exact"/>
        <w:rPr>
          <w:sz w:val="20"/>
          <w:szCs w:val="20"/>
          <w:color w:val="auto"/>
        </w:rPr>
      </w:pPr>
    </w:p>
    <w:tbl>
      <w:tblPr>
        <w:tblLayout w:type="fixed"/>
        <w:tblInd w:w="150" w:type="dxa"/>
        <w:tblCellMar>
          <w:top w:w="0" w:type="dxa"/>
          <w:left w:w="0" w:type="dxa"/>
          <w:bottom w:w="0" w:type="dxa"/>
          <w:right w:w="0" w:type="dxa"/>
        </w:tblCellMar>
      </w:tblPr>
      <w:tr>
        <w:trPr>
          <w:trHeight w:val="229"/>
        </w:trPr>
        <w:tc>
          <w:tcPr>
            <w:tcW w:w="5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PSU Certificate Number: PSU</w:t>
            </w:r>
          </w:p>
        </w:tc>
        <w:tc>
          <w:tcPr>
            <w:tcW w:w="5660" w:type="dxa"/>
            <w:vAlign w:val="bottom"/>
            <w:tcBorders>
              <w:top w:val="single" w:sz="8" w:color="auto"/>
              <w:bottom w:val="single" w:sz="8" w:color="auto"/>
            </w:tcBorders>
          </w:tcPr>
          <w:p>
            <w:pPr>
              <w:ind w:left="4780"/>
              <w:spacing w:after="0"/>
              <w:rPr>
                <w:sz w:val="20"/>
                <w:szCs w:val="20"/>
                <w:color w:val="auto"/>
              </w:rPr>
            </w:pPr>
            <w:r>
              <w:rPr>
                <w:rFonts w:ascii="Arial" w:cs="Arial" w:eastAsia="Arial" w:hAnsi="Arial"/>
                <w:sz w:val="18"/>
                <w:szCs w:val="18"/>
                <w:color w:val="auto"/>
                <w:w w:val="85"/>
              </w:rPr>
              <w:t>_____ PSUs</w:t>
            </w:r>
          </w:p>
        </w:tc>
      </w:tr>
    </w:tbl>
    <w:p>
      <w:pPr>
        <w:spacing w:after="0" w:line="201"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This Performance Share Unit Certificate confirms that Enanta Pharmaceuticals, Inc. (the “</w:t>
      </w:r>
      <w:r>
        <w:rPr>
          <w:rFonts w:ascii="Arial" w:cs="Arial" w:eastAsia="Arial" w:hAnsi="Arial"/>
          <w:sz w:val="16"/>
          <w:szCs w:val="16"/>
          <w:u w:val="single" w:color="auto"/>
          <w:color w:val="auto"/>
        </w:rPr>
        <w:t>Company</w:t>
      </w:r>
      <w:r>
        <w:rPr>
          <w:rFonts w:ascii="Arial" w:cs="Arial" w:eastAsia="Arial" w:hAnsi="Arial"/>
          <w:sz w:val="16"/>
          <w:szCs w:val="16"/>
          <w:color w:val="auto"/>
        </w:rPr>
        <w:t>”), a Delaware corporation, has granted to the person named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an award (this “</w:t>
      </w:r>
      <w:r>
        <w:rPr>
          <w:rFonts w:ascii="Arial" w:cs="Arial" w:eastAsia="Arial" w:hAnsi="Arial"/>
          <w:sz w:val="16"/>
          <w:szCs w:val="16"/>
          <w:u w:val="single" w:color="auto"/>
          <w:color w:val="auto"/>
        </w:rPr>
        <w:t>Award</w:t>
      </w:r>
      <w:r>
        <w:rPr>
          <w:rFonts w:ascii="Arial" w:cs="Arial" w:eastAsia="Arial" w:hAnsi="Arial"/>
          <w:sz w:val="16"/>
          <w:szCs w:val="16"/>
          <w:color w:val="auto"/>
        </w:rPr>
        <w:t>”) of the number of Performance Share Units (“</w:t>
      </w:r>
      <w:r>
        <w:rPr>
          <w:rFonts w:ascii="Arial" w:cs="Arial" w:eastAsia="Arial" w:hAnsi="Arial"/>
          <w:sz w:val="16"/>
          <w:szCs w:val="16"/>
          <w:u w:val="single" w:color="auto"/>
          <w:color w:val="auto"/>
        </w:rPr>
        <w:t>PSUs</w:t>
      </w:r>
      <w:r>
        <w:rPr>
          <w:rFonts w:ascii="Arial" w:cs="Arial" w:eastAsia="Arial" w:hAnsi="Arial"/>
          <w:sz w:val="16"/>
          <w:szCs w:val="16"/>
          <w:color w:val="auto"/>
        </w:rPr>
        <w:t>”) set forth above pursuant to the Company’s 2012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each PSU representing the right to receive one share of the Company’s Common Stock, $.01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subject to adjustment as provided below and subject to the definitions and terms and conditions set forth or otherwise referenced below.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Target Number of PSU Shares: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Vesting Schedule: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20" w:type="dxa"/>
            <w:vAlign w:val="bottom"/>
          </w:tcPr>
          <w:p>
            <w:pPr>
              <w:ind w:left="400"/>
              <w:spacing w:after="0"/>
              <w:rPr>
                <w:sz w:val="20"/>
                <w:szCs w:val="20"/>
                <w:color w:val="auto"/>
              </w:rPr>
            </w:pPr>
            <w:r>
              <w:rPr>
                <w:rFonts w:ascii="Arial" w:cs="Arial" w:eastAsia="Arial" w:hAnsi="Arial"/>
                <w:sz w:val="17"/>
                <w:szCs w:val="17"/>
                <w:color w:val="auto"/>
                <w:w w:val="96"/>
              </w:rPr>
              <w:t>Performance Period:</w:t>
            </w:r>
          </w:p>
        </w:tc>
        <w:tc>
          <w:tcPr>
            <w:tcW w:w="9480" w:type="dxa"/>
            <w:vAlign w:val="bottom"/>
            <w:gridSpan w:val="3"/>
          </w:tcPr>
          <w:p>
            <w:pPr>
              <w:ind w:left="100"/>
              <w:spacing w:after="0"/>
              <w:rPr>
                <w:sz w:val="20"/>
                <w:szCs w:val="20"/>
                <w:color w:val="auto"/>
              </w:rPr>
            </w:pPr>
            <w:r>
              <w:rPr>
                <w:rFonts w:ascii="Arial" w:cs="Arial" w:eastAsia="Arial" w:hAnsi="Arial"/>
                <w:sz w:val="16"/>
                <w:szCs w:val="16"/>
                <w:color w:val="auto"/>
              </w:rPr>
              <w:t>On or before December 31, ____.</w:t>
            </w:r>
          </w:p>
        </w:tc>
      </w:tr>
      <w:tr>
        <w:trPr>
          <w:trHeight w:val="216"/>
        </w:trPr>
        <w:tc>
          <w:tcPr>
            <w:tcW w:w="1920" w:type="dxa"/>
            <w:vAlign w:val="bottom"/>
          </w:tcPr>
          <w:p>
            <w:pPr>
              <w:ind w:left="400"/>
              <w:spacing w:after="0"/>
              <w:rPr>
                <w:sz w:val="20"/>
                <w:szCs w:val="20"/>
                <w:color w:val="auto"/>
              </w:rPr>
            </w:pPr>
            <w:r>
              <w:rPr>
                <w:rFonts w:ascii="Arial" w:cs="Arial" w:eastAsia="Arial" w:hAnsi="Arial"/>
                <w:sz w:val="17"/>
                <w:szCs w:val="17"/>
                <w:color w:val="auto"/>
              </w:rPr>
              <w:t>R&amp;D Milestones</w:t>
            </w:r>
            <w:r>
              <w:rPr>
                <w:rFonts w:ascii="Arial" w:cs="Arial" w:eastAsia="Arial" w:hAnsi="Arial"/>
                <w:sz w:val="16"/>
                <w:szCs w:val="16"/>
                <w:color w:val="auto"/>
              </w:rPr>
              <w:t>:</w:t>
            </w:r>
          </w:p>
        </w:tc>
        <w:tc>
          <w:tcPr>
            <w:tcW w:w="7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601"/>
        </w:trPr>
        <w:tc>
          <w:tcPr>
            <w:tcW w:w="1920" w:type="dxa"/>
            <w:vAlign w:val="bottom"/>
          </w:tcPr>
          <w:p>
            <w:pPr>
              <w:spacing w:after="0"/>
              <w:rPr>
                <w:sz w:val="20"/>
                <w:szCs w:val="20"/>
                <w:color w:val="auto"/>
              </w:rPr>
            </w:pPr>
            <w:r>
              <w:rPr>
                <w:rFonts w:ascii="Arial" w:cs="Arial" w:eastAsia="Arial" w:hAnsi="Arial"/>
                <w:sz w:val="17"/>
                <w:szCs w:val="17"/>
                <w:color w:val="auto"/>
              </w:rPr>
              <w:t>Settlement:</w:t>
            </w:r>
          </w:p>
        </w:tc>
        <w:tc>
          <w:tcPr>
            <w:tcW w:w="9480" w:type="dxa"/>
            <w:vAlign w:val="bottom"/>
            <w:gridSpan w:val="3"/>
          </w:tcPr>
          <w:p>
            <w:pPr>
              <w:ind w:left="200"/>
              <w:spacing w:after="0"/>
              <w:rPr>
                <w:sz w:val="20"/>
                <w:szCs w:val="20"/>
                <w:color w:val="auto"/>
              </w:rPr>
            </w:pPr>
            <w:r>
              <w:rPr>
                <w:rFonts w:ascii="Arial" w:cs="Arial" w:eastAsia="Arial" w:hAnsi="Arial"/>
                <w:sz w:val="16"/>
                <w:szCs w:val="16"/>
                <w:color w:val="auto"/>
              </w:rPr>
              <w:t>All vested PSUs will settle, and the underlying shares of the Company’s Common Stock will be issued to the Participant, subject to</w:t>
            </w:r>
          </w:p>
        </w:tc>
      </w:tr>
      <w:tr>
        <w:trPr>
          <w:trHeight w:val="172"/>
        </w:trPr>
        <w:tc>
          <w:tcPr>
            <w:tcW w:w="1920" w:type="dxa"/>
            <w:vAlign w:val="bottom"/>
          </w:tcPr>
          <w:p>
            <w:pPr>
              <w:spacing w:after="0"/>
              <w:rPr>
                <w:sz w:val="14"/>
                <w:szCs w:val="14"/>
                <w:color w:val="auto"/>
              </w:rPr>
            </w:pPr>
          </w:p>
        </w:tc>
        <w:tc>
          <w:tcPr>
            <w:tcW w:w="9480" w:type="dxa"/>
            <w:vAlign w:val="bottom"/>
            <w:gridSpan w:val="3"/>
          </w:tcPr>
          <w:p>
            <w:pPr>
              <w:ind w:left="200"/>
              <w:spacing w:after="0" w:line="172" w:lineRule="exact"/>
              <w:rPr>
                <w:sz w:val="20"/>
                <w:szCs w:val="20"/>
                <w:color w:val="auto"/>
              </w:rPr>
            </w:pPr>
            <w:r>
              <w:rPr>
                <w:rFonts w:ascii="Arial" w:cs="Arial" w:eastAsia="Arial" w:hAnsi="Arial"/>
                <w:sz w:val="16"/>
                <w:szCs w:val="16"/>
                <w:color w:val="auto"/>
                <w:w w:val="92"/>
              </w:rPr>
              <w:t>Participant’s continued employment with the Company, and subject to tax withholding, on the later date (the “Settlement Date”) of (A) the first</w:t>
            </w:r>
          </w:p>
        </w:tc>
      </w:tr>
      <w:tr>
        <w:trPr>
          <w:trHeight w:val="20"/>
        </w:trPr>
        <w:tc>
          <w:tcPr>
            <w:tcW w:w="19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7"/>
        </w:trPr>
        <w:tc>
          <w:tcPr>
            <w:tcW w:w="1920" w:type="dxa"/>
            <w:vAlign w:val="bottom"/>
          </w:tcPr>
          <w:p>
            <w:pPr>
              <w:spacing w:after="0"/>
              <w:rPr>
                <w:sz w:val="18"/>
                <w:szCs w:val="18"/>
                <w:color w:val="auto"/>
              </w:rPr>
            </w:pPr>
          </w:p>
        </w:tc>
        <w:tc>
          <w:tcPr>
            <w:tcW w:w="9480" w:type="dxa"/>
            <w:vAlign w:val="bottom"/>
            <w:gridSpan w:val="3"/>
          </w:tcPr>
          <w:p>
            <w:pPr>
              <w:ind w:left="200"/>
              <w:spacing w:after="0"/>
              <w:rPr>
                <w:sz w:val="20"/>
                <w:szCs w:val="20"/>
                <w:color w:val="auto"/>
              </w:rPr>
            </w:pPr>
            <w:r>
              <w:rPr>
                <w:rFonts w:ascii="Arial" w:cs="Arial" w:eastAsia="Arial" w:hAnsi="Arial"/>
                <w:sz w:val="16"/>
                <w:szCs w:val="16"/>
                <w:color w:val="auto"/>
                <w:w w:val="91"/>
              </w:rPr>
              <w:t>February 12 (or if such date is not a trading day, then the first trading day thereafter) after the close of the Company’s __________fiscal year or</w:t>
            </w:r>
          </w:p>
        </w:tc>
      </w:tr>
    </w:tbl>
    <w:p>
      <w:pPr>
        <w:ind w:left="2360" w:hanging="248"/>
        <w:spacing w:after="0"/>
        <w:tabs>
          <w:tab w:leader="none" w:pos="23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if there is any change in the Company’s fiscal year, the first day of the third calendar month after the close of the Company’s _________</w:t>
      </w:r>
    </w:p>
    <w:p>
      <w:pPr>
        <w:spacing w:after="0" w:line="29" w:lineRule="exact"/>
        <w:rPr>
          <w:rFonts w:ascii="Arial" w:cs="Arial" w:eastAsia="Arial" w:hAnsi="Arial"/>
          <w:sz w:val="15"/>
          <w:szCs w:val="15"/>
          <w:color w:val="auto"/>
        </w:rPr>
      </w:pPr>
    </w:p>
    <w:p>
      <w:pPr>
        <w:ind w:left="2120"/>
        <w:spacing w:after="0"/>
        <w:rPr>
          <w:rFonts w:ascii="Arial" w:cs="Arial" w:eastAsia="Arial" w:hAnsi="Arial"/>
          <w:sz w:val="15"/>
          <w:szCs w:val="15"/>
          <w:color w:val="auto"/>
        </w:rPr>
      </w:pPr>
      <w:r>
        <w:rPr>
          <w:rFonts w:ascii="Arial" w:cs="Arial" w:eastAsia="Arial" w:hAnsi="Arial"/>
          <w:sz w:val="16"/>
          <w:szCs w:val="16"/>
          <w:color w:val="auto"/>
        </w:rPr>
        <w:t>fiscal year.</w:t>
      </w:r>
    </w:p>
    <w:p>
      <w:pPr>
        <w:spacing w:after="0" w:line="209" w:lineRule="exact"/>
        <w:rPr>
          <w:sz w:val="20"/>
          <w:szCs w:val="20"/>
          <w:color w:val="auto"/>
        </w:rPr>
      </w:pPr>
    </w:p>
    <w:p>
      <w:pPr>
        <w:ind w:right="860" w:firstLine="213"/>
        <w:spacing w:after="0" w:line="273" w:lineRule="auto"/>
        <w:rPr>
          <w:sz w:val="20"/>
          <w:szCs w:val="20"/>
          <w:color w:val="auto"/>
        </w:rPr>
      </w:pPr>
      <w:r>
        <w:rPr>
          <w:rFonts w:ascii="Arial" w:cs="Arial" w:eastAsia="Arial" w:hAnsi="Arial"/>
          <w:sz w:val="17"/>
          <w:szCs w:val="17"/>
          <w:color w:val="auto"/>
        </w:rPr>
        <w:t xml:space="preserve">By acceptance of this Award, Participant agrees to all the terms and conditions hereof, including, without limitation, those set forth in the Plan and in the accompanying </w:t>
      </w:r>
      <w:r>
        <w:rPr>
          <w:rFonts w:ascii="Arial" w:cs="Arial" w:eastAsia="Arial" w:hAnsi="Arial"/>
          <w:sz w:val="17"/>
          <w:szCs w:val="17"/>
          <w:u w:val="single" w:color="auto"/>
          <w:color w:val="auto"/>
        </w:rPr>
        <w:t>Terms and Conditions of PSU Award</w:t>
      </w:r>
      <w:r>
        <w:rPr>
          <w:rFonts w:ascii="Arial" w:cs="Arial" w:eastAsia="Arial" w:hAnsi="Arial"/>
          <w:sz w:val="17"/>
          <w:szCs w:val="17"/>
          <w:color w:val="auto"/>
        </w:rPr>
        <w:t>.</w:t>
      </w:r>
    </w:p>
    <w:p>
      <w:pPr>
        <w:spacing w:after="0" w:line="16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ENANTA PHARMACEUTICALS, INC</w:t>
      </w:r>
      <w:r>
        <w:rPr>
          <w:rFonts w:ascii="Arial" w:cs="Arial" w:eastAsia="Arial" w:hAnsi="Arial"/>
          <w:sz w:val="18"/>
          <w:szCs w:val="18"/>
          <w:color w:val="auto"/>
        </w:rPr>
        <w:t>.</w:t>
      </w:r>
    </w:p>
    <w:p>
      <w:pPr>
        <w:spacing w:after="0" w:line="22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337" w:right="139" w:bottom="1440" w:gutter="0" w:footer="0" w:header="0"/>
        </w:sectPr>
      </w:pPr>
    </w:p>
    <w:bookmarkStart w:id="113" w:name="page114"/>
    <w:bookmarkEnd w:id="113"/>
    <w:p>
      <w:pPr>
        <w:jc w:val="center"/>
        <w:ind w:right="-51"/>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u w:val="single" w:color="auto"/>
          <w:color w:val="auto"/>
        </w:rPr>
        <w:t>Terms and Conditions of PSU Award</w:t>
      </w:r>
    </w:p>
    <w:p>
      <w:pPr>
        <w:spacing w:after="0" w:line="210" w:lineRule="exact"/>
        <w:rPr>
          <w:sz w:val="20"/>
          <w:szCs w:val="20"/>
          <w:color w:val="auto"/>
        </w:rPr>
      </w:pPr>
    </w:p>
    <w:p>
      <w:pPr>
        <w:ind w:left="-8" w:right="20" w:firstLine="8"/>
        <w:spacing w:after="0" w:line="259" w:lineRule="auto"/>
        <w:tabs>
          <w:tab w:leader="none" w:pos="172"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The Plan</w:t>
      </w:r>
      <w:r>
        <w:rPr>
          <w:rFonts w:ascii="Arial" w:cs="Arial" w:eastAsia="Arial" w:hAnsi="Arial"/>
          <w:sz w:val="18"/>
          <w:szCs w:val="18"/>
          <w:color w:val="auto"/>
        </w:rPr>
        <w:t>. In the event of any conflict between the terms of the Plan and this Award, the terms of the Plan shall govern. The Committee administers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and its determinations regarding the operation of the Plan are final. Subject to the limitations set forth in the Plan, the Committee may amend the Plan or this Award. Capitalized terms used but not defined herein shall have the meaning set forth in the Plan. Copies of the Plan may be obtained upon written request without charge from the Secretary of the Company.</w:t>
      </w:r>
    </w:p>
    <w:p>
      <w:pPr>
        <w:spacing w:after="0" w:line="185" w:lineRule="exact"/>
        <w:rPr>
          <w:rFonts w:ascii="Arial" w:cs="Arial" w:eastAsia="Arial" w:hAnsi="Arial"/>
          <w:sz w:val="18"/>
          <w:szCs w:val="18"/>
          <w:color w:val="auto"/>
        </w:rPr>
      </w:pPr>
    </w:p>
    <w:p>
      <w:pPr>
        <w:jc w:val="both"/>
        <w:ind w:left="-8" w:right="20" w:firstLine="8"/>
        <w:spacing w:after="0" w:line="301" w:lineRule="auto"/>
        <w:tabs>
          <w:tab w:leader="none" w:pos="172"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No Rights as Stockholder or Employee</w:t>
      </w:r>
      <w:r>
        <w:rPr>
          <w:rFonts w:ascii="Arial" w:cs="Arial" w:eastAsia="Arial" w:hAnsi="Arial"/>
          <w:sz w:val="16"/>
          <w:szCs w:val="16"/>
          <w:color w:val="auto"/>
        </w:rPr>
        <w:t>. Participant shall not have any of the rights or privileges of a stockholder of the Company with respect to the PSUs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pursuant to this Award unless and until shares of Common Stock have been issued and delivered to Participant. The rights of Participant with respect to the PSUs subject to this Award shall remain forfeitable at all times prior to the date on which such rights vest and settle in accordance with Sections 4, 5 and 6. Participant shall not have any rights to continued employment by the Company by virtue of the grant of this Award.</w:t>
      </w:r>
    </w:p>
    <w:p>
      <w:pPr>
        <w:spacing w:after="0" w:line="156" w:lineRule="exact"/>
        <w:rPr>
          <w:rFonts w:ascii="Arial" w:cs="Arial" w:eastAsia="Arial" w:hAnsi="Arial"/>
          <w:sz w:val="16"/>
          <w:szCs w:val="16"/>
          <w:color w:val="auto"/>
        </w:rPr>
      </w:pPr>
    </w:p>
    <w:p>
      <w:pPr>
        <w:ind w:left="-8" w:right="100" w:firstLine="8"/>
        <w:spacing w:after="0" w:line="293" w:lineRule="auto"/>
        <w:tabs>
          <w:tab w:leader="none" w:pos="172"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Settlement of PSUs: Issuance of Common Stock</w:t>
      </w:r>
      <w:r>
        <w:rPr>
          <w:rFonts w:ascii="Arial" w:cs="Arial" w:eastAsia="Arial" w:hAnsi="Arial"/>
          <w:sz w:val="16"/>
          <w:szCs w:val="16"/>
          <w:color w:val="auto"/>
        </w:rPr>
        <w:t>. No shares of Common Stock shall be issued to Participant except to the extent that the PSUs vest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 Vesting Schedule, which is set forth on the accompanying certificate for this Award. Subject to Section 7 below, and only if Participant remains continuously employed by the Company until the Settlement Date (except as set forth in Section 4 and 6 below), the Company shall deliver to Participant, on or promptly after the Settlement Date, the vested shares of Common Stock represented by the whole PSUs that have vested on or before such date. The value of any fractional share of Common Stock that is vested shall be paid in cash at the time the whole shares are delivered to Participant. The shares of Common Stock issued on settlement of vested PSUs shall be free of all restrictions on transferability and forfeiture under this Award.</w:t>
      </w:r>
    </w:p>
    <w:p>
      <w:pPr>
        <w:spacing w:after="0" w:line="163" w:lineRule="exact"/>
        <w:rPr>
          <w:rFonts w:ascii="Arial" w:cs="Arial" w:eastAsia="Arial" w:hAnsi="Arial"/>
          <w:sz w:val="16"/>
          <w:szCs w:val="16"/>
          <w:color w:val="auto"/>
        </w:rPr>
      </w:pPr>
    </w:p>
    <w:p>
      <w:pPr>
        <w:ind w:left="-8" w:right="40" w:firstLine="8"/>
        <w:spacing w:after="0" w:line="255" w:lineRule="auto"/>
        <w:tabs>
          <w:tab w:leader="none" w:pos="172"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due to Disability, or Death. </w:t>
      </w:r>
      <w:r>
        <w:rPr>
          <w:rFonts w:ascii="Arial" w:cs="Arial" w:eastAsia="Arial" w:hAnsi="Arial"/>
          <w:sz w:val="18"/>
          <w:szCs w:val="18"/>
          <w:color w:val="auto"/>
        </w:rPr>
        <w:t>In the event Participant’s employment is terminated by reason of disability or death, the vesting of the PSUs,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any dividend equivalent PSUs, will be prorated based on the number of days during the Performance Period that the Participant spent on the active payroll of the Company. Issuance of any vested shares of Common Stock will be made at the same time as settlement would have been made had Participant not had a termination of employment and will in all respects be subject to the Company’s actual R&amp;D Milestones achieved during the full Performance Period. "Disability" means a disability entitling Participant to benefits under the long-term disability policy sponsored by the Company that applies to Participant.</w:t>
      </w:r>
    </w:p>
    <w:p>
      <w:pPr>
        <w:spacing w:after="0" w:line="191" w:lineRule="exact"/>
        <w:rPr>
          <w:rFonts w:ascii="Arial" w:cs="Arial" w:eastAsia="Arial" w:hAnsi="Arial"/>
          <w:sz w:val="18"/>
          <w:szCs w:val="18"/>
          <w:color w:val="auto"/>
        </w:rPr>
      </w:pPr>
    </w:p>
    <w:p>
      <w:pPr>
        <w:jc w:val="both"/>
        <w:ind w:left="-8" w:right="200" w:firstLine="8"/>
        <w:spacing w:after="0" w:line="311" w:lineRule="auto"/>
        <w:tabs>
          <w:tab w:leader="none" w:pos="172"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Termination of Employment</w:t>
      </w:r>
      <w:r>
        <w:rPr>
          <w:rFonts w:ascii="Arial" w:cs="Arial" w:eastAsia="Arial" w:hAnsi="Arial"/>
          <w:sz w:val="16"/>
          <w:szCs w:val="16"/>
          <w:color w:val="auto"/>
        </w:rPr>
        <w:t>. If, prior to settlement of the PSUs on the Settlement Date, Participant ceases to be an employee of the Company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reason (voluntary or involuntary), then except as set forth in Section 4 above, Participant’s rights to all of the unvested PSUs shall be immediately and irrevocably forfeited. Dividend-equivalent PSUs will be forfeited and canceled along with the PSUs with which they are associated.</w:t>
      </w:r>
    </w:p>
    <w:p>
      <w:pPr>
        <w:spacing w:after="0" w:line="148" w:lineRule="exact"/>
        <w:rPr>
          <w:rFonts w:ascii="Arial" w:cs="Arial" w:eastAsia="Arial" w:hAnsi="Arial"/>
          <w:sz w:val="16"/>
          <w:szCs w:val="16"/>
          <w:color w:val="auto"/>
        </w:rPr>
      </w:pPr>
    </w:p>
    <w:p>
      <w:pPr>
        <w:ind w:left="-8" w:firstLine="8"/>
        <w:spacing w:after="0" w:line="273" w:lineRule="auto"/>
        <w:tabs>
          <w:tab w:leader="none" w:pos="172"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In the event of a Change in Control (as such term is defined in the Participant’s employment agreement) affecting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Common Stock, the Committee shall (i) provide for the acceleration of any time period relating to the payment of the Award and shall issue the Target Number of PSU Shares subject to the Award, or such greater number as the Committee may determine have already vested upon achievement of more than one of the R&amp;D Milestones, immediately before the closing of the transaction resulting in the Change of Control, subject to applicable tax withholding, or (ii) provide for payment to the Participant of cash or other property with a fair market value equal to the Target Number of PSU Shares, or such greater number, as the case may be, subject to the Award immediately before such closing.</w:t>
      </w:r>
    </w:p>
    <w:p>
      <w:pPr>
        <w:spacing w:after="0" w:line="176" w:lineRule="exact"/>
        <w:rPr>
          <w:rFonts w:ascii="Arial" w:cs="Arial" w:eastAsia="Arial" w:hAnsi="Arial"/>
          <w:sz w:val="17"/>
          <w:szCs w:val="17"/>
          <w:color w:val="auto"/>
        </w:rPr>
      </w:pPr>
    </w:p>
    <w:p>
      <w:pPr>
        <w:ind w:left="-8" w:right="140" w:firstLine="8"/>
        <w:spacing w:after="0" w:line="263" w:lineRule="auto"/>
        <w:tabs>
          <w:tab w:leader="none" w:pos="217"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in Number of Shares Subject to the Award. </w:t>
      </w:r>
      <w:r>
        <w:rPr>
          <w:rFonts w:ascii="Arial" w:cs="Arial" w:eastAsia="Arial" w:hAnsi="Arial"/>
          <w:sz w:val="18"/>
          <w:szCs w:val="18"/>
          <w:color w:val="auto"/>
        </w:rPr>
        <w:t>The number of PSUs subject to the Award will be adjusted proportionately for any increase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the number of issued shares of Common Stock resulting from any stock split, combination or exchange of shares, consolidation, spin-off or recapitalization of shares, or any similar capital adjustment or the payment of any stock dividend.</w:t>
      </w:r>
    </w:p>
    <w:p>
      <w:pPr>
        <w:spacing w:after="0" w:line="182" w:lineRule="exact"/>
        <w:rPr>
          <w:rFonts w:ascii="Arial" w:cs="Arial" w:eastAsia="Arial" w:hAnsi="Arial"/>
          <w:sz w:val="18"/>
          <w:szCs w:val="18"/>
          <w:color w:val="auto"/>
        </w:rPr>
      </w:pPr>
    </w:p>
    <w:p>
      <w:pPr>
        <w:ind w:left="-8" w:right="380" w:firstLine="8"/>
        <w:spacing w:after="0" w:line="277" w:lineRule="auto"/>
        <w:tabs>
          <w:tab w:leader="none" w:pos="217"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Restriction on Transfer</w:t>
      </w:r>
      <w:r>
        <w:rPr>
          <w:rFonts w:ascii="Arial" w:cs="Arial" w:eastAsia="Arial" w:hAnsi="Arial"/>
          <w:sz w:val="18"/>
          <w:szCs w:val="18"/>
          <w:color w:val="auto"/>
        </w:rPr>
        <w:t>. The PSUs are not transferable by Participant otherwise than by will or the laws of descent and distribution. The naming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Beneficiary does not constitute a transfer.</w:t>
      </w:r>
    </w:p>
    <w:p>
      <w:pPr>
        <w:spacing w:after="0" w:line="169" w:lineRule="exact"/>
        <w:rPr>
          <w:rFonts w:ascii="Arial" w:cs="Arial" w:eastAsia="Arial" w:hAnsi="Arial"/>
          <w:sz w:val="18"/>
          <w:szCs w:val="18"/>
          <w:color w:val="auto"/>
        </w:rPr>
      </w:pPr>
    </w:p>
    <w:p>
      <w:pPr>
        <w:ind w:left="-8" w:right="360" w:firstLine="8"/>
        <w:spacing w:after="0" w:line="311" w:lineRule="auto"/>
        <w:tabs>
          <w:tab w:leader="none" w:pos="172"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 Matters</w:t>
      </w:r>
      <w:r>
        <w:rPr>
          <w:rFonts w:ascii="Arial" w:cs="Arial" w:eastAsia="Arial" w:hAnsi="Arial"/>
          <w:sz w:val="16"/>
          <w:szCs w:val="16"/>
          <w:color w:val="auto"/>
        </w:rPr>
        <w:t>. In order to comply with all withholding requirements under applicable federal and state income tax laws and regulations,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shall withhold such number of the shares of Common Stock otherwise issuable on the Settlement Date, valued at their fair market value on the Settlement Date, as the Company determines is consistent with then applicable federal and state income tax withholding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52"/>
          </w:cols>
          <w:pgMar w:left="248" w:top="337" w:right="299" w:bottom="1440" w:gutter="0" w:footer="0" w:header="0"/>
        </w:sectPr>
      </w:pPr>
    </w:p>
    <w:bookmarkStart w:id="114" w:name="page115"/>
    <w:bookmarkEnd w:id="114"/>
    <w:p>
      <w:pPr>
        <w:ind w:right="80" w:firstLine="8"/>
        <w:spacing w:after="0" w:line="293" w:lineRule="auto"/>
        <w:tabs>
          <w:tab w:leader="none" w:pos="269"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In the event that the Committee determines that any amounts will be immediately taxable to Participant under Section 409A of the Code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related Department of Treasury guidance (or subject Participant to a penalty tax thereunder) in connection with the grant, vesting or settlement of the PSUs or any provision of this Award or the Plan, the Company may (i) adopt such amendments to this Award (having prospective or retroactive effect) that the Committee determines to be necessary or appropriate to preserve the intended tax treatment of the PSUs and/or (ii) take such other actions as the Committee determines to be necessary or appropriate to comply with the requirements of Section 409A of the Code and related Department of Treasury guidance, including such Department of Treasury guidance and other interpretive materials as may be issued after the date on which such PSUs were granted.</w:t>
      </w:r>
    </w:p>
    <w:p>
      <w:pPr>
        <w:spacing w:after="0" w:line="163" w:lineRule="exact"/>
        <w:rPr>
          <w:rFonts w:ascii="Arial" w:cs="Arial" w:eastAsia="Arial" w:hAnsi="Arial"/>
          <w:sz w:val="16"/>
          <w:szCs w:val="16"/>
          <w:color w:val="auto"/>
        </w:rPr>
      </w:pPr>
    </w:p>
    <w:p>
      <w:pPr>
        <w:ind w:firstLine="8"/>
        <w:spacing w:after="0" w:line="271" w:lineRule="auto"/>
        <w:tabs>
          <w:tab w:leader="none" w:pos="263"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Conditions for Issuance of Shares</w:t>
      </w:r>
      <w:r>
        <w:rPr>
          <w:rFonts w:ascii="Arial" w:cs="Arial" w:eastAsia="Arial" w:hAnsi="Arial"/>
          <w:sz w:val="17"/>
          <w:szCs w:val="17"/>
          <w:color w:val="auto"/>
        </w:rPr>
        <w:t>. The Company shall not be required to deliver any shares of Common Stock upon vesting of any PSUs until (i)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Common Stock have been admitted to listing on all stock exchanges on which the Common Stock is then listed and (ii) the requirements of any federal or state securities laws, rules or regulations or other laws or rules (including the rules of any securities exchange) as may be determined by the Company to be applicable are satisfied, provided however, that the Company may only so delay delivery of shares of Common Stock to the extent that such deferral complies with the provisions of Section 409A of the Code and related Department of Treasury guidance. Except as provided in the preceding sentence, in no event will shares of Common Stock be delivered later than the date that is two and one-half (2 1/2) months from the end of the calendar year in which the applicable PSUs vest. Any shares of Common Stock delivered under this Award may be subject to such stop transfer restrictions as counsel for the Company shall consider necessary to comply with any applicable law.</w:t>
      </w:r>
    </w:p>
    <w:p>
      <w:pPr>
        <w:spacing w:after="0" w:line="176" w:lineRule="exact"/>
        <w:rPr>
          <w:rFonts w:ascii="Arial" w:cs="Arial" w:eastAsia="Arial" w:hAnsi="Arial"/>
          <w:sz w:val="17"/>
          <w:szCs w:val="17"/>
          <w:color w:val="auto"/>
        </w:rPr>
      </w:pPr>
    </w:p>
    <w:p>
      <w:pPr>
        <w:ind w:right="640" w:firstLine="8"/>
        <w:spacing w:after="0" w:line="277"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Clawback Policy. </w:t>
      </w:r>
      <w:r>
        <w:rPr>
          <w:rFonts w:ascii="Arial" w:cs="Arial" w:eastAsia="Arial" w:hAnsi="Arial"/>
          <w:sz w:val="18"/>
          <w:szCs w:val="18"/>
          <w:color w:val="auto"/>
        </w:rPr>
        <w:t>This Award and any Common Stock issued hereunder is subject to any so-called “clawback policy” that may be adopted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Board of Directors, as amended from time to time.</w:t>
      </w:r>
    </w:p>
    <w:p>
      <w:pPr>
        <w:spacing w:after="0" w:line="169" w:lineRule="exact"/>
        <w:rPr>
          <w:rFonts w:ascii="Arial" w:cs="Arial" w:eastAsia="Arial" w:hAnsi="Arial"/>
          <w:sz w:val="18"/>
          <w:szCs w:val="18"/>
          <w:color w:val="auto"/>
        </w:rPr>
      </w:pPr>
    </w:p>
    <w:p>
      <w:pPr>
        <w:jc w:val="both"/>
        <w:ind w:right="20" w:firstLine="8"/>
        <w:spacing w:after="0" w:line="263"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written notices provided for in this Award that are sent by mail shall be deemed received three business days after mailing, but not later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actual receipt. Notices shall be directed, if to Participant, at the Participant’s address indicated by the Company’s records and, if to the Company, at the Company’s principal executive office.</w:t>
      </w:r>
    </w:p>
    <w:p>
      <w:pPr>
        <w:spacing w:after="0" w:line="182" w:lineRule="exact"/>
        <w:rPr>
          <w:rFonts w:ascii="Arial" w:cs="Arial" w:eastAsia="Arial" w:hAnsi="Arial"/>
          <w:sz w:val="18"/>
          <w:szCs w:val="18"/>
          <w:color w:val="auto"/>
        </w:rPr>
      </w:pPr>
    </w:p>
    <w:p>
      <w:pPr>
        <w:ind w:right="60" w:firstLine="8"/>
        <w:spacing w:after="0" w:line="259"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 The right of Participant to receive shares of Common Stock pursuant to this Award is an unfunded and unsecured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The Participant shall have no rights under this Award other than those of an unsecured general creditor of the Company. Subject to the restrictions on transfer set forth herein, this Award shall be binding upon and inure to the benefit of the heirs, legatees, legal representatives, successors and assigns of the parties hereto.</w:t>
      </w:r>
    </w:p>
    <w:p>
      <w:pPr>
        <w:spacing w:after="0" w:line="185" w:lineRule="exact"/>
        <w:rPr>
          <w:rFonts w:ascii="Arial" w:cs="Arial" w:eastAsia="Arial" w:hAnsi="Arial"/>
          <w:sz w:val="18"/>
          <w:szCs w:val="18"/>
          <w:color w:val="auto"/>
        </w:rPr>
      </w:pPr>
    </w:p>
    <w:p>
      <w:pPr>
        <w:ind w:right="80" w:firstLine="8"/>
        <w:spacing w:after="0" w:line="277"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Award shall be governed by and construed in accordance with the laws of the State of Delaware and applicable federal law,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 to choice-of-law principles.</w:t>
      </w:r>
    </w:p>
    <w:p>
      <w:pPr>
        <w:spacing w:after="0" w:line="169" w:lineRule="exact"/>
        <w:rPr>
          <w:rFonts w:ascii="Arial" w:cs="Arial" w:eastAsia="Arial" w:hAnsi="Arial"/>
          <w:sz w:val="18"/>
          <w:szCs w:val="18"/>
          <w:color w:val="auto"/>
        </w:rPr>
      </w:pPr>
    </w:p>
    <w:p>
      <w:pPr>
        <w:ind w:right="160" w:firstLine="8"/>
        <w:spacing w:after="0" w:line="279" w:lineRule="auto"/>
        <w:tabs>
          <w:tab w:leader="none" w:pos="269"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If one or more of the provisions of this Award shall be held invalid, illegal or unenforceable in any respect, the validity, legality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to be construed so as to foster the intent of this Award and the Plan.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Updated January 2017</w:t>
      </w:r>
    </w:p>
    <w:p>
      <w:pPr>
        <w:sectPr>
          <w:pgSz w:w="11900" w:h="16838" w:orient="portrait"/>
          <w:cols w:equalWidth="0" w:num="1">
            <w:col w:w="11420"/>
          </w:cols>
          <w:pgMar w:left="240" w:top="341" w:right="239" w:bottom="1440" w:gutter="0" w:footer="0" w:header="0"/>
        </w:sectPr>
      </w:pPr>
    </w:p>
    <w:bookmarkStart w:id="115" w:name="page116"/>
    <w:bookmarkEnd w:id="115"/>
    <w:p>
      <w:pPr>
        <w:jc w:val="right"/>
        <w:ind w:right="100"/>
        <w:spacing w:after="0"/>
        <w:rPr>
          <w:sz w:val="20"/>
          <w:szCs w:val="20"/>
          <w:color w:val="auto"/>
        </w:rPr>
      </w:pPr>
      <w:r>
        <w:rPr>
          <w:rFonts w:ascii="Arial" w:cs="Arial" w:eastAsia="Arial" w:hAnsi="Arial"/>
          <w:sz w:val="18"/>
          <w:szCs w:val="18"/>
          <w:b w:val="1"/>
          <w:bCs w:val="1"/>
          <w:color w:val="auto"/>
        </w:rPr>
        <w:t>Exhibit 10.19</w:t>
      </w: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ENANTA PHARMACEUTICALS, INC.</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2012 Equity Incentive Plan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Relative Total Stockholder Return Unit Certificate</w:t>
      </w:r>
    </w:p>
    <w:p>
      <w:pPr>
        <w:spacing w:after="0" w:line="205" w:lineRule="exact"/>
        <w:rPr>
          <w:sz w:val="20"/>
          <w:szCs w:val="20"/>
          <w:color w:val="auto"/>
        </w:rPr>
      </w:pPr>
    </w:p>
    <w:tbl>
      <w:tblPr>
        <w:tblLayout w:type="fixed"/>
        <w:tblInd w:w="150" w:type="dxa"/>
        <w:tblCellMar>
          <w:top w:w="0" w:type="dxa"/>
          <w:left w:w="0" w:type="dxa"/>
          <w:bottom w:w="0" w:type="dxa"/>
          <w:right w:w="0" w:type="dxa"/>
        </w:tblCellMar>
      </w:tblPr>
      <w:tr>
        <w:trPr>
          <w:trHeight w:val="229"/>
        </w:trPr>
        <w:tc>
          <w:tcPr>
            <w:tcW w:w="5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rTSRU Certificate Number: rTSRU-</w:t>
            </w:r>
          </w:p>
        </w:tc>
        <w:tc>
          <w:tcPr>
            <w:tcW w:w="5660" w:type="dxa"/>
            <w:vAlign w:val="bottom"/>
            <w:tcBorders>
              <w:top w:val="single" w:sz="8" w:color="auto"/>
              <w:bottom w:val="single" w:sz="8" w:color="auto"/>
            </w:tcBorders>
          </w:tcPr>
          <w:p>
            <w:pPr>
              <w:ind w:left="4680"/>
              <w:spacing w:after="0"/>
              <w:rPr>
                <w:sz w:val="20"/>
                <w:szCs w:val="20"/>
                <w:color w:val="auto"/>
              </w:rPr>
            </w:pPr>
            <w:r>
              <w:rPr>
                <w:rFonts w:ascii="Arial" w:cs="Arial" w:eastAsia="Arial" w:hAnsi="Arial"/>
                <w:sz w:val="18"/>
                <w:szCs w:val="18"/>
                <w:color w:val="auto"/>
                <w:w w:val="88"/>
              </w:rPr>
              <w:t>____ rTSRUs</w:t>
            </w:r>
          </w:p>
        </w:tc>
      </w:tr>
    </w:tbl>
    <w:p>
      <w:pPr>
        <w:spacing w:after="0" w:line="200" w:lineRule="exact"/>
        <w:rPr>
          <w:sz w:val="20"/>
          <w:szCs w:val="20"/>
          <w:color w:val="auto"/>
        </w:rPr>
      </w:pPr>
    </w:p>
    <w:p>
      <w:pPr>
        <w:spacing w:after="0" w:line="24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This Relative Total Stockholder Return Unit Certificate confirms that Enanta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 Delaware corporation, has granted to the person named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an award (this “</w:t>
      </w:r>
      <w:r>
        <w:rPr>
          <w:rFonts w:ascii="Arial" w:cs="Arial" w:eastAsia="Arial" w:hAnsi="Arial"/>
          <w:sz w:val="18"/>
          <w:szCs w:val="18"/>
          <w:u w:val="single" w:color="auto"/>
          <w:color w:val="auto"/>
        </w:rPr>
        <w:t>Award</w:t>
      </w:r>
      <w:r>
        <w:rPr>
          <w:rFonts w:ascii="Arial" w:cs="Arial" w:eastAsia="Arial" w:hAnsi="Arial"/>
          <w:sz w:val="18"/>
          <w:szCs w:val="18"/>
          <w:color w:val="auto"/>
        </w:rPr>
        <w:t>”) of the number of Relative Total Stockholder Return Units (“</w:t>
      </w:r>
      <w:r>
        <w:rPr>
          <w:rFonts w:ascii="Arial" w:cs="Arial" w:eastAsia="Arial" w:hAnsi="Arial"/>
          <w:sz w:val="18"/>
          <w:szCs w:val="18"/>
          <w:u w:val="single" w:color="auto"/>
          <w:color w:val="auto"/>
        </w:rPr>
        <w:t>rTSRUs</w:t>
      </w:r>
      <w:r>
        <w:rPr>
          <w:rFonts w:ascii="Arial" w:cs="Arial" w:eastAsia="Arial" w:hAnsi="Arial"/>
          <w:sz w:val="18"/>
          <w:szCs w:val="18"/>
          <w:color w:val="auto"/>
        </w:rPr>
        <w:t>”) set forth above pursuant to the Company’s 2012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each rTSRU representing the right to receive one share of the Company’s Common Stock, $.01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subject to adjustment as provided below, and subject to the definitions and terms and conditions set forth or otherwise referenced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Target Number of rTSRU Shares: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auto"/>
              </w:rPr>
              <w:t>Vesting Schedule:</w:t>
            </w: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w w:val="95"/>
              </w:rPr>
              <w:t>A number of whole shares of Common Stock (rounding down) subject to this Award shall vest in an amount equal to (A) 100% of the Target</w:t>
            </w:r>
          </w:p>
        </w:tc>
      </w:tr>
      <w:tr>
        <w:trPr>
          <w:trHeight w:val="202"/>
        </w:trPr>
        <w:tc>
          <w:tcPr>
            <w:tcW w:w="1600" w:type="dxa"/>
            <w:vAlign w:val="bottom"/>
          </w:tcPr>
          <w:p>
            <w:pPr>
              <w:spacing w:after="0"/>
              <w:rPr>
                <w:sz w:val="17"/>
                <w:szCs w:val="17"/>
                <w:color w:val="auto"/>
              </w:rPr>
            </w:pPr>
          </w:p>
        </w:tc>
        <w:tc>
          <w:tcPr>
            <w:tcW w:w="9780" w:type="dxa"/>
            <w:vAlign w:val="bottom"/>
            <w:gridSpan w:val="5"/>
          </w:tcPr>
          <w:p>
            <w:pPr>
              <w:ind w:left="320"/>
              <w:spacing w:after="0" w:line="202" w:lineRule="exact"/>
              <w:rPr>
                <w:sz w:val="20"/>
                <w:szCs w:val="20"/>
                <w:color w:val="auto"/>
              </w:rPr>
            </w:pPr>
            <w:r>
              <w:rPr>
                <w:rFonts w:ascii="Arial" w:cs="Arial" w:eastAsia="Arial" w:hAnsi="Arial"/>
                <w:sz w:val="14"/>
                <w:szCs w:val="14"/>
                <w:color w:val="auto"/>
              </w:rPr>
              <w:t>Number of rTSRU Shares if the Company’s TSR ranks in the 65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of the Comparator Group, but not if it is less, and shall be adjusted</w:t>
            </w:r>
          </w:p>
        </w:tc>
      </w:tr>
      <w:tr>
        <w:trPr>
          <w:trHeight w:val="202"/>
        </w:trPr>
        <w:tc>
          <w:tcPr>
            <w:tcW w:w="1600" w:type="dxa"/>
            <w:vAlign w:val="bottom"/>
          </w:tcPr>
          <w:p>
            <w:pPr>
              <w:spacing w:after="0"/>
              <w:rPr>
                <w:sz w:val="17"/>
                <w:szCs w:val="17"/>
                <w:color w:val="auto"/>
              </w:rPr>
            </w:pPr>
          </w:p>
        </w:tc>
        <w:tc>
          <w:tcPr>
            <w:tcW w:w="9780" w:type="dxa"/>
            <w:vAlign w:val="bottom"/>
            <w:gridSpan w:val="5"/>
          </w:tcPr>
          <w:p>
            <w:pPr>
              <w:ind w:left="320"/>
              <w:spacing w:after="0" w:line="202" w:lineRule="exact"/>
              <w:rPr>
                <w:sz w:val="20"/>
                <w:szCs w:val="20"/>
                <w:color w:val="auto"/>
              </w:rPr>
            </w:pPr>
            <w:r>
              <w:rPr>
                <w:rFonts w:ascii="Arial" w:cs="Arial" w:eastAsia="Arial" w:hAnsi="Arial"/>
                <w:sz w:val="14"/>
                <w:szCs w:val="14"/>
                <w:color w:val="auto"/>
              </w:rPr>
              <w:t>to (B) 150% of the Target Number of rTSRU Shares if the Company’s TSR ranks in the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of the Comparator Group, and (C) 200%</w:t>
            </w:r>
          </w:p>
        </w:tc>
      </w:tr>
      <w:tr>
        <w:trPr>
          <w:trHeight w:val="206"/>
        </w:trPr>
        <w:tc>
          <w:tcPr>
            <w:tcW w:w="1600" w:type="dxa"/>
            <w:vAlign w:val="bottom"/>
          </w:tcPr>
          <w:p>
            <w:pPr>
              <w:spacing w:after="0"/>
              <w:rPr>
                <w:sz w:val="17"/>
                <w:szCs w:val="17"/>
                <w:color w:val="auto"/>
              </w:rPr>
            </w:pPr>
          </w:p>
        </w:tc>
        <w:tc>
          <w:tcPr>
            <w:tcW w:w="9780" w:type="dxa"/>
            <w:vAlign w:val="bottom"/>
            <w:gridSpan w:val="5"/>
          </w:tcPr>
          <w:p>
            <w:pPr>
              <w:ind w:left="320"/>
              <w:spacing w:after="0" w:line="205" w:lineRule="exact"/>
              <w:rPr>
                <w:sz w:val="20"/>
                <w:szCs w:val="20"/>
                <w:color w:val="auto"/>
              </w:rPr>
            </w:pPr>
            <w:r>
              <w:rPr>
                <w:rFonts w:ascii="Arial" w:cs="Arial" w:eastAsia="Arial" w:hAnsi="Arial"/>
                <w:sz w:val="14"/>
                <w:szCs w:val="14"/>
                <w:color w:val="auto"/>
              </w:rPr>
              <w:t>of the Target Number of rTSRU Shares if the Company’s TSR ranks at or above the 85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of the Comparator Group, in each case as</w:t>
            </w:r>
          </w:p>
        </w:tc>
      </w:tr>
      <w:tr>
        <w:trPr>
          <w:trHeight w:val="202"/>
        </w:trPr>
        <w:tc>
          <w:tcPr>
            <w:tcW w:w="1600" w:type="dxa"/>
            <w:vAlign w:val="bottom"/>
          </w:tcPr>
          <w:p>
            <w:pPr>
              <w:spacing w:after="0"/>
              <w:rPr>
                <w:sz w:val="17"/>
                <w:szCs w:val="17"/>
                <w:color w:val="auto"/>
              </w:rPr>
            </w:pP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w w:val="92"/>
              </w:rPr>
              <w:t>determined by the Company’s Compensation Committee in good faith using the discrete percentile ranking method that includes the Company in</w:t>
            </w:r>
          </w:p>
        </w:tc>
      </w:tr>
      <w:tr>
        <w:trPr>
          <w:trHeight w:val="199"/>
        </w:trPr>
        <w:tc>
          <w:tcPr>
            <w:tcW w:w="1600" w:type="dxa"/>
            <w:vAlign w:val="bottom"/>
          </w:tcPr>
          <w:p>
            <w:pPr>
              <w:spacing w:after="0"/>
              <w:rPr>
                <w:sz w:val="17"/>
                <w:szCs w:val="17"/>
                <w:color w:val="auto"/>
              </w:rPr>
            </w:pP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w w:val="92"/>
              </w:rPr>
              <w:t>the ranking, and in the case of the Company’s TSR ranking falling between any two of those percentiles, straight-line interpolation will be used to</w:t>
            </w:r>
          </w:p>
        </w:tc>
      </w:tr>
      <w:tr>
        <w:trPr>
          <w:trHeight w:val="202"/>
        </w:trPr>
        <w:tc>
          <w:tcPr>
            <w:tcW w:w="1600" w:type="dxa"/>
            <w:vAlign w:val="bottom"/>
          </w:tcPr>
          <w:p>
            <w:pPr>
              <w:spacing w:after="0"/>
              <w:rPr>
                <w:sz w:val="17"/>
                <w:szCs w:val="17"/>
                <w:color w:val="auto"/>
              </w:rPr>
            </w:pPr>
          </w:p>
        </w:tc>
        <w:tc>
          <w:tcPr>
            <w:tcW w:w="9780" w:type="dxa"/>
            <w:vAlign w:val="bottom"/>
            <w:gridSpan w:val="5"/>
          </w:tcPr>
          <w:p>
            <w:pPr>
              <w:ind w:left="320"/>
              <w:spacing w:after="0" w:line="202" w:lineRule="exact"/>
              <w:rPr>
                <w:sz w:val="20"/>
                <w:szCs w:val="20"/>
                <w:color w:val="auto"/>
              </w:rPr>
            </w:pPr>
            <w:r>
              <w:rPr>
                <w:rFonts w:ascii="Arial" w:cs="Arial" w:eastAsia="Arial" w:hAnsi="Arial"/>
                <w:sz w:val="14"/>
                <w:szCs w:val="14"/>
                <w:color w:val="auto"/>
              </w:rPr>
              <w:t>make such adjustment between the price of the 65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and the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and between the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and the 85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to</w:t>
            </w:r>
          </w:p>
        </w:tc>
      </w:tr>
      <w:tr>
        <w:trPr>
          <w:trHeight w:val="206"/>
        </w:trPr>
        <w:tc>
          <w:tcPr>
            <w:tcW w:w="1600" w:type="dxa"/>
            <w:vAlign w:val="bottom"/>
          </w:tcPr>
          <w:p>
            <w:pPr>
              <w:spacing w:after="0"/>
              <w:rPr>
                <w:sz w:val="17"/>
                <w:szCs w:val="17"/>
                <w:color w:val="auto"/>
              </w:rPr>
            </w:pPr>
          </w:p>
        </w:tc>
        <w:tc>
          <w:tcPr>
            <w:tcW w:w="9780" w:type="dxa"/>
            <w:vAlign w:val="bottom"/>
            <w:gridSpan w:val="5"/>
          </w:tcPr>
          <w:p>
            <w:pPr>
              <w:ind w:left="320"/>
              <w:spacing w:after="0" w:line="205" w:lineRule="exact"/>
              <w:rPr>
                <w:sz w:val="20"/>
                <w:szCs w:val="20"/>
                <w:color w:val="auto"/>
              </w:rPr>
            </w:pPr>
            <w:r>
              <w:rPr>
                <w:rFonts w:ascii="Arial" w:cs="Arial" w:eastAsia="Arial" w:hAnsi="Arial"/>
                <w:sz w:val="14"/>
                <w:szCs w:val="14"/>
                <w:color w:val="auto"/>
              </w:rPr>
              <w:t>determine a graduated payout for actual ranking of the Company’s TSR (e.g. if 65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has a 110% increase in TSR, the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has</w:t>
            </w:r>
          </w:p>
        </w:tc>
      </w:tr>
      <w:tr>
        <w:trPr>
          <w:trHeight w:val="202"/>
        </w:trPr>
        <w:tc>
          <w:tcPr>
            <w:tcW w:w="1600" w:type="dxa"/>
            <w:vAlign w:val="bottom"/>
          </w:tcPr>
          <w:p>
            <w:pPr>
              <w:spacing w:after="0"/>
              <w:rPr>
                <w:sz w:val="17"/>
                <w:szCs w:val="17"/>
                <w:color w:val="auto"/>
              </w:rPr>
            </w:pP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w w:val="94"/>
              </w:rPr>
              <w:t>a 130% increase, and the Company’s TSR has increased by 120%, then the rTSRUs would vest at the mid-point, namely 125% of the Target</w:t>
            </w:r>
          </w:p>
        </w:tc>
      </w:tr>
      <w:tr>
        <w:trPr>
          <w:trHeight w:val="202"/>
        </w:trPr>
        <w:tc>
          <w:tcPr>
            <w:tcW w:w="1600" w:type="dxa"/>
            <w:vAlign w:val="bottom"/>
          </w:tcPr>
          <w:p>
            <w:pPr>
              <w:spacing w:after="0"/>
              <w:rPr>
                <w:sz w:val="17"/>
                <w:szCs w:val="17"/>
                <w:color w:val="auto"/>
              </w:rPr>
            </w:pP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w w:val="92"/>
              </w:rPr>
              <w:t>Number of rTSRU Shares); provided, however, that if the Company’s Ending Price is not higher than the Baseline Price, then vesting under such</w:t>
            </w:r>
          </w:p>
        </w:tc>
      </w:tr>
      <w:tr>
        <w:trPr>
          <w:trHeight w:val="202"/>
        </w:trPr>
        <w:tc>
          <w:tcPr>
            <w:tcW w:w="1600" w:type="dxa"/>
            <w:vAlign w:val="bottom"/>
          </w:tcPr>
          <w:p>
            <w:pPr>
              <w:spacing w:after="0"/>
              <w:rPr>
                <w:sz w:val="17"/>
                <w:szCs w:val="17"/>
                <w:color w:val="auto"/>
              </w:rPr>
            </w:pP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w w:val="93"/>
              </w:rPr>
              <w:t>award shall consist of only 50% of the Target Number of rTSRU Shares that would otherwise have vested pursuant to the foregoing (e.g. 50%,</w:t>
            </w:r>
          </w:p>
        </w:tc>
      </w:tr>
      <w:tr>
        <w:trPr>
          <w:trHeight w:val="202"/>
        </w:trPr>
        <w:tc>
          <w:tcPr>
            <w:tcW w:w="1600" w:type="dxa"/>
            <w:vAlign w:val="bottom"/>
          </w:tcPr>
          <w:p>
            <w:pPr>
              <w:spacing w:after="0"/>
              <w:rPr>
                <w:sz w:val="17"/>
                <w:szCs w:val="17"/>
                <w:color w:val="auto"/>
              </w:rPr>
            </w:pP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w w:val="98"/>
              </w:rPr>
              <w:t>75% and 100% instead of 100%, 150% and 200%, respectively, at the designated percentiles of the Comparator Group, and 50% of any</w:t>
            </w:r>
          </w:p>
        </w:tc>
      </w:tr>
      <w:tr>
        <w:trPr>
          <w:trHeight w:val="202"/>
        </w:trPr>
        <w:tc>
          <w:tcPr>
            <w:tcW w:w="1600" w:type="dxa"/>
            <w:vAlign w:val="bottom"/>
          </w:tcPr>
          <w:p>
            <w:pPr>
              <w:spacing w:after="0"/>
              <w:rPr>
                <w:sz w:val="17"/>
                <w:szCs w:val="17"/>
                <w:color w:val="auto"/>
              </w:rPr>
            </w:pP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w w:val="92"/>
              </w:rPr>
              <w:t>interpolation if the Company’s TSR ranking falls between any two of such percentiles). (The meanings of capitalized terms not defined above are</w:t>
            </w:r>
          </w:p>
        </w:tc>
      </w:tr>
      <w:tr>
        <w:trPr>
          <w:trHeight w:val="172"/>
        </w:trPr>
        <w:tc>
          <w:tcPr>
            <w:tcW w:w="1600" w:type="dxa"/>
            <w:vAlign w:val="bottom"/>
          </w:tcPr>
          <w:p>
            <w:pPr>
              <w:spacing w:after="0"/>
              <w:rPr>
                <w:sz w:val="14"/>
                <w:szCs w:val="14"/>
                <w:color w:val="auto"/>
              </w:rPr>
            </w:pPr>
          </w:p>
        </w:tc>
        <w:tc>
          <w:tcPr>
            <w:tcW w:w="9780" w:type="dxa"/>
            <w:vAlign w:val="bottom"/>
            <w:gridSpan w:val="5"/>
          </w:tcPr>
          <w:p>
            <w:pPr>
              <w:ind w:left="320"/>
              <w:spacing w:after="0" w:line="172" w:lineRule="exact"/>
              <w:rPr>
                <w:sz w:val="20"/>
                <w:szCs w:val="20"/>
                <w:color w:val="auto"/>
              </w:rPr>
            </w:pPr>
            <w:r>
              <w:rPr>
                <w:rFonts w:ascii="Arial" w:cs="Arial" w:eastAsia="Arial" w:hAnsi="Arial"/>
                <w:sz w:val="16"/>
                <w:szCs w:val="16"/>
                <w:color w:val="auto"/>
              </w:rPr>
              <w:t>set forth in the accompanying Appendix of rTSRU Definitions and Formulas.)</w:t>
            </w:r>
          </w:p>
        </w:tc>
      </w:tr>
      <w:tr>
        <w:trPr>
          <w:trHeight w:val="20"/>
        </w:trPr>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2"/>
        </w:trPr>
        <w:tc>
          <w:tcPr>
            <w:tcW w:w="1600" w:type="dxa"/>
            <w:vAlign w:val="bottom"/>
          </w:tcPr>
          <w:p>
            <w:pPr>
              <w:spacing w:after="0"/>
              <w:rPr>
                <w:sz w:val="20"/>
                <w:szCs w:val="20"/>
                <w:color w:val="auto"/>
              </w:rPr>
            </w:pPr>
            <w:r>
              <w:rPr>
                <w:rFonts w:ascii="Arial" w:cs="Arial" w:eastAsia="Arial" w:hAnsi="Arial"/>
                <w:sz w:val="18"/>
                <w:szCs w:val="18"/>
                <w:color w:val="auto"/>
              </w:rPr>
              <w:t>Baseline Period:</w:t>
            </w: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rPr>
              <w:t>The 60 calendar days immediately before January 1, ______</w:t>
            </w:r>
            <w:r>
              <w:rPr>
                <w:rFonts w:ascii="Arial" w:cs="Arial" w:eastAsia="Arial" w:hAnsi="Arial"/>
                <w:sz w:val="17"/>
                <w:szCs w:val="17"/>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Ending Period:</w:t>
            </w:r>
          </w:p>
        </w:tc>
        <w:tc>
          <w:tcPr>
            <w:tcW w:w="9780" w:type="dxa"/>
            <w:vAlign w:val="bottom"/>
            <w:gridSpan w:val="5"/>
          </w:tcPr>
          <w:p>
            <w:pPr>
              <w:ind w:left="520"/>
              <w:spacing w:after="0"/>
              <w:rPr>
                <w:sz w:val="20"/>
                <w:szCs w:val="20"/>
                <w:color w:val="auto"/>
              </w:rPr>
            </w:pPr>
            <w:r>
              <w:rPr>
                <w:rFonts w:ascii="Arial" w:cs="Arial" w:eastAsia="Arial" w:hAnsi="Arial"/>
                <w:sz w:val="16"/>
                <w:szCs w:val="16"/>
                <w:color w:val="auto"/>
              </w:rPr>
              <w:t>The 60 calendar days immediately before January 1, ______.</w:t>
            </w:r>
          </w:p>
        </w:tc>
      </w:tr>
      <w:tr>
        <w:trPr>
          <w:trHeight w:val="216"/>
        </w:trPr>
        <w:tc>
          <w:tcPr>
            <w:tcW w:w="11380" w:type="dxa"/>
            <w:vAlign w:val="bottom"/>
            <w:gridSpan w:val="6"/>
          </w:tcPr>
          <w:p>
            <w:pPr>
              <w:ind w:left="360"/>
              <w:spacing w:after="0"/>
              <w:rPr>
                <w:sz w:val="20"/>
                <w:szCs w:val="20"/>
                <w:color w:val="auto"/>
              </w:rPr>
            </w:pPr>
            <w:r>
              <w:rPr>
                <w:rFonts w:ascii="Arial" w:cs="Arial" w:eastAsia="Arial" w:hAnsi="Arial"/>
                <w:sz w:val="18"/>
                <w:szCs w:val="18"/>
                <w:color w:val="auto"/>
              </w:rPr>
              <w:t xml:space="preserve">Performance Period: </w:t>
            </w:r>
            <w:r>
              <w:rPr>
                <w:rFonts w:ascii="Arial" w:cs="Arial" w:eastAsia="Arial" w:hAnsi="Arial"/>
                <w:sz w:val="16"/>
                <w:szCs w:val="16"/>
                <w:color w:val="auto"/>
              </w:rPr>
              <w:t>The period ending December 31, ____.</w:t>
            </w:r>
          </w:p>
        </w:tc>
      </w:tr>
      <w:tr>
        <w:trPr>
          <w:trHeight w:val="207"/>
        </w:trPr>
        <w:tc>
          <w:tcPr>
            <w:tcW w:w="1600" w:type="dxa"/>
            <w:vAlign w:val="bottom"/>
          </w:tcPr>
          <w:p>
            <w:pPr>
              <w:spacing w:after="0"/>
              <w:rPr>
                <w:sz w:val="20"/>
                <w:szCs w:val="20"/>
                <w:color w:val="auto"/>
              </w:rPr>
            </w:pPr>
            <w:r>
              <w:rPr>
                <w:rFonts w:ascii="Arial" w:cs="Arial" w:eastAsia="Arial" w:hAnsi="Arial"/>
                <w:sz w:val="18"/>
                <w:szCs w:val="18"/>
                <w:color w:val="auto"/>
              </w:rPr>
              <w:t>Settlement:</w:t>
            </w: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w w:val="95"/>
              </w:rPr>
              <w:t>All vested rTSRUs will settle, and the underlying vested shares of the Company’s Common Stock will be issued to the Participant, subject to</w:t>
            </w:r>
          </w:p>
        </w:tc>
      </w:tr>
      <w:tr>
        <w:trPr>
          <w:trHeight w:val="172"/>
        </w:trPr>
        <w:tc>
          <w:tcPr>
            <w:tcW w:w="1600" w:type="dxa"/>
            <w:vAlign w:val="bottom"/>
          </w:tcPr>
          <w:p>
            <w:pPr>
              <w:spacing w:after="0"/>
              <w:rPr>
                <w:sz w:val="14"/>
                <w:szCs w:val="14"/>
                <w:color w:val="auto"/>
              </w:rPr>
            </w:pPr>
          </w:p>
        </w:tc>
        <w:tc>
          <w:tcPr>
            <w:tcW w:w="9780" w:type="dxa"/>
            <w:vAlign w:val="bottom"/>
            <w:gridSpan w:val="5"/>
          </w:tcPr>
          <w:p>
            <w:pPr>
              <w:ind w:left="320"/>
              <w:spacing w:after="0" w:line="172" w:lineRule="exact"/>
              <w:rPr>
                <w:sz w:val="20"/>
                <w:szCs w:val="20"/>
                <w:color w:val="auto"/>
              </w:rPr>
            </w:pPr>
            <w:r>
              <w:rPr>
                <w:rFonts w:ascii="Arial" w:cs="Arial" w:eastAsia="Arial" w:hAnsi="Arial"/>
                <w:sz w:val="16"/>
                <w:szCs w:val="16"/>
                <w:color w:val="auto"/>
                <w:w w:val="94"/>
              </w:rPr>
              <w:t>Participant’s continued employment with the Company, and subject to tax withholding, on the later date (the “Settlement Date”) of (A) the first</w:t>
            </w:r>
          </w:p>
        </w:tc>
      </w:tr>
      <w:tr>
        <w:trPr>
          <w:trHeight w:val="20"/>
        </w:trPr>
        <w:tc>
          <w:tcPr>
            <w:tcW w:w="1600" w:type="dxa"/>
            <w:vAlign w:val="bottom"/>
          </w:tcPr>
          <w:p>
            <w:pPr>
              <w:spacing w:after="0" w:line="20" w:lineRule="exact"/>
              <w:rPr>
                <w:sz w:val="1"/>
                <w:szCs w:val="1"/>
                <w:color w:val="auto"/>
              </w:rPr>
            </w:pPr>
          </w:p>
        </w:tc>
        <w:tc>
          <w:tcPr>
            <w:tcW w:w="7440" w:type="dxa"/>
            <w:vAlign w:val="bottom"/>
            <w:gridSpan w:val="3"/>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3"/>
        </w:trPr>
        <w:tc>
          <w:tcPr>
            <w:tcW w:w="1600" w:type="dxa"/>
            <w:vAlign w:val="bottom"/>
          </w:tcPr>
          <w:p>
            <w:pPr>
              <w:spacing w:after="0"/>
              <w:rPr>
                <w:sz w:val="18"/>
                <w:szCs w:val="18"/>
                <w:color w:val="auto"/>
              </w:rPr>
            </w:pP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w w:val="93"/>
              </w:rPr>
              <w:t>February 12 (or if such date is not a trading day, then the first trading day thereafter) after the close of the Company’s _____ fiscal year or (B) if</w:t>
            </w:r>
          </w:p>
        </w:tc>
      </w:tr>
      <w:tr>
        <w:trPr>
          <w:trHeight w:val="206"/>
        </w:trPr>
        <w:tc>
          <w:tcPr>
            <w:tcW w:w="1600" w:type="dxa"/>
            <w:vAlign w:val="bottom"/>
          </w:tcPr>
          <w:p>
            <w:pPr>
              <w:spacing w:after="0"/>
              <w:rPr>
                <w:sz w:val="17"/>
                <w:szCs w:val="17"/>
                <w:color w:val="auto"/>
              </w:rPr>
            </w:pPr>
          </w:p>
        </w:tc>
        <w:tc>
          <w:tcPr>
            <w:tcW w:w="9780" w:type="dxa"/>
            <w:vAlign w:val="bottom"/>
            <w:gridSpan w:val="5"/>
          </w:tcPr>
          <w:p>
            <w:pPr>
              <w:ind w:left="320"/>
              <w:spacing w:after="0"/>
              <w:rPr>
                <w:sz w:val="20"/>
                <w:szCs w:val="20"/>
                <w:color w:val="auto"/>
              </w:rPr>
            </w:pPr>
            <w:r>
              <w:rPr>
                <w:rFonts w:ascii="Arial" w:cs="Arial" w:eastAsia="Arial" w:hAnsi="Arial"/>
                <w:sz w:val="16"/>
                <w:szCs w:val="16"/>
                <w:color w:val="auto"/>
                <w:w w:val="95"/>
              </w:rPr>
              <w:t>there is any change in the Company’s fiscal year, the first day of the third calendar month after the close of the Company’s ____ fiscal year.</w:t>
            </w:r>
          </w:p>
        </w:tc>
      </w:tr>
    </w:tbl>
    <w:p>
      <w:pPr>
        <w:spacing w:after="0" w:line="2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By acceptance of this Award, Participant agrees to all the terms and conditions hereof, including, without limitation, those set forth in the Plan and in the accompanying </w:t>
      </w:r>
      <w:r>
        <w:rPr>
          <w:rFonts w:ascii="Arial" w:cs="Arial" w:eastAsia="Arial" w:hAnsi="Arial"/>
          <w:sz w:val="18"/>
          <w:szCs w:val="18"/>
          <w:u w:val="single" w:color="auto"/>
          <w:color w:val="auto"/>
        </w:rPr>
        <w:t>Appendix of rTSRU Definitions and Formulas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Terms and Conditions of rTSRU Award</w:t>
      </w:r>
      <w:r>
        <w:rPr>
          <w:rFonts w:ascii="Arial" w:cs="Arial" w:eastAsia="Arial" w:hAnsi="Arial"/>
          <w:sz w:val="18"/>
          <w:szCs w:val="18"/>
          <w:color w:val="auto"/>
        </w:rPr>
        <w:t>.</w:t>
      </w:r>
    </w:p>
    <w:p>
      <w:pPr>
        <w:spacing w:after="0" w:line="16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ENANTA PHARMACEUTICALS, INC</w:t>
      </w:r>
      <w:r>
        <w:rPr>
          <w:rFonts w:ascii="Arial" w:cs="Arial" w:eastAsia="Arial" w:hAnsi="Arial"/>
          <w:sz w:val="18"/>
          <w:szCs w:val="18"/>
          <w:color w:val="auto"/>
        </w:rPr>
        <w:t>.</w:t>
      </w:r>
    </w:p>
    <w:p>
      <w:pPr>
        <w:spacing w:after="0" w:line="22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By:__________________________</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Name:_______________________</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Title:________________________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337" w:right="139" w:bottom="1440" w:gutter="0" w:footer="0" w:header="0"/>
        </w:sectPr>
      </w:pPr>
    </w:p>
    <w:bookmarkStart w:id="116" w:name="page117"/>
    <w:bookmarkEnd w:id="116"/>
    <w:p>
      <w:pPr>
        <w:jc w:val="center"/>
        <w:ind w:right="-179"/>
        <w:spacing w:after="0"/>
        <w:rPr>
          <w:sz w:val="20"/>
          <w:szCs w:val="20"/>
          <w:color w:val="auto"/>
        </w:rPr>
      </w:pPr>
      <w:r>
        <w:rPr>
          <w:rFonts w:ascii="Arial" w:cs="Arial" w:eastAsia="Arial" w:hAnsi="Arial"/>
          <w:sz w:val="20"/>
          <w:szCs w:val="20"/>
          <w:b w:val="1"/>
          <w:bCs w:val="1"/>
          <w:color w:val="auto"/>
        </w:rPr>
        <w:t>ENANTA PHARMACEUTICALS, INC.</w:t>
      </w: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Appendix of rTSRU Definitions and Formulas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Comparator</w:t>
      </w:r>
    </w:p>
    <w:p>
      <w:pPr>
        <w:spacing w:after="0" w:line="23" w:lineRule="exact"/>
        <w:rPr>
          <w:sz w:val="20"/>
          <w:szCs w:val="20"/>
          <w:color w:val="auto"/>
        </w:rPr>
      </w:pPr>
    </w:p>
    <w:p>
      <w:pPr>
        <w:ind w:left="1300" w:right="680" w:hanging="1159"/>
        <w:spacing w:after="0" w:line="323" w:lineRule="auto"/>
        <w:tabs>
          <w:tab w:leader="none" w:pos="1280" w:val="left"/>
        </w:tabs>
        <w:rPr>
          <w:sz w:val="20"/>
          <w:szCs w:val="20"/>
          <w:color w:val="auto"/>
        </w:rPr>
      </w:pPr>
      <w:r>
        <w:rPr>
          <w:rFonts w:ascii="Arial" w:cs="Arial" w:eastAsia="Arial" w:hAnsi="Arial"/>
          <w:sz w:val="18"/>
          <w:szCs w:val="18"/>
          <w:u w:val="single" w:color="auto"/>
          <w:color w:val="auto"/>
        </w:rPr>
        <w:t>Group</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the list of component companies (each a “Peer Company”, and collectively, the “Peer Companies”) that are in the Nasdaq Biotechnology Index at the beginning and at the end of the Baseline Period, adjusted as follows after the Baseline Period:</w:t>
      </w:r>
    </w:p>
    <w:p>
      <w:pPr>
        <w:spacing w:after="0" w:line="138" w:lineRule="exact"/>
        <w:rPr>
          <w:sz w:val="20"/>
          <w:szCs w:val="20"/>
          <w:color w:val="auto"/>
        </w:rPr>
      </w:pPr>
    </w:p>
    <w:p>
      <w:pPr>
        <w:ind w:left="1960" w:right="360" w:hanging="646"/>
        <w:spacing w:after="0" w:line="258" w:lineRule="auto"/>
        <w:rPr>
          <w:sz w:val="20"/>
          <w:szCs w:val="20"/>
          <w:color w:val="auto"/>
        </w:rPr>
      </w:pPr>
      <w:r>
        <w:rPr>
          <w:rFonts w:ascii="Arial" w:cs="Arial" w:eastAsia="Arial" w:hAnsi="Arial"/>
          <w:sz w:val="18"/>
          <w:szCs w:val="18"/>
          <w:color w:val="auto"/>
        </w:rPr>
        <w:t>(i)in the event of a merger, acquisition or business combination transaction of a Peer Company with or by another Peer Company, the surviving entity shall remain a Peer Company;</w:t>
      </w:r>
    </w:p>
    <w:p>
      <w:pPr>
        <w:spacing w:after="0" w:line="1" w:lineRule="exact"/>
        <w:rPr>
          <w:sz w:val="20"/>
          <w:szCs w:val="20"/>
          <w:color w:val="auto"/>
        </w:rPr>
      </w:pPr>
    </w:p>
    <w:p>
      <w:pPr>
        <w:ind w:left="1960" w:right="40" w:hanging="646"/>
        <w:spacing w:after="0" w:line="264" w:lineRule="auto"/>
        <w:rPr>
          <w:sz w:val="20"/>
          <w:szCs w:val="20"/>
          <w:color w:val="auto"/>
        </w:rPr>
      </w:pPr>
      <w:r>
        <w:rPr>
          <w:rFonts w:ascii="Arial" w:cs="Arial" w:eastAsia="Arial" w:hAnsi="Arial"/>
          <w:sz w:val="17"/>
          <w:szCs w:val="17"/>
          <w:color w:val="auto"/>
        </w:rPr>
        <w:t>(ii)in the event of a merger of a Peer Company with an entity that is not a Peer Company, or the acquisition or business combination transaction by or with a Peer Company or with an entity that is not a Peer Company, in each case where the Peer Company is the surviving entity and remains publicly traded, the surviving entity shall remain a Peer Company;</w:t>
      </w:r>
    </w:p>
    <w:p>
      <w:pPr>
        <w:spacing w:after="0" w:line="2" w:lineRule="exact"/>
        <w:rPr>
          <w:sz w:val="20"/>
          <w:szCs w:val="20"/>
          <w:color w:val="auto"/>
        </w:rPr>
      </w:pPr>
    </w:p>
    <w:p>
      <w:pPr>
        <w:ind w:left="1960" w:right="60" w:hanging="646"/>
        <w:spacing w:after="0" w:line="250" w:lineRule="auto"/>
        <w:rPr>
          <w:sz w:val="20"/>
          <w:szCs w:val="20"/>
          <w:color w:val="auto"/>
        </w:rPr>
      </w:pPr>
      <w:r>
        <w:rPr>
          <w:rFonts w:ascii="Arial" w:cs="Arial" w:eastAsia="Arial" w:hAnsi="Arial"/>
          <w:sz w:val="18"/>
          <w:szCs w:val="18"/>
          <w:color w:val="auto"/>
        </w:rPr>
        <w:t>(iii)in the event of a merger or acquisition or business combination transaction of a Peer Company by or with an entity that is not a Peer Company, a “going private” transaction involving a Peer Company or the liquidation of a Peer Company, in each case where the Peer Company is not the surviving entity or is otherwise no longer publicly traded, the company shall no longer be a Peer Company;</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(iv)in the event of a bankruptcy of a Peer Company, such company shall remain a Peer Company; and</w:t>
      </w:r>
    </w:p>
    <w:p>
      <w:pPr>
        <w:spacing w:after="0" w:line="9" w:lineRule="exact"/>
        <w:rPr>
          <w:sz w:val="20"/>
          <w:szCs w:val="20"/>
          <w:color w:val="auto"/>
        </w:rPr>
      </w:pPr>
    </w:p>
    <w:p>
      <w:pPr>
        <w:ind w:left="1960" w:right="120" w:hanging="646"/>
        <w:spacing w:after="0" w:line="260" w:lineRule="auto"/>
        <w:rPr>
          <w:sz w:val="20"/>
          <w:szCs w:val="20"/>
          <w:color w:val="auto"/>
        </w:rPr>
      </w:pPr>
      <w:r>
        <w:rPr>
          <w:rFonts w:ascii="Arial" w:cs="Arial" w:eastAsia="Arial" w:hAnsi="Arial"/>
          <w:sz w:val="18"/>
          <w:szCs w:val="18"/>
          <w:color w:val="auto"/>
        </w:rPr>
        <w:t>(v)the Peer Companies will not be changed due to any annual or other rebalancing of the Nasdaq Biotechnology Index after the Baseline Period.</w:t>
      </w:r>
    </w:p>
    <w:p>
      <w:pPr>
        <w:spacing w:after="0" w:line="77" w:lineRule="exact"/>
        <w:rPr>
          <w:sz w:val="20"/>
          <w:szCs w:val="20"/>
          <w:color w:val="auto"/>
        </w:rPr>
      </w:pPr>
    </w:p>
    <w:p>
      <w:pPr>
        <w:ind w:left="1300" w:hanging="129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Baseline Price</w:t>
      </w:r>
      <w:r>
        <w:rPr>
          <w:rFonts w:ascii="Arial" w:cs="Arial" w:eastAsia="Arial" w:hAnsi="Arial"/>
          <w:sz w:val="18"/>
          <w:szCs w:val="18"/>
          <w:color w:val="auto"/>
        </w:rPr>
        <w:t>” means, with respect to the Company or any Peer Company, the average daily closing price of the respective company’s common stock for the trading days in the Baseline Period.</w:t>
      </w:r>
    </w:p>
    <w:p>
      <w:pPr>
        <w:spacing w:after="0" w:line="170" w:lineRule="exact"/>
        <w:rPr>
          <w:sz w:val="20"/>
          <w:szCs w:val="20"/>
          <w:color w:val="auto"/>
        </w:rPr>
      </w:pPr>
    </w:p>
    <w:p>
      <w:pPr>
        <w:ind w:left="1300" w:hanging="1294"/>
        <w:spacing w:after="0" w:line="277" w:lineRule="auto"/>
        <w:tabs>
          <w:tab w:leader="none" w:pos="128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Ending Price</w:t>
      </w:r>
      <w:r>
        <w:rPr>
          <w:rFonts w:ascii="Arial" w:cs="Arial" w:eastAsia="Arial" w:hAnsi="Arial"/>
          <w:sz w:val="18"/>
          <w:szCs w:val="18"/>
          <w:color w:val="auto"/>
        </w:rPr>
        <w:t>”</w:t>
        <w:tab/>
        <w:t>means, with respect to the Company or any Peer Company, the average daily closing price of the respective company’s common stock for the trading days in the Ending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rTSRU Shares</w:t>
      </w:r>
      <w:r>
        <w:rPr>
          <w:rFonts w:ascii="Arial" w:cs="Arial" w:eastAsia="Arial" w:hAnsi="Arial"/>
          <w:sz w:val="18"/>
          <w:szCs w:val="18"/>
          <w:color w:val="auto"/>
        </w:rPr>
        <w:t>” means the shares of Common Stock issuable with respect to the rTSRUs subject to the Award.</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total stockholder return (“TSR”) of the Company and of each Peer Company shall be determined by the following formula:</w:t>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TSR = </w:t>
      </w:r>
      <w:r>
        <w:rPr>
          <w:rFonts w:ascii="Arial" w:cs="Arial" w:eastAsia="Arial" w:hAnsi="Arial"/>
          <w:sz w:val="18"/>
          <w:szCs w:val="18"/>
          <w:u w:val="single" w:color="auto"/>
          <w:color w:val="auto"/>
        </w:rPr>
        <w:t>(Ending Price – Baseline Price) + Reinvested Dividends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Baseline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46" w:right="419" w:bottom="1440" w:gutter="0" w:footer="0" w:header="0"/>
        </w:sectPr>
      </w:pPr>
    </w:p>
    <w:bookmarkStart w:id="117" w:name="page118"/>
    <w:bookmarkEnd w:id="117"/>
    <w:p>
      <w:pPr>
        <w:ind w:left="1620" w:right="600"/>
        <w:spacing w:after="0" w:line="341" w:lineRule="auto"/>
        <w:rPr>
          <w:sz w:val="20"/>
          <w:szCs w:val="20"/>
          <w:color w:val="auto"/>
        </w:rPr>
      </w:pPr>
      <w:r>
        <w:rPr>
          <w:rFonts w:ascii="Arial" w:cs="Arial" w:eastAsia="Arial" w:hAnsi="Arial"/>
          <w:sz w:val="16"/>
          <w:szCs w:val="16"/>
          <w:color w:val="auto"/>
        </w:rPr>
        <w:t>Provided, that, if the Company or any Peer Company pays a cash dividend during the Performance Period, the dividend shall be deemed to be reinvested in the issuer’s common stock as of the dividend payment date (a “Reinvested Dividend”) .</w:t>
      </w:r>
    </w:p>
    <w:p>
      <w:pPr>
        <w:spacing w:after="0" w:line="125" w:lineRule="exact"/>
        <w:rPr>
          <w:sz w:val="20"/>
          <w:szCs w:val="20"/>
          <w:color w:val="auto"/>
        </w:rPr>
      </w:pPr>
    </w:p>
    <w:p>
      <w:pPr>
        <w:ind w:left="1300" w:right="120" w:hanging="1294"/>
        <w:spacing w:after="0" w:line="263" w:lineRule="auto"/>
        <w:tabs>
          <w:tab w:leader="none" w:pos="1280" w:val="left"/>
        </w:tabs>
        <w:rPr>
          <w:sz w:val="20"/>
          <w:szCs w:val="20"/>
          <w:color w:val="auto"/>
        </w:rPr>
      </w:pPr>
      <w:r>
        <w:rPr>
          <w:rFonts w:ascii="Arial" w:cs="Arial" w:eastAsia="Arial" w:hAnsi="Arial"/>
          <w:sz w:val="18"/>
          <w:szCs w:val="18"/>
          <w:color w:val="auto"/>
        </w:rPr>
        <w:t>“r</w:t>
      </w:r>
      <w:r>
        <w:rPr>
          <w:rFonts w:ascii="Arial" w:cs="Arial" w:eastAsia="Arial" w:hAnsi="Arial"/>
          <w:sz w:val="18"/>
          <w:szCs w:val="18"/>
          <w:u w:val="single" w:color="auto"/>
          <w:color w:val="auto"/>
        </w:rPr>
        <w:t>TSR</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 the Company’s TSR relative to the TSR of each of the Peer Companies. The rTSR will be determined by ranking the Company and the Peer Companies from highest to lowest according to their respective TSRs. After this ranking, the percentile performance of the Company relative to the Peer Companies will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-11430</wp:posOffset>
            </wp:positionV>
            <wp:extent cx="770890" cy="3511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70890" cy="3511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ind w:left="1620" w:right="100"/>
        <w:spacing w:after="0" w:line="250" w:lineRule="auto"/>
        <w:rPr>
          <w:sz w:val="20"/>
          <w:szCs w:val="20"/>
          <w:color w:val="auto"/>
        </w:rPr>
      </w:pPr>
      <w:r>
        <w:rPr>
          <w:rFonts w:ascii="Arial" w:cs="Arial" w:eastAsia="Arial" w:hAnsi="Arial"/>
          <w:sz w:val="18"/>
          <w:szCs w:val="18"/>
          <w:color w:val="auto"/>
        </w:rPr>
        <w:t>“P” represents the percentile performance which will be rounded, if necessary, to the nearest whole percentile by application of regular rounding.</w:t>
      </w:r>
    </w:p>
    <w:p>
      <w:pPr>
        <w:ind w:left="1620"/>
        <w:spacing w:after="0"/>
        <w:rPr>
          <w:sz w:val="20"/>
          <w:szCs w:val="20"/>
          <w:color w:val="auto"/>
        </w:rPr>
      </w:pPr>
      <w:r>
        <w:rPr>
          <w:rFonts w:ascii="Arial" w:cs="Arial" w:eastAsia="Arial" w:hAnsi="Arial"/>
          <w:sz w:val="18"/>
          <w:szCs w:val="18"/>
          <w:color w:val="auto"/>
        </w:rPr>
        <w:t>“N” represents the number of companies in the Comparator Group, including the Company.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 represents Company’s ranking among the companies in the Comparator Group.</w:t>
      </w:r>
    </w:p>
    <w:p>
      <w:pPr>
        <w:spacing w:after="0" w:line="210" w:lineRule="exact"/>
        <w:rPr>
          <w:sz w:val="20"/>
          <w:szCs w:val="20"/>
          <w:color w:val="auto"/>
        </w:rPr>
      </w:pPr>
    </w:p>
    <w:p>
      <w:pPr>
        <w:ind w:left="1300" w:right="420"/>
        <w:spacing w:after="0" w:line="277" w:lineRule="auto"/>
        <w:rPr>
          <w:sz w:val="20"/>
          <w:szCs w:val="20"/>
          <w:color w:val="auto"/>
        </w:rPr>
      </w:pPr>
      <w:r>
        <w:rPr>
          <w:rFonts w:ascii="Arial" w:cs="Arial" w:eastAsia="Arial" w:hAnsi="Arial"/>
          <w:sz w:val="18"/>
          <w:szCs w:val="18"/>
          <w:b w:val="1"/>
          <w:bCs w:val="1"/>
          <w:i w:val="1"/>
          <w:iCs w:val="1"/>
          <w:color w:val="auto"/>
        </w:rPr>
        <w:t xml:space="preserve">Example: </w:t>
      </w:r>
      <w:r>
        <w:rPr>
          <w:rFonts w:ascii="Arial" w:cs="Arial" w:eastAsia="Arial" w:hAnsi="Arial"/>
          <w:sz w:val="18"/>
          <w:szCs w:val="18"/>
          <w:color w:val="auto"/>
        </w:rPr>
        <w:t>If there are 24 Peer Companies, and the Company ranked 7</w:t>
      </w:r>
      <w:r>
        <w:rPr>
          <w:rFonts w:ascii="Arial" w:cs="Arial" w:eastAsia="Arial" w:hAnsi="Arial"/>
          <w:sz w:val="15"/>
          <w:szCs w:val="15"/>
          <w:color w:val="auto"/>
        </w:rPr>
        <w:t>th</w:t>
      </w:r>
      <w:r>
        <w:rPr>
          <w:rFonts w:ascii="Arial" w:cs="Arial" w:eastAsia="Arial" w:hAnsi="Arial"/>
          <w:sz w:val="18"/>
          <w:szCs w:val="18"/>
          <w:color w:val="auto"/>
        </w:rPr>
        <w:t>, the performance would be at the 75</w:t>
      </w:r>
      <w:r>
        <w:rPr>
          <w:rFonts w:ascii="Arial" w:cs="Arial" w:eastAsia="Arial" w:hAnsi="Arial"/>
          <w:sz w:val="15"/>
          <w:szCs w:val="15"/>
          <w:color w:val="auto"/>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percentile: .75 = 1 – ((7-1)/(25-1)).</w:t>
      </w:r>
    </w:p>
    <w:p>
      <w:pPr>
        <w:spacing w:after="0" w:line="170" w:lineRule="exact"/>
        <w:rPr>
          <w:sz w:val="20"/>
          <w:szCs w:val="20"/>
          <w:color w:val="auto"/>
        </w:rPr>
      </w:pPr>
    </w:p>
    <w:p>
      <w:pPr>
        <w:ind w:left="1300" w:right="420"/>
        <w:spacing w:after="0" w:line="255" w:lineRule="auto"/>
        <w:rPr>
          <w:sz w:val="20"/>
          <w:szCs w:val="20"/>
          <w:color w:val="auto"/>
        </w:rPr>
      </w:pPr>
      <w:r>
        <w:rPr>
          <w:rFonts w:ascii="Arial" w:cs="Arial" w:eastAsia="Arial" w:hAnsi="Arial"/>
          <w:sz w:val="18"/>
          <w:szCs w:val="18"/>
          <w:color w:val="auto"/>
        </w:rPr>
        <w:t xml:space="preserve">rTSR will be calculated by the Compensation Committee of the Board of Directors of the Company based on the terms set forth in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in the Compensation Committee’s sole and absolute discretion, provided that in no event shall the Compensation Committee take any action that</w:t>
      </w:r>
    </w:p>
    <w:p>
      <w:pPr>
        <w:spacing w:after="0" w:line="2" w:lineRule="exact"/>
        <w:rPr>
          <w:sz w:val="20"/>
          <w:szCs w:val="20"/>
          <w:color w:val="auto"/>
        </w:rPr>
      </w:pPr>
    </w:p>
    <w:p>
      <w:pPr>
        <w:ind w:left="1300" w:right="100"/>
        <w:spacing w:after="0" w:line="260" w:lineRule="auto"/>
        <w:rPr>
          <w:sz w:val="20"/>
          <w:szCs w:val="20"/>
          <w:color w:val="auto"/>
        </w:rPr>
      </w:pPr>
      <w:r>
        <w:rPr>
          <w:rFonts w:ascii="Arial" w:cs="Arial" w:eastAsia="Arial" w:hAnsi="Arial"/>
          <w:sz w:val="18"/>
          <w:szCs w:val="18"/>
          <w:color w:val="auto"/>
        </w:rPr>
        <w:t>would constitute “positive discretion” with respect to this Award, which is intended to qualify as “performance-based compensation” under Section 162(m) of the Internal Revenue Code.</w:t>
      </w:r>
    </w:p>
    <w:p>
      <w:pPr>
        <w:spacing w:after="0" w:line="185" w:lineRule="exact"/>
        <w:rPr>
          <w:sz w:val="20"/>
          <w:szCs w:val="20"/>
          <w:color w:val="auto"/>
        </w:rPr>
      </w:pPr>
    </w:p>
    <w:p>
      <w:pPr>
        <w:ind w:left="1300"/>
        <w:spacing w:after="0" w:line="263" w:lineRule="auto"/>
        <w:rPr>
          <w:sz w:val="20"/>
          <w:szCs w:val="20"/>
          <w:color w:val="auto"/>
        </w:rPr>
      </w:pPr>
      <w:r>
        <w:rPr>
          <w:rFonts w:ascii="Arial" w:cs="Arial" w:eastAsia="Arial" w:hAnsi="Arial"/>
          <w:sz w:val="18"/>
          <w:szCs w:val="18"/>
          <w:color w:val="auto"/>
        </w:rPr>
        <w:t>In the event of a payout percentage level above 100%, Participant will be awarded additional rTSRU Shares so that the total number of rTSRU Shares that vest (excluding dividend equivalent rTSRU Shares) equals the Target Number of rTSRU Shares multiplied by the payout percentage level.</w:t>
      </w:r>
    </w:p>
    <w:p>
      <w:pPr>
        <w:spacing w:after="0" w:line="183" w:lineRule="exact"/>
        <w:rPr>
          <w:sz w:val="20"/>
          <w:szCs w:val="20"/>
          <w:color w:val="auto"/>
        </w:rPr>
      </w:pPr>
    </w:p>
    <w:p>
      <w:pPr>
        <w:jc w:val="both"/>
        <w:ind w:left="1300" w:right="300"/>
        <w:spacing w:after="0" w:line="263" w:lineRule="auto"/>
        <w:rPr>
          <w:sz w:val="20"/>
          <w:szCs w:val="20"/>
          <w:color w:val="auto"/>
        </w:rPr>
      </w:pPr>
      <w:r>
        <w:rPr>
          <w:rFonts w:ascii="Arial" w:cs="Arial" w:eastAsia="Arial" w:hAnsi="Arial"/>
          <w:sz w:val="18"/>
          <w:szCs w:val="18"/>
          <w:color w:val="auto"/>
        </w:rPr>
        <w:t>In no event shall the number of rTSRU Shares issued exceed 200% of the Target Number of rTSRU Shares; provided that any dividend equivalent rTSRU Shares issued with respect to Common Stock that are earned during the Performance Period will not count toward the 200% limit.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equivalent</w:t>
      </w:r>
    </w:p>
    <w:p>
      <w:pPr>
        <w:spacing w:after="0" w:line="9" w:lineRule="exact"/>
        <w:rPr>
          <w:sz w:val="20"/>
          <w:szCs w:val="20"/>
          <w:color w:val="auto"/>
        </w:rPr>
      </w:pPr>
    </w:p>
    <w:p>
      <w:pPr>
        <w:ind w:left="1300" w:right="100" w:hanging="1294"/>
        <w:spacing w:after="0" w:line="255" w:lineRule="auto"/>
        <w:tabs>
          <w:tab w:leader="none" w:pos="1280" w:val="left"/>
        </w:tabs>
        <w:rPr>
          <w:sz w:val="20"/>
          <w:szCs w:val="20"/>
          <w:color w:val="auto"/>
        </w:rPr>
      </w:pPr>
      <w:r>
        <w:rPr>
          <w:rFonts w:ascii="Arial" w:cs="Arial" w:eastAsia="Arial" w:hAnsi="Arial"/>
          <w:sz w:val="18"/>
          <w:szCs w:val="18"/>
          <w:u w:val="single" w:color="auto"/>
          <w:color w:val="auto"/>
        </w:rPr>
        <w:t>rTSRUs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 additional rTSRUs that will be credited to Participant’s account in accordance with the following provisions if, and only if, any cash dividends are paid on the Company’s Common Stock during the period from the beginning of the Performance Period through the Settlement Date.</w:t>
      </w:r>
    </w:p>
    <w:p>
      <w:pPr>
        <w:spacing w:after="0" w:line="189" w:lineRule="exact"/>
        <w:rPr>
          <w:sz w:val="20"/>
          <w:szCs w:val="20"/>
          <w:color w:val="auto"/>
        </w:rPr>
      </w:pPr>
    </w:p>
    <w:p>
      <w:pPr>
        <w:ind w:left="1300" w:right="80"/>
        <w:spacing w:after="0" w:line="272" w:lineRule="auto"/>
        <w:rPr>
          <w:sz w:val="20"/>
          <w:szCs w:val="20"/>
          <w:color w:val="auto"/>
        </w:rPr>
      </w:pPr>
      <w:r>
        <w:rPr>
          <w:rFonts w:ascii="Arial" w:cs="Arial" w:eastAsia="Arial" w:hAnsi="Arial"/>
          <w:sz w:val="17"/>
          <w:szCs w:val="17"/>
          <w:color w:val="auto"/>
        </w:rPr>
        <w:t xml:space="preserve">As of any dividend payment date for the Company’s Common Stock, the additional rTSRUs to be credited to Participant’s account will be equal in number to the number of shares of Common Stock that could be bought with the cash dividends that would be paid on the rTSRUs in Participant’s account if each rTSRU were a share of Common Stock. The number of shares of Common Stock that could be bought with the cash dividends will be calculated based on the fair market value of a share of Common Stock on the applicable dividend payment date, which for this purpose will be the average of the high and the low per share trading prices for the Common Stock as reported in </w:t>
      </w:r>
      <w:r>
        <w:rPr>
          <w:rFonts w:ascii="Arial" w:cs="Arial" w:eastAsia="Arial" w:hAnsi="Arial"/>
          <w:sz w:val="17"/>
          <w:szCs w:val="17"/>
          <w:i w:val="1"/>
          <w:iCs w:val="1"/>
          <w:color w:val="auto"/>
        </w:rPr>
        <w:t>The Wall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Street Journal </w:t>
      </w:r>
      <w:r>
        <w:rPr>
          <w:rFonts w:ascii="Arial" w:cs="Arial" w:eastAsia="Arial" w:hAnsi="Arial"/>
          <w:sz w:val="17"/>
          <w:szCs w:val="17"/>
          <w:color w:val="auto"/>
        </w:rPr>
        <w:t>for the specific dividend payment date, or in such other source as the Company deems reliable. The number of rTSRUs that</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from the calculation will be calculated to two decimal places.</w:t>
      </w:r>
    </w:p>
    <w:p>
      <w:pPr>
        <w:spacing w:after="0" w:line="176" w:lineRule="exact"/>
        <w:rPr>
          <w:sz w:val="20"/>
          <w:szCs w:val="20"/>
          <w:color w:val="auto"/>
        </w:rPr>
      </w:pPr>
    </w:p>
    <w:p>
      <w:pPr>
        <w:ind w:left="1300" w:right="80"/>
        <w:spacing w:after="0" w:line="272" w:lineRule="auto"/>
        <w:rPr>
          <w:sz w:val="20"/>
          <w:szCs w:val="20"/>
          <w:color w:val="auto"/>
        </w:rPr>
      </w:pPr>
      <w:r>
        <w:rPr>
          <w:rFonts w:ascii="Arial" w:cs="Arial" w:eastAsia="Arial" w:hAnsi="Arial"/>
          <w:sz w:val="17"/>
          <w:szCs w:val="17"/>
          <w:color w:val="auto"/>
        </w:rPr>
        <w:t>Dividend equivalent rTSRUs will vest at the same time and in the same manner as the rTSRUs with which they are associated. Dividend equivalent rTSRUs will be adjusted in accordance with the payout level percentage determined under Section 3(a) in the same manner as the rTSRUs with which they are associated. Accumulated dividend equivalent rTSRUs will be multiplied by the same payout percentage level, as the Target Number of rTSRUs, and dividend equivalent rTSRUs will be added or forfeited, as necessary, so that the total dividend equivalent rTSRUs which vest as of the Vesting Date will equal the dividend equivalent rTSRUs which accumulate during the Performance Period multiplied by the payout percentage level, and any shares of Common Stock ultimately issued with respect to dividend equivalent rTSRUs will be “dividend equivalent rTSRU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8" w:name="page119"/>
    <w:bookmarkEnd w:id="118"/>
    <w:p>
      <w:pPr>
        <w:ind w:left="4232"/>
        <w:spacing w:after="0"/>
        <w:rPr>
          <w:sz w:val="20"/>
          <w:szCs w:val="20"/>
          <w:color w:val="auto"/>
        </w:rPr>
      </w:pPr>
      <w:r>
        <w:rPr>
          <w:rFonts w:ascii="Arial" w:cs="Arial" w:eastAsia="Arial" w:hAnsi="Arial"/>
          <w:sz w:val="18"/>
          <w:szCs w:val="18"/>
          <w:b w:val="1"/>
          <w:bCs w:val="1"/>
          <w:color w:val="auto"/>
        </w:rPr>
        <w:t>ENANTA PHARACEUTICALS, INC.</w:t>
      </w:r>
    </w:p>
    <w:p>
      <w:pPr>
        <w:spacing w:after="0" w:line="27" w:lineRule="exact"/>
        <w:rPr>
          <w:sz w:val="20"/>
          <w:szCs w:val="20"/>
          <w:color w:val="auto"/>
        </w:rPr>
      </w:pPr>
    </w:p>
    <w:p>
      <w:pPr>
        <w:ind w:left="4172"/>
        <w:spacing w:after="0"/>
        <w:rPr>
          <w:sz w:val="20"/>
          <w:szCs w:val="20"/>
          <w:color w:val="auto"/>
        </w:rPr>
      </w:pPr>
      <w:r>
        <w:rPr>
          <w:rFonts w:ascii="Arial" w:cs="Arial" w:eastAsia="Arial" w:hAnsi="Arial"/>
          <w:sz w:val="18"/>
          <w:szCs w:val="18"/>
          <w:b w:val="1"/>
          <w:bCs w:val="1"/>
          <w:u w:val="single" w:color="auto"/>
          <w:color w:val="auto"/>
        </w:rPr>
        <w:t>Terms and Conditions of rTSRU Award</w:t>
      </w:r>
    </w:p>
    <w:p>
      <w:pPr>
        <w:spacing w:after="0" w:line="210" w:lineRule="exact"/>
        <w:rPr>
          <w:sz w:val="20"/>
          <w:szCs w:val="20"/>
          <w:color w:val="auto"/>
        </w:rPr>
      </w:pPr>
    </w:p>
    <w:p>
      <w:pPr>
        <w:ind w:left="-8" w:right="60" w:firstLine="8"/>
        <w:spacing w:after="0" w:line="259" w:lineRule="auto"/>
        <w:tabs>
          <w:tab w:leader="none" w:pos="172"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The Plan</w:t>
      </w:r>
      <w:r>
        <w:rPr>
          <w:rFonts w:ascii="Arial" w:cs="Arial" w:eastAsia="Arial" w:hAnsi="Arial"/>
          <w:sz w:val="18"/>
          <w:szCs w:val="18"/>
          <w:color w:val="auto"/>
        </w:rPr>
        <w:t>. In the event of any conflict between the terms of the Plan and this Award, the terms of the Plan shall govern. The Committee administers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and its determinations regarding the operation of the Plan are final. Subject to the limitations set forth in the Plan, the Committee may amend the Plan or this Award. Capitalized terms used but not defined herein shall have the meaning set forth in the Plan. Copies of the Plan may be obtained upon written request without charge from the Secretary of the Company.</w:t>
      </w:r>
    </w:p>
    <w:p>
      <w:pPr>
        <w:spacing w:after="0" w:line="185" w:lineRule="exact"/>
        <w:rPr>
          <w:rFonts w:ascii="Arial" w:cs="Arial" w:eastAsia="Arial" w:hAnsi="Arial"/>
          <w:sz w:val="18"/>
          <w:szCs w:val="18"/>
          <w:color w:val="auto"/>
        </w:rPr>
      </w:pPr>
    </w:p>
    <w:p>
      <w:pPr>
        <w:ind w:left="-8" w:right="240" w:firstLine="8"/>
        <w:spacing w:after="0" w:line="279" w:lineRule="auto"/>
        <w:tabs>
          <w:tab w:leader="none" w:pos="172"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No Rights as Stockholder or Employee</w:t>
      </w:r>
      <w:r>
        <w:rPr>
          <w:rFonts w:ascii="Arial" w:cs="Arial" w:eastAsia="Arial" w:hAnsi="Arial"/>
          <w:sz w:val="17"/>
          <w:szCs w:val="17"/>
          <w:color w:val="auto"/>
        </w:rPr>
        <w:t>. Participant shall not have any of the rights or privileges of a stockholder of the Company with respect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rTSRUs granted pursuant to this Award unless and until shares of Common Stock have been issued and delivered to Participant. The rights of Participant with respect to the rTSRUs shall remain forfeitable at all times prior to the date on which such rights vest and settle in accordance with Sections 3, 4 and 6. Participant shall not have any rights to continued employment by the Company by virtue of the grant of this Award.</w:t>
      </w:r>
    </w:p>
    <w:p>
      <w:pPr>
        <w:spacing w:after="0" w:line="170" w:lineRule="exact"/>
        <w:rPr>
          <w:rFonts w:ascii="Arial" w:cs="Arial" w:eastAsia="Arial" w:hAnsi="Arial"/>
          <w:sz w:val="17"/>
          <w:szCs w:val="17"/>
          <w:color w:val="auto"/>
        </w:rPr>
      </w:pPr>
    </w:p>
    <w:p>
      <w:pPr>
        <w:ind w:left="-8" w:firstLine="8"/>
        <w:spacing w:after="0" w:line="293" w:lineRule="auto"/>
        <w:tabs>
          <w:tab w:leader="none" w:pos="172"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Settlement of rTSRUs: Issuance of Common Stock</w:t>
      </w:r>
      <w:r>
        <w:rPr>
          <w:rFonts w:ascii="Arial" w:cs="Arial" w:eastAsia="Arial" w:hAnsi="Arial"/>
          <w:sz w:val="16"/>
          <w:szCs w:val="16"/>
          <w:color w:val="auto"/>
        </w:rPr>
        <w:t>. No shares of Common Stock shall be issued to Participant except to the extent that the rTSRUs vest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 Vesting Schedule, which is set forth on the accompanying certificate for this Award. Subject to Section 7 below, and only if Participant remains continuously employed by the Company until the Settlement Date (except as set forth in Section 4 and 6 below), the Company shall deliver to Participant, on or promptly after the Settlement Date, the vested shares of Common Stock represented by the whole rTSRUs that have vested on or before such date. The value of any fractional share of Common Stock that is vested shall be paid in cash at the time the whole shares are delivered to Participant. The shares of Common Stock issued on settlement of vested rTSRUs shall be free of all restrictions on transferability and forfeiture under this Award.</w:t>
      </w:r>
    </w:p>
    <w:p>
      <w:pPr>
        <w:spacing w:after="0" w:line="163" w:lineRule="exact"/>
        <w:rPr>
          <w:rFonts w:ascii="Arial" w:cs="Arial" w:eastAsia="Arial" w:hAnsi="Arial"/>
          <w:sz w:val="16"/>
          <w:szCs w:val="16"/>
          <w:color w:val="auto"/>
        </w:rPr>
      </w:pPr>
    </w:p>
    <w:p>
      <w:pPr>
        <w:ind w:left="-8" w:right="20" w:firstLine="8"/>
        <w:spacing w:after="0" w:line="255" w:lineRule="auto"/>
        <w:tabs>
          <w:tab w:leader="none" w:pos="172"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due to Disability, or Death. </w:t>
      </w:r>
      <w:r>
        <w:rPr>
          <w:rFonts w:ascii="Arial" w:cs="Arial" w:eastAsia="Arial" w:hAnsi="Arial"/>
          <w:sz w:val="18"/>
          <w:szCs w:val="18"/>
          <w:color w:val="auto"/>
        </w:rPr>
        <w:t>In the event Participant’s employment is terminated by reason of disability or death before the Settlement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vesting of the rTSRUs, including any dividend equivalent rTSRUs, will be prorated based on the number of days during the Performance Period that the Participant was on the payroll of the Company as an active employee. Issuance of any rTSRU Shares will be made at the same time as settlement would have been made had Participant not had a termination of employment, and the vesting of any rTSRUs will in all respects be subject to the Company’s actual rTSR achieved during the full Performance Period. "Disability" means a disability entitling Participant to benefits under the long-term disability policy sponsored by the Company that applies to Participant.</w:t>
      </w:r>
    </w:p>
    <w:p>
      <w:pPr>
        <w:spacing w:after="0" w:line="191" w:lineRule="exact"/>
        <w:rPr>
          <w:rFonts w:ascii="Arial" w:cs="Arial" w:eastAsia="Arial" w:hAnsi="Arial"/>
          <w:sz w:val="18"/>
          <w:szCs w:val="18"/>
          <w:color w:val="auto"/>
        </w:rPr>
      </w:pPr>
    </w:p>
    <w:p>
      <w:pPr>
        <w:jc w:val="both"/>
        <w:ind w:left="-8" w:right="40" w:firstLine="8"/>
        <w:spacing w:after="0" w:line="311" w:lineRule="auto"/>
        <w:tabs>
          <w:tab w:leader="none" w:pos="172"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Termination of Employment</w:t>
      </w:r>
      <w:r>
        <w:rPr>
          <w:rFonts w:ascii="Arial" w:cs="Arial" w:eastAsia="Arial" w:hAnsi="Arial"/>
          <w:sz w:val="16"/>
          <w:szCs w:val="16"/>
          <w:color w:val="auto"/>
        </w:rPr>
        <w:t>. If, prior to settlement of the rTSRUs on the Settlement Date, Participant ceases to be an employee of the Company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reason (voluntary or involuntary), then, except as set forth in Section 4 above, Participant’s rights to all of the unvested rTSRUs shall be immediately and irrevocably forfeited. Dividend-equivalent rTSRUs will be forfeited and canceled along with the rTSRUs with which they are associated.</w:t>
      </w:r>
    </w:p>
    <w:p>
      <w:pPr>
        <w:spacing w:after="0" w:line="148" w:lineRule="exact"/>
        <w:rPr>
          <w:rFonts w:ascii="Arial" w:cs="Arial" w:eastAsia="Arial" w:hAnsi="Arial"/>
          <w:sz w:val="16"/>
          <w:szCs w:val="16"/>
          <w:color w:val="auto"/>
        </w:rPr>
      </w:pPr>
    </w:p>
    <w:p>
      <w:pPr>
        <w:ind w:left="-8" w:right="20" w:firstLine="8"/>
        <w:spacing w:after="0" w:line="291" w:lineRule="auto"/>
        <w:tabs>
          <w:tab w:leader="none" w:pos="172"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In the event of a Change in Control (as such term is defined in the Participant’s employment agreement) affecting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Common Stock, the Committee (i) shall provide for the acceleration of any time period relating to the payment of the Award and shall issue a number of rTSRU Shares calculated based on the actual performance of Enanta common stock and the other companies in the Comparator Group as of the Adjusted Ending Date using Ending Prices based on the earlier of December 31, 2018 or the date of the Change in Control (using as the last day of the 60-day measurement period for the Ending Price in the case of an earlier Change in Control, the second trading day before the closing of the Change in Control transaction (the “Adjusted Ending Date”), subject to applicable tax withholding, or (ii) provide for payment to the Participant of cash or other property with a fair market value equal to the number of rTSRU Shares calculated as provided in the preceding clause (i).</w:t>
      </w:r>
    </w:p>
    <w:p>
      <w:pPr>
        <w:spacing w:after="0" w:line="165" w:lineRule="exact"/>
        <w:rPr>
          <w:rFonts w:ascii="Arial" w:cs="Arial" w:eastAsia="Arial" w:hAnsi="Arial"/>
          <w:sz w:val="16"/>
          <w:szCs w:val="16"/>
          <w:color w:val="auto"/>
        </w:rPr>
      </w:pPr>
    </w:p>
    <w:p>
      <w:pPr>
        <w:ind w:left="-8" w:right="380" w:firstLine="8"/>
        <w:spacing w:after="0" w:line="286" w:lineRule="auto"/>
        <w:tabs>
          <w:tab w:leader="none" w:pos="172"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Adjustments in Number of Shares Subject to the Award. </w:t>
      </w:r>
      <w:r>
        <w:rPr>
          <w:rFonts w:ascii="Arial" w:cs="Arial" w:eastAsia="Arial" w:hAnsi="Arial"/>
          <w:sz w:val="17"/>
          <w:szCs w:val="17"/>
          <w:color w:val="auto"/>
        </w:rPr>
        <w:t>The number of shares of Common Stock issuable pursuant to this Award will be adjusted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proportionately for any increase or decrease in the number of issued shares of Common Stock resulting from any stock split, combination or exchange of shares, consolidation, spin-off or recapitalization of shares, or any similar capital adjustment or the payment of any stock dividend.</w:t>
      </w:r>
    </w:p>
    <w:p>
      <w:pPr>
        <w:spacing w:after="0" w:line="164" w:lineRule="exact"/>
        <w:rPr>
          <w:rFonts w:ascii="Arial" w:cs="Arial" w:eastAsia="Arial" w:hAnsi="Arial"/>
          <w:sz w:val="17"/>
          <w:szCs w:val="17"/>
          <w:color w:val="auto"/>
        </w:rPr>
      </w:pPr>
    </w:p>
    <w:p>
      <w:pPr>
        <w:ind w:left="-8" w:right="280" w:firstLine="8"/>
        <w:spacing w:after="0" w:line="277" w:lineRule="auto"/>
        <w:tabs>
          <w:tab w:leader="none" w:pos="172"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Restriction on Transfer</w:t>
      </w:r>
      <w:r>
        <w:rPr>
          <w:rFonts w:ascii="Arial" w:cs="Arial" w:eastAsia="Arial" w:hAnsi="Arial"/>
          <w:sz w:val="18"/>
          <w:szCs w:val="18"/>
          <w:color w:val="auto"/>
        </w:rPr>
        <w:t>. The rTSRUs are not transferable by Participant otherwise than by will or the laws of descent and distribution. The naming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Beneficiary does not constitute a transfer.</w:t>
      </w:r>
    </w:p>
    <w:p>
      <w:pPr>
        <w:spacing w:after="0" w:line="169" w:lineRule="exact"/>
        <w:rPr>
          <w:rFonts w:ascii="Arial" w:cs="Arial" w:eastAsia="Arial" w:hAnsi="Arial"/>
          <w:sz w:val="18"/>
          <w:szCs w:val="18"/>
          <w:color w:val="auto"/>
        </w:rPr>
      </w:pPr>
    </w:p>
    <w:p>
      <w:pPr>
        <w:ind w:left="-8" w:right="360" w:firstLine="8"/>
        <w:spacing w:after="0" w:line="286" w:lineRule="auto"/>
        <w:tabs>
          <w:tab w:leader="none" w:pos="172"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Income Tax Matters</w:t>
      </w:r>
      <w:r>
        <w:rPr>
          <w:rFonts w:ascii="Arial" w:cs="Arial" w:eastAsia="Arial" w:hAnsi="Arial"/>
          <w:sz w:val="17"/>
          <w:szCs w:val="17"/>
          <w:color w:val="auto"/>
        </w:rPr>
        <w:t>. In order to comply with all withholding requirements under applicable federal and state income tax laws and regulations,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shall withhold such number of the rTSRU Shares otherwise issuable on the Settlement Date, valued at their fair market value on the Settlement Date, as the Company determines is appropriate consistent with then applicable federal and state income tax withholding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1" w:right="259" w:bottom="1440" w:gutter="0" w:footer="0" w:header="0"/>
        </w:sectPr>
      </w:pPr>
    </w:p>
    <w:bookmarkStart w:id="119" w:name="page120"/>
    <w:bookmarkEnd w:id="119"/>
    <w:p>
      <w:pPr>
        <w:ind w:right="60" w:firstLine="8"/>
        <w:spacing w:after="0" w:line="254" w:lineRule="auto"/>
        <w:tabs>
          <w:tab w:leader="none" w:pos="269"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In the event that the Committee determines that any amounts will be immediately taxable to Participant under Section 409A of the Code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related Department of Treasury guidance (or subject Participant to a penalty tax thereunder) in connection with the grant, vesting or settlement of the rTSRUs or any provision of this Award or the Plan, the Company may (i) adopt such amendments to this Award (having prospective or retroactive effect) that the Committee determines to be necessary or appropriate to preserve the intended tax treatment of the rTSRUs and/or (ii) take such other actions as the Committee determines to be necessary or appropriate to comply with the requirements of Section 409A of the Code and related Department of Treasury guidance, including such Department of Treasury guidance and other interpretive materials as may be issued after the date on which such rTSRUs were awarded.</w:t>
      </w:r>
    </w:p>
    <w:p>
      <w:pPr>
        <w:spacing w:after="0" w:line="193" w:lineRule="exact"/>
        <w:rPr>
          <w:rFonts w:ascii="Arial" w:cs="Arial" w:eastAsia="Arial" w:hAnsi="Arial"/>
          <w:sz w:val="18"/>
          <w:szCs w:val="18"/>
          <w:color w:val="auto"/>
        </w:rPr>
      </w:pPr>
    </w:p>
    <w:p>
      <w:pPr>
        <w:ind w:firstLine="8"/>
        <w:spacing w:after="0" w:line="271" w:lineRule="auto"/>
        <w:tabs>
          <w:tab w:leader="none" w:pos="263"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Conditions for Issuance of Shares</w:t>
      </w:r>
      <w:r>
        <w:rPr>
          <w:rFonts w:ascii="Arial" w:cs="Arial" w:eastAsia="Arial" w:hAnsi="Arial"/>
          <w:sz w:val="17"/>
          <w:szCs w:val="17"/>
          <w:color w:val="auto"/>
        </w:rPr>
        <w:t>. The Company shall not be required to deliver any shares of Common Stock upon vesting of any rTSRUs until (i)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Common Stock have been admitted to listing on all stock exchanges on which the Common Stock is then listed and (ii) the requirements of any federal or state securities laws, rules or regulations or other laws or rules (including the rules of any securities exchange) as may be determined by the Company to be applicable are satisfied, provided however, that the Company may only so delay delivery of shares of Common Stock to the extent that such deferral complies with the provisions of Section 409A of the Code and related Department of Treasury guidance. Except as provided in the preceding sentence, in no event will shares of Common Stock be delivered later than the date that is two and one-half (2 1/2) months from the end of the calendar year in which the applicable rTSRUs vest. Any shares of Common Stock delivered under this Award may be subject to such stop transfer restrictions as counsel for the Company shall consider necessary to comply with any applicable law.</w:t>
      </w:r>
    </w:p>
    <w:p>
      <w:pPr>
        <w:spacing w:after="0" w:line="176" w:lineRule="exact"/>
        <w:rPr>
          <w:rFonts w:ascii="Arial" w:cs="Arial" w:eastAsia="Arial" w:hAnsi="Arial"/>
          <w:sz w:val="17"/>
          <w:szCs w:val="17"/>
          <w:color w:val="auto"/>
        </w:rPr>
      </w:pPr>
    </w:p>
    <w:p>
      <w:pPr>
        <w:ind w:right="640" w:firstLine="8"/>
        <w:spacing w:after="0" w:line="277" w:lineRule="auto"/>
        <w:tabs>
          <w:tab w:leader="none" w:pos="269"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Clawback Policy. </w:t>
      </w:r>
      <w:r>
        <w:rPr>
          <w:rFonts w:ascii="Arial" w:cs="Arial" w:eastAsia="Arial" w:hAnsi="Arial"/>
          <w:sz w:val="18"/>
          <w:szCs w:val="18"/>
          <w:color w:val="auto"/>
        </w:rPr>
        <w:t>This Award and any Common Stock issued hereunder is subject to any so-called “clawback policy” that may be adopted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Board of Directors, as amended from time to time.</w:t>
      </w:r>
    </w:p>
    <w:p>
      <w:pPr>
        <w:spacing w:after="0" w:line="169" w:lineRule="exact"/>
        <w:rPr>
          <w:rFonts w:ascii="Arial" w:cs="Arial" w:eastAsia="Arial" w:hAnsi="Arial"/>
          <w:sz w:val="18"/>
          <w:szCs w:val="18"/>
          <w:color w:val="auto"/>
        </w:rPr>
      </w:pPr>
    </w:p>
    <w:p>
      <w:pPr>
        <w:jc w:val="both"/>
        <w:ind w:right="20" w:firstLine="8"/>
        <w:spacing w:after="0" w:line="263" w:lineRule="auto"/>
        <w:tabs>
          <w:tab w:leader="none" w:pos="269"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written notices provided for in this Award that are sent by mail shall be deemed received three business days after mailing, but not later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actual receipt. Notices shall be directed, if to Participant, at the Participant’s address indicated by the Company’s records and, if to the Company, at the Company’s principal executive office.</w:t>
      </w:r>
    </w:p>
    <w:p>
      <w:pPr>
        <w:spacing w:after="0" w:line="182" w:lineRule="exact"/>
        <w:rPr>
          <w:rFonts w:ascii="Arial" w:cs="Arial" w:eastAsia="Arial" w:hAnsi="Arial"/>
          <w:sz w:val="18"/>
          <w:szCs w:val="18"/>
          <w:color w:val="auto"/>
        </w:rPr>
      </w:pPr>
    </w:p>
    <w:p>
      <w:pPr>
        <w:ind w:right="60" w:firstLine="8"/>
        <w:spacing w:after="0" w:line="259" w:lineRule="auto"/>
        <w:tabs>
          <w:tab w:leader="none" w:pos="269"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 The right of Participant to receive shares of Common Stock pursuant to this Award is an unfunded and unsecured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The Participant shall have no rights under this Award other than those of an unsecured general creditor of the Company. Subject to the restrictions on transfer set forth herein, this Award shall be binding upon and inure to the benefit of the heirs, legatees, legal representatives, successors and assigns of the parties hereto.</w:t>
      </w:r>
    </w:p>
    <w:p>
      <w:pPr>
        <w:spacing w:after="0" w:line="185" w:lineRule="exact"/>
        <w:rPr>
          <w:rFonts w:ascii="Arial" w:cs="Arial" w:eastAsia="Arial" w:hAnsi="Arial"/>
          <w:sz w:val="18"/>
          <w:szCs w:val="18"/>
          <w:color w:val="auto"/>
        </w:rPr>
      </w:pPr>
    </w:p>
    <w:p>
      <w:pPr>
        <w:ind w:right="80" w:firstLine="8"/>
        <w:spacing w:after="0" w:line="277" w:lineRule="auto"/>
        <w:tabs>
          <w:tab w:leader="none" w:pos="269"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Award shall be governed by and construed in accordance with the laws of the State of Delaware and applicable federal law,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 to choice-of-law principles.</w:t>
      </w:r>
    </w:p>
    <w:p>
      <w:pPr>
        <w:spacing w:after="0" w:line="169" w:lineRule="exact"/>
        <w:rPr>
          <w:rFonts w:ascii="Arial" w:cs="Arial" w:eastAsia="Arial" w:hAnsi="Arial"/>
          <w:sz w:val="18"/>
          <w:szCs w:val="18"/>
          <w:color w:val="auto"/>
        </w:rPr>
      </w:pPr>
    </w:p>
    <w:p>
      <w:pPr>
        <w:ind w:right="160" w:firstLine="8"/>
        <w:spacing w:after="0" w:line="279" w:lineRule="auto"/>
        <w:tabs>
          <w:tab w:leader="none" w:pos="269"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If one or more of the provisions of this Award shall be held invalid, illegal or unenforceable in any respect, the validity, legality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to be construed so as to foster the intent of this Award and the Plan.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Updated January 2017</w:t>
      </w:r>
    </w:p>
    <w:p>
      <w:pPr>
        <w:sectPr>
          <w:pgSz w:w="11900" w:h="16838" w:orient="portrait"/>
          <w:cols w:equalWidth="0" w:num="1">
            <w:col w:w="11420"/>
          </w:cols>
          <w:pgMar w:left="240" w:top="341"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20" w:type="dxa"/>
            <w:vAlign w:val="bottom"/>
          </w:tcPr>
          <w:p>
            <w:pPr>
              <w:ind w:left="2300"/>
              <w:spacing w:after="0"/>
              <w:rPr>
                <w:sz w:val="20"/>
                <w:szCs w:val="20"/>
                <w:color w:val="auto"/>
              </w:rPr>
            </w:pPr>
            <w:r>
              <w:rPr>
                <w:rFonts w:ascii="Arial" w:cs="Arial" w:eastAsia="Arial" w:hAnsi="Arial"/>
                <w:sz w:val="18"/>
                <w:szCs w:val="18"/>
                <w:b w:val="1"/>
                <w:bCs w:val="1"/>
                <w:color w:val="auto"/>
                <w:w w:val="89"/>
              </w:rPr>
              <w:t>Exhibit 21.1</w:t>
            </w:r>
          </w:p>
        </w:tc>
      </w:tr>
      <w:tr>
        <w:trPr>
          <w:trHeight w:val="432"/>
        </w:trPr>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700" w:type="dxa"/>
            <w:vAlign w:val="bottom"/>
          </w:tcPr>
          <w:p>
            <w:pPr>
              <w:jc w:val="center"/>
              <w:ind w:right="555"/>
              <w:spacing w:after="0"/>
              <w:rPr>
                <w:sz w:val="20"/>
                <w:szCs w:val="20"/>
                <w:color w:val="auto"/>
              </w:rPr>
            </w:pPr>
            <w:r>
              <w:rPr>
                <w:rFonts w:ascii="Arial" w:cs="Arial" w:eastAsia="Arial" w:hAnsi="Arial"/>
                <w:sz w:val="18"/>
                <w:szCs w:val="18"/>
                <w:b w:val="1"/>
                <w:bCs w:val="1"/>
                <w:color w:val="auto"/>
                <w:w w:val="90"/>
              </w:rPr>
              <w:t>Enanta Pharmaceuticals, Inc.</w:t>
            </w: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700" w:type="dxa"/>
            <w:vAlign w:val="bottom"/>
          </w:tcPr>
          <w:p>
            <w:pPr>
              <w:jc w:val="center"/>
              <w:ind w:right="555"/>
              <w:spacing w:after="0"/>
              <w:rPr>
                <w:sz w:val="20"/>
                <w:szCs w:val="20"/>
                <w:color w:val="auto"/>
              </w:rPr>
            </w:pPr>
            <w:r>
              <w:rPr>
                <w:rFonts w:ascii="Arial" w:cs="Arial" w:eastAsia="Arial" w:hAnsi="Arial"/>
                <w:sz w:val="18"/>
                <w:szCs w:val="18"/>
                <w:b w:val="1"/>
                <w:bCs w:val="1"/>
                <w:color w:val="auto"/>
                <w:w w:val="89"/>
              </w:rPr>
              <w:t>Subsidiaries of the Company</w:t>
            </w: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78"/>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700" w:type="dxa"/>
            <w:vAlign w:val="bottom"/>
          </w:tcPr>
          <w:p>
            <w:pPr>
              <w:ind w:left="1620"/>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24"/>
                <w:szCs w:val="24"/>
                <w:color w:val="auto"/>
              </w:rPr>
            </w:pPr>
          </w:p>
        </w:tc>
        <w:tc>
          <w:tcPr>
            <w:tcW w:w="3220" w:type="dxa"/>
            <w:vAlign w:val="bottom"/>
          </w:tcPr>
          <w:p>
            <w:pPr>
              <w:ind w:left="280"/>
              <w:spacing w:after="0"/>
              <w:rPr>
                <w:sz w:val="20"/>
                <w:szCs w:val="20"/>
                <w:color w:val="auto"/>
              </w:rPr>
            </w:pPr>
            <w:r>
              <w:rPr>
                <w:rFonts w:ascii="Arial" w:cs="Arial" w:eastAsia="Arial" w:hAnsi="Arial"/>
                <w:sz w:val="14"/>
                <w:szCs w:val="14"/>
                <w:b w:val="1"/>
                <w:bCs w:val="1"/>
                <w:color w:val="auto"/>
              </w:rPr>
              <w:t>STATE OR COUNTRY OF INCORPORATION</w:t>
            </w:r>
          </w:p>
        </w:tc>
      </w:tr>
      <w:tr>
        <w:trPr>
          <w:trHeight w:val="27"/>
        </w:trPr>
        <w:tc>
          <w:tcPr>
            <w:tcW w:w="440" w:type="dxa"/>
            <w:vAlign w:val="bottom"/>
            <w:shd w:val="clear" w:color="auto" w:fill="000000"/>
          </w:tcPr>
          <w:p>
            <w:pPr>
              <w:spacing w:after="0"/>
              <w:rPr>
                <w:sz w:val="2"/>
                <w:szCs w:val="2"/>
                <w:color w:val="auto"/>
              </w:rPr>
            </w:pPr>
          </w:p>
        </w:tc>
        <w:tc>
          <w:tcPr>
            <w:tcW w:w="3740" w:type="dxa"/>
            <w:vAlign w:val="bottom"/>
          </w:tcPr>
          <w:p>
            <w:pPr>
              <w:spacing w:after="0"/>
              <w:rPr>
                <w:sz w:val="2"/>
                <w:szCs w:val="2"/>
                <w:color w:val="auto"/>
              </w:rPr>
            </w:pPr>
          </w:p>
        </w:tc>
        <w:tc>
          <w:tcPr>
            <w:tcW w:w="3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20" w:type="dxa"/>
            <w:vAlign w:val="bottom"/>
            <w:shd w:val="clear" w:color="auto" w:fill="000000"/>
          </w:tcPr>
          <w:p>
            <w:pPr>
              <w:spacing w:after="0"/>
              <w:rPr>
                <w:sz w:val="2"/>
                <w:szCs w:val="2"/>
                <w:color w:val="auto"/>
              </w:rPr>
            </w:pPr>
          </w:p>
        </w:tc>
      </w:tr>
      <w:tr>
        <w:trPr>
          <w:trHeight w:val="337"/>
        </w:trPr>
        <w:tc>
          <w:tcPr>
            <w:tcW w:w="4180" w:type="dxa"/>
            <w:vAlign w:val="bottom"/>
            <w:gridSpan w:val="2"/>
          </w:tcPr>
          <w:p>
            <w:pPr>
              <w:spacing w:after="0"/>
              <w:rPr>
                <w:sz w:val="20"/>
                <w:szCs w:val="20"/>
                <w:color w:val="auto"/>
              </w:rPr>
            </w:pPr>
            <w:r>
              <w:rPr>
                <w:rFonts w:ascii="Arial" w:cs="Arial" w:eastAsia="Arial" w:hAnsi="Arial"/>
                <w:sz w:val="18"/>
                <w:szCs w:val="18"/>
                <w:color w:val="auto"/>
              </w:rPr>
              <w:t>Enanta Pharmaceuticals Security Corporation</w:t>
            </w:r>
          </w:p>
        </w:tc>
        <w:tc>
          <w:tcPr>
            <w:tcW w:w="3700" w:type="dxa"/>
            <w:vAlign w:val="bottom"/>
          </w:tcPr>
          <w:p>
            <w:pPr>
              <w:spacing w:after="0"/>
              <w:rPr>
                <w:sz w:val="20"/>
                <w:szCs w:val="20"/>
                <w:color w:val="auto"/>
              </w:rPr>
            </w:pPr>
            <w:r>
              <w:rPr>
                <w:rFonts w:ascii="Arial" w:cs="Arial" w:eastAsia="Arial" w:hAnsi="Arial"/>
                <w:sz w:val="18"/>
                <w:szCs w:val="18"/>
                <w:color w:val="auto"/>
              </w:rPr>
              <w:t>Enanta Pharmaceuticals, Inc.</w:t>
            </w:r>
          </w:p>
        </w:tc>
        <w:tc>
          <w:tcPr>
            <w:tcW w:w="3540" w:type="dxa"/>
            <w:vAlign w:val="bottom"/>
            <w:gridSpan w:val="2"/>
          </w:tcPr>
          <w:p>
            <w:pPr>
              <w:ind w:left="320"/>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420"/>
          </w:cols>
          <w:pgMar w:left="240" w:top="337"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333-189217, 333-192935, 333-202257, 333-209542 and 333-215011) of Enanta Pharmaceuticals, Inc. of our report dated December 11, 2017 relating to the financial statements, which appears in this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2017</w:t>
      </w:r>
    </w:p>
    <w:p>
      <w:pPr>
        <w:sectPr>
          <w:pgSz w:w="11900" w:h="16838" w:orient="portrait"/>
          <w:cols w:equalWidth="0" w:num="1">
            <w:col w:w="11420"/>
          </w:cols>
          <w:pgMar w:left="240" w:top="337"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240.13a-14 or 240.15d-14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Jay R. Luly, certify that:</w:t>
      </w:r>
    </w:p>
    <w:p>
      <w:pPr>
        <w:spacing w:after="0" w:line="117" w:lineRule="exact"/>
        <w:rPr>
          <w:sz w:val="20"/>
          <w:szCs w:val="20"/>
          <w:color w:val="auto"/>
        </w:rPr>
      </w:pPr>
    </w:p>
    <w:p>
      <w:pPr>
        <w:ind w:left="600" w:hanging="592"/>
        <w:spacing w:after="0"/>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Enanta Pharmaceuticals, Inc.;</w:t>
      </w:r>
    </w:p>
    <w:p>
      <w:pPr>
        <w:spacing w:after="0" w:line="116" w:lineRule="exact"/>
        <w:rPr>
          <w:rFonts w:ascii="Arial" w:cs="Arial" w:eastAsia="Arial" w:hAnsi="Arial"/>
          <w:sz w:val="18"/>
          <w:szCs w:val="18"/>
          <w:color w:val="auto"/>
        </w:rPr>
      </w:pPr>
    </w:p>
    <w:p>
      <w:pPr>
        <w:jc w:val="both"/>
        <w:ind w:left="600" w:right="360" w:hanging="592"/>
        <w:spacing w:after="0" w:line="263" w:lineRule="auto"/>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600" w:right="320" w:hanging="592"/>
        <w:spacing w:after="0" w:line="307"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600" w:right="360" w:hanging="592"/>
        <w:spacing w:after="0" w:line="263" w:lineRule="auto"/>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200" w:right="20" w:hanging="599"/>
        <w:spacing w:after="0" w:line="263"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200" w:right="340" w:hanging="599"/>
        <w:spacing w:after="0" w:line="263"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200" w:right="540" w:hanging="599"/>
        <w:spacing w:after="0" w:line="307" w:lineRule="auto"/>
        <w:tabs>
          <w:tab w:leader="none" w:pos="12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39" w:lineRule="exact"/>
        <w:rPr>
          <w:rFonts w:ascii="Arial" w:cs="Arial" w:eastAsia="Arial" w:hAnsi="Arial"/>
          <w:sz w:val="17"/>
          <w:szCs w:val="17"/>
          <w:color w:val="auto"/>
        </w:rPr>
      </w:pPr>
    </w:p>
    <w:p>
      <w:pPr>
        <w:ind w:left="1200" w:right="20" w:hanging="599"/>
        <w:spacing w:after="0" w:line="263"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600" w:right="240" w:hanging="592"/>
        <w:spacing w:after="0" w:line="307"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200" w:right="740" w:hanging="599"/>
        <w:spacing w:after="0" w:line="341" w:lineRule="auto"/>
        <w:tabs>
          <w:tab w:leader="none" w:pos="12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200" w:right="440" w:hanging="599"/>
        <w:spacing w:after="0" w:line="277"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37"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240.13a-14 or 240.15d-14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600" w:hanging="592"/>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Enanta Pharmaceuticals, Inc.;</w:t>
      </w:r>
    </w:p>
    <w:p>
      <w:pPr>
        <w:spacing w:after="0" w:line="116" w:lineRule="exact"/>
        <w:rPr>
          <w:rFonts w:ascii="Arial" w:cs="Arial" w:eastAsia="Arial" w:hAnsi="Arial"/>
          <w:sz w:val="18"/>
          <w:szCs w:val="18"/>
          <w:color w:val="auto"/>
        </w:rPr>
      </w:pPr>
    </w:p>
    <w:p>
      <w:pPr>
        <w:jc w:val="both"/>
        <w:ind w:left="600" w:right="360" w:hanging="592"/>
        <w:spacing w:after="0" w:line="263"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600" w:right="320" w:hanging="592"/>
        <w:spacing w:after="0" w:line="307" w:lineRule="auto"/>
        <w:tabs>
          <w:tab w:leader="none" w:pos="6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600" w:right="360" w:hanging="592"/>
        <w:spacing w:after="0" w:line="263"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200" w:right="20" w:hanging="599"/>
        <w:spacing w:after="0" w:line="263"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200" w:right="340" w:hanging="599"/>
        <w:spacing w:after="0" w:line="263"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200" w:right="540" w:hanging="599"/>
        <w:spacing w:after="0" w:line="307" w:lineRule="auto"/>
        <w:tabs>
          <w:tab w:leader="none" w:pos="12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39" w:lineRule="exact"/>
        <w:rPr>
          <w:rFonts w:ascii="Arial" w:cs="Arial" w:eastAsia="Arial" w:hAnsi="Arial"/>
          <w:sz w:val="17"/>
          <w:szCs w:val="17"/>
          <w:color w:val="auto"/>
        </w:rPr>
      </w:pPr>
    </w:p>
    <w:p>
      <w:pPr>
        <w:ind w:left="1200" w:right="20" w:hanging="599"/>
        <w:spacing w:after="0" w:line="263"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600" w:right="240" w:hanging="592"/>
        <w:spacing w:after="0" w:line="307" w:lineRule="auto"/>
        <w:tabs>
          <w:tab w:leader="none" w:pos="6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200" w:right="740" w:hanging="599"/>
        <w:spacing w:after="0" w:line="341" w:lineRule="auto"/>
        <w:tabs>
          <w:tab w:leader="none" w:pos="12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200" w:right="440" w:hanging="599"/>
        <w:spacing w:after="0" w:line="277"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w:t>
      </w:r>
      <w:r>
        <w:rPr>
          <w:rFonts w:ascii="Arial" w:cs="Arial" w:eastAsia="Arial" w:hAnsi="Arial"/>
          <w:sz w:val="18"/>
          <w:szCs w:val="18"/>
          <w:color w:val="auto"/>
        </w:rPr>
        <w:t>r</w:t>
      </w:r>
    </w:p>
    <w:p>
      <w:pPr>
        <w:sectPr>
          <w:pgSz w:w="11900" w:h="16838" w:orient="portrait"/>
          <w:cols w:equalWidth="0" w:num="1">
            <w:col w:w="11420"/>
          </w:cols>
          <w:pgMar w:left="240" w:top="337"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2"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Each of the undersigned officers of Enanta Pharmaceuticals, Inc. (the “Company”) certifies, to his knowledge and solely for the purposes of 18 U.S.C. Section 1350, as adopted pursuant to Section 906 of the Sarbanes-Oxley Act of 2002, that the Annual Report on Form 10-K of the Company for the year ended September 30, 2017 fully complies with the requirements of Section 13(a) or 15(d) of the Securities Exchange Act of 1934 and that information contained in the Form 10-K fairly presents, in all material respects, the financial condition and results of operations of Enanta.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lvl w:ilvl="1">
      <w:lvlJc w:val="left"/>
      <w:lvlText w:val="•"/>
      <w:numFmt w:val="bullet"/>
      <w:start w:val="1"/>
    </w:lvl>
  </w:abstractNum>
  <w:abstractNum w:abstractNumId="4">
    <w:nsid w:val="614FD4A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lvl w:ilvl="1">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lvl w:ilvl="1">
      <w:lvlJc w:val="left"/>
      <w:lvlText w:val="o"/>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lvl w:ilvl="1">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2"/>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7"/>
    </w:lvl>
  </w:abstractNum>
  <w:abstractNum w:abstractNumId="54">
    <w:nsid w:val="354FE9F9"/>
    <w:multiLevelType w:val="hybridMultilevel"/>
    <w:lvl w:ilvl="0">
      <w:lvlJc w:val="left"/>
      <w:lvlText w:val="%1."/>
      <w:numFmt w:val="decimal"/>
      <w:start w:val="12"/>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upperLetter"/>
      <w:start w:val="2"/>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decimal"/>
      <w:start w:val="10"/>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decimal"/>
      <w:start w:val="10"/>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jpe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jpe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03" Type="http://schemas.openxmlformats.org/officeDocument/2006/relationships/hyperlink" Target="http://www.sec.gov/Archives/edgar/data/1177648/000119312513132679/d511662dex31.htm" TargetMode="External"/><Relationship Id="rId104" Type="http://schemas.openxmlformats.org/officeDocument/2006/relationships/hyperlink" Target="http://www.sec.gov/Archives/edgar/data/1177648/000119312515294582/d95810dex32.htm" TargetMode="External"/><Relationship Id="rId105" Type="http://schemas.openxmlformats.org/officeDocument/2006/relationships/hyperlink" Target="http://www.sec.gov/Archives/edgar/data/1177648/000119312513038960/d401292dex41.htm" TargetMode="External"/><Relationship Id="rId106" Type="http://schemas.openxmlformats.org/officeDocument/2006/relationships/hyperlink" Target="http://www.sec.gov/Archives/edgar/data/1177648/000119312512454422/d401292dex42.htm" TargetMode="External"/><Relationship Id="rId107" Type="http://schemas.openxmlformats.org/officeDocument/2006/relationships/hyperlink" Target="http://www.sec.gov/Archives/edgar/data/1177648/000119312513038960/d401292dex107.htm" TargetMode="External"/><Relationship Id="rId108" Type="http://schemas.openxmlformats.org/officeDocument/2006/relationships/hyperlink" Target="http://www.sec.gov/Archives/edgar/data/1177648/000119312513091763/d401292dex105.htm" TargetMode="External"/><Relationship Id="rId109" Type="http://schemas.openxmlformats.org/officeDocument/2006/relationships/hyperlink" Target="http://www.sec.gov/Archives/edgar/data/1177648/000119312513091763/d401292dex1017.htm" TargetMode="External"/><Relationship Id="rId113" Type="http://schemas.openxmlformats.org/officeDocument/2006/relationships/hyperlink" Target="http://www.sec.gov/Archives/edgar/data/1177648/000119312516455395/d106818dex101.htm" TargetMode="External"/><Relationship Id="rId114" Type="http://schemas.openxmlformats.org/officeDocument/2006/relationships/hyperlink" Target="http://www.sec.gov/Archives/edgar/data/1177648/000119312514440235/d814941dex105.htm" TargetMode="External"/><Relationship Id="rId115" Type="http://schemas.openxmlformats.org/officeDocument/2006/relationships/hyperlink" Target="http://www.sec.gov/Archives/edgar/data/1177648/000119312515179595/d873137dex101.htm" TargetMode="External"/><Relationship Id="rId116" Type="http://schemas.openxmlformats.org/officeDocument/2006/relationships/hyperlink" Target="http://www.sec.gov/Archives/edgar/data/1177648/000119312512454422/d401292dex106.htm" TargetMode="External"/><Relationship Id="rId117" Type="http://schemas.openxmlformats.org/officeDocument/2006/relationships/hyperlink" Target="http://www.sec.gov/Archives/edgar/data/1177648/000119312515179595/d873137dex102.htm" TargetMode="External"/><Relationship Id="rId118" Type="http://schemas.openxmlformats.org/officeDocument/2006/relationships/hyperlink" Target="http://www.sec.gov/Archives/edgar/data/1177648/000119312512454422/d401292dex104.htm" TargetMode="External"/><Relationship Id="rId119" Type="http://schemas.openxmlformats.org/officeDocument/2006/relationships/hyperlink" Target="http://www.sec.gov/Archives/edgar/data/1177648/000119312513091763/d401292dex108.htm" TargetMode="External"/><Relationship Id="rId120" Type="http://schemas.openxmlformats.org/officeDocument/2006/relationships/hyperlink" Target="http://www.sec.gov/Archives/edgar/data/1177648/000119312513091763/d401292dex109.htm" TargetMode="External"/><Relationship Id="rId121" Type="http://schemas.openxmlformats.org/officeDocument/2006/relationships/hyperlink" Target="http://www.sec.gov/Archives/edgar/data/1177648/000119312513091763/d401292dex1010.htm" TargetMode="External"/><Relationship Id="rId122" Type="http://schemas.openxmlformats.org/officeDocument/2006/relationships/hyperlink" Target="http://www.sec.gov/Archives/edgar/data/1177648/000119312513091763/d401292dex1011.htm" TargetMode="External"/><Relationship Id="rId123" Type="http://schemas.openxmlformats.org/officeDocument/2006/relationships/hyperlink" Target="http://www.sec.gov/Archives/edgar/data/1177648/000119312517004530/d325877dex1014.htm" TargetMode="External"/><Relationship Id="rId124" Type="http://schemas.openxmlformats.org/officeDocument/2006/relationships/hyperlink" Target="http://www.sec.gov/Archives/edgar/data/1177648/000119312513091763/d401292dex1013.htm" TargetMode="External"/><Relationship Id="rId125" Type="http://schemas.openxmlformats.org/officeDocument/2006/relationships/hyperlink" Target="http://www.sec.gov/Archives/edgar/data/1177648/000119312513091763/d401292dex1014.htm" TargetMode="External"/><Relationship Id="rId126" Type="http://schemas.openxmlformats.org/officeDocument/2006/relationships/hyperlink" Target="http://www.sec.gov/Archives/edgar/data/1177648/000119312513091763/d401292dex1015.htm" TargetMode="External"/><Relationship Id="rId127" Type="http://schemas.openxmlformats.org/officeDocument/2006/relationships/hyperlink" Target="http://www.sec.gov/Archives/edgar/data/1177648/000119312513038960/d401292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2019-12-29T03:01:52Z</dcterms:created>
  <dcterms:modified xsi:type="dcterms:W3CDTF">2019-12-29T03:01:52Z</dcterms:modified>
</cp:coreProperties>
</file>