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2" w:lineRule="exact"/>
        <w:rPr>
          <w:sz w:val="24"/>
          <w:szCs w:val="24"/>
          <w:color w:val="auto"/>
        </w:rPr>
      </w:pPr>
    </w:p>
    <w:p>
      <w:pPr>
        <w:ind w:left="580" w:right="160" w:hanging="559"/>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80" w:right="140" w:hanging="559"/>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940" w:type="dxa"/>
            <w:vAlign w:val="bottom"/>
          </w:tcPr>
          <w:p>
            <w:pPr>
              <w:spacing w:after="0"/>
              <w:rPr>
                <w:sz w:val="20"/>
                <w:szCs w:val="20"/>
                <w:color w:val="auto"/>
              </w:rPr>
            </w:pPr>
          </w:p>
        </w:tc>
        <w:tc>
          <w:tcPr>
            <w:tcW w:w="4500" w:type="dxa"/>
            <w:vAlign w:val="bottom"/>
            <w:gridSpan w:val="2"/>
          </w:tcPr>
          <w:p>
            <w:pPr>
              <w:jc w:val="right"/>
              <w:ind w:right="134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51"/>
        </w:trPr>
        <w:tc>
          <w:tcPr>
            <w:tcW w:w="4800" w:type="dxa"/>
            <w:vAlign w:val="bottom"/>
            <w:gridSpan w:val="3"/>
          </w:tcPr>
          <w:p>
            <w:pPr>
              <w:jc w:val="center"/>
              <w:ind w:right="108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0" w:type="dxa"/>
            <w:vAlign w:val="bottom"/>
          </w:tcPr>
          <w:p>
            <w:pPr>
              <w:jc w:val="center"/>
              <w:ind w:left="244"/>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36"/>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500 Arsenal Street</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8"/>
        </w:trPr>
        <w:tc>
          <w:tcPr>
            <w:tcW w:w="48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1940" w:type="dxa"/>
            <w:vAlign w:val="bottom"/>
          </w:tcPr>
          <w:p>
            <w:pPr>
              <w:spacing w:after="0"/>
              <w:rPr>
                <w:sz w:val="20"/>
                <w:szCs w:val="20"/>
                <w:color w:val="auto"/>
              </w:rPr>
            </w:pPr>
          </w:p>
        </w:tc>
        <w:tc>
          <w:tcPr>
            <w:tcW w:w="4500" w:type="dxa"/>
            <w:vAlign w:val="bottom"/>
            <w:gridSpan w:val="2"/>
          </w:tcPr>
          <w:p>
            <w:pPr>
              <w:jc w:val="right"/>
              <w:ind w:right="154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3"/>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28"/>
        </w:trPr>
        <w:tc>
          <w:tcPr>
            <w:tcW w:w="11240" w:type="dxa"/>
            <w:vAlign w:val="bottom"/>
            <w:gridSpan w:val="6"/>
          </w:tcPr>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tc>
      </w:tr>
      <w:tr>
        <w:trPr>
          <w:trHeight w:val="135"/>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87"/>
        </w:trPr>
        <w:tc>
          <w:tcPr>
            <w:tcW w:w="4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8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3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980" w:type="dxa"/>
            <w:vAlign w:val="bottom"/>
            <w:gridSpan w:val="2"/>
          </w:tcPr>
          <w:p>
            <w:pPr>
              <w:spacing w:after="0"/>
              <w:rPr>
                <w:sz w:val="22"/>
                <w:szCs w:val="22"/>
                <w:color w:val="auto"/>
              </w:rPr>
            </w:pPr>
          </w:p>
        </w:tc>
        <w:tc>
          <w:tcPr>
            <w:tcW w:w="194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w w:val="95"/>
              </w:rPr>
              <w:t>ENTA</w:t>
            </w:r>
          </w:p>
        </w:tc>
        <w:tc>
          <w:tcPr>
            <w:tcW w:w="500" w:type="dxa"/>
            <w:vAlign w:val="bottom"/>
            <w:tcBorders>
              <w:right w:val="single" w:sz="8" w:color="auto"/>
            </w:tcBorders>
          </w:tcPr>
          <w:p>
            <w:pPr>
              <w:spacing w:after="0"/>
              <w:rPr>
                <w:sz w:val="22"/>
                <w:szCs w:val="22"/>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67"/>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ind w:right="60" w:firstLine="50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40" w:firstLine="50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83" w:lineRule="exact"/>
        <w:rPr>
          <w:sz w:val="24"/>
          <w:szCs w:val="24"/>
          <w:color w:val="auto"/>
        </w:rPr>
      </w:pPr>
    </w:p>
    <w:p>
      <w:pPr>
        <w:ind w:firstLine="50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0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2023, the registrant had 21,055,392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UNAUDITED 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3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5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68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57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620" w:type="dxa"/>
            <w:vAlign w:val="bottom"/>
            <w:tcBorders>
              <w:top w:val="single" w:sz="8" w:color="0000FF"/>
            </w:tcBorders>
            <w:gridSpan w:val="2"/>
          </w:tcPr>
          <w:p>
            <w:pPr>
              <w:spacing w:after="0"/>
              <w:rPr>
                <w:sz w:val="18"/>
                <w:szCs w:val="18"/>
                <w:color w:val="auto"/>
              </w:rPr>
            </w:pPr>
          </w:p>
        </w:tc>
        <w:tc>
          <w:tcPr>
            <w:tcW w:w="578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20" w:type="dxa"/>
            <w:vAlign w:val="bottom"/>
            <w:tcBorders>
              <w:bottom w:val="single" w:sz="8" w:color="0000EE"/>
            </w:tcBorders>
          </w:tcPr>
          <w:p>
            <w:pPr>
              <w:spacing w:after="0"/>
              <w:rPr>
                <w:sz w:val="18"/>
                <w:szCs w:val="18"/>
                <w:color w:val="auto"/>
              </w:rPr>
            </w:pPr>
          </w:p>
        </w:tc>
        <w:tc>
          <w:tcPr>
            <w:tcW w:w="52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60" w:type="dxa"/>
            <w:vAlign w:val="bottom"/>
            <w:tcBorders>
              <w:top w:val="single" w:sz="8" w:color="0000FF"/>
            </w:tcBorders>
            <w:gridSpan w:val="13"/>
          </w:tcPr>
          <w:p>
            <w:pPr>
              <w:spacing w:after="0"/>
              <w:rPr>
                <w:sz w:val="18"/>
                <w:szCs w:val="18"/>
                <w:color w:val="auto"/>
              </w:rPr>
            </w:pPr>
          </w:p>
        </w:tc>
        <w:tc>
          <w:tcPr>
            <w:tcW w:w="49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3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77" w:lineRule="exact"/>
        <w:rPr>
          <w:sz w:val="20"/>
          <w:szCs w:val="20"/>
          <w:color w:val="auto"/>
        </w:rPr>
      </w:pPr>
    </w:p>
    <w:p>
      <w:pPr>
        <w:jc w:val="both"/>
        <w:ind w:right="520"/>
        <w:spacing w:after="0" w:line="267"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I—UNAUDITED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73,178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28,774</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271,137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311,713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326,445</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375,410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57,070</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54,076</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21,049 and 20,791 shares issued and outstanding at March 31, 2023</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September 30, 2022, respectively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(1,815 )</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(3,724 )</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(139,823 )</w:t>
            </w: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(73,179 )</w:t>
            </w: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269,375</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326,445</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375,410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-4242435</wp:posOffset>
            </wp:positionV>
            <wp:extent cx="685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-3308350</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-2348230</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-1722120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272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1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2"/>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(33,592</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(44 )</w:t>
            </w:r>
          </w:p>
        </w:tc>
        <w:tc>
          <w:tcPr>
            <w:tcW w:w="300" w:type="dxa"/>
            <w:vAlign w:val="bottom"/>
          </w:tcPr>
          <w:p>
            <w:pPr>
              <w:spacing w:after="0"/>
              <w:rPr>
                <w:sz w:val="21"/>
                <w:szCs w:val="21"/>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21"/>
                <w:szCs w:val="21"/>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0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28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-2416810</wp:posOffset>
            </wp:positionV>
            <wp:extent cx="768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-2416810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-2416810</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-1782445</wp:posOffset>
            </wp:positionV>
            <wp:extent cx="7683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-1782445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-1782445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-1456690</wp:posOffset>
            </wp:positionV>
            <wp:extent cx="7683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-1456690</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-1456690</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-1139190</wp:posOffset>
            </wp:positionV>
            <wp:extent cx="7683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-1139190</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-1139190</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-496570</wp:posOffset>
            </wp:positionV>
            <wp:extent cx="30429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2920" cy="20574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2500" w:type="dxa"/>
            <w:vAlign w:val="bottom"/>
            <w:gridSpan w:val="5"/>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56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(33,592</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(2,031 )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(2,655 )</w:t>
            </w:r>
          </w:p>
        </w:tc>
      </w:tr>
      <w:tr>
        <w:trPr>
          <w:trHeight w:val="20"/>
        </w:trPr>
        <w:tc>
          <w:tcPr>
            <w:tcW w:w="5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(2,031 )</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(2,655 )</w:t>
            </w: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-350520</wp:posOffset>
            </wp:positionV>
            <wp:extent cx="7683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-350520</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-350520</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384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69"/>
        </w:trPr>
        <w:tc>
          <w:tcPr>
            <w:tcW w:w="384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4"/>
                <w:szCs w:val="14"/>
                <w:color w:val="auto"/>
              </w:rPr>
            </w:pPr>
          </w:p>
        </w:tc>
        <w:tc>
          <w:tcPr>
            <w:tcW w:w="10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398,029</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(73,179</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321,334</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0"/>
                <w:szCs w:val="20"/>
                <w:color w:val="auto"/>
              </w:rPr>
            </w:pPr>
          </w:p>
        </w:tc>
      </w:tr>
      <w:tr>
        <w:trPr>
          <w:trHeight w:val="21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(825 )</w:t>
            </w: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(28,986 )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(28,986 )</w:t>
            </w:r>
          </w:p>
        </w:tc>
      </w:tr>
      <w:tr>
        <w:trPr>
          <w:trHeight w:val="241"/>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405,468</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(102,165</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300,837</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0"/>
                <w:szCs w:val="20"/>
                <w:color w:val="auto"/>
              </w:rPr>
            </w:pPr>
          </w:p>
        </w:tc>
      </w:tr>
      <w:tr>
        <w:trPr>
          <w:trHeight w:val="21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(2,909 )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(2,909 )</w:t>
            </w: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(37,658 )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(37,658 )</w:t>
            </w:r>
          </w:p>
        </w:tc>
      </w:tr>
      <w:tr>
        <w:trPr>
          <w:trHeight w:val="281"/>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410,803</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(139,823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1"/>
        </w:trPr>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10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3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0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384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69"/>
        </w:trPr>
        <w:tc>
          <w:tcPr>
            <w:tcW w:w="384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4"/>
                <w:szCs w:val="14"/>
                <w:color w:val="auto"/>
              </w:rPr>
            </w:pPr>
          </w:p>
        </w:tc>
        <w:tc>
          <w:tcPr>
            <w:tcW w:w="102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20,238</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351,033</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399,429</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tcPr>
          <w:p>
            <w:pPr>
              <w:spacing w:after="0"/>
              <w:rPr>
                <w:sz w:val="20"/>
                <w:szCs w:val="20"/>
                <w:color w:val="auto"/>
              </w:rPr>
            </w:pPr>
          </w:p>
        </w:tc>
      </w:tr>
      <w:tr>
        <w:trPr>
          <w:trHeight w:val="21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(778 )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(777 )</w:t>
            </w: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(624 )</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(624 )</w:t>
            </w: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(30,115 )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(30,115 )</w:t>
            </w:r>
          </w:p>
        </w:tc>
      </w:tr>
      <w:tr>
        <w:trPr>
          <w:trHeight w:val="241"/>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20,506</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366,724</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384,384</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20"/>
                <w:szCs w:val="20"/>
                <w:color w:val="auto"/>
              </w:rPr>
            </w:pPr>
          </w:p>
        </w:tc>
      </w:tr>
      <w:tr>
        <w:trPr>
          <w:trHeight w:val="21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(2,031 )</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(2,031 )</w:t>
            </w: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(33,592 )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(33,592 )</w:t>
            </w:r>
          </w:p>
        </w:tc>
      </w:tr>
      <w:tr>
        <w:trPr>
          <w:trHeight w:val="281"/>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376,545</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-2948305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-2931160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-2948305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-2931160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-2948305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-2931160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-2948305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-2931160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-2948305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-2931160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(66,644 )</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(63,707 )</w:t>
            </w: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12,533</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1060" w:type="dxa"/>
            <w:vAlign w:val="bottom"/>
          </w:tcPr>
          <w:p>
            <w:pPr>
              <w:spacing w:after="0"/>
              <w:rPr>
                <w:sz w:val="20"/>
                <w:szCs w:val="20"/>
                <w:color w:val="auto"/>
              </w:rPr>
            </w:pP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(42 )</w:t>
            </w: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(802 )</w:t>
            </w: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Amortization (accretion) of premiums (discounts) on marketable securities</w:t>
            </w:r>
          </w:p>
        </w:tc>
        <w:tc>
          <w:tcPr>
            <w:tcW w:w="10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(1,345 )</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(1,039 )</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 receivable</w:t>
            </w:r>
          </w:p>
        </w:tc>
        <w:tc>
          <w:tcPr>
            <w:tcW w:w="1060" w:type="dxa"/>
            <w:vAlign w:val="bottom"/>
          </w:tcPr>
          <w:p>
            <w:pPr>
              <w:spacing w:after="0"/>
              <w:rPr>
                <w:sz w:val="20"/>
                <w:szCs w:val="20"/>
                <w:color w:val="auto"/>
              </w:rPr>
            </w:pP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(56 )</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8,507</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5,963</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(3,473 )</w:t>
            </w: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Accrued expenses</w:t>
            </w:r>
          </w:p>
        </w:tc>
        <w:tc>
          <w:tcPr>
            <w:tcW w:w="10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(6,052 )</w:t>
            </w:r>
          </w:p>
        </w:tc>
        <w:tc>
          <w:tcPr>
            <w:tcW w:w="10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(808 )</w:t>
            </w: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60" w:type="dxa"/>
            <w:vAlign w:val="bottom"/>
          </w:tcPr>
          <w:p>
            <w:pPr>
              <w:spacing w:after="0"/>
              <w:rPr>
                <w:sz w:val="20"/>
                <w:szCs w:val="20"/>
                <w:color w:val="auto"/>
              </w:rPr>
            </w:pP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(137 )</w:t>
            </w: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(2,498 )</w:t>
            </w:r>
          </w:p>
        </w:tc>
      </w:tr>
      <w:tr>
        <w:trPr>
          <w:trHeight w:val="23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(46 )</w:t>
            </w:r>
          </w:p>
        </w:tc>
        <w:tc>
          <w:tcPr>
            <w:tcW w:w="10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CFF0FC"/>
          </w:tcPr>
          <w:p>
            <w:pPr>
              <w:spacing w:after="0"/>
              <w:rPr>
                <w:sz w:val="20"/>
                <w:szCs w:val="20"/>
                <w:color w:val="auto"/>
              </w:rPr>
            </w:pPr>
          </w:p>
        </w:tc>
      </w:tr>
      <w:tr>
        <w:trPr>
          <w:trHeight w:val="20"/>
        </w:trPr>
        <w:tc>
          <w:tcPr>
            <w:tcW w:w="75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60" w:type="dxa"/>
            <w:vAlign w:val="bottom"/>
          </w:tcPr>
          <w:p>
            <w:pPr>
              <w:spacing w:after="0"/>
              <w:rPr>
                <w:sz w:val="19"/>
                <w:szCs w:val="19"/>
                <w:color w:val="auto"/>
              </w:rPr>
            </w:pP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(49,424 )</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(39,646 )</w:t>
            </w:r>
          </w:p>
        </w:tc>
      </w:tr>
      <w:tr>
        <w:trPr>
          <w:trHeight w:val="238"/>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1060" w:type="dxa"/>
            <w:vAlign w:val="bottom"/>
          </w:tcPr>
          <w:p>
            <w:pPr>
              <w:spacing w:after="0"/>
              <w:rPr>
                <w:sz w:val="20"/>
                <w:szCs w:val="20"/>
                <w:color w:val="auto"/>
              </w:rPr>
            </w:pP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(90,627 )</w:t>
            </w: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(124,631 )</w:t>
            </w: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sales of marketable securities</w:t>
            </w: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176,500</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135,514</w:t>
            </w:r>
          </w:p>
        </w:tc>
        <w:tc>
          <w:tcPr>
            <w:tcW w:w="100" w:type="dxa"/>
            <w:vAlign w:val="bottom"/>
            <w:shd w:val="clear" w:color="auto" w:fill="CFF0FC"/>
          </w:tcPr>
          <w:p>
            <w:pPr>
              <w:spacing w:after="0"/>
              <w:rPr>
                <w:sz w:val="21"/>
                <w:szCs w:val="2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060" w:type="dxa"/>
            <w:vAlign w:val="bottom"/>
          </w:tcPr>
          <w:p>
            <w:pPr>
              <w:spacing w:after="0"/>
              <w:rPr>
                <w:sz w:val="19"/>
                <w:szCs w:val="19"/>
                <w:color w:val="auto"/>
              </w:rPr>
            </w:pP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(5,539 )</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(437 )</w:t>
            </w:r>
          </w:p>
        </w:tc>
      </w:tr>
      <w:tr>
        <w:trPr>
          <w:trHeight w:val="223"/>
        </w:trPr>
        <w:tc>
          <w:tcPr>
            <w:tcW w:w="75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80,334</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14,211</w:t>
            </w:r>
          </w:p>
        </w:tc>
        <w:tc>
          <w:tcPr>
            <w:tcW w:w="100" w:type="dxa"/>
            <w:vAlign w:val="bottom"/>
            <w:shd w:val="clear" w:color="auto" w:fill="CFF0FC"/>
          </w:tcPr>
          <w:p>
            <w:pPr>
              <w:spacing w:after="0"/>
              <w:rPr>
                <w:sz w:val="21"/>
                <w:szCs w:val="21"/>
                <w:color w:val="auto"/>
              </w:rPr>
            </w:pP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1060" w:type="dxa"/>
            <w:vAlign w:val="bottom"/>
          </w:tcPr>
          <w:p>
            <w:pPr>
              <w:spacing w:after="0"/>
              <w:rPr>
                <w:sz w:val="19"/>
                <w:szCs w:val="19"/>
                <w:color w:val="auto"/>
              </w:rPr>
            </w:pP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(3,734 )</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(1,228 )</w:t>
            </w:r>
          </w:p>
        </w:tc>
      </w:tr>
      <w:tr>
        <w:trPr>
          <w:trHeight w:val="223"/>
        </w:trPr>
        <w:tc>
          <w:tcPr>
            <w:tcW w:w="75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220" w:type="dxa"/>
            <w:vAlign w:val="bottom"/>
            <w:tcBorders>
              <w:bottom w:val="single" w:sz="8" w:color="CFF0FC"/>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29,184</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(16,217 )</w:t>
            </w:r>
          </w:p>
        </w:tc>
      </w:tr>
      <w:tr>
        <w:trPr>
          <w:trHeight w:val="236"/>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77,146</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41,597</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4"/>
        </w:trPr>
        <w:tc>
          <w:tcPr>
            <w:tcW w:w="75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w:t>
            </w: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220" w:type="dxa"/>
            <w:vAlign w:val="bottom"/>
          </w:tcPr>
          <w:p>
            <w:pPr>
              <w:spacing w:after="0"/>
              <w:rPr>
                <w:sz w:val="20"/>
                <w:szCs w:val="20"/>
                <w:color w:val="auto"/>
              </w:rPr>
            </w:pP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20"/>
                <w:szCs w:val="20"/>
                <w:color w:val="auto"/>
              </w:rPr>
            </w:pPr>
          </w:p>
        </w:tc>
      </w:tr>
      <w:tr>
        <w:trPr>
          <w:trHeight w:val="237"/>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2,870</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15,559</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-2605405</wp:posOffset>
            </wp:positionV>
            <wp:extent cx="685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-1679575</wp:posOffset>
            </wp:positionV>
            <wp:extent cx="6858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-1062355</wp:posOffset>
            </wp:positionV>
            <wp:extent cx="685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-753745</wp:posOffset>
            </wp:positionV>
            <wp:extent cx="685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Enanta Pharmaceuticals, Inc. (the “Company”), incorporated in Delaware in 1995, is a biotechnology company that uses its robust, chemistry-driven approach and drug discovery capabilities to become a leader in the discovery and development of small molecule drugs, with an emphasis on treatments for viral infections. The Company discovered glecaprevir, the second of two protease inhibitors discovered and developed through its collaboration with AbbVie for the treatment of chronic infection with hepatitis C virus (“HCV”). Glecaprevir is co-formulated as part of AbbVie’s leading direct-acting antiviral (“DAA”) combination treatment for HCV, which is marketed under the tradenames MAVYRET® (U.S.) and MAVIRET®(ex-U.S.)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SARS-CoV-2, human metapneumovirus (“hMPV”) and hepatitis B virus (“HBV”).</w:t>
      </w:r>
    </w:p>
    <w:p>
      <w:pPr>
        <w:spacing w:after="0" w:line="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and countries worldwide implemented various measures to contain the spread of the SARS-CoV-2 virus. National, state and local governments in affected regions implemented varying safety precautions, including quarantines, border closures, increased border controls, travel restrictions, shelter-in-place orders and shutdowns, business closures, cancellations of public gatherings and other measures. The extent and severity of any continuing impact on the Company’s business and clinical trials will be determined largely by the extent to which there are disruptions in the supply chains for its research and product candidates, delays in the conduct of ongoing and future clinical trials, or reductions in the number of patients accessing AbbVie’s HCV regimens, or any combination of those events. In addition, AbbVie experienced a decline in HCV sales compared to periods prior to March 2020 as a result of reduced numbers of patients accessing AbbVie’s HCV regimens due to the COVID-19 pandemic.</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extent to which the COVID-19 pandemic will continue to impact, directly or indirectly, the Company’s business, results of operations and financial condition will depend on future developments that are highly uncertain and cannot be accurately predicted, including new variants and public health actions taken to contain their impact, as well as the cumulative economic impact of both of those factors and the public health impact of the announced ending of emergency public health measures.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balance sheet at September 30, 2022 was derived from audited financial statements but does not include all disclosures required by accounting principles generally accepted in the United States of America (“GAAP”). The accompanying unaudited consolidated financial statements as of March 31, 2023 and for the three and six months ended March 31, 2023 and 2022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consolidated financial statements should be read in conjunction with the Company’s audited consolidated financial statements and the notes thereto included in the Company’s Annual Report on Form 10-K for the fiscal year ended September 30, 2022.</w:t>
      </w:r>
    </w:p>
    <w:p>
      <w:pPr>
        <w:spacing w:after="0" w:line="8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statement of the Company’s financial position as of March 31, 2023 and results of operations for the three and six months ended March 31, 2023 and 2022 and cash flows for the six months ended March 31, 2023 and 2022 have been made. The results of operations for the three and six months ended March 31, 2023 are not necessarily indicative of the results of operations that may be expected for subsequent quarters or the year ending September 30,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 w:name="page9"/>
    <w:bookmarkEnd w:id="8"/>
    <w:p>
      <w:pPr>
        <w:ind w:right="2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5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based on continuity of operations, realization of assets and the satisfaction of liabilities and commitments in the ordinary course of business. The Company began reporting a net loss in fiscal 2020 and reported a net loss of $66,644 for the six months ended March 31, 2023 and $121,755 for the year ended September 30, 2022. As of March 31, 2023, the Company had an accumulated deficit of $139,823. The Company expects to continue to generate operating losses for the foreseeable future as the Company continues to advance its wholly-owned programs. As of March 31, 2023, the Company had $225,124 in cash, cash equivalents and short-term and long-term marketable securities. The Company expects that its cash, cash equivalents, short-term and long-term marketable securities, as well as the $200,000 payment received in April 2023 from the sale of a portion of the MAVYRET/MAVIRET royalties and cash flows from the continuing portion of HCV royalties will be sufficient to fund its operating expenses and capital expenditure requirements for at least 12 months from the issuance date of the interim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291"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Company’s Significant Accounting Policies, please refer to its Annual Report on Form 10-K for the fiscal year ended September 30, 2022. Any reference in these notes to applicable guidance is meant to refer to the authoritative GAAP as found in the Accounting Standards Codification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stock-based awards and the accrual of research and development expenses. Estimates are periodically reviewed in light of changes in circumstances, facts and experience. The future developments of the COVID-19 pandemic also may directly or indirectly impact the Company’s business. The Company has made estimates of the impact of COVID-19 in the Company’s consolidated financial statements as of March 31, 2023. Actual results could differ from the Company’s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common shares outstanding for the period, including potential dilutive common shares assuming the dilutive effect of outstanding stock options and unvested restricted stock units. For periods presented, diluted net loss per common share is the same as basic net loss per common share, since dilutive common shares are not assumed to have been issued if their effect is anti-dilutive.</w:t>
      </w:r>
    </w:p>
    <w:p>
      <w:pPr>
        <w:spacing w:after="0" w:line="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reported net losses for each of the three and six months ended March 31, 2023 and 2022.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320" w:type="dxa"/>
            <w:vAlign w:val="bottom"/>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7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shd w:val="clear" w:color="auto" w:fill="CFF0FC"/>
          </w:tcPr>
          <w:p>
            <w:pPr>
              <w:spacing w:after="0"/>
              <w:rPr>
                <w:sz w:val="21"/>
                <w:szCs w:val="21"/>
                <w:color w:val="auto"/>
              </w:rPr>
            </w:pPr>
          </w:p>
        </w:tc>
      </w:tr>
      <w:tr>
        <w:trPr>
          <w:trHeight w:val="23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rTSRUs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r>
      <w:tr>
        <w:trPr>
          <w:trHeight w:val="247"/>
        </w:trPr>
        <w:tc>
          <w:tcPr>
            <w:tcW w:w="8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PSUs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1"/>
                <w:szCs w:val="21"/>
                <w:color w:val="auto"/>
              </w:rPr>
            </w:pPr>
          </w:p>
        </w:tc>
      </w:tr>
      <w:tr>
        <w:trPr>
          <w:trHeight w:val="25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r>
      <w:tr>
        <w:trPr>
          <w:trHeight w:val="661"/>
        </w:trPr>
        <w:tc>
          <w:tcPr>
            <w:tcW w:w="73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7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6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financial assets and liabilities that were subject to fair value measurement on a recurring basis as of March 31, 2023 and September 30, 2022, and indicate the fair value hierarchy of the valuation inputs utilized to determine such fair value: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2023 Using:</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4"/>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70,562</w:t>
            </w: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70,562</w:t>
            </w: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46,124</w:t>
            </w:r>
          </w:p>
        </w:tc>
        <w:tc>
          <w:tcPr>
            <w:tcW w:w="100" w:type="dxa"/>
            <w:vAlign w:val="bottom"/>
          </w:tcPr>
          <w:p>
            <w:pPr>
              <w:spacing w:after="0"/>
              <w:rPr>
                <w:sz w:val="20"/>
                <w:szCs w:val="20"/>
                <w:color w:val="auto"/>
              </w:rPr>
            </w:pPr>
          </w:p>
        </w:tc>
      </w:tr>
      <w:tr>
        <w:trPr>
          <w:trHeight w:val="243"/>
        </w:trPr>
        <w:tc>
          <w:tcPr>
            <w:tcW w:w="4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7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92,565</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222,508</w:t>
            </w:r>
          </w:p>
        </w:tc>
        <w:tc>
          <w:tcPr>
            <w:tcW w:w="10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77"/>
        </w:trPr>
        <w:tc>
          <w:tcPr>
            <w:tcW w:w="47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 Using:</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13,905</w:t>
            </w:r>
          </w:p>
        </w:tc>
        <w:tc>
          <w:tcPr>
            <w:tcW w:w="4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91,328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00" w:type="dxa"/>
            <w:vAlign w:val="bottom"/>
          </w:tcPr>
          <w:p>
            <w:pPr>
              <w:spacing w:after="0"/>
              <w:rPr>
                <w:sz w:val="20"/>
                <w:szCs w:val="20"/>
                <w:color w:val="auto"/>
              </w:rPr>
            </w:pPr>
          </w:p>
        </w:tc>
      </w:tr>
      <w:tr>
        <w:trPr>
          <w:trHeight w:val="243"/>
        </w:trPr>
        <w:tc>
          <w:tcPr>
            <w:tcW w:w="4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720" w:type="dxa"/>
            <w:vAlign w:val="bottom"/>
          </w:tcPr>
          <w:p>
            <w:pPr>
              <w:spacing w:after="0"/>
              <w:rPr>
                <w:sz w:val="20"/>
                <w:szCs w:val="20"/>
                <w:color w:val="auto"/>
              </w:rPr>
            </w:pP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105,233</w:t>
            </w:r>
          </w:p>
        </w:tc>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143,195</w:t>
            </w:r>
          </w:p>
        </w:tc>
        <w:tc>
          <w:tcPr>
            <w:tcW w:w="14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248,428</w:t>
            </w:r>
          </w:p>
        </w:tc>
        <w:tc>
          <w:tcPr>
            <w:tcW w:w="10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Pr>
          <w:p>
            <w:pPr>
              <w:spacing w:after="0"/>
              <w:rPr>
                <w:sz w:val="20"/>
                <w:szCs w:val="20"/>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77"/>
        </w:trPr>
        <w:tc>
          <w:tcPr>
            <w:tcW w:w="47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-2939415</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-2939415</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-2939415</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-2279650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-2262505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-2279650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-2262505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-2279650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-2262505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-685165</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-685165</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-685165</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March 31, 2023 and 2022, there were no transfers between Level 1, Level 2 and Level 3.</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March 31, 2023 and September 30, 2022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consolidated statements of operations.</w:t>
      </w:r>
    </w:p>
    <w:p>
      <w:pPr>
        <w:spacing w:after="0" w:line="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00" w:type="dxa"/>
            <w:vAlign w:val="bottom"/>
          </w:tcPr>
          <w:p>
            <w:pPr>
              <w:spacing w:after="0"/>
              <w:rPr>
                <w:sz w:val="16"/>
                <w:szCs w:val="16"/>
                <w:color w:val="auto"/>
              </w:rPr>
            </w:pPr>
          </w:p>
        </w:tc>
      </w:tr>
      <w:tr>
        <w:trPr>
          <w:trHeight w:val="267"/>
        </w:trPr>
        <w:tc>
          <w:tcPr>
            <w:tcW w:w="47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3"/>
                <w:szCs w:val="23"/>
                <w:color w:val="auto"/>
              </w:rPr>
            </w:pPr>
          </w:p>
        </w:tc>
      </w:tr>
      <w:tr>
        <w:trPr>
          <w:trHeight w:val="226"/>
        </w:trPr>
        <w:tc>
          <w:tcPr>
            <w:tcW w:w="470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r>
      <w:tr>
        <w:trPr>
          <w:trHeight w:val="264"/>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Probabilities of payout</w:t>
            </w:r>
          </w:p>
        </w:tc>
        <w:tc>
          <w:tcPr>
            <w:tcW w:w="3640" w:type="dxa"/>
            <w:vAlign w:val="bottom"/>
            <w:gridSpan w:val="3"/>
            <w:shd w:val="clear" w:color="auto" w:fill="CFF0FC"/>
          </w:tcPr>
          <w:p>
            <w:pPr>
              <w:jc w:val="center"/>
              <w:ind w:left="2270"/>
              <w:spacing w:after="0"/>
              <w:rPr>
                <w:sz w:val="20"/>
                <w:szCs w:val="20"/>
                <w:color w:val="auto"/>
              </w:rPr>
            </w:pPr>
            <w:r>
              <w:rPr>
                <w:rFonts w:ascii="Times New Roman" w:cs="Times New Roman" w:eastAsia="Times New Roman" w:hAnsi="Times New Roman"/>
                <w:sz w:val="18"/>
                <w:szCs w:val="18"/>
                <w:color w:val="auto"/>
              </w:rPr>
              <w:t>0%-65%</w:t>
            </w:r>
          </w:p>
        </w:tc>
        <w:tc>
          <w:tcPr>
            <w:tcW w:w="2800" w:type="dxa"/>
            <w:vAlign w:val="bottom"/>
            <w:gridSpan w:val="3"/>
            <w:shd w:val="clear" w:color="auto" w:fill="CFF0FC"/>
          </w:tcPr>
          <w:p>
            <w:pPr>
              <w:jc w:val="center"/>
              <w:ind w:left="496"/>
              <w:spacing w:after="0"/>
              <w:rPr>
                <w:sz w:val="20"/>
                <w:szCs w:val="20"/>
                <w:color w:val="auto"/>
              </w:rPr>
            </w:pPr>
            <w:r>
              <w:rPr>
                <w:rFonts w:ascii="Times New Roman" w:cs="Times New Roman" w:eastAsia="Times New Roman" w:hAnsi="Times New Roman"/>
                <w:sz w:val="18"/>
                <w:szCs w:val="18"/>
                <w:color w:val="auto"/>
                <w:w w:val="98"/>
              </w:rPr>
              <w:t>0%-65%</w:t>
            </w:r>
          </w:p>
        </w:tc>
        <w:tc>
          <w:tcPr>
            <w:tcW w:w="100" w:type="dxa"/>
            <w:vAlign w:val="bottom"/>
          </w:tcPr>
          <w:p>
            <w:pPr>
              <w:spacing w:after="0"/>
              <w:rPr>
                <w:sz w:val="22"/>
                <w:szCs w:val="22"/>
                <w:color w:val="auto"/>
              </w:rPr>
            </w:pP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640" w:type="dxa"/>
            <w:vAlign w:val="bottom"/>
            <w:gridSpan w:val="3"/>
          </w:tcPr>
          <w:p>
            <w:pPr>
              <w:jc w:val="center"/>
              <w:ind w:left="2290"/>
              <w:spacing w:after="0"/>
              <w:rPr>
                <w:sz w:val="20"/>
                <w:szCs w:val="20"/>
                <w:color w:val="auto"/>
              </w:rPr>
            </w:pPr>
            <w:r>
              <w:rPr>
                <w:rFonts w:ascii="Times New Roman" w:cs="Times New Roman" w:eastAsia="Times New Roman" w:hAnsi="Times New Roman"/>
                <w:sz w:val="18"/>
                <w:szCs w:val="18"/>
                <w:color w:val="auto"/>
                <w:w w:val="98"/>
              </w:rPr>
              <w:t>7.25%</w:t>
            </w:r>
          </w:p>
        </w:tc>
        <w:tc>
          <w:tcPr>
            <w:tcW w:w="2800" w:type="dxa"/>
            <w:vAlign w:val="bottom"/>
            <w:gridSpan w:val="3"/>
          </w:tcPr>
          <w:p>
            <w:pPr>
              <w:jc w:val="center"/>
              <w:ind w:left="496"/>
              <w:spacing w:after="0"/>
              <w:rPr>
                <w:sz w:val="20"/>
                <w:szCs w:val="20"/>
                <w:color w:val="auto"/>
              </w:rPr>
            </w:pPr>
            <w:r>
              <w:rPr>
                <w:rFonts w:ascii="Times New Roman" w:cs="Times New Roman" w:eastAsia="Times New Roman" w:hAnsi="Times New Roman"/>
                <w:sz w:val="18"/>
                <w:szCs w:val="18"/>
                <w:color w:val="auto"/>
                <w:w w:val="98"/>
              </w:rPr>
              <w:t>7.25%</w:t>
            </w:r>
          </w:p>
        </w:tc>
        <w:tc>
          <w:tcPr>
            <w:tcW w:w="100" w:type="dxa"/>
            <w:vAlign w:val="bottom"/>
          </w:tcPr>
          <w:p>
            <w:pPr>
              <w:spacing w:after="0"/>
              <w:rPr>
                <w:sz w:val="22"/>
                <w:szCs w:val="22"/>
                <w:color w:val="auto"/>
              </w:rPr>
            </w:pPr>
          </w:p>
        </w:tc>
      </w:tr>
      <w:tr>
        <w:trPr>
          <w:trHeight w:val="661"/>
        </w:trPr>
        <w:tc>
          <w:tcPr>
            <w:tcW w:w="4700" w:type="dxa"/>
            <w:vAlign w:val="bottom"/>
          </w:tcPr>
          <w:p>
            <w:pPr>
              <w:spacing w:after="0"/>
              <w:rPr>
                <w:sz w:val="24"/>
                <w:szCs w:val="24"/>
                <w:color w:val="auto"/>
              </w:rPr>
            </w:pPr>
          </w:p>
        </w:tc>
        <w:tc>
          <w:tcPr>
            <w:tcW w:w="17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70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There were no changes in the fair value of nonconvertible preferred stock during the three and six months ended March 31, 2023 or 2022.</w:t>
      </w:r>
    </w:p>
    <w:p>
      <w:pPr>
        <w:spacing w:after="0" w:line="11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and September 30, 2022, the fair value of available-for-sale marketable securities, by type of security,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(1,088 )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237,863</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-1559560</wp:posOffset>
            </wp:positionV>
            <wp:extent cx="7683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-1559560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-1559560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-1559560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-187960</wp:posOffset>
            </wp:positionV>
            <wp:extent cx="7683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-187960</wp:posOffset>
            </wp:positionV>
            <wp:extent cx="685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March 31, 2023 and September 30, 2022, marketable securities consisted of investments that mature within one year, with the exception of certain corporate bonds and U.S. Treasury notes, which have maturities between one and two years and an aggregate fair value of $15,040 and $29,285, respectively.</w:t>
      </w:r>
    </w:p>
    <w:p>
      <w:pPr>
        <w:spacing w:after="0" w:line="280"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2023 and September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7"/>
                <w:szCs w:val="17"/>
                <w:color w:val="auto"/>
              </w:rPr>
            </w:pPr>
          </w:p>
        </w:tc>
      </w:tr>
      <w:tr>
        <w:trPr>
          <w:trHeight w:val="187"/>
        </w:trPr>
        <w:tc>
          <w:tcPr>
            <w:tcW w:w="6820" w:type="dxa"/>
            <w:vAlign w:val="bottom"/>
          </w:tcPr>
          <w:p>
            <w:pPr>
              <w:spacing w:after="0"/>
              <w:rPr>
                <w:sz w:val="16"/>
                <w:szCs w:val="16"/>
                <w:color w:val="auto"/>
              </w:rPr>
            </w:pPr>
          </w:p>
        </w:tc>
        <w:tc>
          <w:tcPr>
            <w:tcW w:w="1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140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0"/>
                <w:szCs w:val="20"/>
                <w:color w:val="auto"/>
              </w:rPr>
            </w:pP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4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820" w:type="dxa"/>
            <w:vAlign w:val="bottom"/>
          </w:tcPr>
          <w:p>
            <w:pPr>
              <w:spacing w:after="0"/>
              <w:rPr>
                <w:sz w:val="20"/>
                <w:szCs w:val="20"/>
                <w:color w:val="auto"/>
              </w:rPr>
            </w:pP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-187960</wp:posOffset>
            </wp:positionV>
            <wp:extent cx="7683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AbbVie Collaboration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$1,250,000 through March 31, 2023.</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1 Nonconvertible Preferred Stock</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March 31, 2023, 1,930 shares of Series 1 nonconvertible preferred stock were issued and outstanding. Since these shares qualify as a derivative, the outstanding shares are carried at fair value as a liability on the Company’s consolidated balance sheets.</w:t>
      </w:r>
    </w:p>
    <w:p>
      <w:pPr>
        <w:spacing w:after="0" w:line="266"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and March 2023. The Company also has outstanding stock option awards under its 2012 Equity Incentive Plan (the “2012 Plan”) and its amended and restated 1995 Equity Incentive Plan (the “1995 Plan”), but is no longer granting awards under these plans.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performance-based options, for the year-to-date period ending March 31, 2023:</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0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2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22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(117 )</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(82 )</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2023</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6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31, 2023</w:t>
            </w:r>
          </w:p>
        </w:tc>
        <w:tc>
          <w:tcPr>
            <w:tcW w:w="15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2023</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6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-496570</wp:posOffset>
            </wp:positionV>
            <wp:extent cx="76835" cy="3175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3175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March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4"/>
          </w:tcPr>
          <w:p>
            <w:pPr>
              <w:jc w:val="center"/>
              <w:ind w:right="12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4"/>
          </w:tcPr>
          <w:p>
            <w:pPr>
              <w:jc w:val="center"/>
              <w:ind w:right="122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bottom w:val="single" w:sz="8" w:color="auto"/>
            </w:tcBorders>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September 30, 2022</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March 31, 2023</w:t>
            </w:r>
          </w:p>
        </w:tc>
        <w:tc>
          <w:tcPr>
            <w:tcW w:w="112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2023, a total of 100% of the target PSUs and 127% of the target rTSRUs granted in December 2020 vested, resulting in the issuance of an aggregate of 104 common shares, net of share withholding.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year-to-date period ending March 31, 2023:</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72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740" w:type="dxa"/>
            <w:vAlign w:val="bottom"/>
          </w:tcPr>
          <w:p>
            <w:pPr>
              <w:spacing w:after="0"/>
              <w:rPr>
                <w:sz w:val="16"/>
                <w:szCs w:val="16"/>
                <w:color w:val="auto"/>
              </w:rPr>
            </w:pPr>
          </w:p>
        </w:tc>
        <w:tc>
          <w:tcPr>
            <w:tcW w:w="172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Borders>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392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September 30, 2022</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130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(56 )</w:t>
            </w:r>
          </w:p>
        </w:tc>
        <w:tc>
          <w:tcPr>
            <w:tcW w:w="14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72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14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March 31, 2023</w:t>
            </w:r>
          </w:p>
        </w:tc>
        <w:tc>
          <w:tcPr>
            <w:tcW w:w="172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130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March 31, 2023 and 2022 the Company recognized the following stock-based compensation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00" w:type="dxa"/>
            <w:vAlign w:val="bottom"/>
          </w:tcPr>
          <w:p>
            <w:pPr>
              <w:spacing w:after="0"/>
              <w:rPr>
                <w:sz w:val="16"/>
                <w:szCs w:val="16"/>
                <w:color w:val="auto"/>
              </w:rPr>
            </w:pPr>
          </w:p>
        </w:tc>
      </w:tr>
      <w:tr>
        <w:trPr>
          <w:trHeight w:val="183"/>
        </w:trPr>
        <w:tc>
          <w:tcPr>
            <w:tcW w:w="4900" w:type="dxa"/>
            <w:vAlign w:val="bottom"/>
          </w:tcPr>
          <w:p>
            <w:pPr>
              <w:spacing w:after="0"/>
              <w:rPr>
                <w:sz w:val="15"/>
                <w:szCs w:val="15"/>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69"/>
        </w:trPr>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10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6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FF0FC"/>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21"/>
                <w:szCs w:val="21"/>
                <w:color w:val="auto"/>
              </w:rPr>
            </w:pPr>
          </w:p>
        </w:tc>
      </w:tr>
      <w:tr>
        <w:trPr>
          <w:trHeight w:val="272"/>
        </w:trPr>
        <w:tc>
          <w:tcPr>
            <w:tcW w:w="49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565"/>
        </w:trPr>
        <w:tc>
          <w:tcPr>
            <w:tcW w:w="4900" w:type="dxa"/>
            <w:vAlign w:val="bottom"/>
          </w:tcPr>
          <w:p>
            <w:pPr>
              <w:spacing w:after="0"/>
              <w:rPr>
                <w:sz w:val="24"/>
                <w:szCs w:val="2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00" w:type="dxa"/>
            <w:vAlign w:val="bottom"/>
          </w:tcPr>
          <w:p>
            <w:pPr>
              <w:spacing w:after="0"/>
              <w:rPr>
                <w:sz w:val="24"/>
                <w:szCs w:val="24"/>
                <w:color w:val="auto"/>
              </w:rPr>
            </w:pPr>
          </w:p>
        </w:tc>
      </w:tr>
      <w:tr>
        <w:trPr>
          <w:trHeight w:val="182"/>
        </w:trPr>
        <w:tc>
          <w:tcPr>
            <w:tcW w:w="4900" w:type="dxa"/>
            <w:vAlign w:val="bottom"/>
          </w:tcPr>
          <w:p>
            <w:pPr>
              <w:spacing w:after="0"/>
              <w:rPr>
                <w:sz w:val="15"/>
                <w:szCs w:val="15"/>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69"/>
        </w:trPr>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10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6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rTSRUs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0"/>
                <w:szCs w:val="20"/>
                <w:color w:val="auto"/>
              </w:rPr>
            </w:pP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1"/>
                <w:szCs w:val="21"/>
                <w:color w:val="auto"/>
              </w:rPr>
            </w:pPr>
          </w:p>
        </w:tc>
      </w:tr>
      <w:tr>
        <w:trPr>
          <w:trHeight w:val="272"/>
        </w:trPr>
        <w:tc>
          <w:tcPr>
            <w:tcW w:w="49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-1448435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-1430655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-1448435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-1430655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-1448435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-1430655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March 31, 2023 and 2022, the Company recognized stock-based compensation expense for performance-based stock units for which vesting became probable upon achievement of performance-based targets that occurred during the performance period.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2023, the Company had an aggregate of $70,253 of unrecognized stock-based compensation cost, which is expected to be recognized over a weighted average period of 2.6 years.</w:t>
      </w:r>
    </w:p>
    <w:p>
      <w:pPr>
        <w:spacing w:after="0" w:line="7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For example,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8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On June 21, 2022, the Company filed suit in the United States District Court for the District of Massachusetts, against Pfizer, Inc. seeking damages for infringement of U.S. Patent No. 11,358,953 (the ’953 Patent) in the manufacture, use and sale of Pfizer’s COVID-19 antiviral, Paxlovid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3" w:name="page14"/>
    <w:bookmarkEnd w:id="13"/>
    <w:p>
      <w:pPr>
        <w:ind w:right="20"/>
        <w:spacing w:after="0" w:line="282" w:lineRule="auto"/>
        <w:rPr>
          <w:sz w:val="20"/>
          <w:szCs w:val="20"/>
          <w:color w:val="auto"/>
        </w:rPr>
      </w:pPr>
      <w:r>
        <w:rPr>
          <w:rFonts w:ascii="Times New Roman" w:cs="Times New Roman" w:eastAsia="Times New Roman" w:hAnsi="Times New Roman"/>
          <w:sz w:val="18"/>
          <w:szCs w:val="18"/>
          <w:color w:val="auto"/>
        </w:rPr>
        <w:t>claimed in the ‘953 patent. The Company records all legal expenses associated with the patent infringement suit as incurred in the consolidated statements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is not a party to any other litigation.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consolidated financial statements as of March 31,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leases office space under various non-cancelable operating leases. There have been no material changes to the Company’s leases during the three and six months ended March 31, 2023. For additional information, please read Note 11, Leases, to the consolidated financial statements in the Company's Annual Report on Form 10-K for the fiscal year ended September 30,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4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April 2023, the Company entered into a royalty sale agreement with an affiliate of OMERS, pursuant to which the Company was paid a $200,000 cash purchase price in exchange for 54.5% of the Company’s future quarterly royalty payments on net sales of MAVYRET/MAVIRET, beginning with the payment for the quarter ending September 30, 2023, through June 30, 2032, subject to a cap on aggregate payments equal to 1.42 times the purchase price.</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or Form 10-Q, and the audited consolidated financial statements and notes thereto for our fiscal year ended September 30, 2022 included in our Annual Report on Form 10-K for that fiscal year, which is referred to as our 2022 Form 10-K. Please refer to our note regarding forward-looking statements on page 2 of this Form 10-Q, which is incorporated herein by this reference.</w:t>
      </w:r>
    </w:p>
    <w:p>
      <w:pPr>
        <w:spacing w:after="0" w:line="75"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become a leader in the discovery and development of small molecule drugs, with an emphasis on treatments for viral infections.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90" w:lineRule="exact"/>
        <w:rPr>
          <w:sz w:val="20"/>
          <w:szCs w:val="20"/>
          <w:color w:val="auto"/>
        </w:rPr>
      </w:pPr>
    </w:p>
    <w:p>
      <w:pPr>
        <w:jc w:val="both"/>
        <w:ind w:left="1020" w:right="3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67" w:lineRule="exact"/>
        <w:rPr>
          <w:rFonts w:ascii="Times New Roman" w:cs="Times New Roman" w:eastAsia="Times New Roman" w:hAnsi="Times New Roman"/>
          <w:sz w:val="18"/>
          <w:szCs w:val="18"/>
          <w:color w:val="auto"/>
        </w:rPr>
      </w:pPr>
    </w:p>
    <w:p>
      <w:pPr>
        <w:ind w:left="1020" w:hanging="503"/>
        <w:spacing w:after="0" w:line="24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as well as other coronaviruses, with estimates suggesting that COVID-19 has caused over 300,000 deaths and over 2.4 million hospitalizations in the U.S. in 2022 through April 29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with comparable, or at least significant, impact in other major populations of the world and with new variants still emerging;</w:t>
      </w:r>
    </w:p>
    <w:p>
      <w:pPr>
        <w:spacing w:after="0" w:line="90"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metapneumovirus, or hMPV, an important, relatively recently identified cause of respiratory tract infections, particularly in children, the elderly and immunocompromised individuals, with symptoms similar to RSV;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Since fiscal 2020, we have reported a net loss. Our ability to generate revenue sufficient to achieve profitability will depend on the successful further development and commercialization of our products. We generated revenue of $41.4 million and $46.4 million for the six months ended March 31, 2023 and 2022, respectively, and incurred net losses of $66.6 million and $63.7 million for those same periods. As of March 31, 2023, we had an accumulated deficit of $139.8 million. We expect to continue to incur net losses for the foreseeable future. As a result, we may need additional funding for expenses related to our operating activities, including general and administrative expenses and research and development expenses.</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clinical development and commercialization, we are unable to accurately predict the timing or amount of increased expenses or when, or if, we will be able to achieve or maintain profitability. Until such time, if ever, as we can generate substantial revenue sufficient to achieve profitability, we expect to finance our operations through a combination of equity offerings, non-dilutive financings, collaborations, strategic alliances or licensing agreements. We may be unable to raise additional funds or enter into such other agreements or arrangements when needed on favorable terms, or at all. If we are unable to raise capital or enter into such agreements as, and when, needed, we may have to significantly delay, scale back or discontinue the further development and commercialization efforts of one or more of our products, or may be forced to reduce or terminate our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 w:name="page16"/>
    <w:bookmarkEnd w:id="15"/>
    <w:p>
      <w:pPr>
        <w:ind w:right="80"/>
        <w:spacing w:after="0" w:line="254" w:lineRule="auto"/>
        <w:rPr>
          <w:sz w:val="20"/>
          <w:szCs w:val="20"/>
          <w:color w:val="auto"/>
        </w:rPr>
      </w:pPr>
      <w:r>
        <w:rPr>
          <w:rFonts w:ascii="Times New Roman" w:cs="Times New Roman" w:eastAsia="Times New Roman" w:hAnsi="Times New Roman"/>
          <w:sz w:val="18"/>
          <w:szCs w:val="18"/>
          <w:color w:val="auto"/>
        </w:rPr>
        <w:t>As of March 31, 2023, we had $225.1 million in cash, cash equivalents and short-term and long-term marketable securities. In April 2023, we entered into a royalty sale agreement with an affiliate of OMERS, which paid us a $200.0 million cash purchase price in exchange for 54.5% of our future quarterly royalty payments on net sales of MAVYRET/MAVIRET, beginning with the payment for the quarter ending September 30, 2023, through June 30, 2032, subject to a cap on aggregate payments equal to 1.42 times the purchase price. We believe that our existing cash, cash equivalents and short-term and long-term marketable securities, as well as the $200.0 million payment received in our April 2023 royalty sale transaction and our continuing portion of HCV royalties, will enable us to fund our operating expenses and capital expenditure requirements into calendar 2026. We have based this estimate on assumptions that may prove to be wrong, and we could exhaust our available capital resources sooner than we expect. See “Liquidity and Capital Resources.”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namely RSV, SARS-CoV-2, hMPV and HBV:</w:t>
      </w:r>
    </w:p>
    <w:p>
      <w:pPr>
        <w:spacing w:after="0" w:line="117" w:lineRule="exact"/>
        <w:rPr>
          <w:sz w:val="20"/>
          <w:szCs w:val="20"/>
          <w:color w:val="auto"/>
        </w:rPr>
      </w:pPr>
    </w:p>
    <w:p>
      <w:pPr>
        <w:ind w:left="1020" w:right="16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have a clinical stage program for RSV, with two compounds in clinical trials – EDP-938 and EDP-323. EDP-938, which has Fast Track designation from the U.S. Food and Drug Administration, or FDA, is a potent N-protein inhibitor of activity of both major subgroups of RSV, referred to as RSV-A and RSV-B. It has been investigated in a Phase 2a challenge study and is currently in three ongoing Phase 2 studies, each in a different patient population. EDP-323, an inhibitor of the RSV L-protein with Fast Track designation from the FDA, is currently in a Phase 1 clinical study with data expected in the second quarter of 2023.</w:t>
      </w:r>
    </w:p>
    <w:p>
      <w:pPr>
        <w:spacing w:after="0" w:line="73" w:lineRule="exact"/>
        <w:rPr>
          <w:sz w:val="20"/>
          <w:szCs w:val="20"/>
          <w:color w:val="auto"/>
        </w:rPr>
      </w:pPr>
    </w:p>
    <w:p>
      <w:pPr>
        <w:ind w:left="1800" w:hanging="384"/>
        <w:spacing w:after="0" w:line="254"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EDP-938 - N-protein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studied EDP-938 in two Phase 2 studies that were designed to be proof-of-concept and exploratory studies to understand better viral response in the context of RSV infection. These studies were conducted in otherwise healthy adults. The first study was the challenge study, which was reported out in mid-2019. The second study, known as RSVP, was in an adult outpatient population with community-acquired RSV infection that had a data read out in May 2022. EDP-938 has demonstrated a favorable safety profile, consistent with that observed in approximately 500 subjects exposed to EDP-938 to date. We believe that EDP-938 has the greatest potential to show optimal efficacy in high-risk populations, as these patients have reduced RSV immunity which manifests in a higher and longer duration of viral load and greater disease severity, allowing a bigger window to realize the full potential of EDP-938. Based on the efficacy and growing safety profile of EDP-938, we are continuing to evaluate EDP-938 in high-risk populations in the following ongoing and planned clinical studies, including pediatric patients, adult hematopoietic stem cell recipients and other high-risk adults, all of which have significant unmet need:</w:t>
      </w:r>
    </w:p>
    <w:p>
      <w:pPr>
        <w:spacing w:after="0" w:line="77" w:lineRule="exact"/>
        <w:rPr>
          <w:rFonts w:ascii="Times New Roman" w:cs="Times New Roman" w:eastAsia="Times New Roman" w:hAnsi="Times New Roman"/>
          <w:sz w:val="18"/>
          <w:szCs w:val="18"/>
          <w:color w:val="auto"/>
        </w:rPr>
      </w:pPr>
    </w:p>
    <w:p>
      <w:pPr>
        <w:ind w:left="2540" w:right="40" w:hanging="375"/>
        <w:spacing w:after="0" w:line="267" w:lineRule="auto"/>
        <w:tabs>
          <w:tab w:leader="none" w:pos="2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RSVPEDs: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RSVPEDs is a Phase 2 study in pediatric patients. This dose-ranging, randomized, double-blind, placebo-controlled study, will evaluate multiple ascending doses for five days in two age cohorts to determine safety, tolerability, and pharmacokinetics, as well as a second part evaluating the selected dose for antiviral activity.</w:t>
      </w:r>
    </w:p>
    <w:p>
      <w:pPr>
        <w:spacing w:after="0" w:line="65" w:lineRule="exact"/>
        <w:rPr>
          <w:rFonts w:ascii="Times New Roman" w:cs="Times New Roman" w:eastAsia="Times New Roman" w:hAnsi="Times New Roman"/>
          <w:sz w:val="18"/>
          <w:szCs w:val="18"/>
          <w:color w:val="auto"/>
        </w:rPr>
      </w:pPr>
    </w:p>
    <w:p>
      <w:pPr>
        <w:ind w:left="2540" w:right="140" w:hanging="375"/>
        <w:spacing w:after="0" w:line="261" w:lineRule="auto"/>
        <w:tabs>
          <w:tab w:leader="none" w:pos="2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RSVTx: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RSVTx is a Phase 2b study in adult hematopoietic cell transplant recipients with acute RSV infection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symptoms of upper respiratory tract infection. The study is designed for approximately 200 adult subjects who must be 18 to 75 years of age. Subjects receive EDP-938 or placebo for 21 days and are monitored for the incidence of lower respiratory tract complications within 28 days of enrollment.</w:t>
      </w:r>
    </w:p>
    <w:p>
      <w:pPr>
        <w:spacing w:after="0" w:line="71" w:lineRule="exact"/>
        <w:rPr>
          <w:rFonts w:ascii="Times New Roman" w:cs="Times New Roman" w:eastAsia="Times New Roman" w:hAnsi="Times New Roman"/>
          <w:sz w:val="18"/>
          <w:szCs w:val="18"/>
          <w:color w:val="auto"/>
        </w:rPr>
      </w:pPr>
    </w:p>
    <w:p>
      <w:pPr>
        <w:ind w:left="2540" w:right="220" w:hanging="375"/>
        <w:spacing w:after="0" w:line="261" w:lineRule="auto"/>
        <w:tabs>
          <w:tab w:leader="none" w:pos="2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RSVHR: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RSVHR is a Phase 2b study in high-risk adults, including those who are older than 65 years of age and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have asthma, chronic obstructive pulmonary disease, or COPD, or congestive heart failure. Approximately 180 patients will be treated with EDP-938 or placebo for five days and evaluated for 28 days thereafter. The primary endpoint of the study is time to resolution of RSV lower respiratory tract disease symptoms.</w:t>
      </w:r>
    </w:p>
    <w:p>
      <w:pPr>
        <w:spacing w:after="0" w:line="73" w:lineRule="exact"/>
        <w:rPr>
          <w:rFonts w:ascii="Times New Roman" w:cs="Times New Roman" w:eastAsia="Times New Roman" w:hAnsi="Times New Roman"/>
          <w:sz w:val="18"/>
          <w:szCs w:val="18"/>
          <w:color w:val="auto"/>
        </w:rPr>
      </w:pPr>
    </w:p>
    <w:p>
      <w:pPr>
        <w:ind w:left="1800" w:right="180" w:hanging="384"/>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ongoing studies are expected to continue through at least 2023 and we are monitoring RSV epidemiology to determine the impact on trial enrollment and timing for the data readouts.</w:t>
      </w:r>
    </w:p>
    <w:p>
      <w:pPr>
        <w:spacing w:after="0" w:line="51" w:lineRule="exact"/>
        <w:rPr>
          <w:rFonts w:ascii="Times New Roman" w:cs="Times New Roman" w:eastAsia="Times New Roman" w:hAnsi="Times New Roman"/>
          <w:sz w:val="18"/>
          <w:szCs w:val="18"/>
          <w:color w:val="auto"/>
        </w:rPr>
      </w:pPr>
    </w:p>
    <w:p>
      <w:pPr>
        <w:ind w:left="1800" w:right="20" w:hanging="384"/>
        <w:spacing w:after="0" w:line="257"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candidate for RSV is a novel oral, direct-acting antiviral selectively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targeting the RSV L-protein, a viral RNA-dependent RNA polymerase enzyme that contains multiple enzymatic activities required for RSV replication. EDP-323 has shown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has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such as EDP-938, to broaden the treatment window or addressable patient populations. We initiated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left="1283"/>
        <w:spacing w:after="0"/>
        <w:rPr>
          <w:sz w:val="20"/>
          <w:szCs w:val="20"/>
          <w:color w:val="auto"/>
        </w:rPr>
      </w:pPr>
      <w:r>
        <w:rPr>
          <w:rFonts w:ascii="Times New Roman" w:cs="Times New Roman" w:eastAsia="Times New Roman" w:hAnsi="Times New Roman"/>
          <w:sz w:val="18"/>
          <w:szCs w:val="18"/>
          <w:color w:val="auto"/>
        </w:rPr>
        <w:t>a Phase 1 clinical study of EDP-323 in October 2022 and expect to report data from this study in the second quarter of 2023.</w:t>
      </w:r>
    </w:p>
    <w:p>
      <w:pPr>
        <w:spacing w:after="0" w:line="117" w:lineRule="exact"/>
        <w:rPr>
          <w:sz w:val="20"/>
          <w:szCs w:val="20"/>
          <w:color w:val="auto"/>
        </w:rPr>
      </w:pPr>
    </w:p>
    <w:p>
      <w:pPr>
        <w:ind w:left="523" w:right="220" w:hanging="377"/>
        <w:spacing w:after="0" w:line="282" w:lineRule="auto"/>
        <w:tabs>
          <w:tab w:leader="none" w:pos="5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We have leveraged our expertise in developing protease inhibitors to discover new compounds specifically designed to target the SARS-CoV-2 virus and potentially other coronaviruses.</w:t>
      </w:r>
    </w:p>
    <w:p>
      <w:pPr>
        <w:spacing w:after="0" w:line="52" w:lineRule="exact"/>
        <w:rPr>
          <w:sz w:val="20"/>
          <w:szCs w:val="20"/>
          <w:color w:val="auto"/>
        </w:rPr>
      </w:pPr>
    </w:p>
    <w:p>
      <w:pPr>
        <w:ind w:left="1283" w:right="320" w:hanging="384"/>
        <w:spacing w:after="0" w:line="258" w:lineRule="auto"/>
        <w:tabs>
          <w:tab w:leader="none" w:pos="12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EDP-235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Protease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lead clinical candidate for COVID-19, EDP-235, is an oral inhibitor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coronavirus 3CL protease, also referred to as 3CLpro or the main coronavirus protease, or Mpro, which has been granted Fast Track designation by the FDA.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w:t>
      </w:r>
    </w:p>
    <w:p>
      <w:pPr>
        <w:spacing w:after="0" w:line="75" w:lineRule="exact"/>
        <w:rPr>
          <w:rFonts w:ascii="Times New Roman" w:cs="Times New Roman" w:eastAsia="Times New Roman" w:hAnsi="Times New Roman"/>
          <w:sz w:val="18"/>
          <w:szCs w:val="18"/>
          <w:color w:val="auto"/>
        </w:rPr>
      </w:pPr>
    </w:p>
    <w:p>
      <w:pPr>
        <w:ind w:left="2023" w:right="20" w:hanging="375"/>
        <w:spacing w:after="0" w:line="243" w:lineRule="auto"/>
        <w:tabs>
          <w:tab w:leader="none" w:pos="2023"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1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July 2022, we completed a Phase 1 study and reported positive topline results. This first-in-human,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randomized, double-blind, placebo-controlled study enrolled healthy volunteers to evaluate the safety, tolerability, and pharmacokinetics, or PK, of oral EDP-235 in single ascending doses, and multiple ascending doses, for seven days, and the effect of food. Data from the Phase 1 study demonstrated EDP-235 was generally safe and well-tolerated in doses up to 400mg for seven days and adverse events were infrequent and mild. Strong exposure multiples over the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(a measure of potency, specifically the concentration of drug that results in 90% inhibition of viral replication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were observed without the need for ritonavir boosting and its associated drug-drug interactions. Specifically, EDP-235 200mg and 400mg taken once daily with food resulted in mean trough plasma levels at steady state that were 7-fold and 13-fold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Omicron variant of SARS-CoV-2. Furthermore, EDP-235 is projected to have four times higher drug levels in lung tissue compared to plasma.</w:t>
      </w:r>
    </w:p>
    <w:p>
      <w:pPr>
        <w:spacing w:after="0" w:line="84" w:lineRule="exact"/>
        <w:rPr>
          <w:rFonts w:ascii="Times New Roman" w:cs="Times New Roman" w:eastAsia="Times New Roman" w:hAnsi="Times New Roman"/>
          <w:sz w:val="18"/>
          <w:szCs w:val="18"/>
          <w:color w:val="auto"/>
        </w:rPr>
      </w:pPr>
    </w:p>
    <w:p>
      <w:pPr>
        <w:ind w:left="2023" w:hanging="375"/>
        <w:spacing w:after="0" w:line="252" w:lineRule="auto"/>
        <w:tabs>
          <w:tab w:leader="none" w:pos="2023"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2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May 2023, we reported topline results from SPRINT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ARS-CoV-2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Pr</w:t>
      </w:r>
      <w:r>
        <w:rPr>
          <w:rFonts w:ascii="Times New Roman" w:cs="Times New Roman" w:eastAsia="Times New Roman" w:hAnsi="Times New Roman"/>
          <w:sz w:val="18"/>
          <w:szCs w:val="18"/>
          <w:color w:val="auto"/>
        </w:rPr>
        <w:t>otease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hibitor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reatment),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2 clinical trial of EDP-235. This randomized, double-blind, placebo-controlled study evaluated the safety, tolerability, antiviral activity and clinical symptoms of EDP-235 compared to placebo in approximately 230 non-hospitalized, symptomatic patients with mild to moderate COVID-19 who were not at increased risk for developing severe disease. Patients were eligible to participate if they had symptoms for five days or less and had not received a SARS-CoV-2 vaccine or been infected with SARS-CoV-2 within 90 days of enrollment. Patients received either 200mg or 400mg EDP-235 or placebo orally with food once daily for five days. EDP-235 met the primary endpoint of the trial and was generally safe and well-tolerated. A dose-dependent improvement in symptoms was observed with EDP-235 treatment compared to placebo, which achieved statistical significance (p&lt;0.05) in the 400mg treatment group at multiple time points, starting as early as one day after the first dose. In a prespecified population consisting of patients enrolled within 3 days of symptom onset, a statistically significant improvement was observed with EDP-235 at 400mg at all time points. While no difference was observed in time to improvement of 14 targeted COVID-19 symptoms, an analysis of a subset of these symptoms showed a 2-day shorter time to improvement in patients receiving EDP-235 400mg who were enrolled within 3 days of symptom onset (p&lt;0.01). No effect on virologic endpoints as measured in the nose was detected due to the rapid viral decline in the placebo arm of this highly immunologically-experienced, standard risk population. An additional analysis of patients with a baseline viral load greater than 5 logs showed a decline of 0.4 log at day 3 in both EDP-235 treatment arms compared to placebo.</w:t>
      </w:r>
    </w:p>
    <w:p>
      <w:pPr>
        <w:spacing w:after="0" w:line="87" w:lineRule="exact"/>
        <w:rPr>
          <w:rFonts w:ascii="Times New Roman" w:cs="Times New Roman" w:eastAsia="Times New Roman" w:hAnsi="Times New Roman"/>
          <w:sz w:val="18"/>
          <w:szCs w:val="18"/>
          <w:color w:val="auto"/>
        </w:rPr>
      </w:pPr>
    </w:p>
    <w:p>
      <w:pPr>
        <w:ind w:left="1283" w:right="140" w:hanging="384"/>
        <w:spacing w:after="0" w:line="255" w:lineRule="auto"/>
        <w:tabs>
          <w:tab w:leader="none" w:pos="12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PLpro inhibitor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also researching additional targets and compounds that might be eligible to be designated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development for the treatment of SARS-CoV-2. In January 2023, we announced a new research program focused on the discovery and development of inhibitors of the SARS-CoV-2 papain-like protease (PLpro), for the oral treatment of COVID-19. PLpro is an essential enzyme, which, along with the 3CL protease (3CLpro, or Mpro), plays an important role in viral replication and also acts to suppress the innate immune response. Inhibition of PLpro blocks viral replication and has the potential to restore the dysregulated immune response to SARS-CoV-2 infection. As this mechanism is distinct from 3CL protease inhibition, it has the potential to be used alone or in combination with 3CL protease inhibitors such as EDP-235 or other compounds to provide a range of treatment regimens for different patient populations suffering from COVID-19.</w:t>
      </w:r>
    </w:p>
    <w:p>
      <w:pPr>
        <w:spacing w:after="0" w:line="78" w:lineRule="exact"/>
        <w:rPr>
          <w:rFonts w:ascii="Times New Roman" w:cs="Times New Roman" w:eastAsia="Times New Roman" w:hAnsi="Times New Roman"/>
          <w:sz w:val="18"/>
          <w:szCs w:val="18"/>
          <w:color w:val="auto"/>
        </w:rPr>
      </w:pPr>
    </w:p>
    <w:p>
      <w:pPr>
        <w:jc w:val="both"/>
        <w:ind w:left="503" w:right="500" w:hanging="503"/>
        <w:spacing w:after="0" w:line="266"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hMPV</w:t>
      </w:r>
      <w:r>
        <w:rPr>
          <w:rFonts w:ascii="Times New Roman" w:cs="Times New Roman" w:eastAsia="Times New Roman" w:hAnsi="Times New Roman"/>
          <w:sz w:val="18"/>
          <w:szCs w:val="18"/>
          <w:color w:val="auto"/>
        </w:rPr>
        <w:t>: Human metapneumovirus, or hMPV, is a virus that is a significant cause of respiratory tract infections, or RTIs, particularly in children, the elderly and immunocompromised individuals. It is the second most common cause of lower respiratory tract infections in children, with symptoms similar to RSV. The viral structure and lifecycle of hMPV are also similar to RSV.</w:t>
      </w:r>
    </w:p>
    <w:p>
      <w:pPr>
        <w:spacing w:after="0" w:line="17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5" w:right="359" w:bottom="1440" w:gutter="0" w:footer="0" w:header="0"/>
        </w:sectPr>
      </w:pPr>
    </w:p>
    <w:bookmarkStart w:id="17" w:name="page18"/>
    <w:bookmarkEnd w:id="17"/>
    <w:p>
      <w:pPr>
        <w:ind w:left="1800" w:right="40" w:hanging="384"/>
        <w:spacing w:after="0" w:line="258" w:lineRule="auto"/>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hMPV/RSV Dual-Inhibitor: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2023, we announced a new research program with broader spectrum antiviral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hMPV and RSV with a single agent, which we refer to as a dual-inhibitor. In preclinical studies, these dual-inhibitors maintained activity against multiple genotypes and strains of hMPV and RSV in a range of cell types, and blocked replication in a dose-dependent manner in respective mouse models of each virus. We expect to select a dual hMPV/RSV clinical candidate in the fourth quarter of 2023.</w:t>
      </w:r>
    </w:p>
    <w:p>
      <w:pPr>
        <w:spacing w:after="0" w:line="77" w:lineRule="exact"/>
        <w:rPr>
          <w:rFonts w:ascii="Times New Roman" w:cs="Times New Roman" w:eastAsia="Times New Roman" w:hAnsi="Times New Roman"/>
          <w:sz w:val="18"/>
          <w:szCs w:val="18"/>
          <w:color w:val="auto"/>
        </w:rPr>
      </w:pPr>
    </w:p>
    <w:p>
      <w:pPr>
        <w:ind w:left="1040" w:right="240" w:hanging="373"/>
        <w:spacing w:after="0" w:line="258"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Our lead clinical candidate for the treatment of chronic infection with hepatitis B virus, or HBV, is EDP-514, a core inhibitor that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Our goal is to develop a combination therapy approach, including existing approved treatments such as a nucleoside reverse transcriptase inhibitor, or NUC, with EDP-514 and one or more other mechanisms, which could lead to a functional cure for patients with chronic HBV infection. We are in the process of seeking other compounds that could be developed with EDP-514 for such a treatment regimen.</w:t>
      </w:r>
    </w:p>
    <w:p>
      <w:pPr>
        <w:spacing w:after="0" w:line="73" w:lineRule="exact"/>
        <w:rPr>
          <w:rFonts w:ascii="Times New Roman" w:cs="Times New Roman" w:eastAsia="Times New Roman" w:hAnsi="Times New Roman"/>
          <w:sz w:val="18"/>
          <w:szCs w:val="18"/>
          <w:color w:val="auto"/>
        </w:rPr>
      </w:pPr>
    </w:p>
    <w:p>
      <w:pPr>
        <w:ind w:left="1800" w:right="60" w:hanging="384"/>
        <w:spacing w:after="0" w:line="261" w:lineRule="auto"/>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EDP-514 - Core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data from two Phase 1b studies of EDP-514 demonstrate the compound is safe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 in two different chronic HBV patient populations – those who have a high viral load and those who are on a treatment with a nucleoside reverse transcriptase inhibitor. Based on these data, we remain convinced that EDP-514, which has Fast Track designation, has the potential to be a best-in-class core inhibitor for HBV.</w:t>
      </w:r>
    </w:p>
    <w:p>
      <w:pPr>
        <w:spacing w:after="0" w:line="1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2200" cy="32575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22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*Fixed-dose antiviral combination contains glecaprevir and AbbVie’s NS5A inhibitor, pibrentasvir. Marketed by AbbVie as MAVYRET® (U.S.) and MAVIRET® (ex-U.S.).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18" w:name="page19"/>
    <w:bookmarkEnd w:id="18"/>
    <w:p>
      <w:pPr>
        <w:ind w:right="140"/>
        <w:spacing w:after="0" w:line="258" w:lineRule="auto"/>
        <w:rPr>
          <w:sz w:val="20"/>
          <w:szCs w:val="20"/>
          <w:color w:val="auto"/>
        </w:rPr>
      </w:pPr>
      <w:r>
        <w:rPr>
          <w:rFonts w:ascii="Times New Roman" w:cs="Times New Roman" w:eastAsia="Times New Roman" w:hAnsi="Times New Roman"/>
          <w:sz w:val="18"/>
          <w:szCs w:val="18"/>
          <w:color w:val="auto"/>
        </w:rPr>
        <w:t>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COVID-19 pandemic had an impact on our royalty revenues received from AbbVie. We continued to report lower royalty revenue during fiscal 2022 and in the first half of fiscal 2023 as compared to periods ending before March 2020. The pandemic resulted in a decline in patient volumes, HCV diagnoses, HCV prescriptions and sales of MAVYRET/MAVIRET.</w:t>
      </w:r>
    </w:p>
    <w:p>
      <w:pPr>
        <w:spacing w:after="0" w:line="6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Please see Item 1A “Risk Factors” in our 2022 Form 10-K for additional discussion of risks and potential risks of the COVID-19 pandemic on our business,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with an emphasis on treatments for viral infections. As of the date of this report, we are conducting three Phase 2 studies and one Phase 1 study for a different compound in our RSV program and one Phase 2 study in our SARS-CoV-2 program. We are also progressing other compounds into preclinical development.</w:t>
      </w:r>
    </w:p>
    <w:p>
      <w:pPr>
        <w:spacing w:after="0" w:line="7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As a result of the timing of our clinical and preclinical development programs, we expect our research and development expenses will fluctuate from period to period. However, in the coming years, we expect our research and development expenses generally to increase as our wholly-owned programs advance.</w:t>
      </w:r>
    </w:p>
    <w:p>
      <w:pPr>
        <w:spacing w:after="0" w:line="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through royalty payments received under our collaboration agreement with AbbVie and our existing cash, cash equivalents, and short-term and long-term marketable securities. We believe that our existing cash, cash equivalents and short-term and long-term marketable securities, as well as the $200.0 million payment received in our April 2023 royalty sale agreement and our continuing portion of HCV royalties, will enable us to fund our operating expenses and capital expenditure requirements into calendar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chronic HCV. During the first half of fiscal 2023, we also generated $1.0 million of license revenue from an upfront payment related to a license agreement for one of the antibacterial compounds we are no longer developing.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three and six months ended March 31,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0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tcPr>
          <w:p>
            <w:pPr>
              <w:spacing w:after="0"/>
              <w:rPr>
                <w:sz w:val="20"/>
                <w:szCs w:val="20"/>
                <w:color w:val="auto"/>
              </w:rPr>
            </w:pPr>
          </w:p>
        </w:tc>
      </w:tr>
      <w:tr>
        <w:trPr>
          <w:trHeight w:val="247"/>
        </w:trPr>
        <w:tc>
          <w:tcPr>
            <w:tcW w:w="5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Agreement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date, we received annually tiered, double-digit royalties on our protease inhibitor product glecaprevir included in AbbVie’s net sales of MAVYRET/MAVIRET. Under the terms of our AbbVie agreement, as amended in October 2014, 50% of AbbVie’s net sales of MAVYRET/MAVIRET are allocated to glecaprevir. Beginning with each January 1, the cumulative net sales of MAVYRET/MAVIRET start at zero for purposes of calculating the tiered royalties.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right="7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Project-specific expenses reflect costs directly attributable to our clinical development candidates and preclinical candidates nominated and selected for further development. Our remaining research and development expenses are reflected in research and drug discovery, which represents early-stage drug discovery programs. At any given time, we typically have several active early-stage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increase in the future as we advance our research and development programs. To date we have not identified any significant impact of inflation on spending in research and development, but it is uncertain whether there will be inflationary impacts in future periods.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and patent expenses.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general and administrative expenses will continue to increase in the future primarily due to the ongoing expansion of our operating activities in support of our own research and development programs, as well as our patent litigation seeking damages for infringement of one of our COVID-19 patents. To date we have not experienced a significant impact of inflation on spending in general and administrative, but we anticipate inflation may impact future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Other income (expense) consists of interest and investment income, net and the change in fair value of our outstanding Series 1 nonconvertible preferred stock. Interest income consists of interest earned on our cash equivalents and short-term and long-term marketable securities balances and interest earned for any refunds received from tax authorities. Investment income consists of the amortization or accretion of any purchased premium or discount, respectively, on our short-term and long-term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Income tax expense is based on our best estimate of taxable net losses, applicable income tax rates, net research and development tax credits and carryforwards, net operating loss carrybacks, changes in valuation allowance estimates and deferred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2023 and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center"/>
              <w:ind w:right="61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center"/>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42,087</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(44 )</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(37,658 )</w:t>
            </w:r>
          </w:p>
        </w:tc>
        <w:tc>
          <w:tcPr>
            <w:tcW w:w="1020" w:type="dxa"/>
            <w:vAlign w:val="bottom"/>
          </w:tcPr>
          <w:p>
            <w:pPr>
              <w:jc w:val="center"/>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(33,592 )</w:t>
            </w:r>
          </w:p>
        </w:tc>
      </w:tr>
      <w:tr>
        <w:trPr>
          <w:trHeight w:val="20"/>
        </w:trPr>
        <w:tc>
          <w:tcPr>
            <w:tcW w:w="7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recognized royalty revenue of $17.8 million during the three months ended March 31, 2023 as compared to $18.7 million during the three months ended March 31, 2022. The $0.9 million decrease in royalty revenue was due to AbbVie’s lower reported HCV sales as compared to the comparable period in 2022.</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ectPr>
          <w:pgSz w:w="11900" w:h="16838" w:orient="portrait"/>
          <w:cols w:equalWidth="0" w:num="1">
            <w:col w:w="11240"/>
          </w:cols>
          <w:pgMar w:left="320" w:top="441" w:right="33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R&amp;D programs: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Virology</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Liver disease (non-viral)</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4"/>
        </w:trPr>
        <w:tc>
          <w:tcPr>
            <w:tcW w:w="400" w:type="dxa"/>
            <w:vAlign w:val="bottom"/>
          </w:tcPr>
          <w:p>
            <w:pPr>
              <w:spacing w:after="0"/>
              <w:rPr>
                <w:sz w:val="15"/>
                <w:szCs w:val="15"/>
                <w:color w:val="auto"/>
              </w:rPr>
            </w:pP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60" w:type="dxa"/>
            <w:vAlign w:val="bottom"/>
          </w:tcPr>
          <w:p>
            <w:pPr>
              <w:spacing w:after="0"/>
              <w:rPr>
                <w:sz w:val="15"/>
                <w:szCs w:val="15"/>
                <w:color w:val="auto"/>
              </w:rPr>
            </w:pPr>
          </w:p>
        </w:tc>
      </w:tr>
      <w:tr>
        <w:trPr>
          <w:trHeight w:val="458"/>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7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35,912</w:t>
            </w:r>
          </w:p>
        </w:tc>
      </w:tr>
      <w:tr>
        <w:trPr>
          <w:trHeight w:val="243"/>
        </w:trPr>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r>
      <w:tr>
        <w:trPr>
          <w:trHeight w:val="250"/>
        </w:trPr>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39"/>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220" w:type="dxa"/>
            <w:vAlign w:val="bottom"/>
          </w:tcPr>
          <w:p>
            <w:pPr>
              <w:spacing w:after="0"/>
              <w:rPr>
                <w:sz w:val="20"/>
                <w:szCs w:val="20"/>
                <w:color w:val="auto"/>
              </w:rPr>
            </w:pPr>
          </w:p>
        </w:tc>
        <w:tc>
          <w:tcPr>
            <w:tcW w:w="5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42,087</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-805180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-496570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-179070</wp:posOffset>
            </wp:positionV>
            <wp:extent cx="713232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6880" w:space="720"/>
            <w:col w:w="3640"/>
          </w:cols>
          <w:pgMar w:left="320" w:top="441" w:right="339" w:bottom="1440" w:gutter="0" w:footer="0" w:header="0"/>
          <w:type w:val="continuous"/>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level of research and development expenses for the three months ended March 31, 2023 increased by $1.4 million compared to the same period in 2022. The increase in costs of $5.5 million in our virology program was primarily due to an increase in clinical trial costs and an increase in headcount, partially offset by a decrease in manufacturing costs due to timing of our studies in our virology programs. The costs in our non-viral liver disease program decreased by $5.0 million as we wound down our non-alcoholic steatohepatitis, or NASH, program, which is now substantially complete.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research and development expenses will increase in the future as we conduct more clinical development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increased by $3.3 million for the three months ended March 31, 2023 compared to the same period in 2022. The increase was due to an increase in stock-based compensation expense and an increase in legal fees related to our patent infringement suit against Pfizer.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 net</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increased $1.6 million for the three months ended March 31, 2023, as compared to the same period in 2022. The increase was due to changes in interest rates year over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March 31, 2023 and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3180" w:type="dxa"/>
            <w:vAlign w:val="bottom"/>
            <w:tcBorders>
              <w:bottom w:val="single" w:sz="8" w:color="auto"/>
            </w:tcBorders>
            <w:gridSpan w:val="4"/>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00" w:type="dxa"/>
            <w:vAlign w:val="bottom"/>
          </w:tcPr>
          <w:p>
            <w:pPr>
              <w:spacing w:after="0"/>
              <w:rPr>
                <w:sz w:val="14"/>
                <w:szCs w:val="14"/>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0" w:type="dxa"/>
            <w:vAlign w:val="bottom"/>
            <w:gridSpan w:val="3"/>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90,636</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Pr>
          <w:p>
            <w:pPr>
              <w:spacing w:after="0"/>
              <w:rPr>
                <w:sz w:val="21"/>
                <w:szCs w:val="21"/>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(10 )</w:t>
            </w:r>
          </w:p>
        </w:tc>
        <w:tc>
          <w:tcPr>
            <w:tcW w:w="1100" w:type="dxa"/>
            <w:vAlign w:val="bottom"/>
          </w:tcPr>
          <w:p>
            <w:pPr>
              <w:spacing w:after="0"/>
              <w:rPr>
                <w:sz w:val="21"/>
                <w:szCs w:val="21"/>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top w:val="single" w:sz="8" w:color="auto"/>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(66,644</w:t>
            </w:r>
          </w:p>
        </w:tc>
        <w:tc>
          <w:tcPr>
            <w:tcW w:w="220" w:type="dxa"/>
            <w:vAlign w:val="bottom"/>
            <w:tcBorders>
              <w:bottom w:val="single" w:sz="8" w:color="CFF0FC"/>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recognized royalty revenue of $40.4 million during the six months ended March 31, 2023 as compared to $46.4 million during the six months ended March 31, 2022. The $6.0 million decrease in royalty revenue was due to AbbVie’s lower reported HCV sales as compared to the comparable period in 2022.</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We also recognized $1.0 million of license revenue during the six months ended March 31, 2023 related to an upfront payment received for a license agreement for one of the antibacterial compounds we are no longer developing.</w:t>
      </w:r>
    </w:p>
    <w:p>
      <w:pPr>
        <w:sectPr>
          <w:pgSz w:w="11900" w:h="16838" w:orient="portrait"/>
          <w:cols w:equalWidth="0" w:num="1">
            <w:col w:w="11240"/>
          </w:cols>
          <w:pgMar w:left="320" w:top="441" w:right="339" w:bottom="1440" w:gutter="0" w:footer="0" w:header="0"/>
        </w:sectPr>
      </w:pP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R&amp;D programs: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Virology</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Liver disease (non-viral)</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4"/>
        </w:trPr>
        <w:tc>
          <w:tcPr>
            <w:tcW w:w="440" w:type="dxa"/>
            <w:vAlign w:val="bottom"/>
          </w:tcPr>
          <w:p>
            <w:pPr>
              <w:spacing w:after="0"/>
              <w:rPr>
                <w:sz w:val="15"/>
                <w:szCs w:val="15"/>
                <w:color w:val="auto"/>
              </w:rPr>
            </w:pPr>
          </w:p>
        </w:tc>
        <w:tc>
          <w:tcPr>
            <w:tcW w:w="21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5"/>
                <w:szCs w:val="15"/>
                <w:color w:val="auto"/>
              </w:rPr>
            </w:pPr>
          </w:p>
        </w:tc>
      </w:tr>
      <w:tr>
        <w:trPr>
          <w:trHeight w:val="458"/>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80,142</w:t>
            </w:r>
          </w:p>
        </w:tc>
        <w:tc>
          <w:tcPr>
            <w:tcW w:w="7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78,434</w:t>
            </w:r>
          </w:p>
        </w:tc>
      </w:tr>
      <w:tr>
        <w:trPr>
          <w:trHeight w:val="243"/>
        </w:trPr>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w:t>
            </w:r>
          </w:p>
        </w:tc>
      </w:tr>
      <w:tr>
        <w:trPr>
          <w:trHeight w:val="250"/>
        </w:trPr>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39"/>
        </w:trPr>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22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-805180</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-496570</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-179070</wp:posOffset>
            </wp:positionV>
            <wp:extent cx="713232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6580" w:space="720"/>
            <w:col w:w="3940"/>
          </w:cols>
          <w:pgMar w:left="320" w:top="441" w:right="339" w:bottom="1440" w:gutter="0" w:footer="0" w:header="0"/>
          <w:type w:val="continuous"/>
        </w:sect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level of research and development expenses for the six months ended March 31, 2023 decreased by $6.3 million compared to the same period in 2022. The increase in costs of $1.7 million in our virology program was primarily due to an increase in clinical trial costs and an increase headcount partially offset by a decrease in manufacturing costs due to the timing and scope of clinical trials. The costs in our non-viral liver disease program decreased by $9.7 million as we wound down our non-alcoholic steatohepatitis, or NASH, program, which is now substantially complete.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increased by $6.5 million for the six months ended March 31, 2023 compared to the same period in 2022. The increase was due to an increase in stock-based compensation expense and an increase in legal fees related to our patent infringement suit against Pfizer.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 net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increased $2.3 million for the six months ended March 31, 2023, as compared to the same period in 2022. The increase was due to changes in interest rates year over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royalty revenue and our existing financial resources. At March 31, 2023, our principal sources of liquidity were cash, cash equivalents and short-term and long-term marketable securities totaling $225.1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six months ended March 31, 2023 and 2022:</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(49,424 )</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(39,646 )</w:t>
            </w: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80,334</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00" w:type="dxa"/>
            <w:vAlign w:val="bottom"/>
            <w:shd w:val="clear" w:color="auto" w:fill="CFF0FC"/>
          </w:tcPr>
          <w:p>
            <w:pPr>
              <w:spacing w:after="0"/>
              <w:rPr>
                <w:sz w:val="21"/>
                <w:szCs w:val="21"/>
                <w:color w:val="auto"/>
              </w:rPr>
            </w:pPr>
          </w:p>
        </w:tc>
      </w:tr>
      <w:tr>
        <w:trPr>
          <w:trHeight w:val="243"/>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40" w:type="dxa"/>
            <w:vAlign w:val="bottom"/>
          </w:tcPr>
          <w:p>
            <w:pPr>
              <w:spacing w:after="0"/>
              <w:rPr>
                <w:sz w:val="21"/>
                <w:szCs w:val="21"/>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(1,726 )</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100" w:type="dxa"/>
            <w:vAlign w:val="bottom"/>
          </w:tcPr>
          <w:p>
            <w:pPr>
              <w:spacing w:after="0"/>
              <w:rPr>
                <w:sz w:val="21"/>
                <w:szCs w:val="21"/>
                <w:color w:val="auto"/>
              </w:rPr>
            </w:pPr>
          </w:p>
        </w:tc>
      </w:tr>
      <w:tr>
        <w:trPr>
          <w:trHeight w:val="277"/>
        </w:trPr>
        <w:tc>
          <w:tcPr>
            <w:tcW w:w="7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4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29,184</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$49.4 million for the six months ended March 31, 2023 as compared to cash used in operating activities of $39.6 million for the same period in 2022. Our cash used in operating activities increased $9.8 million, driven by timing of our research and development payments year-over-year as well as a federal tax refund of $8.5 million received in 2022.</w:t>
      </w:r>
    </w:p>
    <w:p>
      <w:pPr>
        <w:spacing w:after="0" w:line="6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the foreseeable future, we expect to continue to incur substantial costs associated with research and development for our internally developed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was $80.3 million for the six months ended March 31, 2023 as compared to cash provided by investing activities of $10.4 million for the same period in 2022. Our cash provided by investing activities increased $69.9 million, driven by timing of purchases, sales and maturities of marketable securities in 2023 compared to 2022, offset by increased capital expenditures in the first half of fiscal 2023 for the buildout of our 400 Talcott Avenue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$1.7 million for the six months ended March 31, 2023 as compared to cash provided by financing activities of $13.0 million for the same period in 2022. Our cash provided by financing activities decreased $14.7 million, driven by a decrease in proceeds from stock option exercises and an increase in payments for settlement of share-based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March 31, 2023, we had $225.1 million in cash, cash equivalents and short-term and long-term marketable securities. We believe that our existing cash, cash equivalents and short-term and long-term marketable securities as of March 31, 2023, as well as the $200.0 million received in our April 2023 royalty sale transaction and cash flows from our continuing portion of HCV royalties will be sufficient to meet our anticipated cash requirements into calendar 2026. However, our forecast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March 10, 2023, Silicon Valley Bank (“SVB”), which held less than 5% of our cash and marketable securities, was closed by the California Department of Financial Protection and Innovation and the Federal Deposit Insurance Corporation (“FDIC”) was appointed as SVB’s receiver. We have initiated the transfer of all of our cash, cash equivalents and short-term and long-term marketable securities previously held at SVB to a larger financial institution.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beginning with the payment for the quarter ending September 30, 2023, through June 30, 2032, subject to a cap on aggregate payments equal to 1.42 times the purchase price.</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our third fiscal quarter, we will record the $200.0 million up-front payment on our consolidated balance sheets as a cash asset with offsetting short and long-term liabilities. Beginning in our third fiscal quarter, we will account for all HCV royalties as royalty revenue in our consolidated statements of operations and we will recognize imputed interest expense over the life of the Royalty Purchase Agreement based on the estimated future HCV royalties.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2022 Form 10-K for </w:t>
      </w:r>
      <w:r>
        <w:rPr>
          <w:rFonts w:ascii="Times New Roman" w:cs="Times New Roman" w:eastAsia="Times New Roman" w:hAnsi="Times New Roman"/>
          <w:sz w:val="18"/>
          <w:szCs w:val="18"/>
          <w:color w:val="212529"/>
        </w:rPr>
        <w:t>information about 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policies as well as a description of our other significant accounting policies</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consolidated financial statements included in this Form 10-Q.</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March 31, 2023, there were no material changes to our market risk disclosures as set forth in Part II, Item 7A “Quantitative and Qualitative Disclosures About Market Risk” in our Annual Report on Form 10-K for the fiscal year ended September 30,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right="48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and Internal Control over Financial Reporting </w:t>
      </w:r>
      <w:r>
        <w:rPr>
          <w:rFonts w:ascii="Times New Roman" w:cs="Times New Roman" w:eastAsia="Times New Roman" w:hAnsi="Times New Roman"/>
          <w:sz w:val="18"/>
          <w:szCs w:val="18"/>
          <w:i w:val="1"/>
          <w:iCs w:val="1"/>
          <w:color w:val="auto"/>
        </w:rPr>
        <w:t>Evaluation of Disclosure Controls and Procedures.</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2023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2022 Form 10-K. There have been no material changes to such risk factors during the quarter ended March 31, 2023. Other events that we do not currently anticipate or that we currently deem immaterial may also affect our business, prospects,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of Certain Officers; Election of Directors; Appointment of Certain Directors; Compensatory Arrangements of Certain Officers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reported in the Company’s Current Report on Form 8-K filed with the SEC on March 7, 2023, the Company’s 2019 Equity Incentive Plan was amended at the annual meeting of stockholders on March 2, 2023 to increase the number of shares of common stock reserved for issuance thereunder by 975,000 shares. We incorporate by reference herein the description of the material terms of the Enanta Pharmaceuticals, Inc. 2019 Equity Incentive Plan, as amended, in our definitive proxy statement dated as of January 20, 2023 under the caption “Proposal 2 - Amendment to 2019 Equity Incentive Plan.” A copy of the plan as amended was filed with the Current Report on Form 8-K filed on March 7, 2023 and is filed as Exhibit 10.2 to the Quarterly Report on Form 10-Q.</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6"/>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6"/>
          </w:tcPr>
          <w:p>
            <w:pPr>
              <w:spacing w:after="0"/>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Restated Certificate of Incorporation of Enanta Pharmaceuticals, Inc.</w:t>
              </w:r>
            </w:hyperlink>
          </w:p>
        </w:tc>
        <w:tc>
          <w:tcPr>
            <w:tcW w:w="0" w:type="dxa"/>
            <w:vAlign w:val="bottom"/>
          </w:tcPr>
          <w:p>
            <w:pPr>
              <w:spacing w:after="0"/>
              <w:rPr>
                <w:sz w:val="1"/>
                <w:szCs w:val="1"/>
                <w:color w:val="auto"/>
              </w:rPr>
            </w:pPr>
          </w:p>
        </w:tc>
      </w:tr>
      <w:tr>
        <w:trPr>
          <w:trHeight w:val="58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Amended and Restated Bylaws of Enanta Pharmaceuticals, Inc. (as</w:t>
              </w:r>
            </w:hyperlink>
          </w:p>
        </w:tc>
        <w:tc>
          <w:tcPr>
            <w:tcW w:w="80" w:type="dxa"/>
            <w:vAlign w:val="bottom"/>
            <w:tcBorders>
              <w:top w:val="single" w:sz="8" w:color="0000EE"/>
            </w:tcBorders>
            <w:gridSpan w:val="2"/>
          </w:tcPr>
          <w:p>
            <w:pPr>
              <w:spacing w:after="0"/>
              <w:rPr>
                <w:sz w:val="24"/>
                <w:szCs w:val="24"/>
                <w:color w:val="auto"/>
              </w:rPr>
            </w:pP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gridSpan w:val="16"/>
          </w:tcPr>
          <w:p>
            <w:pPr>
              <w:spacing w:after="0" w:line="196" w:lineRule="exact"/>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amended and restated in August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Royalty Purchase Agreement between Enanta Pharmaceuticals, Inc.</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and OCM Life Sciences Portfolio LP dated as of April 25, 2023</w:t>
              </w:r>
            </w:hyperlink>
          </w:p>
        </w:tc>
        <w:tc>
          <w:tcPr>
            <w:tcW w:w="20" w:type="dxa"/>
            <w:vAlign w:val="bottom"/>
            <w:tcBorders>
              <w:bottom w:val="single" w:sz="8" w:color="0000EE"/>
            </w:tcBorders>
          </w:tcPr>
          <w:p>
            <w:pPr>
              <w:spacing w:after="0"/>
              <w:rPr>
                <w:sz w:val="17"/>
                <w:szCs w:val="17"/>
                <w:color w:val="auto"/>
              </w:rPr>
            </w:pPr>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2019 Equity Incentive Plan (as amended through March 2, 2023)</w:t>
              </w:r>
            </w:hyperlink>
          </w:p>
        </w:tc>
        <w:tc>
          <w:tcPr>
            <w:tcW w:w="20" w:type="dxa"/>
            <w:vAlign w:val="bottom"/>
            <w:tcBorders>
              <w:bottom w:val="single" w:sz="8" w:color="0000EE"/>
            </w:tcBorders>
          </w:tcPr>
          <w:p>
            <w:pPr>
              <w:spacing w:after="0"/>
              <w:rPr>
                <w:sz w:val="24"/>
                <w:szCs w:val="24"/>
                <w:color w:val="auto"/>
              </w:rPr>
            </w:pPr>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w w:val="99"/>
              </w:rPr>
              <w:t>Certification of the Chief Executive Officer pursuant to Rule 13a-14(a)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or 15d-14(a) of the Securities Exchange Act of 1934.</w:t>
            </w:r>
          </w:p>
        </w:tc>
        <w:tc>
          <w:tcPr>
            <w:tcW w:w="1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or</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15d-14(a) of the Securities Exchange Act of 1934.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w:t>
            </w:r>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Officer pursuant to 18 U.S.C. Section 1350, as adopted pursuant to</w:t>
            </w: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906 of the Sarbanes-Oxley Act of 2002.</w:t>
            </w:r>
          </w:p>
        </w:tc>
        <w:tc>
          <w:tcPr>
            <w:tcW w:w="1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100" w:right="20" w:hanging="1018"/>
        <w:spacing w:after="0" w:line="254"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Quarterly Report of Enanta Pharmaceuticals, Inc. on Form 10-Q for the quarter ended March 31, 2023 formatted in Inline XBRL: (i) Consolidated Balance Sheets, (ii) Consolidated Statements of Operations, (iii) Consolidated Statements of Comprehensive Income, (iv) Consolidated Statements of Stockholders’ Equity, (v) Consolidated Statements of Cash Flows, (vi) and Notes to Consolidated Financial Statements, tagged as blocks of text and including detailed tags</w:t>
      </w:r>
    </w:p>
    <w:p>
      <w:pPr>
        <w:spacing w:after="0" w:line="151" w:lineRule="exact"/>
        <w:rPr>
          <w:sz w:val="20"/>
          <w:szCs w:val="20"/>
          <w:color w:val="auto"/>
        </w:rPr>
      </w:pPr>
    </w:p>
    <w:p>
      <w:pPr>
        <w:ind w:left="1100" w:right="500" w:hanging="1018"/>
        <w:spacing w:after="0" w:line="282"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1"/>
                <w:szCs w:val="11"/>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1"/>
                <w:szCs w:val="11"/>
                <w:color w:val="auto"/>
              </w:rPr>
            </w:pPr>
          </w:p>
        </w:tc>
        <w:tc>
          <w:tcPr>
            <w:tcW w:w="90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5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04/27/2023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03/07/2023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0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0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2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40" w:space="120"/>
            <w:col w:w="4820"/>
          </w:cols>
          <w:pgMar w:left="320" w:top="333"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2023</w:t>
      </w:r>
    </w:p>
    <w:p>
      <w:pPr>
        <w:spacing w:after="0" w:line="30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1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2023</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2023</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2023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93"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Dated: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Jay R. Luly, Ph.D.</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Dated: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Paul J. Mellett</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o"/>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o"/>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04"/>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04" Type="http://schemas.openxmlformats.org/officeDocument/2006/relationships/hyperlink" Target="https://www.sec.gov/Archives/edgar/data/1177648/000119312513132679/d511662dex31.htm" TargetMode="External"/><Relationship Id="rId205" Type="http://schemas.openxmlformats.org/officeDocument/2006/relationships/hyperlink" Target="https://www.sec.gov/Archives/edgar/data/1177648/000119312515294582/d95810dex32.htm" TargetMode="External"/><Relationship Id="rId206" Type="http://schemas.openxmlformats.org/officeDocument/2006/relationships/hyperlink" Target="https://www.sec.gov/Archives/edgar/data/1177648/000119312523122434/d500394dex101.htm" TargetMode="External"/><Relationship Id="rId207" Type="http://schemas.openxmlformats.org/officeDocument/2006/relationships/hyperlink" Target="https://www.sec.gov/Archives/edgar/data/1177648/000095017023006453/ent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2023-05-09T16:32:20Z</dcterms:created>
  <dcterms:modified xsi:type="dcterms:W3CDTF">2023-05-09T16:32:20Z</dcterms:modified>
</cp:coreProperties>
</file>