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ind w:left="600" w:right="180" w:hanging="579"/>
        <w:spacing w:after="0" w:line="256" w:lineRule="auto"/>
        <w:tabs>
          <w:tab w:leader="none" w:pos="6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600" w:right="160" w:hanging="579"/>
        <w:spacing w:after="0" w:line="256" w:lineRule="auto"/>
        <w:tabs>
          <w:tab w:leader="none" w:pos="6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78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0"/>
                <w:szCs w:val="20"/>
                <w:color w:val="auto"/>
              </w:rPr>
            </w:pPr>
          </w:p>
        </w:tc>
        <w:tc>
          <w:tcPr>
            <w:tcW w:w="4500" w:type="dxa"/>
            <w:vAlign w:val="bottom"/>
            <w:gridSpan w:val="2"/>
          </w:tcPr>
          <w:p>
            <w:pPr>
              <w:jc w:val="right"/>
              <w:ind w:right="1344"/>
              <w:spacing w:after="0"/>
              <w:rPr>
                <w:sz w:val="20"/>
                <w:szCs w:val="20"/>
                <w:color w:val="auto"/>
              </w:rPr>
            </w:pPr>
            <w:r>
              <w:rPr>
                <w:rFonts w:ascii="Arial" w:cs="Arial" w:eastAsia="Arial" w:hAnsi="Arial"/>
                <w:sz w:val="18"/>
                <w:szCs w:val="18"/>
                <w:b w:val="1"/>
                <w:bCs w:val="1"/>
                <w:color w:val="auto"/>
              </w:rPr>
              <w:t>04-3205099</w:t>
            </w:r>
          </w:p>
        </w:tc>
      </w:tr>
      <w:tr>
        <w:trPr>
          <w:trHeight w:val="153"/>
        </w:trPr>
        <w:tc>
          <w:tcPr>
            <w:tcW w:w="4780" w:type="dxa"/>
            <w:vAlign w:val="bottom"/>
            <w:gridSpan w:val="3"/>
          </w:tcPr>
          <w:p>
            <w:pPr>
              <w:jc w:val="center"/>
              <w:ind w:right="1060"/>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0" w:type="dxa"/>
            <w:vAlign w:val="bottom"/>
          </w:tcPr>
          <w:p>
            <w:pPr>
              <w:jc w:val="center"/>
              <w:ind w:left="204"/>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78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4"/>
              </w:rPr>
              <w:t>incorporation or organization)</w:t>
            </w:r>
          </w:p>
        </w:tc>
        <w:tc>
          <w:tcPr>
            <w:tcW w:w="1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Arial" w:cs="Arial" w:eastAsia="Arial" w:hAnsi="Arial"/>
                <w:sz w:val="14"/>
                <w:szCs w:val="14"/>
                <w:b w:val="1"/>
                <w:bCs w:val="1"/>
                <w:color w:val="auto"/>
                <w:w w:val="95"/>
              </w:rPr>
              <w:t>Identification Number)</w:t>
            </w:r>
          </w:p>
        </w:tc>
      </w:tr>
      <w:tr>
        <w:trPr>
          <w:trHeight w:val="669"/>
        </w:trPr>
        <w:tc>
          <w:tcPr>
            <w:tcW w:w="47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89"/>
              </w:rPr>
              <w:t>500 Arsenal Street</w:t>
            </w: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4"/>
        </w:trPr>
        <w:tc>
          <w:tcPr>
            <w:tcW w:w="47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89"/>
              </w:rPr>
              <w:t>Watertown, Massachusetts</w:t>
            </w:r>
          </w:p>
        </w:tc>
        <w:tc>
          <w:tcPr>
            <w:tcW w:w="1960" w:type="dxa"/>
            <w:vAlign w:val="bottom"/>
          </w:tcPr>
          <w:p>
            <w:pPr>
              <w:spacing w:after="0"/>
              <w:rPr>
                <w:sz w:val="20"/>
                <w:szCs w:val="20"/>
                <w:color w:val="auto"/>
              </w:rPr>
            </w:pPr>
          </w:p>
        </w:tc>
        <w:tc>
          <w:tcPr>
            <w:tcW w:w="4500" w:type="dxa"/>
            <w:vAlign w:val="bottom"/>
            <w:gridSpan w:val="2"/>
          </w:tcPr>
          <w:p>
            <w:pPr>
              <w:jc w:val="right"/>
              <w:ind w:right="1544"/>
              <w:spacing w:after="0"/>
              <w:rPr>
                <w:sz w:val="20"/>
                <w:szCs w:val="20"/>
                <w:color w:val="auto"/>
              </w:rPr>
            </w:pPr>
            <w:r>
              <w:rPr>
                <w:rFonts w:ascii="Arial" w:cs="Arial" w:eastAsia="Arial" w:hAnsi="Arial"/>
                <w:sz w:val="18"/>
                <w:szCs w:val="18"/>
                <w:b w:val="1"/>
                <w:bCs w:val="1"/>
                <w:color w:val="auto"/>
              </w:rPr>
              <w:t>02472</w:t>
            </w:r>
          </w:p>
        </w:tc>
      </w:tr>
      <w:tr>
        <w:trPr>
          <w:trHeight w:val="190"/>
        </w:trPr>
        <w:tc>
          <w:tcPr>
            <w:tcW w:w="478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Arial" w:cs="Arial" w:eastAsia="Arial" w:hAnsi="Arial"/>
                <w:sz w:val="14"/>
                <w:szCs w:val="14"/>
                <w:b w:val="1"/>
                <w:bCs w:val="1"/>
                <w:color w:val="auto"/>
                <w:w w:val="95"/>
              </w:rPr>
              <w:t>(Zip Code)</w:t>
            </w:r>
          </w:p>
        </w:tc>
      </w:tr>
      <w:tr>
        <w:trPr>
          <w:trHeight w:val="430"/>
        </w:trPr>
        <w:tc>
          <w:tcPr>
            <w:tcW w:w="11240" w:type="dxa"/>
            <w:vAlign w:val="bottom"/>
            <w:gridSpan w:val="6"/>
          </w:tcPr>
          <w:p>
            <w:pPr>
              <w:ind w:left="3000"/>
              <w:spacing w:after="0"/>
              <w:rPr>
                <w:sz w:val="20"/>
                <w:szCs w:val="20"/>
                <w:color w:val="auto"/>
              </w:rPr>
            </w:pPr>
            <w:r>
              <w:rPr>
                <w:rFonts w:ascii="Arial" w:cs="Arial" w:eastAsia="Arial" w:hAnsi="Arial"/>
                <w:sz w:val="18"/>
                <w:szCs w:val="18"/>
                <w:b w:val="1"/>
                <w:bCs w:val="1"/>
                <w:color w:val="auto"/>
              </w:rPr>
              <w:t>(Registrants telephone number, including area code:) (617) 607-0800</w:t>
            </w:r>
          </w:p>
        </w:tc>
      </w:tr>
      <w:tr>
        <w:trPr>
          <w:trHeight w:val="135"/>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277"/>
        </w:trPr>
        <w:tc>
          <w:tcPr>
            <w:tcW w:w="4780" w:type="dxa"/>
            <w:vAlign w:val="bottom"/>
            <w:gridSpan w:val="3"/>
          </w:tcPr>
          <w:p>
            <w:pPr>
              <w:ind w:left="52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
        </w:trPr>
        <w:tc>
          <w:tcPr>
            <w:tcW w:w="3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980" w:type="dxa"/>
            <w:vAlign w:val="bottom"/>
            <w:tcBorders>
              <w:bottom w:val="single" w:sz="8" w:color="auto"/>
            </w:tcBorders>
            <w:gridSpan w:val="2"/>
          </w:tcPr>
          <w:p>
            <w:pPr>
              <w:spacing w:after="0"/>
              <w:rPr>
                <w:sz w:val="19"/>
                <w:szCs w:val="19"/>
                <w:color w:val="auto"/>
              </w:rPr>
            </w:pPr>
          </w:p>
        </w:tc>
        <w:tc>
          <w:tcPr>
            <w:tcW w:w="1960" w:type="dxa"/>
            <w:vAlign w:val="bottom"/>
            <w:tcBorders>
              <w:bottom w:val="single" w:sz="8" w:color="auto"/>
            </w:tcBorders>
          </w:tcPr>
          <w:p>
            <w:pPr>
              <w:jc w:val="center"/>
              <w:ind w:right="459"/>
              <w:spacing w:after="0"/>
              <w:rPr>
                <w:sz w:val="20"/>
                <w:szCs w:val="20"/>
                <w:color w:val="auto"/>
              </w:rPr>
            </w:pPr>
            <w:r>
              <w:rPr>
                <w:rFonts w:ascii="Arial" w:cs="Arial" w:eastAsia="Arial" w:hAnsi="Arial"/>
                <w:sz w:val="14"/>
                <w:szCs w:val="14"/>
                <w:b w:val="1"/>
                <w:bCs w:val="1"/>
                <w:color w:val="auto"/>
                <w:w w:val="92"/>
              </w:rPr>
              <w:t>Trading Symbol(s)</w:t>
            </w:r>
          </w:p>
        </w:tc>
        <w:tc>
          <w:tcPr>
            <w:tcW w:w="50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67"/>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980" w:type="dxa"/>
            <w:vAlign w:val="bottom"/>
            <w:gridSpan w:val="2"/>
          </w:tcPr>
          <w:p>
            <w:pPr>
              <w:spacing w:after="0"/>
              <w:rPr>
                <w:sz w:val="23"/>
                <w:szCs w:val="23"/>
                <w:color w:val="auto"/>
              </w:rPr>
            </w:pPr>
          </w:p>
        </w:tc>
        <w:tc>
          <w:tcPr>
            <w:tcW w:w="1960" w:type="dxa"/>
            <w:vAlign w:val="bottom"/>
          </w:tcPr>
          <w:p>
            <w:pPr>
              <w:jc w:val="center"/>
              <w:ind w:right="459"/>
              <w:spacing w:after="0"/>
              <w:rPr>
                <w:sz w:val="20"/>
                <w:szCs w:val="20"/>
                <w:color w:val="auto"/>
              </w:rPr>
            </w:pPr>
            <w:r>
              <w:rPr>
                <w:rFonts w:ascii="Arial" w:cs="Arial" w:eastAsia="Arial" w:hAnsi="Arial"/>
                <w:sz w:val="18"/>
                <w:szCs w:val="18"/>
                <w:color w:val="auto"/>
                <w:w w:val="95"/>
              </w:rPr>
              <w:t>ENTA</w:t>
            </w:r>
          </w:p>
        </w:tc>
        <w:tc>
          <w:tcPr>
            <w:tcW w:w="500" w:type="dxa"/>
            <w:vAlign w:val="bottom"/>
            <w:tcBorders>
              <w:right w:val="single" w:sz="8" w:color="auto"/>
            </w:tcBorders>
          </w:tcPr>
          <w:p>
            <w:pPr>
              <w:spacing w:after="0"/>
              <w:rPr>
                <w:sz w:val="23"/>
                <w:szCs w:val="23"/>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r>
        <w:trPr>
          <w:trHeight w:val="54"/>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r>
    </w:tbl>
    <w:p>
      <w:pPr>
        <w:spacing w:after="0" w:line="94" w:lineRule="exact"/>
        <w:rPr>
          <w:sz w:val="24"/>
          <w:szCs w:val="24"/>
          <w:color w:val="auto"/>
        </w:rPr>
      </w:pPr>
    </w:p>
    <w:p>
      <w:pPr>
        <w:ind w:right="60"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40"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20"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9" w:lineRule="exact"/>
        <w:rPr>
          <w:sz w:val="24"/>
          <w:szCs w:val="24"/>
          <w:color w:val="auto"/>
        </w:rPr>
      </w:pPr>
    </w:p>
    <w:p>
      <w:pPr>
        <w:ind w:firstLine="50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520" w:right="1220"/>
        <w:spacing w:after="0" w:line="29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1, 2023, the registrant had 21,055,392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4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260" w:type="dxa"/>
            <w:vAlign w:val="bottom"/>
            <w:gridSpan w:val="16"/>
          </w:tcPr>
          <w:p>
            <w:pPr>
              <w:spacing w:after="0" w:line="182" w:lineRule="exact"/>
              <w:rPr>
                <w:sz w:val="20"/>
                <w:szCs w:val="20"/>
                <w:color w:val="auto"/>
              </w:rPr>
            </w:pPr>
            <w:r>
              <w:rPr>
                <w:rFonts w:ascii="Arial" w:cs="Arial" w:eastAsia="Arial" w:hAnsi="Arial"/>
                <w:sz w:val="18"/>
                <w:szCs w:val="18"/>
                <w:color w:val="0000FF"/>
              </w:rPr>
              <w:t>UNAUDITED FINANCIAL INFORMATION</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6"/>
          </w:tcPr>
          <w:p>
            <w:pPr>
              <w:spacing w:after="0"/>
              <w:rPr>
                <w:sz w:val="20"/>
                <w:szCs w:val="20"/>
                <w:color w:val="auto"/>
              </w:rPr>
            </w:pPr>
            <w:r>
              <w:rPr>
                <w:rFonts w:ascii="Arial" w:cs="Arial" w:eastAsia="Arial" w:hAnsi="Arial"/>
                <w:sz w:val="18"/>
                <w:szCs w:val="18"/>
                <w:color w:val="0000FF"/>
              </w:rPr>
              <w:t>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Consolidated Statements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Consolidated Statements of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Consolidated Statements of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Notes to Consolidated 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40" w:type="dxa"/>
            <w:vAlign w:val="bottom"/>
            <w:gridSpan w:val="7"/>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vMerge w:val="continue"/>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8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PART I—UNAUDITED FINANCIAL INFORMATION</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140" w:type="dxa"/>
            <w:vAlign w:val="bottom"/>
          </w:tcPr>
          <w:p>
            <w:pPr>
              <w:jc w:val="center"/>
              <w:ind w:left="2750"/>
              <w:spacing w:after="0"/>
              <w:rPr>
                <w:sz w:val="20"/>
                <w:szCs w:val="20"/>
                <w:color w:val="auto"/>
              </w:rPr>
            </w:pPr>
            <w:r>
              <w:rPr>
                <w:rFonts w:ascii="Arial" w:cs="Arial" w:eastAsia="Arial" w:hAnsi="Arial"/>
                <w:sz w:val="18"/>
                <w:szCs w:val="18"/>
                <w:b w:val="1"/>
                <w:bCs w:val="1"/>
                <w:color w:val="auto"/>
              </w:rPr>
              <w:t>ENANTA PHARMACEUTICALS, INC.</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jc w:val="center"/>
              <w:ind w:left="273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(unaudited)</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140" w:type="dxa"/>
            <w:vAlign w:val="bottom"/>
          </w:tcPr>
          <w:p>
            <w:pPr>
              <w:jc w:val="center"/>
              <w:ind w:left="275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9"/>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114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1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6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1140" w:type="dxa"/>
            <w:vAlign w:val="bottom"/>
          </w:tcPr>
          <w:p>
            <w:pPr>
              <w:ind w:left="20"/>
              <w:spacing w:after="0"/>
              <w:rPr>
                <w:sz w:val="20"/>
                <w:szCs w:val="20"/>
                <w:color w:val="auto"/>
              </w:rPr>
            </w:pPr>
            <w:r>
              <w:rPr>
                <w:rFonts w:ascii="Arial" w:cs="Arial" w:eastAsia="Arial" w:hAnsi="Arial"/>
                <w:sz w:val="18"/>
                <w:szCs w:val="18"/>
                <w:color w:val="auto"/>
                <w:w w:val="90"/>
              </w:rPr>
              <w:t>Current assets:</w:t>
            </w:r>
          </w:p>
        </w:tc>
        <w:tc>
          <w:tcPr>
            <w:tcW w:w="6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95,177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43,994</w:t>
            </w:r>
          </w:p>
        </w:tc>
        <w:tc>
          <w:tcPr>
            <w:tcW w:w="140" w:type="dxa"/>
            <w:vAlign w:val="bottom"/>
            <w:shd w:val="clear" w:color="auto" w:fill="CFF0FC"/>
          </w:tcPr>
          <w:p>
            <w:pPr>
              <w:spacing w:after="0"/>
              <w:rPr>
                <w:sz w:val="21"/>
                <w:szCs w:val="21"/>
                <w:color w:val="auto"/>
              </w:rPr>
            </w:pPr>
          </w:p>
        </w:tc>
      </w:tr>
      <w:tr>
        <w:trPr>
          <w:trHeight w:val="237"/>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Short-term marketable securities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291,408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205,238</w:t>
            </w:r>
          </w:p>
        </w:tc>
        <w:tc>
          <w:tcPr>
            <w:tcW w:w="140" w:type="dxa"/>
            <w:vAlign w:val="bottom"/>
          </w:tcPr>
          <w:p>
            <w:pPr>
              <w:spacing w:after="0"/>
              <w:rPr>
                <w:sz w:val="20"/>
                <w:szCs w:val="20"/>
                <w:color w:val="auto"/>
              </w:rPr>
            </w:pPr>
          </w:p>
        </w:tc>
      </w:tr>
      <w:tr>
        <w:trPr>
          <w:trHeight w:val="249"/>
        </w:trPr>
        <w:tc>
          <w:tcPr>
            <w:tcW w:w="7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20,318</w:t>
            </w:r>
          </w:p>
        </w:tc>
        <w:tc>
          <w:tcPr>
            <w:tcW w:w="140" w:type="dxa"/>
            <w:vAlign w:val="bottom"/>
            <w:shd w:val="clear" w:color="auto" w:fill="CFF0FC"/>
          </w:tcPr>
          <w:p>
            <w:pPr>
              <w:spacing w:after="0"/>
              <w:rPr>
                <w:sz w:val="21"/>
                <w:szCs w:val="21"/>
                <w:color w:val="auto"/>
              </w:rPr>
            </w:pPr>
          </w:p>
        </w:tc>
      </w:tr>
      <w:tr>
        <w:trPr>
          <w:trHeight w:val="237"/>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17,071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13,445</w:t>
            </w:r>
          </w:p>
        </w:tc>
        <w:tc>
          <w:tcPr>
            <w:tcW w:w="140" w:type="dxa"/>
            <w:vAlign w:val="bottom"/>
          </w:tcPr>
          <w:p>
            <w:pPr>
              <w:spacing w:after="0"/>
              <w:rPr>
                <w:sz w:val="20"/>
                <w:szCs w:val="20"/>
                <w:color w:val="auto"/>
              </w:rPr>
            </w:pPr>
          </w:p>
        </w:tc>
      </w:tr>
      <w:tr>
        <w:trPr>
          <w:trHeight w:val="243"/>
        </w:trPr>
        <w:tc>
          <w:tcPr>
            <w:tcW w:w="72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Income tax receivable</w:t>
            </w:r>
          </w:p>
        </w:tc>
        <w:tc>
          <w:tcPr>
            <w:tcW w:w="3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28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448,465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311,713</w:t>
            </w:r>
          </w:p>
        </w:tc>
        <w:tc>
          <w:tcPr>
            <w:tcW w:w="140" w:type="dxa"/>
            <w:vAlign w:val="bottom"/>
          </w:tcPr>
          <w:p>
            <w:pPr>
              <w:spacing w:after="0"/>
              <w:rPr>
                <w:sz w:val="20"/>
                <w:szCs w:val="20"/>
                <w:color w:val="auto"/>
              </w:rPr>
            </w:pPr>
          </w:p>
        </w:tc>
      </w:tr>
      <w:tr>
        <w:trPr>
          <w:trHeight w:val="249"/>
        </w:trPr>
        <w:tc>
          <w:tcPr>
            <w:tcW w:w="7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Long-term marketable securities</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29,285</w:t>
            </w:r>
          </w:p>
        </w:tc>
        <w:tc>
          <w:tcPr>
            <w:tcW w:w="140" w:type="dxa"/>
            <w:vAlign w:val="bottom"/>
            <w:shd w:val="clear" w:color="auto" w:fill="CFF0FC"/>
          </w:tcPr>
          <w:p>
            <w:pPr>
              <w:spacing w:after="0"/>
              <w:rPr>
                <w:sz w:val="21"/>
                <w:szCs w:val="21"/>
                <w:color w:val="auto"/>
              </w:rPr>
            </w:pPr>
          </w:p>
        </w:tc>
      </w:tr>
      <w:tr>
        <w:trPr>
          <w:trHeight w:val="237"/>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12,014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6,173</w:t>
            </w:r>
          </w:p>
        </w:tc>
        <w:tc>
          <w:tcPr>
            <w:tcW w:w="140" w:type="dxa"/>
            <w:vAlign w:val="bottom"/>
          </w:tcPr>
          <w:p>
            <w:pPr>
              <w:spacing w:after="0"/>
              <w:rPr>
                <w:sz w:val="20"/>
                <w:szCs w:val="20"/>
                <w:color w:val="auto"/>
              </w:rPr>
            </w:pPr>
          </w:p>
        </w:tc>
      </w:tr>
      <w:tr>
        <w:trPr>
          <w:trHeight w:val="249"/>
        </w:trPr>
        <w:tc>
          <w:tcPr>
            <w:tcW w:w="7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23,575</w:t>
            </w:r>
          </w:p>
        </w:tc>
        <w:tc>
          <w:tcPr>
            <w:tcW w:w="140" w:type="dxa"/>
            <w:vAlign w:val="bottom"/>
            <w:shd w:val="clear" w:color="auto" w:fill="CFF0FC"/>
          </w:tcPr>
          <w:p>
            <w:pPr>
              <w:spacing w:after="0"/>
              <w:rPr>
                <w:sz w:val="21"/>
                <w:szCs w:val="21"/>
                <w:color w:val="auto"/>
              </w:rPr>
            </w:pPr>
          </w:p>
        </w:tc>
      </w:tr>
      <w:tr>
        <w:trPr>
          <w:trHeight w:val="237"/>
        </w:trPr>
        <w:tc>
          <w:tcPr>
            <w:tcW w:w="1140" w:type="dxa"/>
            <w:vAlign w:val="bottom"/>
          </w:tcPr>
          <w:p>
            <w:pPr>
              <w:ind w:left="20"/>
              <w:spacing w:after="0"/>
              <w:rPr>
                <w:sz w:val="20"/>
                <w:szCs w:val="20"/>
                <w:color w:val="auto"/>
              </w:rPr>
            </w:pPr>
            <w:r>
              <w:rPr>
                <w:rFonts w:ascii="Arial" w:cs="Arial" w:eastAsia="Arial" w:hAnsi="Arial"/>
                <w:sz w:val="18"/>
                <w:szCs w:val="18"/>
                <w:color w:val="auto"/>
                <w:w w:val="88"/>
              </w:rPr>
              <w:t>Restricted cash</w:t>
            </w:r>
          </w:p>
        </w:tc>
        <w:tc>
          <w:tcPr>
            <w:tcW w:w="6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3,968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3,968</w:t>
            </w:r>
          </w:p>
        </w:tc>
        <w:tc>
          <w:tcPr>
            <w:tcW w:w="140" w:type="dxa"/>
            <w:vAlign w:val="bottom"/>
          </w:tcPr>
          <w:p>
            <w:pPr>
              <w:spacing w:after="0"/>
              <w:rPr>
                <w:sz w:val="20"/>
                <w:szCs w:val="20"/>
                <w:color w:val="auto"/>
              </w:rPr>
            </w:pPr>
          </w:p>
        </w:tc>
      </w:tr>
      <w:tr>
        <w:trPr>
          <w:trHeight w:val="243"/>
        </w:trPr>
        <w:tc>
          <w:tcPr>
            <w:tcW w:w="7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2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495,169</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375,410</w:t>
            </w:r>
          </w:p>
        </w:tc>
        <w:tc>
          <w:tcPr>
            <w:tcW w:w="140" w:type="dxa"/>
            <w:vAlign w:val="bottom"/>
          </w:tcPr>
          <w:p>
            <w:pPr>
              <w:spacing w:after="0"/>
              <w:rPr>
                <w:sz w:val="20"/>
                <w:szCs w:val="20"/>
                <w:color w:val="auto"/>
              </w:rPr>
            </w:pPr>
          </w:p>
        </w:tc>
      </w:tr>
      <w:tr>
        <w:trPr>
          <w:trHeight w:val="20"/>
        </w:trPr>
        <w:tc>
          <w:tcPr>
            <w:tcW w:w="72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2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FF0FC"/>
          </w:tcPr>
          <w:p>
            <w:pPr>
              <w:spacing w:after="0"/>
              <w:rPr>
                <w:sz w:val="21"/>
                <w:szCs w:val="21"/>
                <w:color w:val="auto"/>
              </w:rPr>
            </w:pPr>
          </w:p>
        </w:tc>
      </w:tr>
      <w:tr>
        <w:trPr>
          <w:trHeight w:val="237"/>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18,196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20,936</w:t>
            </w:r>
          </w:p>
        </w:tc>
        <w:tc>
          <w:tcPr>
            <w:tcW w:w="140" w:type="dxa"/>
            <w:vAlign w:val="bottom"/>
          </w:tcPr>
          <w:p>
            <w:pPr>
              <w:spacing w:after="0"/>
              <w:rPr>
                <w:sz w:val="20"/>
                <w:szCs w:val="20"/>
                <w:color w:val="auto"/>
              </w:rPr>
            </w:pPr>
          </w:p>
        </w:tc>
      </w:tr>
      <w:tr>
        <w:trPr>
          <w:trHeight w:val="249"/>
        </w:trPr>
        <w:tc>
          <w:tcPr>
            <w:tcW w:w="7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Liability related to the sale of future royalties</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140" w:type="dxa"/>
            <w:vAlign w:val="bottom"/>
          </w:tcPr>
          <w:p>
            <w:pPr>
              <w:spacing w:after="0"/>
              <w:rPr>
                <w:sz w:val="20"/>
                <w:szCs w:val="20"/>
                <w:color w:val="auto"/>
              </w:rPr>
            </w:pPr>
          </w:p>
        </w:tc>
      </w:tr>
      <w:tr>
        <w:trPr>
          <w:trHeight w:val="243"/>
        </w:trPr>
        <w:tc>
          <w:tcPr>
            <w:tcW w:w="7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68,189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29,827</w:t>
            </w:r>
          </w:p>
        </w:tc>
        <w:tc>
          <w:tcPr>
            <w:tcW w:w="140" w:type="dxa"/>
            <w:vAlign w:val="bottom"/>
            <w:shd w:val="clear" w:color="auto" w:fill="CFF0FC"/>
          </w:tcPr>
          <w:p>
            <w:pPr>
              <w:spacing w:after="0"/>
              <w:rPr>
                <w:sz w:val="21"/>
                <w:szCs w:val="21"/>
                <w:color w:val="auto"/>
              </w:rPr>
            </w:pPr>
          </w:p>
        </w:tc>
      </w:tr>
      <w:tr>
        <w:trPr>
          <w:trHeight w:val="237"/>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Liability related to the sale of future royalties, net of current portion</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164,979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7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22,372</w:t>
            </w:r>
          </w:p>
        </w:tc>
        <w:tc>
          <w:tcPr>
            <w:tcW w:w="140" w:type="dxa"/>
            <w:vAlign w:val="bottom"/>
            <w:shd w:val="clear" w:color="auto" w:fill="CFF0FC"/>
          </w:tcPr>
          <w:p>
            <w:pPr>
              <w:spacing w:after="0"/>
              <w:rPr>
                <w:sz w:val="21"/>
                <w:szCs w:val="21"/>
                <w:color w:val="auto"/>
              </w:rPr>
            </w:pPr>
          </w:p>
        </w:tc>
      </w:tr>
      <w:tr>
        <w:trPr>
          <w:trHeight w:val="237"/>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Series 1 nonconvertible preferred stock</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Pr>
          <w:p>
            <w:pPr>
              <w:spacing w:after="0"/>
              <w:rPr>
                <w:sz w:val="20"/>
                <w:szCs w:val="20"/>
                <w:color w:val="auto"/>
              </w:rPr>
            </w:pPr>
          </w:p>
        </w:tc>
      </w:tr>
      <w:tr>
        <w:trPr>
          <w:trHeight w:val="243"/>
        </w:trPr>
        <w:tc>
          <w:tcPr>
            <w:tcW w:w="7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28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257,350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54,076</w:t>
            </w:r>
          </w:p>
        </w:tc>
        <w:tc>
          <w:tcPr>
            <w:tcW w:w="140" w:type="dxa"/>
            <w:vAlign w:val="bottom"/>
          </w:tcPr>
          <w:p>
            <w:pPr>
              <w:spacing w:after="0"/>
              <w:rPr>
                <w:sz w:val="20"/>
                <w:szCs w:val="20"/>
                <w:color w:val="auto"/>
              </w:rPr>
            </w:pPr>
          </w:p>
        </w:tc>
      </w:tr>
      <w:tr>
        <w:trPr>
          <w:trHeight w:val="243"/>
        </w:trPr>
        <w:tc>
          <w:tcPr>
            <w:tcW w:w="7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11)</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Common stock; $0.01 par value per share, 100,000 shares authorized;</w:t>
            </w:r>
          </w:p>
        </w:tc>
        <w:tc>
          <w:tcPr>
            <w:tcW w:w="3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2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21,056 and 20,791 shares issued and outstanding at June 30, 2023</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2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and September 30, 2022, respectively</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FF0FC"/>
          </w:tcPr>
          <w:p>
            <w:pPr>
              <w:spacing w:after="0"/>
              <w:rPr>
                <w:sz w:val="21"/>
                <w:szCs w:val="21"/>
                <w:color w:val="auto"/>
              </w:rPr>
            </w:pPr>
          </w:p>
        </w:tc>
      </w:tr>
      <w:tr>
        <w:trPr>
          <w:trHeight w:val="237"/>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418,001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398,029</w:t>
            </w:r>
          </w:p>
        </w:tc>
        <w:tc>
          <w:tcPr>
            <w:tcW w:w="140" w:type="dxa"/>
            <w:vAlign w:val="bottom"/>
          </w:tcPr>
          <w:p>
            <w:pPr>
              <w:spacing w:after="0"/>
              <w:rPr>
                <w:sz w:val="20"/>
                <w:szCs w:val="20"/>
                <w:color w:val="auto"/>
              </w:rPr>
            </w:pPr>
          </w:p>
        </w:tc>
      </w:tr>
      <w:tr>
        <w:trPr>
          <w:trHeight w:val="249"/>
        </w:trPr>
        <w:tc>
          <w:tcPr>
            <w:tcW w:w="7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(1,504 )</w:t>
            </w: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(3,724 )</w:t>
            </w:r>
          </w:p>
        </w:tc>
      </w:tr>
      <w:tr>
        <w:trPr>
          <w:trHeight w:val="237"/>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(178,888 )</w:t>
            </w:r>
          </w:p>
        </w:tc>
        <w:tc>
          <w:tcPr>
            <w:tcW w:w="280" w:type="dxa"/>
            <w:vAlign w:val="bottom"/>
          </w:tcPr>
          <w:p>
            <w:pPr>
              <w:spacing w:after="0"/>
              <w:rPr>
                <w:sz w:val="20"/>
                <w:szCs w:val="20"/>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(73,179 )</w:t>
            </w:r>
          </w:p>
        </w:tc>
      </w:tr>
      <w:tr>
        <w:trPr>
          <w:trHeight w:val="236"/>
        </w:trPr>
        <w:tc>
          <w:tcPr>
            <w:tcW w:w="72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237,819</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321,334</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28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495,169</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375,410</w:t>
            </w:r>
          </w:p>
        </w:tc>
        <w:tc>
          <w:tcPr>
            <w:tcW w:w="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-4551045</wp:posOffset>
            </wp:positionV>
            <wp:extent cx="8572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-4551045</wp:posOffset>
            </wp:positionV>
            <wp:extent cx="8572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-3616960</wp:posOffset>
            </wp:positionV>
            <wp:extent cx="8572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-3616960</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-1722120</wp:posOffset>
            </wp:positionV>
            <wp:extent cx="857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-1722120</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80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00"/>
              <w:spacing w:after="0"/>
              <w:rPr>
                <w:sz w:val="20"/>
                <w:szCs w:val="20"/>
                <w:color w:val="auto"/>
              </w:rPr>
            </w:pPr>
            <w:r>
              <w:rPr>
                <w:rFonts w:ascii="Arial" w:cs="Arial" w:eastAsia="Arial" w:hAnsi="Arial"/>
                <w:sz w:val="18"/>
                <w:szCs w:val="18"/>
                <w:color w:val="auto"/>
              </w:rPr>
              <w:t>Royalty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18,892</w:t>
            </w:r>
          </w:p>
        </w:tc>
        <w:tc>
          <w:tcPr>
            <w:tcW w:w="2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19,479</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59,272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65,843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License revenue</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19,479</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60,272</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65,843</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42,987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39,090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127,357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129,726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55,605</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166,449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(106,177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(96,796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(1,997 )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(1,997 )</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200"/>
              <w:spacing w:after="0"/>
              <w:rPr>
                <w:sz w:val="20"/>
                <w:szCs w:val="20"/>
                <w:color w:val="auto"/>
              </w:rPr>
            </w:pPr>
            <w:r>
              <w:rPr>
                <w:rFonts w:ascii="Arial" w:cs="Arial" w:eastAsia="Arial" w:hAnsi="Arial"/>
                <w:sz w:val="18"/>
                <w:szCs w:val="18"/>
                <w:color w:val="auto"/>
              </w:rPr>
              <w:t>Interest and investment income, net</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6,696</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(34,844 )</w:t>
            </w:r>
          </w:p>
        </w:tc>
        <w:tc>
          <w:tcPr>
            <w:tcW w:w="32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(32,147 )</w:t>
            </w:r>
          </w:p>
        </w:tc>
        <w:tc>
          <w:tcPr>
            <w:tcW w:w="32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 xml:space="preserve">(101,478 </w:t>
            </w:r>
            <w:r>
              <w:rPr>
                <w:rFonts w:ascii="Arial" w:cs="Arial" w:eastAsia="Arial" w:hAnsi="Arial"/>
                <w:sz w:val="18"/>
                <w:szCs w:val="18"/>
                <w:color w:val="auto"/>
                <w:highlight w:val="white"/>
              </w:rPr>
              <w:t>)</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(95,854 )</w:t>
            </w: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(4,221 )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(4,231 )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(39,065 )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(31,700 )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 xml:space="preserve">(105,709 </w:t>
            </w:r>
            <w:r>
              <w:rPr>
                <w:rFonts w:ascii="Arial" w:cs="Arial" w:eastAsia="Arial" w:hAnsi="Arial"/>
                <w:sz w:val="18"/>
                <w:szCs w:val="18"/>
                <w:color w:val="auto"/>
                <w:highlight w:val="white"/>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(95,407 )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line="195" w:lineRule="exact"/>
              <w:rPr>
                <w:sz w:val="20"/>
                <w:szCs w:val="20"/>
                <w:color w:val="auto"/>
              </w:rPr>
            </w:pPr>
            <w:r>
              <w:rPr>
                <w:rFonts w:ascii="Arial" w:cs="Arial" w:eastAsia="Arial" w:hAnsi="Arial"/>
                <w:sz w:val="18"/>
                <w:szCs w:val="18"/>
                <w:color w:val="auto"/>
              </w:rPr>
              <w:t>Weighted average common shares outstanding, basic and</w:t>
            </w: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21,054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20,710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20,939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20,552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-2571115</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-2571115</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-2571115</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-2571115</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-1936750</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-1936750</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-1936750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-1610995</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-1610995</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-1610995</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-1610995</wp:posOffset>
            </wp:positionV>
            <wp:extent cx="857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-976630</wp:posOffset>
            </wp:positionV>
            <wp:extent cx="8572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-976630</wp:posOffset>
            </wp:positionV>
            <wp:extent cx="8572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-659130</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-659130</wp:posOffset>
            </wp:positionV>
            <wp:extent cx="8572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-659130</wp:posOffset>
            </wp:positionV>
            <wp:extent cx="8572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-316230</wp:posOffset>
            </wp:positionV>
            <wp:extent cx="3163570" cy="316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63570" cy="31686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80" w:type="dxa"/>
            <w:vAlign w:val="bottom"/>
            <w:gridSpan w:val="5"/>
          </w:tcPr>
          <w:p>
            <w:pPr>
              <w:jc w:val="right"/>
              <w:ind w:right="510"/>
              <w:spacing w:after="0"/>
              <w:rPr>
                <w:sz w:val="20"/>
                <w:szCs w:val="20"/>
                <w:color w:val="auto"/>
              </w:rPr>
            </w:pPr>
            <w:r>
              <w:rPr>
                <w:rFonts w:ascii="Arial" w:cs="Arial" w:eastAsia="Arial" w:hAnsi="Arial"/>
                <w:sz w:val="14"/>
                <w:szCs w:val="14"/>
                <w:b w:val="1"/>
                <w:bCs w:val="1"/>
                <w:color w:val="auto"/>
              </w:rPr>
              <w:t>Nine Months Ended June 30,</w:t>
            </w:r>
          </w:p>
        </w:tc>
      </w:tr>
      <w:tr>
        <w:trPr>
          <w:trHeight w:val="169"/>
        </w:trPr>
        <w:tc>
          <w:tcPr>
            <w:tcW w:w="54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(105,709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(95,407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unrealized gains (losses) on marketable securities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(583 )</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(3,238 )</w:t>
            </w:r>
          </w:p>
        </w:tc>
      </w:tr>
      <w:tr>
        <w:trPr>
          <w:trHeight w:val="20"/>
        </w:trPr>
        <w:tc>
          <w:tcPr>
            <w:tcW w:w="54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5420" w:type="dxa"/>
            <w:vAlign w:val="bottom"/>
          </w:tcPr>
          <w:p>
            <w:pPr>
              <w:ind w:left="38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(583 )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(3,238 )</w:t>
            </w:r>
          </w:p>
        </w:tc>
      </w:tr>
      <w:tr>
        <w:trPr>
          <w:trHeight w:val="277"/>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(103,489</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(98,645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-350520</wp:posOffset>
            </wp:positionV>
            <wp:extent cx="857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-350520</wp:posOffset>
            </wp:positionV>
            <wp:extent cx="8572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-350520</wp:posOffset>
            </wp:positionV>
            <wp:extent cx="857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2320" w:type="dxa"/>
            <w:vAlign w:val="bottom"/>
            <w:gridSpan w:val="4"/>
            <w:vMerge w:val="restart"/>
          </w:tcPr>
          <w:p>
            <w:pPr>
              <w:jc w:val="right"/>
              <w:ind w:right="59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2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9"/>
        </w:trPr>
        <w:tc>
          <w:tcPr>
            <w:tcW w:w="3660" w:type="dxa"/>
            <w:vAlign w:val="bottom"/>
          </w:tcPr>
          <w:p>
            <w:pPr>
              <w:spacing w:after="0"/>
              <w:rPr>
                <w:sz w:val="15"/>
                <w:szCs w:val="15"/>
                <w:color w:val="auto"/>
              </w:rPr>
            </w:pPr>
          </w:p>
        </w:tc>
        <w:tc>
          <w:tcPr>
            <w:tcW w:w="2320" w:type="dxa"/>
            <w:vAlign w:val="bottom"/>
            <w:tcBorders>
              <w:bottom w:val="single" w:sz="8" w:color="auto"/>
            </w:tcBorders>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Paid-In</w:t>
            </w:r>
          </w:p>
        </w:tc>
        <w:tc>
          <w:tcPr>
            <w:tcW w:w="132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89"/>
              </w:rPr>
              <w:t>Comprehensive</w:t>
            </w:r>
          </w:p>
        </w:tc>
        <w:tc>
          <w:tcPr>
            <w:tcW w:w="124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10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September 30,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20,791</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398,029</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(73,179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321,334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 net of</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withholding</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(825 )</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7,139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(28,986 )</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(28,986 )</w:t>
            </w: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December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20,884</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405,468</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(102,165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300,837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 net of</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withholding</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(2,909 )</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(2,909 )</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7,363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(37,658 )</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(37,658 )</w:t>
            </w: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March 31, 2023</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21,049</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410,803</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(139,823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269,375</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(39,065 )</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(39,065 )</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Balances, June 30, 2023</w:t>
            </w:r>
          </w:p>
        </w:tc>
        <w:tc>
          <w:tcPr>
            <w:tcW w:w="1060" w:type="dxa"/>
            <w:vAlign w:val="bottom"/>
          </w:tcPr>
          <w:p>
            <w:pPr>
              <w:jc w:val="right"/>
              <w:spacing w:after="0"/>
              <w:rPr>
                <w:sz w:val="20"/>
                <w:szCs w:val="20"/>
                <w:color w:val="auto"/>
              </w:rPr>
            </w:pPr>
            <w:r>
              <w:rPr>
                <w:rFonts w:ascii="Arial" w:cs="Arial" w:eastAsia="Arial" w:hAnsi="Arial"/>
                <w:sz w:val="18"/>
                <w:szCs w:val="18"/>
                <w:color w:val="auto"/>
              </w:rPr>
              <w:t>21,056</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418,001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(1,504 )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(178,888 )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237,819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10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2320" w:type="dxa"/>
            <w:vAlign w:val="bottom"/>
            <w:gridSpan w:val="4"/>
            <w:vMerge w:val="restart"/>
          </w:tcPr>
          <w:p>
            <w:pPr>
              <w:jc w:val="right"/>
              <w:ind w:right="59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2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10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9"/>
        </w:trPr>
        <w:tc>
          <w:tcPr>
            <w:tcW w:w="3660" w:type="dxa"/>
            <w:vAlign w:val="bottom"/>
          </w:tcPr>
          <w:p>
            <w:pPr>
              <w:spacing w:after="0"/>
              <w:rPr>
                <w:sz w:val="15"/>
                <w:szCs w:val="15"/>
                <w:color w:val="auto"/>
              </w:rPr>
            </w:pPr>
          </w:p>
        </w:tc>
        <w:tc>
          <w:tcPr>
            <w:tcW w:w="2320" w:type="dxa"/>
            <w:vAlign w:val="bottom"/>
            <w:tcBorders>
              <w:bottom w:val="single" w:sz="8" w:color="auto"/>
            </w:tcBorders>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Paid-In</w:t>
            </w:r>
          </w:p>
        </w:tc>
        <w:tc>
          <w:tcPr>
            <w:tcW w:w="132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89"/>
              </w:rPr>
              <w:t>Comprehensive</w:t>
            </w:r>
          </w:p>
        </w:tc>
        <w:tc>
          <w:tcPr>
            <w:tcW w:w="124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2"/>
              </w:rPr>
              <w:t>(Accumulated</w:t>
            </w:r>
          </w:p>
        </w:tc>
        <w:tc>
          <w:tcPr>
            <w:tcW w:w="1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1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September 30,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20,238</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351,033</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48,576</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399,429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10,407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 net of</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withholding</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(778 )</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(777 )</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(624 )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(624 )</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(30,115 )</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(30,115 )</w:t>
            </w: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20,506</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366,724</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18,461</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384,384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 net of</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withholding</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(451 )</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(2,031 )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(2,031 )</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(33,592 )</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(33,592 )</w:t>
            </w:r>
          </w:p>
        </w:tc>
        <w:tc>
          <w:tcPr>
            <w:tcW w:w="0" w:type="dxa"/>
            <w:vAlign w:val="bottom"/>
          </w:tcPr>
          <w:p>
            <w:pPr>
              <w:spacing w:after="0"/>
              <w:rPr>
                <w:sz w:val="1"/>
                <w:szCs w:val="1"/>
                <w:color w:val="auto"/>
              </w:rPr>
            </w:pPr>
          </w:p>
        </w:tc>
      </w:tr>
      <w:tr>
        <w:trPr>
          <w:trHeight w:val="237"/>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March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20,618</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376,545</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358,583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(583 )</w:t>
            </w:r>
          </w:p>
        </w:tc>
        <w:tc>
          <w:tcPr>
            <w:tcW w:w="14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(31,700 )</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(31,700 )</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Balances, June 30, 2022</w:t>
            </w:r>
          </w:p>
        </w:tc>
        <w:tc>
          <w:tcPr>
            <w:tcW w:w="1060" w:type="dxa"/>
            <w:vAlign w:val="bottom"/>
          </w:tcPr>
          <w:p>
            <w:pPr>
              <w:jc w:val="right"/>
              <w:spacing w:after="0"/>
              <w:rPr>
                <w:sz w:val="20"/>
                <w:szCs w:val="20"/>
                <w:color w:val="auto"/>
              </w:rPr>
            </w:pPr>
            <w:r>
              <w:rPr>
                <w:rFonts w:ascii="Arial" w:cs="Arial" w:eastAsia="Arial" w:hAnsi="Arial"/>
                <w:sz w:val="18"/>
                <w:szCs w:val="18"/>
                <w:color w:val="auto"/>
              </w:rPr>
              <w:t>20,720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388,267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(3,620 )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(46,831 )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338,023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-3908425</wp:posOffset>
            </wp:positionV>
            <wp:extent cx="7683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-3908425</wp:posOffset>
            </wp:positionV>
            <wp:extent cx="8572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-3908425</wp:posOffset>
            </wp:positionV>
            <wp:extent cx="8572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-3908425</wp:posOffset>
            </wp:positionV>
            <wp:extent cx="8572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-3908425</wp:posOffset>
            </wp:positionV>
            <wp:extent cx="8572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-3908425</wp:posOffset>
            </wp:positionV>
            <wp:extent cx="8572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-187960</wp:posOffset>
            </wp:positionV>
            <wp:extent cx="7683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-187960</wp:posOffset>
            </wp:positionV>
            <wp:extent cx="8572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8572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-187960</wp:posOffset>
            </wp:positionV>
            <wp:extent cx="8572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85725"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4"/>
                <w:szCs w:val="14"/>
                <w:b w:val="1"/>
                <w:bCs w:val="1"/>
                <w:color w:val="auto"/>
              </w:rPr>
              <w:t>Nine Months Ended June 30,</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3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36"/>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4"/>
        </w:trPr>
        <w:tc>
          <w:tcPr>
            <w:tcW w:w="73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40" w:type="dxa"/>
            <w:vAlign w:val="bottom"/>
          </w:tcPr>
          <w:p>
            <w:pPr>
              <w:jc w:val="right"/>
              <w:ind w:right="859"/>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w w:val="92"/>
              </w:rPr>
              <w:t>(105,709 )</w:t>
            </w:r>
          </w:p>
        </w:tc>
        <w:tc>
          <w:tcPr>
            <w:tcW w:w="1080" w:type="dxa"/>
            <w:vAlign w:val="bottom"/>
          </w:tcPr>
          <w:p>
            <w:pPr>
              <w:jc w:val="right"/>
              <w:ind w:right="877"/>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(95,407 )</w:t>
            </w:r>
          </w:p>
        </w:tc>
      </w:tr>
      <w:tr>
        <w:trPr>
          <w:trHeight w:val="252"/>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4"/>
        </w:trPr>
        <w:tc>
          <w:tcPr>
            <w:tcW w:w="7380" w:type="dxa"/>
            <w:vAlign w:val="bottom"/>
          </w:tcPr>
          <w:p>
            <w:pPr>
              <w:ind w:left="300"/>
              <w:spacing w:after="0"/>
              <w:rPr>
                <w:sz w:val="20"/>
                <w:szCs w:val="20"/>
                <w:color w:val="auto"/>
              </w:rPr>
            </w:pPr>
            <w:r>
              <w:rPr>
                <w:rFonts w:ascii="Arial" w:cs="Arial" w:eastAsia="Arial" w:hAnsi="Arial"/>
                <w:sz w:val="17"/>
                <w:szCs w:val="17"/>
                <w:color w:val="auto"/>
              </w:rPr>
              <w:t>Stock-based compensation expense</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21,500</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20,136</w:t>
            </w:r>
          </w:p>
        </w:tc>
        <w:tc>
          <w:tcPr>
            <w:tcW w:w="140" w:type="dxa"/>
            <w:vAlign w:val="bottom"/>
          </w:tcPr>
          <w:p>
            <w:pPr>
              <w:spacing w:after="0"/>
              <w:rPr>
                <w:sz w:val="20"/>
                <w:szCs w:val="20"/>
                <w:color w:val="auto"/>
              </w:rPr>
            </w:pPr>
          </w:p>
        </w:tc>
      </w:tr>
      <w:tr>
        <w:trPr>
          <w:trHeight w:val="252"/>
        </w:trPr>
        <w:tc>
          <w:tcPr>
            <w:tcW w:w="7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Depreciation and amortization expense</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1,702</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2,318</w:t>
            </w:r>
          </w:p>
        </w:tc>
        <w:tc>
          <w:tcPr>
            <w:tcW w:w="140" w:type="dxa"/>
            <w:vAlign w:val="bottom"/>
            <w:shd w:val="clear" w:color="auto" w:fill="CFF0FC"/>
          </w:tcPr>
          <w:p>
            <w:pPr>
              <w:spacing w:after="0"/>
              <w:rPr>
                <w:sz w:val="21"/>
                <w:szCs w:val="21"/>
                <w:color w:val="auto"/>
              </w:rPr>
            </w:pPr>
          </w:p>
        </w:tc>
      </w:tr>
      <w:tr>
        <w:trPr>
          <w:trHeight w:val="234"/>
        </w:trPr>
        <w:tc>
          <w:tcPr>
            <w:tcW w:w="7380" w:type="dxa"/>
            <w:vAlign w:val="bottom"/>
          </w:tcPr>
          <w:p>
            <w:pPr>
              <w:ind w:left="300"/>
              <w:spacing w:after="0"/>
              <w:rPr>
                <w:sz w:val="20"/>
                <w:szCs w:val="20"/>
                <w:color w:val="auto"/>
              </w:rPr>
            </w:pPr>
            <w:r>
              <w:rPr>
                <w:rFonts w:ascii="Arial" w:cs="Arial" w:eastAsia="Arial" w:hAnsi="Arial"/>
                <w:sz w:val="17"/>
                <w:szCs w:val="17"/>
                <w:color w:val="auto"/>
              </w:rPr>
              <w:t>Non-cash interest expense associated with the sale of future royalties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1,997</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52"/>
        </w:trPr>
        <w:tc>
          <w:tcPr>
            <w:tcW w:w="7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Premium paid on marketable securities</w:t>
            </w:r>
          </w:p>
        </w:tc>
        <w:tc>
          <w:tcPr>
            <w:tcW w:w="10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(73 )</w:t>
            </w:r>
          </w:p>
        </w:tc>
        <w:tc>
          <w:tcPr>
            <w:tcW w:w="10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(846 )</w:t>
            </w:r>
          </w:p>
        </w:tc>
      </w:tr>
      <w:tr>
        <w:trPr>
          <w:trHeight w:val="234"/>
        </w:trPr>
        <w:tc>
          <w:tcPr>
            <w:tcW w:w="7380" w:type="dxa"/>
            <w:vAlign w:val="bottom"/>
          </w:tcPr>
          <w:p>
            <w:pPr>
              <w:ind w:left="300"/>
              <w:spacing w:after="0"/>
              <w:rPr>
                <w:sz w:val="20"/>
                <w:szCs w:val="20"/>
                <w:color w:val="auto"/>
              </w:rPr>
            </w:pPr>
            <w:r>
              <w:rPr>
                <w:rFonts w:ascii="Arial" w:cs="Arial" w:eastAsia="Arial" w:hAnsi="Arial"/>
                <w:sz w:val="17"/>
                <w:szCs w:val="17"/>
                <w:color w:val="auto"/>
              </w:rPr>
              <w:t>Amortization (accretion) of premiums (discounts) on marketable securities</w:t>
            </w:r>
          </w:p>
        </w:tc>
        <w:tc>
          <w:tcPr>
            <w:tcW w:w="1040" w:type="dxa"/>
            <w:vAlign w:val="bottom"/>
          </w:tcPr>
          <w:p>
            <w:pPr>
              <w:spacing w:after="0"/>
              <w:rPr>
                <w:sz w:val="20"/>
                <w:szCs w:val="20"/>
                <w:color w:val="auto"/>
              </w:rPr>
            </w:pP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rPr>
              <w:t>(2,792 )</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1,118</w:t>
            </w:r>
          </w:p>
        </w:tc>
        <w:tc>
          <w:tcPr>
            <w:tcW w:w="140" w:type="dxa"/>
            <w:vAlign w:val="bottom"/>
          </w:tcPr>
          <w:p>
            <w:pPr>
              <w:spacing w:after="0"/>
              <w:rPr>
                <w:sz w:val="20"/>
                <w:szCs w:val="20"/>
                <w:color w:val="auto"/>
              </w:rPr>
            </w:pPr>
          </w:p>
        </w:tc>
      </w:tr>
      <w:tr>
        <w:trPr>
          <w:trHeight w:val="252"/>
        </w:trPr>
        <w:tc>
          <w:tcPr>
            <w:tcW w:w="7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Loss on disposal of property and equipment</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r>
      <w:tr>
        <w:trPr>
          <w:trHeight w:val="234"/>
        </w:trPr>
        <w:tc>
          <w:tcPr>
            <w:tcW w:w="7380" w:type="dxa"/>
            <w:vAlign w:val="bottom"/>
          </w:tcPr>
          <w:p>
            <w:pPr>
              <w:ind w:left="300"/>
              <w:spacing w:after="0"/>
              <w:rPr>
                <w:sz w:val="20"/>
                <w:szCs w:val="20"/>
                <w:color w:val="auto"/>
              </w:rPr>
            </w:pPr>
            <w:r>
              <w:rPr>
                <w:rFonts w:ascii="Arial" w:cs="Arial" w:eastAsia="Arial" w:hAnsi="Arial"/>
                <w:sz w:val="17"/>
                <w:szCs w:val="17"/>
                <w:color w:val="auto"/>
              </w:rPr>
              <w:t>Change in operating assets and liabilities: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2"/>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Accounts receivable</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1,426</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4,097</w:t>
            </w:r>
          </w:p>
        </w:tc>
        <w:tc>
          <w:tcPr>
            <w:tcW w:w="140" w:type="dxa"/>
            <w:vAlign w:val="bottom"/>
            <w:shd w:val="clear" w:color="auto" w:fill="CFF0FC"/>
          </w:tcPr>
          <w:p>
            <w:pPr>
              <w:spacing w:after="0"/>
              <w:rPr>
                <w:sz w:val="21"/>
                <w:szCs w:val="21"/>
                <w:color w:val="auto"/>
              </w:rPr>
            </w:pPr>
          </w:p>
        </w:tc>
      </w:tr>
      <w:tr>
        <w:trPr>
          <w:trHeight w:val="234"/>
        </w:trPr>
        <w:tc>
          <w:tcPr>
            <w:tcW w:w="7380" w:type="dxa"/>
            <w:vAlign w:val="bottom"/>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1040" w:type="dxa"/>
            <w:vAlign w:val="bottom"/>
          </w:tcPr>
          <w:p>
            <w:pPr>
              <w:spacing w:after="0"/>
              <w:rPr>
                <w:sz w:val="20"/>
                <w:szCs w:val="20"/>
                <w:color w:val="auto"/>
              </w:rPr>
            </w:pP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rPr>
              <w:t>(3,626 )</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2,648</w:t>
            </w:r>
          </w:p>
        </w:tc>
        <w:tc>
          <w:tcPr>
            <w:tcW w:w="140" w:type="dxa"/>
            <w:vAlign w:val="bottom"/>
          </w:tcPr>
          <w:p>
            <w:pPr>
              <w:spacing w:after="0"/>
              <w:rPr>
                <w:sz w:val="20"/>
                <w:szCs w:val="20"/>
                <w:color w:val="auto"/>
              </w:rPr>
            </w:pPr>
          </w:p>
        </w:tc>
      </w:tr>
      <w:tr>
        <w:trPr>
          <w:trHeight w:val="252"/>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Income tax receivable</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2,801</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8,527</w:t>
            </w:r>
          </w:p>
        </w:tc>
        <w:tc>
          <w:tcPr>
            <w:tcW w:w="140" w:type="dxa"/>
            <w:vAlign w:val="bottom"/>
            <w:shd w:val="clear" w:color="auto" w:fill="CFF0FC"/>
          </w:tcPr>
          <w:p>
            <w:pPr>
              <w:spacing w:after="0"/>
              <w:rPr>
                <w:sz w:val="21"/>
                <w:szCs w:val="21"/>
                <w:color w:val="auto"/>
              </w:rPr>
            </w:pPr>
          </w:p>
        </w:tc>
      </w:tr>
      <w:tr>
        <w:trPr>
          <w:trHeight w:val="234"/>
        </w:trPr>
        <w:tc>
          <w:tcPr>
            <w:tcW w:w="7380" w:type="dxa"/>
            <w:vAlign w:val="bottom"/>
          </w:tcPr>
          <w:p>
            <w:pPr>
              <w:ind w:left="380"/>
              <w:spacing w:after="0"/>
              <w:rPr>
                <w:sz w:val="20"/>
                <w:szCs w:val="20"/>
                <w:color w:val="auto"/>
              </w:rPr>
            </w:pPr>
            <w:r>
              <w:rPr>
                <w:rFonts w:ascii="Arial" w:cs="Arial" w:eastAsia="Arial" w:hAnsi="Arial"/>
                <w:sz w:val="17"/>
                <w:szCs w:val="17"/>
                <w:color w:val="auto"/>
              </w:rPr>
              <w:t>Operating lease, right-of-use assets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3,187</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3,932</w:t>
            </w:r>
          </w:p>
        </w:tc>
        <w:tc>
          <w:tcPr>
            <w:tcW w:w="140" w:type="dxa"/>
            <w:vAlign w:val="bottom"/>
          </w:tcPr>
          <w:p>
            <w:pPr>
              <w:spacing w:after="0"/>
              <w:rPr>
                <w:sz w:val="20"/>
                <w:szCs w:val="20"/>
                <w:color w:val="auto"/>
              </w:rPr>
            </w:pPr>
          </w:p>
        </w:tc>
      </w:tr>
      <w:tr>
        <w:trPr>
          <w:trHeight w:val="252"/>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 long-term assets</w:t>
            </w:r>
          </w:p>
        </w:tc>
        <w:tc>
          <w:tcPr>
            <w:tcW w:w="10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(134 )</w:t>
            </w:r>
          </w:p>
        </w:tc>
        <w:tc>
          <w:tcPr>
            <w:tcW w:w="10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(611 )</w:t>
            </w:r>
          </w:p>
        </w:tc>
      </w:tr>
      <w:tr>
        <w:trPr>
          <w:trHeight w:val="234"/>
        </w:trPr>
        <w:tc>
          <w:tcPr>
            <w:tcW w:w="7380" w:type="dxa"/>
            <w:vAlign w:val="bottom"/>
          </w:tcPr>
          <w:p>
            <w:pPr>
              <w:ind w:left="380"/>
              <w:spacing w:after="0"/>
              <w:rPr>
                <w:sz w:val="20"/>
                <w:szCs w:val="20"/>
                <w:color w:val="auto"/>
              </w:rPr>
            </w:pPr>
            <w:r>
              <w:rPr>
                <w:rFonts w:ascii="Arial" w:cs="Arial" w:eastAsia="Arial" w:hAnsi="Arial"/>
                <w:sz w:val="17"/>
                <w:szCs w:val="17"/>
                <w:color w:val="auto"/>
              </w:rPr>
              <w:t>Accounts payable</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2,682</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(8,555 )</w:t>
            </w:r>
          </w:p>
        </w:tc>
      </w:tr>
      <w:tr>
        <w:trPr>
          <w:trHeight w:val="252"/>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Accrued expenses</w:t>
            </w:r>
          </w:p>
        </w:tc>
        <w:tc>
          <w:tcPr>
            <w:tcW w:w="10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(3,350 )</w:t>
            </w:r>
          </w:p>
        </w:tc>
        <w:tc>
          <w:tcPr>
            <w:tcW w:w="10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(3,253 )</w:t>
            </w:r>
          </w:p>
        </w:tc>
      </w:tr>
      <w:tr>
        <w:trPr>
          <w:trHeight w:val="234"/>
        </w:trPr>
        <w:tc>
          <w:tcPr>
            <w:tcW w:w="7380" w:type="dxa"/>
            <w:vAlign w:val="bottom"/>
          </w:tcPr>
          <w:p>
            <w:pPr>
              <w:ind w:left="380"/>
              <w:spacing w:after="0"/>
              <w:rPr>
                <w:sz w:val="20"/>
                <w:szCs w:val="20"/>
                <w:color w:val="auto"/>
              </w:rPr>
            </w:pPr>
            <w:r>
              <w:rPr>
                <w:rFonts w:ascii="Arial" w:cs="Arial" w:eastAsia="Arial" w:hAnsi="Arial"/>
                <w:sz w:val="17"/>
                <w:szCs w:val="17"/>
                <w:color w:val="auto"/>
              </w:rPr>
              <w:t>Operating lease liabilities</w:t>
            </w:r>
          </w:p>
        </w:tc>
        <w:tc>
          <w:tcPr>
            <w:tcW w:w="1040" w:type="dxa"/>
            <w:vAlign w:val="bottom"/>
          </w:tcPr>
          <w:p>
            <w:pPr>
              <w:spacing w:after="0"/>
              <w:rPr>
                <w:sz w:val="20"/>
                <w:szCs w:val="20"/>
                <w:color w:val="auto"/>
              </w:rPr>
            </w:pP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rPr>
              <w:t>(1,142 )</w:t>
            </w:r>
          </w:p>
        </w:tc>
        <w:tc>
          <w:tcPr>
            <w:tcW w:w="10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(3,235 )</w:t>
            </w:r>
          </w:p>
        </w:tc>
      </w:tr>
      <w:tr>
        <w:trPr>
          <w:trHeight w:val="236"/>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 long-term liabilities</w:t>
            </w:r>
          </w:p>
        </w:tc>
        <w:tc>
          <w:tcPr>
            <w:tcW w:w="10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(28 )</w:t>
            </w:r>
          </w:p>
        </w:tc>
        <w:tc>
          <w:tcPr>
            <w:tcW w:w="10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(117 )</w:t>
            </w:r>
          </w:p>
        </w:tc>
      </w:tr>
      <w:tr>
        <w:trPr>
          <w:trHeight w:val="20"/>
        </w:trPr>
        <w:tc>
          <w:tcPr>
            <w:tcW w:w="7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7380" w:type="dxa"/>
            <w:vAlign w:val="bottom"/>
          </w:tcPr>
          <w:p>
            <w:pPr>
              <w:ind w:left="300"/>
              <w:spacing w:after="0"/>
              <w:rPr>
                <w:sz w:val="20"/>
                <w:szCs w:val="20"/>
                <w:color w:val="auto"/>
              </w:rPr>
            </w:pPr>
            <w:r>
              <w:rPr>
                <w:rFonts w:ascii="Arial" w:cs="Arial" w:eastAsia="Arial" w:hAnsi="Arial"/>
                <w:sz w:val="17"/>
                <w:szCs w:val="17"/>
                <w:color w:val="auto"/>
              </w:rPr>
              <w:t>Net cash used in operating activities</w:t>
            </w:r>
          </w:p>
        </w:tc>
        <w:tc>
          <w:tcPr>
            <w:tcW w:w="1040" w:type="dxa"/>
            <w:vAlign w:val="bottom"/>
          </w:tcPr>
          <w:p>
            <w:pPr>
              <w:spacing w:after="0"/>
              <w:rPr>
                <w:sz w:val="19"/>
                <w:szCs w:val="19"/>
                <w:color w:val="auto"/>
              </w:rPr>
            </w:pP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rPr>
              <w:t>(81,552 )</w:t>
            </w:r>
          </w:p>
        </w:tc>
        <w:tc>
          <w:tcPr>
            <w:tcW w:w="10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(69,248 )</w:t>
            </w:r>
          </w:p>
        </w:tc>
      </w:tr>
      <w:tr>
        <w:trPr>
          <w:trHeight w:val="238"/>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0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4"/>
        </w:trPr>
        <w:tc>
          <w:tcPr>
            <w:tcW w:w="7380" w:type="dxa"/>
            <w:vAlign w:val="bottom"/>
          </w:tcPr>
          <w:p>
            <w:pPr>
              <w:ind w:left="20"/>
              <w:spacing w:after="0"/>
              <w:rPr>
                <w:sz w:val="20"/>
                <w:szCs w:val="20"/>
                <w:color w:val="auto"/>
              </w:rPr>
            </w:pPr>
            <w:r>
              <w:rPr>
                <w:rFonts w:ascii="Arial" w:cs="Arial" w:eastAsia="Arial" w:hAnsi="Arial"/>
                <w:sz w:val="17"/>
                <w:szCs w:val="17"/>
                <w:color w:val="auto"/>
              </w:rPr>
              <w:t>Purchase of marketable securities</w:t>
            </w:r>
          </w:p>
        </w:tc>
        <w:tc>
          <w:tcPr>
            <w:tcW w:w="1040" w:type="dxa"/>
            <w:vAlign w:val="bottom"/>
          </w:tcPr>
          <w:p>
            <w:pPr>
              <w:spacing w:after="0"/>
              <w:rPr>
                <w:sz w:val="20"/>
                <w:szCs w:val="20"/>
                <w:color w:val="auto"/>
              </w:rPr>
            </w:pP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w w:val="92"/>
              </w:rPr>
              <w:t>(267,274 )</w:t>
            </w:r>
          </w:p>
        </w:tc>
        <w:tc>
          <w:tcPr>
            <w:tcW w:w="10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95"/>
              </w:rPr>
              <w:t>(162,714 )</w:t>
            </w:r>
          </w:p>
        </w:tc>
      </w:tr>
      <w:tr>
        <w:trPr>
          <w:trHeight w:val="252"/>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Proceeds from maturities and sales of marketable securities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209,550</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190,068</w:t>
            </w:r>
          </w:p>
        </w:tc>
        <w:tc>
          <w:tcPr>
            <w:tcW w:w="140" w:type="dxa"/>
            <w:vAlign w:val="bottom"/>
            <w:shd w:val="clear" w:color="auto" w:fill="CFF0FC"/>
          </w:tcPr>
          <w:p>
            <w:pPr>
              <w:spacing w:after="0"/>
              <w:rPr>
                <w:sz w:val="21"/>
                <w:szCs w:val="21"/>
                <w:color w:val="auto"/>
              </w:rPr>
            </w:pPr>
          </w:p>
        </w:tc>
      </w:tr>
      <w:tr>
        <w:trPr>
          <w:trHeight w:val="228"/>
        </w:trPr>
        <w:tc>
          <w:tcPr>
            <w:tcW w:w="7380" w:type="dxa"/>
            <w:vAlign w:val="bottom"/>
          </w:tcPr>
          <w:p>
            <w:pPr>
              <w:ind w:left="20"/>
              <w:spacing w:after="0"/>
              <w:rPr>
                <w:sz w:val="20"/>
                <w:szCs w:val="20"/>
                <w:color w:val="auto"/>
              </w:rPr>
            </w:pPr>
            <w:r>
              <w:rPr>
                <w:rFonts w:ascii="Arial" w:cs="Arial" w:eastAsia="Arial" w:hAnsi="Arial"/>
                <w:sz w:val="17"/>
                <w:szCs w:val="17"/>
                <w:color w:val="auto"/>
              </w:rPr>
              <w:t>Purchase of property and equipment</w:t>
            </w:r>
          </w:p>
        </w:tc>
        <w:tc>
          <w:tcPr>
            <w:tcW w:w="1040" w:type="dxa"/>
            <w:vAlign w:val="bottom"/>
          </w:tcPr>
          <w:p>
            <w:pPr>
              <w:spacing w:after="0"/>
              <w:rPr>
                <w:sz w:val="19"/>
                <w:szCs w:val="19"/>
                <w:color w:val="auto"/>
              </w:rPr>
            </w:pP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rPr>
              <w:t>(7,690 )</w:t>
            </w:r>
          </w:p>
        </w:tc>
        <w:tc>
          <w:tcPr>
            <w:tcW w:w="10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(688 )</w:t>
            </w:r>
          </w:p>
        </w:tc>
      </w:tr>
      <w:tr>
        <w:trPr>
          <w:trHeight w:val="223"/>
        </w:trPr>
        <w:tc>
          <w:tcPr>
            <w:tcW w:w="73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7"/>
                <w:szCs w:val="17"/>
                <w:color w:val="auto"/>
              </w:rPr>
              <w:t>Net cash provided by (used in) investing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(65,414</w:t>
            </w:r>
          </w:p>
        </w:tc>
        <w:tc>
          <w:tcPr>
            <w:tcW w:w="26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26,666</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Proceeds from the exercise of stock options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2,208</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18,331</w:t>
            </w:r>
          </w:p>
        </w:tc>
        <w:tc>
          <w:tcPr>
            <w:tcW w:w="140" w:type="dxa"/>
            <w:vAlign w:val="bottom"/>
            <w:shd w:val="clear" w:color="auto" w:fill="CFF0FC"/>
          </w:tcPr>
          <w:p>
            <w:pPr>
              <w:spacing w:after="0"/>
              <w:rPr>
                <w:sz w:val="21"/>
                <w:szCs w:val="21"/>
                <w:color w:val="auto"/>
              </w:rPr>
            </w:pPr>
          </w:p>
        </w:tc>
      </w:tr>
      <w:tr>
        <w:trPr>
          <w:trHeight w:val="234"/>
        </w:trPr>
        <w:tc>
          <w:tcPr>
            <w:tcW w:w="7380" w:type="dxa"/>
            <w:vAlign w:val="bottom"/>
          </w:tcPr>
          <w:p>
            <w:pPr>
              <w:ind w:left="20"/>
              <w:spacing w:after="0"/>
              <w:rPr>
                <w:sz w:val="20"/>
                <w:szCs w:val="20"/>
                <w:color w:val="auto"/>
              </w:rPr>
            </w:pPr>
            <w:r>
              <w:rPr>
                <w:rFonts w:ascii="Arial" w:cs="Arial" w:eastAsia="Arial" w:hAnsi="Arial"/>
                <w:sz w:val="17"/>
                <w:szCs w:val="17"/>
                <w:color w:val="auto"/>
              </w:rPr>
              <w:t>Proceeds from the sale of future royalties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200,000</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52"/>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Payments for debt issuance costs</w:t>
            </w:r>
          </w:p>
        </w:tc>
        <w:tc>
          <w:tcPr>
            <w:tcW w:w="10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(325 )</w:t>
            </w:r>
          </w:p>
        </w:tc>
        <w:tc>
          <w:tcPr>
            <w:tcW w:w="10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r>
      <w:tr>
        <w:trPr>
          <w:trHeight w:val="228"/>
        </w:trPr>
        <w:tc>
          <w:tcPr>
            <w:tcW w:w="7380" w:type="dxa"/>
            <w:vAlign w:val="bottom"/>
          </w:tcPr>
          <w:p>
            <w:pPr>
              <w:ind w:left="20"/>
              <w:spacing w:after="0"/>
              <w:rPr>
                <w:sz w:val="20"/>
                <w:szCs w:val="20"/>
                <w:color w:val="auto"/>
              </w:rPr>
            </w:pPr>
            <w:r>
              <w:rPr>
                <w:rFonts w:ascii="Arial" w:cs="Arial" w:eastAsia="Arial" w:hAnsi="Arial"/>
                <w:sz w:val="17"/>
                <w:szCs w:val="17"/>
                <w:color w:val="auto"/>
              </w:rPr>
              <w:t>Payments for settlement of share-based awards</w:t>
            </w:r>
          </w:p>
        </w:tc>
        <w:tc>
          <w:tcPr>
            <w:tcW w:w="1040" w:type="dxa"/>
            <w:vAlign w:val="bottom"/>
          </w:tcPr>
          <w:p>
            <w:pPr>
              <w:spacing w:after="0"/>
              <w:rPr>
                <w:sz w:val="19"/>
                <w:szCs w:val="19"/>
                <w:color w:val="auto"/>
              </w:rPr>
            </w:pPr>
          </w:p>
        </w:tc>
        <w:tc>
          <w:tcPr>
            <w:tcW w:w="920" w:type="dxa"/>
            <w:vAlign w:val="bottom"/>
            <w:gridSpan w:val="2"/>
          </w:tcPr>
          <w:p>
            <w:pPr>
              <w:jc w:val="right"/>
              <w:ind w:right="95"/>
              <w:spacing w:after="0"/>
              <w:rPr>
                <w:sz w:val="20"/>
                <w:szCs w:val="20"/>
                <w:color w:val="auto"/>
              </w:rPr>
            </w:pPr>
            <w:r>
              <w:rPr>
                <w:rFonts w:ascii="Arial" w:cs="Arial" w:eastAsia="Arial" w:hAnsi="Arial"/>
                <w:sz w:val="17"/>
                <w:szCs w:val="17"/>
                <w:color w:val="auto"/>
              </w:rPr>
              <w:t>(3,734 )</w:t>
            </w:r>
          </w:p>
        </w:tc>
        <w:tc>
          <w:tcPr>
            <w:tcW w:w="10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(1,228 )</w:t>
            </w:r>
          </w:p>
        </w:tc>
      </w:tr>
      <w:tr>
        <w:trPr>
          <w:trHeight w:val="223"/>
        </w:trPr>
        <w:tc>
          <w:tcPr>
            <w:tcW w:w="73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7"/>
                <w:szCs w:val="17"/>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198,149</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17,103</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51,183</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(25,479 )</w:t>
            </w:r>
          </w:p>
        </w:tc>
      </w:tr>
      <w:tr>
        <w:trPr>
          <w:trHeight w:val="236"/>
        </w:trPr>
        <w:tc>
          <w:tcPr>
            <w:tcW w:w="7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as of the beginning of period</w:t>
            </w:r>
          </w:p>
        </w:tc>
        <w:tc>
          <w:tcPr>
            <w:tcW w:w="10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47,962</w:t>
            </w:r>
          </w:p>
        </w:tc>
        <w:tc>
          <w:tcPr>
            <w:tcW w:w="2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57,814</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5"/>
        </w:trPr>
        <w:tc>
          <w:tcPr>
            <w:tcW w:w="738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as of the end of period</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99,145</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right"/>
              <w:ind w:right="877"/>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32,335</w:t>
            </w:r>
          </w:p>
        </w:tc>
        <w:tc>
          <w:tcPr>
            <w:tcW w:w="14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4"/>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non-cash information:</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198"/>
        </w:trPr>
        <w:tc>
          <w:tcPr>
            <w:tcW w:w="7380" w:type="dxa"/>
            <w:vAlign w:val="bottom"/>
          </w:tcPr>
          <w:p>
            <w:pPr>
              <w:ind w:left="200"/>
              <w:spacing w:after="0"/>
              <w:rPr>
                <w:sz w:val="20"/>
                <w:szCs w:val="20"/>
                <w:color w:val="auto"/>
              </w:rPr>
            </w:pPr>
            <w:r>
              <w:rPr>
                <w:rFonts w:ascii="Arial" w:cs="Arial" w:eastAsia="Arial" w:hAnsi="Arial"/>
                <w:sz w:val="17"/>
                <w:szCs w:val="17"/>
                <w:color w:val="auto"/>
              </w:rPr>
              <w:t>Purchases of fixed assets included in accounts payable and</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738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1040" w:type="dxa"/>
            <w:vAlign w:val="bottom"/>
          </w:tcPr>
          <w:p>
            <w:pPr>
              <w:jc w:val="right"/>
              <w:ind w:right="859"/>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1,075</w:t>
            </w:r>
          </w:p>
        </w:tc>
        <w:tc>
          <w:tcPr>
            <w:tcW w:w="26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412</w:t>
            </w:r>
          </w:p>
        </w:tc>
        <w:tc>
          <w:tcPr>
            <w:tcW w:w="140" w:type="dxa"/>
            <w:vAlign w:val="bottom"/>
          </w:tcPr>
          <w:p>
            <w:pPr>
              <w:spacing w:after="0"/>
              <w:rPr>
                <w:sz w:val="19"/>
                <w:szCs w:val="19"/>
                <w:color w:val="auto"/>
              </w:rPr>
            </w:pPr>
          </w:p>
        </w:tc>
      </w:tr>
      <w:tr>
        <w:trPr>
          <w:trHeight w:val="238"/>
        </w:trPr>
        <w:tc>
          <w:tcPr>
            <w:tcW w:w="73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3,580</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77"/>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22,984</w:t>
            </w:r>
          </w:p>
        </w:tc>
        <w:tc>
          <w:tcPr>
            <w:tcW w:w="1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-2914015</wp:posOffset>
            </wp:positionV>
            <wp:extent cx="8572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-2914015</wp:posOffset>
            </wp:positionV>
            <wp:extent cx="8572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-1988185</wp:posOffset>
            </wp:positionV>
            <wp:extent cx="85725"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-1988185</wp:posOffset>
            </wp:positionV>
            <wp:extent cx="8572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-1062355</wp:posOffset>
            </wp:positionV>
            <wp:extent cx="85725"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-1062355</wp:posOffset>
            </wp:positionV>
            <wp:extent cx="85725"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-753745</wp:posOffset>
            </wp:positionV>
            <wp:extent cx="8572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-753745</wp:posOffset>
            </wp:positionV>
            <wp:extent cx="8572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Enanta Pharmaceuticals, Inc. (collectively with its subsidiary, the “Company”), incorporated in Delaware in 1995, is a biotechnology company that uses its robust, chemistry-driven approach and drug discovery capabilities to become a leader in the discovery and development of small molecule drugs, with an emphasis on treatments for viral infections. The Company discovered glecaprevir, the second of two protease inhibitors discovered and developed through its collaboration with AbbVie for the treatment of chronic infection with hepatitis C virus (“HCV”). Glecaprevir is co-formulated as part of AbbVie’s leading direct-acting antiviral (“DAA”) combination treatment for HCV, which is marketed under the tradenames MAVYRET® (U.S.) and MAVIRET®(ex-U.S.)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SARS-CoV-2, human metapneumovirus (“hMPV”) and hepatitis B virus (“HBV”).</w:t>
      </w:r>
    </w:p>
    <w:p>
      <w:pPr>
        <w:spacing w:after="0" w:line="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2020, the World Health Organization declared COVID-19 a global pandemic and countries worldwide implemented various measures to contain the spread of the SARS-CoV-2 virus. National, state and local governments in affected regions implemented varying safety precautions, including quarantines, border closures, increased border controls, travel restrictions, shelter-in-place orders and shutdowns, business closures, cancellations of public gatherings and other measures. The pandemic caused minor disruptions in the supply chains for the Company’s research and product candidates, significant delays in the conduct of ongoing clinical trials and reductions in the number of patients accessing AbbVie’s HCV regimens which impacted royalties earned.</w:t>
      </w:r>
    </w:p>
    <w:p>
      <w:pPr>
        <w:spacing w:after="0" w:line="8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extent to which COVID-19 will have further impact on the Company’s business, results of operations and financial condition will depend on future developments that are highly uncertain and cannot be accurately predicted, including new variants and public health actions taken to contain their impact, as well as the cumulative economic impact of both of those factors and the public health impact of the ending of emergency public health measures.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consolidated balance sheet as of September 30, 2022 was derived from audited financial statements but does not include all disclosures required by accounting principles generally accepted in the United States of America (“GAAP”). The accompanying unaudited consolidated financial statements as of June 30, 2023 and for the three and nine months ended June 30, 2023 and 2022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consolidated financial statements should be read in conjunction with the Company’s audited consolidated financial statements and the notes thereto included in the Company’s Annual Report on Form 10-K for the fiscal year ended September 30, 2022.</w:t>
      </w:r>
    </w:p>
    <w:p>
      <w:pPr>
        <w:spacing w:after="0" w:line="6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the opinion of management, all adjustments, consisting of normal recurring adjustments necessary for a fair statement of the Company’s financial position as of June 30, 2023 and results of operations for the three and nine months ended June 30, 2023 and 2022 and cash flows for the nine months ended June 30, 2023 and 2022 have been made. The results of operations for the three and nine months ended June 30, 2023 are not necessarily indicative of the results of operations that may be expected for subsequent quarters or the year ending September 30, 2023.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140"/>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3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accompanying consolidated financial statements have been prepared based on continuity of operations, realization of assets and the satisfaction of liabilities and commitments in the ordinary course of business. The Company began reporting a net loss in fiscal 2020 and reported a net loss of $105,709 for the nine months ended June 30, 2023 and $121,755 for the year ended September 30, 2022. As of June 30, 2023, the Company had an accumulated deficit of $178,888. The Company expects to continue to generate operating losses for the foreseeable future as the Company continues to advance its wholly-owned programs. As of June 30, 2023, the Company had $392,509 in cash, cash equivalents and short-term and long-term marketable securities. The Company expects that its cash, cash equivalents, short-term and long-term marketable securities will be sufficient to fund its operating expenses and capital expenditure requirements for at least 12 months from the issuance date of the interim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spacing w:after="0" w:line="27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For the Company’s Significant Accounting Policies, please refer to its Annual Report on Form 10-K for the fiscal year ended September 30, 2022 and the liability related to the sale of future royalties below. Any reference in these notes to applicable guidance is meant to refer to the authoritative GAAP as found in the Accounting Standards Codification and Accounting Standards Update (“ASU”) of the Financial Accounting Standards Board (“FASB”).</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the Sale of Future Royalties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April 2023, the Company entered into a royalty sale agreement with an affiliate of OMERS, pursuant to which the Company was paid a $200,000 cash purchase price in exchange for 54.5% of the Company’s future quarterly royalty payments on net sales of MAVYRET/MAVIRET. The Company recognized the $200,000 received from OMERS as a liability on its consolidated balance sheets because the $200,000 will be paid back to OMERS up to a 1.42 capped amount and the Company has significant continuing involvement under the AbbVie Agreement. Interest expense for the liability related to the sale of future royalties is recognized using the effective interest rate method over the term of the royalty sale agreement.</w:t>
      </w:r>
    </w:p>
    <w:p>
      <w:pPr>
        <w:spacing w:after="0" w:line="6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liability related to the sale of future royalties and related interest expense are based on current estimates of future royalties, which the Company determines by using third-party forecasts of MAVYRET/MAVIRET sales.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recognizing the related non-cash interest expense.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common shares outstanding for the period, including potential dilutive common shares assuming the dilutive effect of outstanding stock options and unvested restricted stock units. For periods presented, diluted net loss per common share is the same as basic net loss per common share, since dilutive common shares are not assumed to have been issued if their effect is anti-dilutive.</w:t>
      </w:r>
    </w:p>
    <w:p>
      <w:pPr>
        <w:spacing w:after="0" w:line="6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reported net losses for each of the three and nine months ended June 30, 2023 and 2022.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As of June 30,</w:t>
            </w:r>
          </w:p>
        </w:tc>
        <w:tc>
          <w:tcPr>
            <w:tcW w:w="1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7200" w:type="dxa"/>
            <w:vAlign w:val="bottom"/>
          </w:tcPr>
          <w:p>
            <w:pPr>
              <w:spacing w:after="0"/>
              <w:rPr>
                <w:sz w:val="15"/>
                <w:szCs w:val="15"/>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196"/>
        </w:trPr>
        <w:tc>
          <w:tcPr>
            <w:tcW w:w="7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gridSpan w:val="3"/>
          </w:tcPr>
          <w:p>
            <w:pPr>
              <w:ind w:left="32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8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140" w:type="dxa"/>
            <w:vAlign w:val="bottom"/>
            <w:shd w:val="clear" w:color="auto" w:fill="CFF0FC"/>
          </w:tcPr>
          <w:p>
            <w:pPr>
              <w:spacing w:after="0"/>
              <w:rPr>
                <w:sz w:val="21"/>
                <w:szCs w:val="21"/>
                <w:color w:val="auto"/>
              </w:rPr>
            </w:pPr>
          </w:p>
        </w:tc>
      </w:tr>
      <w:tr>
        <w:trPr>
          <w:trHeight w:val="237"/>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Unvested rTSRUs</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0"/>
                <w:szCs w:val="20"/>
                <w:color w:val="auto"/>
              </w:rPr>
            </w:pPr>
          </w:p>
        </w:tc>
      </w:tr>
      <w:tr>
        <w:trPr>
          <w:trHeight w:val="249"/>
        </w:trPr>
        <w:tc>
          <w:tcPr>
            <w:tcW w:w="8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Unvested PSUs</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21"/>
                <w:szCs w:val="21"/>
                <w:color w:val="auto"/>
              </w:rPr>
            </w:pPr>
          </w:p>
        </w:tc>
      </w:tr>
      <w:tr>
        <w:trPr>
          <w:trHeight w:val="257"/>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w:t>
            </w:r>
          </w:p>
        </w:tc>
        <w:tc>
          <w:tcPr>
            <w:tcW w:w="580" w:type="dxa"/>
            <w:vAlign w:val="bottom"/>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2"/>
                <w:szCs w:val="2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4"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June 30, 2023 and September 30, 2022, and indicate the fair value hierarchy of the valuation inputs utilized to determine such fair value: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w w:val="97"/>
              </w:rPr>
              <w:t>Fair Value Measurements as of June 30, 2023 Using:</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r>
      <w:tr>
        <w:trPr>
          <w:trHeight w:val="169"/>
        </w:trPr>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30,373</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30,373</w:t>
            </w:r>
          </w:p>
        </w:tc>
        <w:tc>
          <w:tcPr>
            <w:tcW w:w="140" w:type="dxa"/>
            <w:vAlign w:val="bottom"/>
            <w:shd w:val="clear" w:color="auto" w:fill="CFF0FC"/>
          </w:tcPr>
          <w:p>
            <w:pPr>
              <w:spacing w:after="0"/>
              <w:rPr>
                <w:sz w:val="21"/>
                <w:szCs w:val="21"/>
                <w:color w:val="auto"/>
              </w:rPr>
            </w:pPr>
          </w:p>
        </w:tc>
      </w:tr>
      <w:tr>
        <w:trPr>
          <w:trHeight w:val="237"/>
        </w:trPr>
        <w:tc>
          <w:tcPr>
            <w:tcW w:w="458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59,591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59,591</w:t>
            </w:r>
          </w:p>
        </w:tc>
        <w:tc>
          <w:tcPr>
            <w:tcW w:w="140" w:type="dxa"/>
            <w:vAlign w:val="bottom"/>
          </w:tcPr>
          <w:p>
            <w:pPr>
              <w:spacing w:after="0"/>
              <w:rPr>
                <w:sz w:val="20"/>
                <w:szCs w:val="20"/>
                <w:color w:val="auto"/>
              </w:rPr>
            </w:pP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58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194,261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194,261</w:t>
            </w:r>
          </w:p>
        </w:tc>
        <w:tc>
          <w:tcPr>
            <w:tcW w:w="140" w:type="dxa"/>
            <w:vAlign w:val="bottom"/>
          </w:tcPr>
          <w:p>
            <w:pPr>
              <w:spacing w:after="0"/>
              <w:rPr>
                <w:sz w:val="20"/>
                <w:szCs w:val="20"/>
                <w:color w:val="auto"/>
              </w:rPr>
            </w:pPr>
          </w:p>
        </w:tc>
      </w:tr>
      <w:tr>
        <w:trPr>
          <w:trHeight w:val="249"/>
        </w:trPr>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36,256</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36,256</w:t>
            </w:r>
          </w:p>
        </w:tc>
        <w:tc>
          <w:tcPr>
            <w:tcW w:w="140" w:type="dxa"/>
            <w:vAlign w:val="bottom"/>
            <w:shd w:val="clear" w:color="auto" w:fill="CFF0FC"/>
          </w:tcPr>
          <w:p>
            <w:pPr>
              <w:spacing w:after="0"/>
              <w:rPr>
                <w:sz w:val="21"/>
                <w:szCs w:val="21"/>
                <w:color w:val="auto"/>
              </w:rPr>
            </w:pPr>
          </w:p>
        </w:tc>
      </w:tr>
      <w:tr>
        <w:trPr>
          <w:trHeight w:val="243"/>
        </w:trPr>
        <w:tc>
          <w:tcPr>
            <w:tcW w:w="45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66,815</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66,815</w:t>
            </w:r>
          </w:p>
        </w:tc>
        <w:tc>
          <w:tcPr>
            <w:tcW w:w="140" w:type="dxa"/>
            <w:vAlign w:val="bottom"/>
          </w:tcPr>
          <w:p>
            <w:pPr>
              <w:spacing w:after="0"/>
              <w:rPr>
                <w:sz w:val="21"/>
                <w:szCs w:val="21"/>
                <w:color w:val="auto"/>
              </w:rPr>
            </w:pPr>
          </w:p>
        </w:tc>
      </w:tr>
      <w:tr>
        <w:trPr>
          <w:trHeight w:val="230"/>
        </w:trPr>
        <w:tc>
          <w:tcPr>
            <w:tcW w:w="45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284,225</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103,071</w:t>
            </w:r>
          </w:p>
        </w:tc>
        <w:tc>
          <w:tcPr>
            <w:tcW w:w="2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387,296</w:t>
            </w:r>
          </w:p>
        </w:tc>
        <w:tc>
          <w:tcPr>
            <w:tcW w:w="14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Series 1 nonconvertible preferred stock</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1,423</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Pr>
          <w:p>
            <w:pPr>
              <w:spacing w:after="0"/>
              <w:rPr>
                <w:sz w:val="21"/>
                <w:szCs w:val="21"/>
                <w:color w:val="auto"/>
              </w:rPr>
            </w:pPr>
          </w:p>
        </w:tc>
      </w:tr>
      <w:tr>
        <w:trPr>
          <w:trHeight w:val="270"/>
        </w:trPr>
        <w:tc>
          <w:tcPr>
            <w:tcW w:w="45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635"/>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45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-513715</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-496570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-513715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-496570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-513715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-496570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-513715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-496570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1"/>
              </w:rPr>
              <w:t>Fair Value Measurements as of September 30, 2022 Using:</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r>
      <w:tr>
        <w:trPr>
          <w:trHeight w:val="169"/>
        </w:trPr>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13,905</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13,905</w:t>
            </w:r>
          </w:p>
        </w:tc>
        <w:tc>
          <w:tcPr>
            <w:tcW w:w="140" w:type="dxa"/>
            <w:vAlign w:val="bottom"/>
            <w:shd w:val="clear" w:color="auto" w:fill="CFF0FC"/>
          </w:tcPr>
          <w:p>
            <w:pPr>
              <w:spacing w:after="0"/>
              <w:rPr>
                <w:sz w:val="21"/>
                <w:szCs w:val="2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notes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91,328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91,328</w:t>
            </w:r>
          </w:p>
        </w:tc>
        <w:tc>
          <w:tcPr>
            <w:tcW w:w="140" w:type="dxa"/>
            <w:vAlign w:val="bottom"/>
            <w:shd w:val="clear" w:color="auto" w:fill="CFF0FC"/>
          </w:tcPr>
          <w:p>
            <w:pPr>
              <w:spacing w:after="0"/>
              <w:rPr>
                <w:sz w:val="21"/>
                <w:szCs w:val="21"/>
                <w:color w:val="auto"/>
              </w:rPr>
            </w:pPr>
          </w:p>
        </w:tc>
      </w:tr>
      <w:tr>
        <w:trPr>
          <w:trHeight w:val="237"/>
        </w:trPr>
        <w:tc>
          <w:tcPr>
            <w:tcW w:w="45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76,411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76,411</w:t>
            </w:r>
          </w:p>
        </w:tc>
        <w:tc>
          <w:tcPr>
            <w:tcW w:w="140" w:type="dxa"/>
            <w:vAlign w:val="bottom"/>
          </w:tcPr>
          <w:p>
            <w:pPr>
              <w:spacing w:after="0"/>
              <w:rPr>
                <w:sz w:val="20"/>
                <w:szCs w:val="20"/>
                <w:color w:val="auto"/>
              </w:rPr>
            </w:pPr>
          </w:p>
        </w:tc>
      </w:tr>
      <w:tr>
        <w:trPr>
          <w:trHeight w:val="249"/>
        </w:trPr>
        <w:tc>
          <w:tcPr>
            <w:tcW w:w="4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66,784</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66,784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45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105,233</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143,195</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248,428</w:t>
            </w:r>
          </w:p>
        </w:tc>
        <w:tc>
          <w:tcPr>
            <w:tcW w:w="14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Series 1 nonconvertible preferred stock</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1,423</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Pr>
          <w:p>
            <w:pPr>
              <w:spacing w:after="0"/>
              <w:rPr>
                <w:sz w:val="21"/>
                <w:szCs w:val="21"/>
                <w:color w:val="auto"/>
              </w:rPr>
            </w:pPr>
          </w:p>
        </w:tc>
      </w:tr>
      <w:tr>
        <w:trPr>
          <w:trHeight w:val="270"/>
        </w:trPr>
        <w:tc>
          <w:tcPr>
            <w:tcW w:w="45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-685165</wp:posOffset>
            </wp:positionV>
            <wp:extent cx="857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-685165</wp:posOffset>
            </wp:positionV>
            <wp:extent cx="7747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-685165</wp:posOffset>
            </wp:positionV>
            <wp:extent cx="8572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June 30, 2023 and 2022, there were no transfers between Level 1, Level 2 and Level 3.</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outstanding shares of Series 1 nonconvertible preferred stock as of June 30, 2023 and September 30, 2022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consolidated statements of operations.</w:t>
      </w:r>
    </w:p>
    <w:p>
      <w:pPr>
        <w:spacing w:after="0" w:line="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Range</w:t>
            </w:r>
          </w:p>
        </w:tc>
      </w:tr>
      <w:tr>
        <w:trPr>
          <w:trHeight w:val="265"/>
        </w:trPr>
        <w:tc>
          <w:tcPr>
            <w:tcW w:w="6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60" w:type="dxa"/>
            <w:vAlign w:val="bottom"/>
          </w:tcPr>
          <w:p>
            <w:pPr>
              <w:ind w:left="86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0" w:type="dxa"/>
            <w:vAlign w:val="bottom"/>
          </w:tcPr>
          <w:p>
            <w:pPr>
              <w:ind w:left="660"/>
              <w:spacing w:after="0"/>
              <w:rPr>
                <w:sz w:val="20"/>
                <w:szCs w:val="20"/>
                <w:color w:val="auto"/>
              </w:rPr>
            </w:pPr>
            <w:r>
              <w:rPr>
                <w:rFonts w:ascii="Arial" w:cs="Arial" w:eastAsia="Arial" w:hAnsi="Arial"/>
                <w:sz w:val="14"/>
                <w:szCs w:val="14"/>
                <w:b w:val="1"/>
                <w:bCs w:val="1"/>
                <w:color w:val="auto"/>
              </w:rPr>
              <w:t>September 30,</w:t>
            </w:r>
          </w:p>
        </w:tc>
      </w:tr>
      <w:tr>
        <w:trPr>
          <w:trHeight w:val="228"/>
        </w:trPr>
        <w:tc>
          <w:tcPr>
            <w:tcW w:w="640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Unobservable Input</w:t>
            </w:r>
          </w:p>
        </w:tc>
        <w:tc>
          <w:tcPr>
            <w:tcW w:w="140" w:type="dxa"/>
            <w:vAlign w:val="bottom"/>
          </w:tcPr>
          <w:p>
            <w:pPr>
              <w:spacing w:after="0"/>
              <w:rPr>
                <w:sz w:val="19"/>
                <w:szCs w:val="19"/>
                <w:color w:val="auto"/>
              </w:rPr>
            </w:pPr>
          </w:p>
        </w:tc>
        <w:tc>
          <w:tcPr>
            <w:tcW w:w="176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w w:val="96"/>
              </w:rPr>
              <w:t>2023</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63"/>
        </w:trPr>
        <w:tc>
          <w:tcPr>
            <w:tcW w:w="6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Probabilities of payout</w:t>
            </w:r>
          </w:p>
        </w:tc>
        <w:tc>
          <w:tcPr>
            <w:tcW w:w="1760" w:type="dxa"/>
            <w:vAlign w:val="bottom"/>
            <w:shd w:val="clear" w:color="auto" w:fill="CFF0FC"/>
          </w:tcPr>
          <w:p>
            <w:pPr>
              <w:jc w:val="center"/>
              <w:ind w:left="379"/>
              <w:spacing w:after="0"/>
              <w:rPr>
                <w:sz w:val="20"/>
                <w:szCs w:val="20"/>
                <w:color w:val="auto"/>
              </w:rPr>
            </w:pPr>
            <w:r>
              <w:rPr>
                <w:rFonts w:ascii="Arial" w:cs="Arial" w:eastAsia="Arial" w:hAnsi="Arial"/>
                <w:sz w:val="18"/>
                <w:szCs w:val="18"/>
                <w:color w:val="auto"/>
                <w:w w:val="91"/>
              </w:rPr>
              <w:t>0%-65%</w:t>
            </w:r>
          </w:p>
        </w:tc>
        <w:tc>
          <w:tcPr>
            <w:tcW w:w="2800" w:type="dxa"/>
            <w:vAlign w:val="bottom"/>
            <w:gridSpan w:val="3"/>
            <w:shd w:val="clear" w:color="auto" w:fill="CFF0FC"/>
          </w:tcPr>
          <w:p>
            <w:pPr>
              <w:jc w:val="center"/>
              <w:ind w:left="516"/>
              <w:spacing w:after="0"/>
              <w:rPr>
                <w:sz w:val="20"/>
                <w:szCs w:val="20"/>
                <w:color w:val="auto"/>
              </w:rPr>
            </w:pPr>
            <w:r>
              <w:rPr>
                <w:rFonts w:ascii="Arial" w:cs="Arial" w:eastAsia="Arial" w:hAnsi="Arial"/>
                <w:sz w:val="18"/>
                <w:szCs w:val="18"/>
                <w:color w:val="auto"/>
                <w:w w:val="94"/>
              </w:rPr>
              <w:t>0%-65%</w:t>
            </w:r>
          </w:p>
        </w:tc>
      </w:tr>
      <w:tr>
        <w:trPr>
          <w:trHeight w:val="257"/>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760" w:type="dxa"/>
            <w:vAlign w:val="bottom"/>
          </w:tcPr>
          <w:p>
            <w:pPr>
              <w:jc w:val="center"/>
              <w:ind w:left="379"/>
              <w:spacing w:after="0"/>
              <w:rPr>
                <w:sz w:val="20"/>
                <w:szCs w:val="20"/>
                <w:color w:val="auto"/>
              </w:rPr>
            </w:pPr>
            <w:r>
              <w:rPr>
                <w:rFonts w:ascii="Arial" w:cs="Arial" w:eastAsia="Arial" w:hAnsi="Arial"/>
                <w:sz w:val="18"/>
                <w:szCs w:val="18"/>
                <w:color w:val="auto"/>
                <w:w w:val="90"/>
              </w:rPr>
              <w:t>7.25%</w:t>
            </w:r>
          </w:p>
        </w:tc>
        <w:tc>
          <w:tcPr>
            <w:tcW w:w="2800" w:type="dxa"/>
            <w:vAlign w:val="bottom"/>
            <w:gridSpan w:val="3"/>
          </w:tcPr>
          <w:p>
            <w:pPr>
              <w:jc w:val="center"/>
              <w:ind w:left="496"/>
              <w:spacing w:after="0"/>
              <w:rPr>
                <w:sz w:val="20"/>
                <w:szCs w:val="20"/>
                <w:color w:val="auto"/>
              </w:rPr>
            </w:pPr>
            <w:r>
              <w:rPr>
                <w:rFonts w:ascii="Arial" w:cs="Arial" w:eastAsia="Arial" w:hAnsi="Arial"/>
                <w:sz w:val="18"/>
                <w:szCs w:val="18"/>
                <w:color w:val="auto"/>
                <w:w w:val="90"/>
              </w:rPr>
              <w:t>7.25%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fair value of nonconvertible preferred stock during the three and nine months ended June 30, 2023 or 2022.</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7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accounted for the upfront payment as a liability related to the sale of future royalties which is recorded at fair value. The fair value of the liability is based on significant inputs not observable in the market, which represent a Level 3 measurement within the fair value hierarchy. The Company estimates the liability based on current estimates of future royalties expected to be paid to OMERS over the next 10 years. Changes in the fair value of the liability are recognized as interest expense in the consolidated statements of operations. The recurring Level 3 fair value measurement includes a weighted average interest rate of approximately 5.5% as of June 30, 2023. See Note 7 for a rollforward of the liability.</w:t>
      </w:r>
    </w:p>
    <w:p>
      <w:pPr>
        <w:spacing w:after="0" w:line="6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September 30, 2022, the fair value of available-for-sale marketable securities, by type of security,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0"/>
              </w:rPr>
              <w:t>June 30, 2023</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Credit Losses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66,815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194,427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9"/>
              </w:rPr>
              <w:t>22</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(188 )</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194,261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298,452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89"/>
              </w:rPr>
              <w:t>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(1,142 </w:t>
            </w:r>
            <w:r>
              <w:rPr>
                <w:rFonts w:ascii="Arial" w:cs="Arial" w:eastAsia="Arial" w:hAnsi="Arial"/>
                <w:sz w:val="18"/>
                <w:szCs w:val="18"/>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297,332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-676275</wp:posOffset>
            </wp:positionV>
            <wp:extent cx="857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-676275</wp:posOffset>
            </wp:positionV>
            <wp:extent cx="8572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-676275</wp:posOffset>
            </wp:positionV>
            <wp:extent cx="8572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-676275</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Credit Losses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78,663</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(2,252 )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66,784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(1,088 )</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91,328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237,863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(3,340 </w:t>
            </w:r>
            <w:r>
              <w:rPr>
                <w:rFonts w:ascii="Arial" w:cs="Arial" w:eastAsia="Arial" w:hAnsi="Arial"/>
                <w:sz w:val="18"/>
                <w:szCs w:val="18"/>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234,523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-187960</wp:posOffset>
            </wp:positionV>
            <wp:extent cx="8572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-187960</wp:posOffset>
            </wp:positionV>
            <wp:extent cx="857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8572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of June 30, 2023 and September 30, 2022, marketable securities consisted of investments that mature within one year, with the exception of certain corporate bonds and U.S. Treasury notes, which have maturities between one and two years and an aggregate fair value of $5,924 and $29,285, respectively.</w:t>
      </w:r>
    </w:p>
    <w:p>
      <w:pPr>
        <w:spacing w:after="0" w:line="28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June 30, 2023 and September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ind w:right="475"/>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r>
      <w:tr>
        <w:trPr>
          <w:trHeight w:val="185"/>
        </w:trPr>
        <w:tc>
          <w:tcPr>
            <w:tcW w:w="6740" w:type="dxa"/>
            <w:vAlign w:val="bottom"/>
          </w:tcPr>
          <w:p>
            <w:pPr>
              <w:spacing w:after="0"/>
              <w:rPr>
                <w:sz w:val="16"/>
                <w:szCs w:val="16"/>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82"/>
              </w:rPr>
              <w:t>thousands)</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pharmaceutical drug manufacturing</w:t>
            </w:r>
          </w:p>
        </w:tc>
        <w:tc>
          <w:tcPr>
            <w:tcW w:w="1360" w:type="dxa"/>
            <w:vAlign w:val="bottom"/>
            <w:shd w:val="clear" w:color="auto" w:fill="CFF0FC"/>
          </w:tcPr>
          <w:p>
            <w:pPr>
              <w:jc w:val="right"/>
              <w:ind w:right="11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5,508</w:t>
            </w:r>
          </w:p>
        </w:tc>
        <w:tc>
          <w:tcPr>
            <w:tcW w:w="8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w:t>
            </w:r>
          </w:p>
        </w:tc>
        <w:tc>
          <w:tcPr>
            <w:tcW w:w="140" w:type="dxa"/>
            <w:vAlign w:val="bottom"/>
            <w:shd w:val="clear" w:color="auto" w:fill="CFF0FC"/>
          </w:tcPr>
          <w:p>
            <w:pPr>
              <w:spacing w:after="0"/>
              <w:rPr>
                <w:sz w:val="21"/>
                <w:szCs w:val="2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5,702</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5,532</w:t>
            </w:r>
          </w:p>
        </w:tc>
        <w:tc>
          <w:tcPr>
            <w:tcW w:w="140" w:type="dxa"/>
            <w:vAlign w:val="bottom"/>
          </w:tcPr>
          <w:p>
            <w:pPr>
              <w:spacing w:after="0"/>
              <w:rPr>
                <w:sz w:val="20"/>
                <w:szCs w:val="20"/>
                <w:color w:val="auto"/>
              </w:rPr>
            </w:pPr>
          </w:p>
        </w:tc>
      </w:tr>
      <w:tr>
        <w:trPr>
          <w:trHeight w:val="249"/>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related expenses</w:t>
            </w:r>
          </w:p>
        </w:tc>
        <w:tc>
          <w:tcPr>
            <w:tcW w:w="13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w:t>
            </w: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6,439</w:t>
            </w:r>
          </w:p>
        </w:tc>
        <w:tc>
          <w:tcPr>
            <w:tcW w:w="140" w:type="dxa"/>
            <w:vAlign w:val="bottom"/>
            <w:shd w:val="clear" w:color="auto" w:fill="CFF0FC"/>
          </w:tcPr>
          <w:p>
            <w:pPr>
              <w:spacing w:after="0"/>
              <w:rPr>
                <w:sz w:val="21"/>
                <w:szCs w:val="2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1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3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40" w:type="dxa"/>
            <w:vAlign w:val="bottom"/>
          </w:tcPr>
          <w:p>
            <w:pPr>
              <w:spacing w:after="0"/>
              <w:rPr>
                <w:sz w:val="21"/>
                <w:szCs w:val="21"/>
                <w:color w:val="auto"/>
              </w:rPr>
            </w:pPr>
          </w:p>
        </w:tc>
      </w:tr>
      <w:tr>
        <w:trPr>
          <w:trHeight w:val="270"/>
        </w:trPr>
        <w:tc>
          <w:tcPr>
            <w:tcW w:w="674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auto"/>
            </w:tcBorders>
            <w:shd w:val="clear" w:color="auto" w:fill="CFF0FC"/>
          </w:tcPr>
          <w:p>
            <w:pPr>
              <w:jc w:val="right"/>
              <w:ind w:right="11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18,196</w:t>
            </w:r>
          </w:p>
        </w:tc>
        <w:tc>
          <w:tcPr>
            <w:tcW w:w="3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20,936</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$1,268,000 through June 30, 2023.</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10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Related to the Sale of Future Royalties</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consolidated balance sheets which will be amortized as interest expense in the consolidated statements of operations under the effective interest rate method over the life of the royalty sale agreement. The Company will continue to record the full amount of royalties earned on MAVYRET/MAVIRET sales as royalty revenue in the consolidated statements of operations.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 estimated future cash flows resulted in an effective annual imputed interest rate of approximately 5.5%.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 summarizes the activity of the liability related to the sale of future royalties:</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 September 30, 2022</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from sale of future royalties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Debt issuance cost</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Royalty payments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Non-cash interest expense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 June 30, 2023</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Liability related to the sale of future</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5080</wp:posOffset>
            </wp:positionV>
            <wp:extent cx="17405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0"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4"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-130175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(325 )</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-130175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17405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30"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201,672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-130175</wp:posOffset>
            </wp:positionV>
            <wp:extent cx="713232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7660" w:space="720"/>
            <w:col w:w="2860"/>
          </w:cols>
          <w:pgMar w:left="320" w:top="449" w:right="339" w:bottom="1440" w:gutter="0" w:footer="0" w:header="0"/>
          <w:type w:val="continuous"/>
        </w:sectPr>
      </w:pPr>
    </w:p>
    <w:p>
      <w:pPr>
        <w:spacing w:after="0" w:line="363"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2023, 1,930 shares of Series 1 nonconvertible preferred stock were issued and outstanding. Since these shares qualify as a derivative, the outstanding shares are carried at fair value as a liability on the Company’s consolidated balance sheets.</w:t>
      </w:r>
    </w:p>
    <w:p>
      <w:pPr>
        <w:spacing w:after="0" w:line="274"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The Company grants stock-based awards, including stock options, restricted stock units and other unit awards under its 2019 Equity Incentive Plan (the “2019 Plan”), which was approved by its stockholders on February 28, 2019 and amended in March 2021, March 2022 and March 2023. The Company also has outstanding stock option awards under its 2012 Equity Incentive Plan (the “2012 Plan”) but is no longer granting awards under this plan.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including performance-based options, for the year-to-date period ending June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11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Issuable</w:t>
            </w:r>
          </w:p>
        </w:tc>
        <w:tc>
          <w:tcPr>
            <w:tcW w:w="240" w:type="dxa"/>
            <w:vAlign w:val="bottom"/>
          </w:tcPr>
          <w:p>
            <w:pPr>
              <w:spacing w:after="0"/>
              <w:rPr>
                <w:sz w:val="12"/>
                <w:szCs w:val="12"/>
                <w:color w:val="auto"/>
              </w:rPr>
            </w:pPr>
          </w:p>
        </w:tc>
        <w:tc>
          <w:tcPr>
            <w:tcW w:w="11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w:t>
            </w:r>
          </w:p>
        </w:tc>
        <w:tc>
          <w:tcPr>
            <w:tcW w:w="24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Intrinsic</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2022</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44.87</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(124 )</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(169 )</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62.89</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June 30, 2023</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5" w:lineRule="exact"/>
              <w:rPr>
                <w:sz w:val="20"/>
                <w:szCs w:val="20"/>
                <w:color w:val="auto"/>
              </w:rPr>
            </w:pPr>
            <w:r>
              <w:rPr>
                <w:rFonts w:ascii="Arial" w:cs="Arial" w:eastAsia="Arial" w:hAnsi="Arial"/>
                <w:sz w:val="18"/>
                <w:szCs w:val="18"/>
                <w:color w:val="auto"/>
              </w:rPr>
              <w:t>Options vested and expected to vest as of</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4,455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60" w:type="dxa"/>
            <w:vAlign w:val="bottom"/>
          </w:tcPr>
          <w:p>
            <w:pPr>
              <w:ind w:left="160"/>
              <w:spacing w:after="0" w:line="203" w:lineRule="exact"/>
              <w:rPr>
                <w:sz w:val="20"/>
                <w:szCs w:val="20"/>
                <w:color w:val="auto"/>
              </w:rPr>
            </w:pPr>
            <w:r>
              <w:rPr>
                <w:rFonts w:ascii="Arial" w:cs="Arial" w:eastAsia="Arial" w:hAnsi="Arial"/>
                <w:sz w:val="18"/>
                <w:szCs w:val="18"/>
                <w:color w:val="auto"/>
              </w:rPr>
              <w:t>June 30, 2023</w:t>
            </w:r>
          </w:p>
        </w:tc>
        <w:tc>
          <w:tcPr>
            <w:tcW w:w="15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52.74</w:t>
            </w:r>
          </w:p>
        </w:tc>
        <w:tc>
          <w:tcPr>
            <w:tcW w:w="1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6.3</w:t>
            </w:r>
          </w:p>
        </w:tc>
        <w:tc>
          <w:tcPr>
            <w:tcW w:w="4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as of June 30, 2023</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51.92</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-496570</wp:posOffset>
            </wp:positionV>
            <wp:extent cx="85725" cy="317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June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PSUs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rTSRUs</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19"/>
              <w:spacing w:after="0" w:line="13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2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280" w:type="dxa"/>
            <w:vAlign w:val="bottom"/>
          </w:tcPr>
          <w:p>
            <w:pPr>
              <w:spacing w:after="0"/>
              <w:rPr>
                <w:sz w:val="12"/>
                <w:szCs w:val="12"/>
                <w:color w:val="auto"/>
              </w:rPr>
            </w:pPr>
          </w:p>
        </w:tc>
        <w:tc>
          <w:tcPr>
            <w:tcW w:w="17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2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22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Unvested as of September 30, 2022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2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(70 )</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44.58</w:t>
            </w:r>
          </w:p>
        </w:tc>
        <w:tc>
          <w:tcPr>
            <w:tcW w:w="19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(70 )</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as of June 30, 2023</w:t>
            </w:r>
          </w:p>
        </w:tc>
        <w:tc>
          <w:tcPr>
            <w:tcW w:w="12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58.58</w:t>
            </w:r>
          </w:p>
        </w:tc>
        <w:tc>
          <w:tcPr>
            <w:tcW w:w="280" w:type="dxa"/>
            <w:vAlign w:val="bottom"/>
            <w:tcBorders>
              <w:top w:val="single" w:sz="8" w:color="CFF0FC"/>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45.82</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-187960</wp:posOffset>
            </wp:positionV>
            <wp:extent cx="857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85725"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nine months ended June 30, 2023, a total of 100% of the target PSUs and 127% of the target rTSRUs granted in December 2020 vested, resulting in the issuance of an aggregate of 104 common shares, net of share withholding.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activity for the year-to-date period ending June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74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2"/>
              </w:rPr>
              <w:t>Restricted Stock</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Date Fair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40" w:type="dxa"/>
            <w:vAlign w:val="bottom"/>
          </w:tcPr>
          <w:p>
            <w:pPr>
              <w:spacing w:after="0"/>
              <w:rPr>
                <w:sz w:val="16"/>
                <w:szCs w:val="16"/>
                <w:color w:val="auto"/>
              </w:rPr>
            </w:pPr>
          </w:p>
        </w:tc>
        <w:tc>
          <w:tcPr>
            <w:tcW w:w="17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7"/>
              </w:rPr>
              <w:t>Units</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174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Unvested as of September 30, 2022</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(56 )</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74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(17 )</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June 30, 2023</w:t>
            </w:r>
          </w:p>
        </w:tc>
        <w:tc>
          <w:tcPr>
            <w:tcW w:w="174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June 30, 2023 and 2022 the Company recognized the following stock-based compensation expense: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8"/>
              </w:rPr>
              <w:t>Three Months Ended June 30,</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June 30,</w:t>
            </w:r>
          </w:p>
        </w:tc>
        <w:tc>
          <w:tcPr>
            <w:tcW w:w="140" w:type="dxa"/>
            <w:vAlign w:val="bottom"/>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169"/>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71"/>
              </w:rPr>
              <w:t>thousands)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12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2,202</w:t>
            </w:r>
          </w:p>
        </w:tc>
        <w:tc>
          <w:tcPr>
            <w:tcW w:w="6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7,437</w:t>
            </w:r>
          </w:p>
        </w:tc>
        <w:tc>
          <w:tcPr>
            <w:tcW w:w="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7,496</w:t>
            </w:r>
          </w:p>
        </w:tc>
        <w:tc>
          <w:tcPr>
            <w:tcW w:w="140" w:type="dxa"/>
            <w:vAlign w:val="bottom"/>
            <w:shd w:val="clear" w:color="auto" w:fill="CFF0FC"/>
          </w:tcPr>
          <w:p>
            <w:pPr>
              <w:spacing w:after="0"/>
              <w:rPr>
                <w:sz w:val="21"/>
                <w:szCs w:val="2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5,401</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14,063</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12,640</w:t>
            </w:r>
          </w:p>
        </w:tc>
        <w:tc>
          <w:tcPr>
            <w:tcW w:w="140" w:type="dxa"/>
            <w:vAlign w:val="bottom"/>
          </w:tcPr>
          <w:p>
            <w:pPr>
              <w:spacing w:after="0"/>
              <w:rPr>
                <w:sz w:val="21"/>
                <w:szCs w:val="21"/>
                <w:color w:val="auto"/>
              </w:rPr>
            </w:pPr>
          </w:p>
        </w:tc>
      </w:tr>
      <w:tr>
        <w:trPr>
          <w:trHeight w:val="270"/>
        </w:trPr>
        <w:tc>
          <w:tcPr>
            <w:tcW w:w="47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2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7,603</w:t>
            </w:r>
          </w:p>
        </w:tc>
        <w:tc>
          <w:tcPr>
            <w:tcW w:w="26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21,500</w:t>
            </w:r>
          </w:p>
        </w:tc>
        <w:tc>
          <w:tcPr>
            <w:tcW w:w="2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20,136</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594"/>
        </w:trPr>
        <w:tc>
          <w:tcPr>
            <w:tcW w:w="4740" w:type="dxa"/>
            <w:vAlign w:val="bottom"/>
          </w:tcPr>
          <w:p>
            <w:pPr>
              <w:spacing w:after="0"/>
              <w:rPr>
                <w:sz w:val="24"/>
                <w:szCs w:val="24"/>
                <w:color w:val="auto"/>
              </w:rPr>
            </w:pPr>
          </w:p>
        </w:tc>
        <w:tc>
          <w:tcPr>
            <w:tcW w:w="25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8"/>
              </w:rPr>
              <w:t>Three Months Ended June 30,</w:t>
            </w:r>
          </w:p>
        </w:tc>
        <w:tc>
          <w:tcPr>
            <w:tcW w:w="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June 30,</w:t>
            </w:r>
          </w:p>
        </w:tc>
        <w:tc>
          <w:tcPr>
            <w:tcW w:w="140" w:type="dxa"/>
            <w:vAlign w:val="bottom"/>
          </w:tcPr>
          <w:p>
            <w:pPr>
              <w:spacing w:after="0"/>
              <w:rPr>
                <w:sz w:val="24"/>
                <w:szCs w:val="24"/>
                <w:color w:val="auto"/>
              </w:rPr>
            </w:pPr>
          </w:p>
        </w:tc>
      </w:tr>
      <w:tr>
        <w:trPr>
          <w:trHeight w:val="183"/>
        </w:trPr>
        <w:tc>
          <w:tcPr>
            <w:tcW w:w="4740" w:type="dxa"/>
            <w:vAlign w:val="bottom"/>
          </w:tcPr>
          <w:p>
            <w:pPr>
              <w:spacing w:after="0"/>
              <w:rPr>
                <w:sz w:val="15"/>
                <w:szCs w:val="15"/>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169"/>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71"/>
              </w:rPr>
              <w:t>thousands)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12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5,079</w:t>
            </w:r>
          </w:p>
        </w:tc>
        <w:tc>
          <w:tcPr>
            <w:tcW w:w="6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15,020</w:t>
            </w:r>
          </w:p>
        </w:tc>
        <w:tc>
          <w:tcPr>
            <w:tcW w:w="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14,790</w:t>
            </w:r>
          </w:p>
        </w:tc>
        <w:tc>
          <w:tcPr>
            <w:tcW w:w="140" w:type="dxa"/>
            <w:vAlign w:val="bottom"/>
            <w:shd w:val="clear" w:color="auto" w:fill="CFF0FC"/>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rTSRUs</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1,171</w:t>
            </w:r>
          </w:p>
        </w:tc>
        <w:tc>
          <w:tcPr>
            <w:tcW w:w="140" w:type="dxa"/>
            <w:vAlign w:val="bottom"/>
          </w:tcPr>
          <w:p>
            <w:pPr>
              <w:spacing w:after="0"/>
              <w:rPr>
                <w:sz w:val="20"/>
                <w:szCs w:val="20"/>
                <w:color w:val="auto"/>
              </w:rPr>
            </w:pP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 stock units</w:t>
            </w:r>
          </w:p>
        </w:tc>
        <w:tc>
          <w:tcPr>
            <w:tcW w:w="9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1,559</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40" w:type="dxa"/>
            <w:vAlign w:val="bottom"/>
            <w:shd w:val="clear" w:color="auto" w:fill="CFF0FC"/>
          </w:tcPr>
          <w:p>
            <w:pPr>
              <w:spacing w:after="0"/>
              <w:rPr>
                <w:sz w:val="21"/>
                <w:szCs w:val="2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140" w:type="dxa"/>
            <w:vAlign w:val="bottom"/>
          </w:tcPr>
          <w:p>
            <w:pPr>
              <w:spacing w:after="0"/>
              <w:rPr>
                <w:sz w:val="21"/>
                <w:szCs w:val="21"/>
                <w:color w:val="auto"/>
              </w:rPr>
            </w:pPr>
          </w:p>
        </w:tc>
      </w:tr>
      <w:tr>
        <w:trPr>
          <w:trHeight w:val="270"/>
        </w:trPr>
        <w:tc>
          <w:tcPr>
            <w:tcW w:w="47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2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7,603</w:t>
            </w:r>
          </w:p>
        </w:tc>
        <w:tc>
          <w:tcPr>
            <w:tcW w:w="26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21,500</w:t>
            </w:r>
          </w:p>
        </w:tc>
        <w:tc>
          <w:tcPr>
            <w:tcW w:w="2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20,136</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-1465580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-1447800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-1465580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-1447800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-1465580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-1447800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-1465580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-1447800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and nine months ended June 30, 2023 and 2022, the Company recognized stock-based compensation expense for performance-based stock units for which vesting became probable upon achievement of performance-based targets that occurred during the performance period.</w:t>
      </w:r>
    </w:p>
    <w:p>
      <w:pPr>
        <w:spacing w:after="0" w:line="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2023, the Company had an aggregate of $69,426 of unrecognized stock-based compensation cost, which is expected to be recognized over a weighted average period of 2.4 years.</w:t>
      </w:r>
    </w:p>
    <w:p>
      <w:pPr>
        <w:spacing w:after="0" w:line="85" w:lineRule="exact"/>
        <w:rPr>
          <w:sz w:val="20"/>
          <w:szCs w:val="20"/>
          <w:color w:val="auto"/>
        </w:rPr>
      </w:pPr>
    </w:p>
    <w:p>
      <w:pPr>
        <w:ind w:left="880" w:hanging="872"/>
        <w:spacing w:after="0"/>
        <w:tabs>
          <w:tab w:leader="none" w:pos="8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For the three and nine months ended June 30, 2023, the Company recorded income tax expense of $4,221 and $4,231, respectively, due to $200,000 received from the royalty sale agreement with OMERS in April 2023 which is taxable for federal and state purposes. This was partially offset by utilization of federal net operating losses and research and development tax credit carryforwards as well as a deduction for foreign derived intangible income. For the three and nine months ended June 30, 2022, the Company recorded an income tax benefit of $447 due to the release of a state tax reserve during the period.</w:t>
      </w:r>
    </w:p>
    <w:p>
      <w:pPr>
        <w:spacing w:after="0" w:line="86" w:lineRule="exact"/>
        <w:rPr>
          <w:sz w:val="20"/>
          <w:szCs w:val="20"/>
          <w:color w:val="auto"/>
        </w:rPr>
      </w:pPr>
    </w:p>
    <w:p>
      <w:pPr>
        <w:ind w:left="880" w:hanging="872"/>
        <w:spacing w:after="0"/>
        <w:tabs>
          <w:tab w:leader="none" w:pos="8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From time to time, the Company may become subject to legal proceedings, claims and litigation arising in the ordinary course of business. For example,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On June 21, 2022, the Company filed suit in the United States District Court for the District of Massachusetts, against Pfizer, Inc. seeking damages for</w:t>
      </w:r>
    </w:p>
    <w:p>
      <w:pPr>
        <w:spacing w:after="0" w:line="4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infringement of U.S. Patent No. 11,358,953 (the ’953 Patent) in the manufacture, use and sale of Pfizer’s COVID-19 antiviral, Paxlovid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The Company records all legal expenses associated with the patent infringement suit as incurred in the consolidated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is not a party to any other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consolidated financial statements as of June 30, 2023.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leases laboratory and office space under various non-cancelable operating leases. There have been no material changes to the Company’s leases during the three and nine months ended June 30, 2023. For additional information, please read Note 11, Leases, to the consolidated financial statements in the Company's Annual Report on Form 10-K for the fiscal year ended September 30, 2022.</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or Form 10-Q, and the audited consolidated financial statements and notes thereto for our fiscal year ended September 30, 2022 included in our Annual Report on Form 10-K for that fiscal year, which is referred to as our 2022 Form 10-K. Please refer to our note regarding forward-looking statements on page 2 of this Form 10-Q, which is incorporated herein by this reference.</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a biotechnology company that uses our robust, chemistry-driven approach and drug discovery capabilities to become a leader in the discovery and development of small molecule drugs, with an emphasis on treatments for viral infections.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w:t>
      </w:r>
    </w:p>
    <w:p>
      <w:pPr>
        <w:spacing w:after="0" w:line="1" w:lineRule="exact"/>
        <w:rPr>
          <w:sz w:val="20"/>
          <w:szCs w:val="20"/>
          <w:color w:val="auto"/>
        </w:rPr>
      </w:pPr>
    </w:p>
    <w:p>
      <w:pPr>
        <w:jc w:val="both"/>
        <w:ind w:right="100"/>
        <w:spacing w:after="0" w:line="230" w:lineRule="auto"/>
        <w:rPr>
          <w:sz w:val="20"/>
          <w:szCs w:val="20"/>
          <w:color w:val="auto"/>
        </w:rPr>
      </w:pPr>
      <w:r>
        <w:rPr>
          <w:rFonts w:ascii="Arial" w:cs="Arial" w:eastAsia="Arial" w:hAnsi="Arial"/>
          <w:sz w:val="18"/>
          <w:szCs w:val="18"/>
          <w:color w:val="auto"/>
        </w:rPr>
        <w:t xml:space="preserve">MAVYRET </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(U.S.) and MAVIRET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(ex-U.S.) (glecaprevir/pibrentasvir). Our royalties from our AbbVie collaboration, combined with the proceeds from our recently completed royalty sale transaction, provide us funding to support our wholly-owned research and development programs, which are primarily focused on the following disease targets:</w:t>
      </w:r>
    </w:p>
    <w:p>
      <w:pPr>
        <w:spacing w:after="0" w:line="94" w:lineRule="exact"/>
        <w:rPr>
          <w:sz w:val="20"/>
          <w:szCs w:val="20"/>
          <w:color w:val="auto"/>
        </w:rPr>
      </w:pPr>
    </w:p>
    <w:p>
      <w:pPr>
        <w:jc w:val="both"/>
        <w:ind w:left="1020" w:right="340" w:hanging="503"/>
        <w:spacing w:after="0" w:line="286"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57" w:lineRule="exact"/>
        <w:rPr>
          <w:rFonts w:ascii="Arial" w:cs="Arial" w:eastAsia="Arial" w:hAnsi="Arial"/>
          <w:sz w:val="17"/>
          <w:szCs w:val="17"/>
          <w:color w:val="auto"/>
        </w:rPr>
      </w:pPr>
    </w:p>
    <w:p>
      <w:pPr>
        <w:ind w:left="1020" w:right="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SARS-CoV-2, the virus that causes COVID-19, with estimates suggesting that COVID-19 has caused nearly 7 million deaths worldwide, and with new variants still emerging;</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Human metapneumovirus, or hMPV, an important, relatively recently identified cause of respiratory tract infections, particularly in children, the elderly and immunocompromised individuals, with symptoms similar to RSV; and</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Hepatitis B virus, or HBV, the most prevalent chronic hepatitis, which is estimated by the World Health Organization to affect close to 300 million individuals worldwide.</w:t>
      </w:r>
    </w:p>
    <w:p>
      <w:pPr>
        <w:spacing w:after="0" w:line="6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Since fiscal 2020, we have reported net losses. Our ability to generate revenue sufficient to achieve profitability will depend on the successful further development and commercialization of our product candidates. We generated revenue of $60.3 million and $65.8 million for the nine months ended June 30, 2023 and 2022, respectively, and incurred net losses of $105.7 million and $95.4 million for those same periods. As of June 30, 2023, we had an accumulated deficit of $178.9 million. We expect to continue to incur net losses for the foreseeable future. As a result, we expect to need additional funding for expenses related to our operating activities, including general and administrative expenses and research and development expenses.</w:t>
      </w:r>
    </w:p>
    <w:p>
      <w:pPr>
        <w:spacing w:after="0" w:line="5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Because of the numerous risks and uncertainties associated with clinical development and commercialization, we are unable to accurately predict the timing or amount of increased expenses or when, or if, we will be able to achieve or maintain profitability. Until such time, if ever, as we can generate substantial revenue sufficient to achieve profitability, we expect to finance our operations through a combination of equity offerings, non-dilutive financings, collaborations, strategic alliances or licensing agreements. We may be unable to raise additional funds or enter into such other agreements or arrangements when needed on favorable terms, or at all. If we are unable to raise capital or enter into such agreements as, and when, needed, we may have to significantly delay, scale back or discontinue the further development and commercialization efforts of one or more of our products, or may be forced to reduce or terminate our operations.</w:t>
      </w:r>
    </w:p>
    <w:p>
      <w:pPr>
        <w:spacing w:after="0" w:line="3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June 30, 2023, we had $392.5 million in cash, cash equivalents and short-term and long-term marketable securities. We believe that our existing cash, cash equivalents, short-term and long-term marketable securities and our continuing portion of HCV royalties, will enable us to fund our operating expenses and capital expenditure requirements into the second half of fiscal 2027. We have based this estimate on assumptions that may prove to be wrong, and we could exhaust our available capital resources sooner than we expect. See “Liquidity and Capital Resources.”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primary wholly-owned research and development programs are in virology, namely RSV, SARS-CoV-2, hMPV and HBV:</w:t>
      </w:r>
    </w:p>
    <w:p>
      <w:pPr>
        <w:spacing w:after="0" w:line="117" w:lineRule="exact"/>
        <w:rPr>
          <w:sz w:val="20"/>
          <w:szCs w:val="20"/>
          <w:color w:val="auto"/>
        </w:rPr>
      </w:pPr>
    </w:p>
    <w:p>
      <w:pPr>
        <w:ind w:left="1020" w:right="80" w:hanging="503"/>
        <w:spacing w:after="0" w:line="25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a clinical stage program for RSV, with two compounds in clinical trials – EDP-938 and EDP-323. EDP-938, which has Fast Track designation from the U.S. Food and Drug Administration, or FDA, is a potent inhibitor of N-protein activity for both major subgroups of RSV, referred to as RSV-A and RSV-B. It is currently in three ongoing Phase 2 studies, each in a different patient population. We completed a Phase 1 clinical study of EDP-323, an inhibitor of the RSV L-protein with Fast Track designation from the FDA, and reported positive topline results in June 2023.</w:t>
      </w:r>
    </w:p>
    <w:p>
      <w:pPr>
        <w:spacing w:after="0" w:line="80" w:lineRule="exact"/>
        <w:rPr>
          <w:sz w:val="20"/>
          <w:szCs w:val="20"/>
          <w:color w:val="auto"/>
        </w:rPr>
      </w:pPr>
    </w:p>
    <w:p>
      <w:pPr>
        <w:ind w:left="1800" w:right="60" w:hanging="384"/>
        <w:spacing w:after="0" w:line="288"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EDP-938 - N-protein Inhibitor Candidate:</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studied EDP-938 in two Phase 2 studies that were designed to be proof-of-concept and exploratory studies to understand better viral response in the context of RSV infection. These studies were conducted in otherwise healthy adults. The first study was the challenge study, which had a data readout in mid-2019. The second study, known as RSVP, was in an adult outpatient population with community-acquired RSV infection that had a data read out in May 2022. EDP-938 has demonstrated a favorable safety profile, consistent with that observed in approximately 500 subjects exposed to EDP-938 to date. We believe that EDP-938 has the greatest potential to show optimal efficacy in high-risk populations, as these patients have reduced RSV immunity which manifests in a higher and longer duration of viral load and greater disease severity, allowing a bigger window to realize the full potential of EDP-938. Based on the efficacy and growing safety profile of EDP-938, we are continuing to evaluate EDP-938 in high-risk populations in the following ongoing clinical studies, including pediatric patients, adult hematopoietic stem cell recipients and other high-risk adults, all of which have significant unmet need:</w:t>
      </w:r>
    </w:p>
    <w:p>
      <w:pPr>
        <w:spacing w:after="0" w:line="60" w:lineRule="exact"/>
        <w:rPr>
          <w:rFonts w:ascii="Arial" w:cs="Arial" w:eastAsia="Arial" w:hAnsi="Arial"/>
          <w:sz w:val="16"/>
          <w:szCs w:val="16"/>
          <w:color w:val="auto"/>
        </w:rPr>
      </w:pPr>
    </w:p>
    <w:p>
      <w:pPr>
        <w:ind w:left="2540" w:right="20" w:hanging="375"/>
        <w:spacing w:after="0" w:line="311" w:lineRule="auto"/>
        <w:tabs>
          <w:tab w:leader="none" w:pos="2540" w:val="left"/>
        </w:tabs>
        <w:numPr>
          <w:ilvl w:val="2"/>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RSVPEDs:</w:t>
      </w:r>
      <w:r>
        <w:rPr>
          <w:rFonts w:ascii="Arial" w:cs="Arial" w:eastAsia="Arial" w:hAnsi="Arial"/>
          <w:sz w:val="16"/>
          <w:szCs w:val="16"/>
          <w:i w:val="1"/>
          <w:iCs w:val="1"/>
          <w:color w:val="auto"/>
        </w:rPr>
        <w:t xml:space="preserve"> </w:t>
      </w:r>
      <w:r>
        <w:rPr>
          <w:rFonts w:ascii="Arial" w:cs="Arial" w:eastAsia="Arial" w:hAnsi="Arial"/>
          <w:sz w:val="16"/>
          <w:szCs w:val="16"/>
          <w:color w:val="auto"/>
        </w:rPr>
        <w:t>RSVPEDs is a Phase 2 study in pediatric patients. This dose-ranging, randomized, double-blind, placebo-controlled study, is evaluating multiple ascending doses for five days in two age cohorts to determine safety, tolerability, and pharmacokinetics, as well as a second part evaluating the selected dose for antiviral activity.</w:t>
      </w:r>
    </w:p>
    <w:p>
      <w:pPr>
        <w:spacing w:after="0" w:line="40" w:lineRule="exact"/>
        <w:rPr>
          <w:rFonts w:ascii="Arial" w:cs="Arial" w:eastAsia="Arial" w:hAnsi="Arial"/>
          <w:sz w:val="16"/>
          <w:szCs w:val="16"/>
          <w:color w:val="auto"/>
        </w:rPr>
      </w:pPr>
    </w:p>
    <w:p>
      <w:pPr>
        <w:ind w:left="2540" w:right="120" w:hanging="375"/>
        <w:spacing w:after="0" w:line="259" w:lineRule="auto"/>
        <w:tabs>
          <w:tab w:leader="none" w:pos="2540" w:val="left"/>
        </w:tabs>
        <w:numPr>
          <w:ilvl w:val="2"/>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RSVTx:</w:t>
      </w:r>
      <w:r>
        <w:rPr>
          <w:rFonts w:ascii="Arial" w:cs="Arial" w:eastAsia="Arial" w:hAnsi="Arial"/>
          <w:sz w:val="18"/>
          <w:szCs w:val="18"/>
          <w:i w:val="1"/>
          <w:iCs w:val="1"/>
          <w:color w:val="auto"/>
        </w:rPr>
        <w:t xml:space="preserve"> </w:t>
      </w:r>
      <w:r>
        <w:rPr>
          <w:rFonts w:ascii="Arial" w:cs="Arial" w:eastAsia="Arial" w:hAnsi="Arial"/>
          <w:sz w:val="18"/>
          <w:szCs w:val="18"/>
          <w:color w:val="auto"/>
        </w:rPr>
        <w:t>RSVTx is a Phase 2b study in adult hematopoietic cell transplant recipients with acute RSV infection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symptoms of upper respiratory tract infection. The study is designed for approximately 200 adult subjects who must be 18 to 75 years of age. Subjects receive EDP-938 or placebo for 21 days and are monitored for the incidence of lower respiratory tract complications within 28 days of enrollment.</w:t>
      </w:r>
    </w:p>
    <w:p>
      <w:pPr>
        <w:spacing w:after="0" w:line="78" w:lineRule="exact"/>
        <w:rPr>
          <w:rFonts w:ascii="Arial" w:cs="Arial" w:eastAsia="Arial" w:hAnsi="Arial"/>
          <w:sz w:val="18"/>
          <w:szCs w:val="18"/>
          <w:color w:val="auto"/>
        </w:rPr>
      </w:pPr>
    </w:p>
    <w:p>
      <w:pPr>
        <w:ind w:left="2540" w:right="200" w:hanging="375"/>
        <w:spacing w:after="0" w:line="301" w:lineRule="auto"/>
        <w:tabs>
          <w:tab w:leader="none" w:pos="2540" w:val="left"/>
        </w:tabs>
        <w:numPr>
          <w:ilvl w:val="2"/>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RSVHR:</w:t>
      </w:r>
      <w:r>
        <w:rPr>
          <w:rFonts w:ascii="Arial" w:cs="Arial" w:eastAsia="Arial" w:hAnsi="Arial"/>
          <w:sz w:val="16"/>
          <w:szCs w:val="16"/>
          <w:i w:val="1"/>
          <w:iCs w:val="1"/>
          <w:color w:val="auto"/>
        </w:rPr>
        <w:t xml:space="preserve"> </w:t>
      </w:r>
      <w:r>
        <w:rPr>
          <w:rFonts w:ascii="Arial" w:cs="Arial" w:eastAsia="Arial" w:hAnsi="Arial"/>
          <w:sz w:val="16"/>
          <w:szCs w:val="16"/>
          <w:color w:val="auto"/>
        </w:rPr>
        <w:t>RSVHR is a Phase 2b study in high-risk adults, including those who are older than 65 years of age and those</w:t>
      </w:r>
      <w:r>
        <w:rPr>
          <w:rFonts w:ascii="Arial" w:cs="Arial" w:eastAsia="Arial" w:hAnsi="Arial"/>
          <w:sz w:val="16"/>
          <w:szCs w:val="16"/>
          <w:i w:val="1"/>
          <w:iCs w:val="1"/>
          <w:color w:val="auto"/>
        </w:rPr>
        <w:t xml:space="preserve"> </w:t>
      </w:r>
      <w:r>
        <w:rPr>
          <w:rFonts w:ascii="Arial" w:cs="Arial" w:eastAsia="Arial" w:hAnsi="Arial"/>
          <w:sz w:val="16"/>
          <w:szCs w:val="16"/>
          <w:color w:val="auto"/>
        </w:rPr>
        <w:t>who have asthma, chronic obstructive pulmonary disease, or COPD, or congestive heart failure. Approximately 180 patients will be treated with EDP-938 or placebo for five days and evaluated for 28 days thereafter. The primary endpoint of the study is time to resolution of RSV lower respiratory tract disease symptoms.</w:t>
      </w:r>
    </w:p>
    <w:p>
      <w:pPr>
        <w:spacing w:after="0" w:line="49" w:lineRule="exact"/>
        <w:rPr>
          <w:rFonts w:ascii="Arial" w:cs="Arial" w:eastAsia="Arial" w:hAnsi="Arial"/>
          <w:sz w:val="16"/>
          <w:szCs w:val="16"/>
          <w:color w:val="auto"/>
        </w:rPr>
      </w:pPr>
    </w:p>
    <w:p>
      <w:pPr>
        <w:jc w:val="both"/>
        <w:ind w:left="1800" w:right="40" w:hanging="384"/>
        <w:spacing w:after="0" w:line="263"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three ongoing studies are expected to continue through at least 2023. We expect to complete enrollment in one or more of our ongoing Phase 2 studies of EDP-938 in the upcoming Northern Hemisphere RSV season and to report data in fiscal 2024, pending a return to a normal, pre-pandemic type of RSV season in the Northern Hemisphere.</w:t>
      </w:r>
    </w:p>
    <w:p>
      <w:pPr>
        <w:spacing w:after="0" w:line="75" w:lineRule="exact"/>
        <w:rPr>
          <w:rFonts w:ascii="Arial" w:cs="Arial" w:eastAsia="Arial" w:hAnsi="Arial"/>
          <w:sz w:val="18"/>
          <w:szCs w:val="18"/>
          <w:color w:val="auto"/>
        </w:rPr>
      </w:pPr>
    </w:p>
    <w:p>
      <w:pPr>
        <w:ind w:left="1800" w:right="80" w:hanging="384"/>
        <w:spacing w:after="0" w:line="271" w:lineRule="auto"/>
        <w:tabs>
          <w:tab w:leader="none" w:pos="1800" w:val="left"/>
        </w:tabs>
        <w:numPr>
          <w:ilvl w:val="1"/>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EDP-323 - L-protein Inhibitor Candidate:</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2023, we completed a Phase 1 clinical study and reported positive topline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results for EDP-323, our second clinical RSV candidate. EDP-323, is a novel oral, direct-acting antiviral selectively targeting the RSV L-protein, a viral RNA-dependent RNA polymerase enzyme that contains multiple enzymatic activities required for RSV replication. EDP-323 has sub-nanomolar potency against RSV-A and RSV-B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Based on these positive data, we are targeting a fourth quarter initiation of a Phase 2 challenge study.</w:t>
      </w:r>
    </w:p>
    <w:p>
      <w:pPr>
        <w:spacing w:after="0" w:line="70" w:lineRule="exact"/>
        <w:rPr>
          <w:rFonts w:ascii="Arial" w:cs="Arial" w:eastAsia="Arial" w:hAnsi="Arial"/>
          <w:sz w:val="17"/>
          <w:szCs w:val="17"/>
          <w:color w:val="auto"/>
        </w:rPr>
      </w:pPr>
    </w:p>
    <w:p>
      <w:pPr>
        <w:ind w:left="1040" w:right="240" w:hanging="377"/>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rPr>
        <w:t>: We have leveraged our expertise in developing protease inhibitors to discover new compounds specifically designed to target the SARS-CoV-2 virus and potentially other coronaviruses.</w:t>
      </w:r>
    </w:p>
    <w:p>
      <w:pPr>
        <w:spacing w:after="0" w:line="62" w:lineRule="exact"/>
        <w:rPr>
          <w:rFonts w:ascii="Arial" w:cs="Arial" w:eastAsia="Arial" w:hAnsi="Arial"/>
          <w:sz w:val="18"/>
          <w:szCs w:val="18"/>
          <w:color w:val="auto"/>
        </w:rPr>
      </w:pPr>
    </w:p>
    <w:p>
      <w:pPr>
        <w:ind w:left="1800" w:hanging="384"/>
        <w:spacing w:after="0" w:line="296"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EDP-235</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Protease Inhibitor Candidate:</w:t>
      </w:r>
      <w:r>
        <w:rPr>
          <w:rFonts w:ascii="Arial" w:cs="Arial" w:eastAsia="Arial" w:hAnsi="Arial"/>
          <w:sz w:val="16"/>
          <w:szCs w:val="16"/>
          <w:i w:val="1"/>
          <w:iCs w:val="1"/>
          <w:color w:val="auto"/>
        </w:rPr>
        <w:t xml:space="preserve"> </w:t>
      </w:r>
      <w:r>
        <w:rPr>
          <w:rFonts w:ascii="Arial" w:cs="Arial" w:eastAsia="Arial" w:hAnsi="Arial"/>
          <w:sz w:val="16"/>
          <w:szCs w:val="16"/>
          <w:color w:val="auto"/>
        </w:rPr>
        <w:t>EDP-235 is an oral inhibitor of the coronavirus 3CL protease, also referred to as 3CLpro</w:t>
      </w:r>
      <w:r>
        <w:rPr>
          <w:rFonts w:ascii="Arial" w:cs="Arial" w:eastAsia="Arial" w:hAnsi="Arial"/>
          <w:sz w:val="16"/>
          <w:szCs w:val="16"/>
          <w:i w:val="1"/>
          <w:iCs w:val="1"/>
          <w:color w:val="auto"/>
        </w:rPr>
        <w:t xml:space="preserve"> </w:t>
      </w:r>
      <w:r>
        <w:rPr>
          <w:rFonts w:ascii="Arial" w:cs="Arial" w:eastAsia="Arial" w:hAnsi="Arial"/>
          <w:sz w:val="16"/>
          <w:szCs w:val="16"/>
          <w:color w:val="auto"/>
        </w:rPr>
        <w:t>or the main coronavirus protease, or Mpro, which has been granted Fast Track designation by the FDA.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is projected to have four times higher drug levels in lung tissue compared to plasma.</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7" w:name="page18"/>
    <w:bookmarkEnd w:id="17"/>
    <w:p>
      <w:pPr>
        <w:ind w:left="2023" w:right="20" w:hanging="375"/>
        <w:spacing w:after="0" w:line="275" w:lineRule="auto"/>
        <w:tabs>
          <w:tab w:leader="none" w:pos="2023" w:val="left"/>
        </w:tabs>
        <w:numPr>
          <w:ilvl w:val="1"/>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Phase 1 Study</w:t>
      </w:r>
      <w:r>
        <w:rPr>
          <w:rFonts w:ascii="Arial" w:cs="Arial" w:eastAsia="Arial" w:hAnsi="Arial"/>
          <w:sz w:val="17"/>
          <w:szCs w:val="17"/>
          <w:i w:val="1"/>
          <w:iCs w:val="1"/>
          <w:color w:val="auto"/>
        </w:rPr>
        <w:t xml:space="preserve"> </w:t>
      </w:r>
      <w:r>
        <w:rPr>
          <w:rFonts w:ascii="Arial" w:cs="Arial" w:eastAsia="Arial" w:hAnsi="Arial"/>
          <w:sz w:val="17"/>
          <w:szCs w:val="17"/>
          <w:color w:val="auto"/>
        </w:rPr>
        <w:t>– In July 2022, we completed a Phase 1 study and reported positive topline results. This first-in-human,</w:t>
      </w:r>
      <w:r>
        <w:rPr>
          <w:rFonts w:ascii="Arial" w:cs="Arial" w:eastAsia="Arial" w:hAnsi="Arial"/>
          <w:sz w:val="17"/>
          <w:szCs w:val="17"/>
          <w:i w:val="1"/>
          <w:iCs w:val="1"/>
          <w:color w:val="auto"/>
        </w:rPr>
        <w:t xml:space="preserve"> </w:t>
      </w:r>
      <w:r>
        <w:rPr>
          <w:rFonts w:ascii="Arial" w:cs="Arial" w:eastAsia="Arial" w:hAnsi="Arial"/>
          <w:sz w:val="17"/>
          <w:szCs w:val="17"/>
          <w:color w:val="auto"/>
        </w:rPr>
        <w:t>randomized, double-blind, placebo-controlled study enrolled healthy volunteers to evaluate the safety, tolerability, and pharmacokinetics, or PK, of oral EDP-235 in single ascending doses, and multiple ascending doses, for seven days, and the effect of food. Data from the Phase 1 study demonstrated EDP-235 was generally safe and well-tolerated in doses up to 400mg for seven days and adverse events were infrequent and mild.</w:t>
      </w:r>
    </w:p>
    <w:p>
      <w:pPr>
        <w:spacing w:after="0" w:line="64" w:lineRule="exact"/>
        <w:rPr>
          <w:rFonts w:ascii="Arial" w:cs="Arial" w:eastAsia="Arial" w:hAnsi="Arial"/>
          <w:sz w:val="17"/>
          <w:szCs w:val="17"/>
          <w:color w:val="auto"/>
        </w:rPr>
      </w:pPr>
    </w:p>
    <w:p>
      <w:pPr>
        <w:ind w:left="2023" w:hanging="375"/>
        <w:spacing w:after="0" w:line="267" w:lineRule="auto"/>
        <w:tabs>
          <w:tab w:leader="none" w:pos="2023" w:val="left"/>
        </w:tabs>
        <w:numPr>
          <w:ilvl w:val="1"/>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Phase 2 Study</w:t>
      </w:r>
      <w:r>
        <w:rPr>
          <w:rFonts w:ascii="Arial" w:cs="Arial" w:eastAsia="Arial" w:hAnsi="Arial"/>
          <w:sz w:val="17"/>
          <w:szCs w:val="17"/>
          <w:i w:val="1"/>
          <w:iCs w:val="1"/>
          <w:color w:val="auto"/>
        </w:rPr>
        <w:t xml:space="preserve"> </w:t>
      </w:r>
      <w:r>
        <w:rPr>
          <w:rFonts w:ascii="Arial" w:cs="Arial" w:eastAsia="Arial" w:hAnsi="Arial"/>
          <w:sz w:val="17"/>
          <w:szCs w:val="17"/>
          <w:color w:val="auto"/>
        </w:rPr>
        <w:t>– In May 2023, we reported topline results from SPRINT (</w:t>
      </w:r>
      <w:r>
        <w:rPr>
          <w:rFonts w:ascii="Arial" w:cs="Arial" w:eastAsia="Arial" w:hAnsi="Arial"/>
          <w:sz w:val="17"/>
          <w:szCs w:val="17"/>
          <w:b w:val="1"/>
          <w:bCs w:val="1"/>
          <w:color w:val="auto"/>
        </w:rPr>
        <w:t>S</w:t>
      </w:r>
      <w:r>
        <w:rPr>
          <w:rFonts w:ascii="Arial" w:cs="Arial" w:eastAsia="Arial" w:hAnsi="Arial"/>
          <w:sz w:val="17"/>
          <w:szCs w:val="17"/>
          <w:color w:val="auto"/>
        </w:rPr>
        <w:t>ARS-CoV-2</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Pr</w:t>
      </w:r>
      <w:r>
        <w:rPr>
          <w:rFonts w:ascii="Arial" w:cs="Arial" w:eastAsia="Arial" w:hAnsi="Arial"/>
          <w:sz w:val="17"/>
          <w:szCs w:val="17"/>
          <w:color w:val="auto"/>
        </w:rPr>
        <w:t>otease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In</w:t>
      </w:r>
      <w:r>
        <w:rPr>
          <w:rFonts w:ascii="Arial" w:cs="Arial" w:eastAsia="Arial" w:hAnsi="Arial"/>
          <w:sz w:val="17"/>
          <w:szCs w:val="17"/>
          <w:color w:val="auto"/>
        </w:rPr>
        <w:t>hibitor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w:t>
      </w:r>
      <w:r>
        <w:rPr>
          <w:rFonts w:ascii="Arial" w:cs="Arial" w:eastAsia="Arial" w:hAnsi="Arial"/>
          <w:sz w:val="17"/>
          <w:szCs w:val="17"/>
          <w:color w:val="auto"/>
        </w:rPr>
        <w:t>reatment), a</w:t>
      </w:r>
      <w:r>
        <w:rPr>
          <w:rFonts w:ascii="Arial" w:cs="Arial" w:eastAsia="Arial" w:hAnsi="Arial"/>
          <w:sz w:val="17"/>
          <w:szCs w:val="17"/>
          <w:i w:val="1"/>
          <w:iCs w:val="1"/>
          <w:color w:val="auto"/>
        </w:rPr>
        <w:t xml:space="preserve"> </w:t>
      </w:r>
      <w:r>
        <w:rPr>
          <w:rFonts w:ascii="Arial" w:cs="Arial" w:eastAsia="Arial" w:hAnsi="Arial"/>
          <w:sz w:val="17"/>
          <w:szCs w:val="17"/>
          <w:color w:val="auto"/>
        </w:rPr>
        <w:t>Phase 2 clinical trial of EDP-235. This randomized, double-blind, placebo-controlled study evaluated the safety, tolerability, antiviral activity and clinical symptoms of EDP-235 compared to placebo in approximately 230 non-hospitalized, symptomatic patients with mild to moderate COVID-19 who were not at increased risk for developing severe disease. Patients were eligible to participate if they had symptoms for five days or less and had not received a SARS-CoV-2 vaccine or been infected with SARS-CoV-2 within 90 days of enrollment. Patients received either 200mg or 400mg EDP-235 or placebo orally with food once daily for five days. EDP-235 met the primary endpoint of the trial and was generally safe and well-tolerated. A dose-dependent improvement in symptoms was observed with EDP-235 treatment compared to placebo, which achieved statistical significance (p&lt;0.05) in the 400mg treatment group at multiple time points, starting as early as one day after the first dose. In a prespecified population consisting of patients enrolled within three days of symptom onset, a statistically significant improvement was observed with EDP-235 at 400mg at all time points. While no difference was observed in time to improvement of 14 targeted COVID-19 symptoms, an analysis of a subset of these symptoms showed a two-day shorter time to improvement in patients receiving EDP-235 400mg who were enrolled within three days of symptom onset (p&lt;0.01). No effect on virologic endpoints as measured in the nose was detected due to the rapid viral decline in the placebo arm of this highly immunologically-experienced, standard risk population. However, in the subset of patients who were nucleocapsid negative (indicating no recent natural infection with SARS-CoV-2), a viral load decline was observed at day five in the 400mg group of 0.8 log overall and 1 log in the patients with symptom onset within three days before treatment with EDP-235. An additional analysis of patients with a baseline viral load greater than 5 logs showed a decline of 0.4 log at day three in both EDP-235 treatment arms compared to placebo.</w:t>
      </w:r>
    </w:p>
    <w:p>
      <w:pPr>
        <w:spacing w:after="0" w:line="82" w:lineRule="exact"/>
        <w:rPr>
          <w:rFonts w:ascii="Arial" w:cs="Arial" w:eastAsia="Arial" w:hAnsi="Arial"/>
          <w:sz w:val="17"/>
          <w:szCs w:val="17"/>
          <w:color w:val="auto"/>
        </w:rPr>
      </w:pPr>
    </w:p>
    <w:p>
      <w:pPr>
        <w:ind w:left="2023" w:right="240" w:hanging="375"/>
        <w:spacing w:after="0" w:line="259" w:lineRule="auto"/>
        <w:tabs>
          <w:tab w:leader="none" w:pos="2023" w:val="left"/>
        </w:tabs>
        <w:numPr>
          <w:ilvl w:val="1"/>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Next Steps</w:t>
      </w:r>
      <w:r>
        <w:rPr>
          <w:rFonts w:ascii="Arial" w:cs="Arial" w:eastAsia="Arial" w:hAnsi="Arial"/>
          <w:sz w:val="18"/>
          <w:szCs w:val="18"/>
          <w:i w:val="1"/>
          <w:iCs w:val="1"/>
          <w:color w:val="auto"/>
        </w:rPr>
        <w:t xml:space="preserve"> </w:t>
      </w:r>
      <w:r>
        <w:rPr>
          <w:rFonts w:ascii="Arial" w:cs="Arial" w:eastAsia="Arial" w:hAnsi="Arial"/>
          <w:sz w:val="18"/>
          <w:szCs w:val="18"/>
          <w:color w:val="auto"/>
        </w:rPr>
        <w:t>– Going forward, we will continue to focus on potential partnerships or collaborations to progress our</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program. In particular, we continue to focus on progressing EDP-235 into Phase 3 trials with a partner, as well as engaging in regulatory discussions regarding the registrational development pathway for EDP-235 moving forward.</w:t>
      </w:r>
    </w:p>
    <w:p>
      <w:pPr>
        <w:spacing w:after="0" w:line="78" w:lineRule="exact"/>
        <w:rPr>
          <w:rFonts w:ascii="Arial" w:cs="Arial" w:eastAsia="Arial" w:hAnsi="Arial"/>
          <w:sz w:val="18"/>
          <w:szCs w:val="18"/>
          <w:color w:val="auto"/>
        </w:rPr>
      </w:pPr>
    </w:p>
    <w:p>
      <w:pPr>
        <w:jc w:val="both"/>
        <w:ind w:left="503" w:right="500" w:hanging="503"/>
        <w:spacing w:after="0" w:line="311" w:lineRule="auto"/>
        <w:tabs>
          <w:tab w:leader="none" w:pos="50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hMPV</w:t>
      </w:r>
      <w:r>
        <w:rPr>
          <w:rFonts w:ascii="Arial" w:cs="Arial" w:eastAsia="Arial" w:hAnsi="Arial"/>
          <w:sz w:val="16"/>
          <w:szCs w:val="16"/>
          <w:color w:val="auto"/>
        </w:rPr>
        <w:t>: Human metapneumovirus, or hMPV, is a virus that is a significant cause of respiratory tract infections, or RTIs, particularly in children, the elderly and immunocompromised individuals. It is the second most common cause of lower respiratory tract infections in children, with symptoms similar to RSV. The viral structure and lifecycle of hMPV are also similar to RSV.</w:t>
      </w:r>
    </w:p>
    <w:p>
      <w:pPr>
        <w:spacing w:after="0" w:line="41" w:lineRule="exact"/>
        <w:rPr>
          <w:sz w:val="20"/>
          <w:szCs w:val="20"/>
          <w:color w:val="auto"/>
        </w:rPr>
      </w:pPr>
    </w:p>
    <w:p>
      <w:pPr>
        <w:ind w:left="1283" w:right="60" w:hanging="384"/>
        <w:spacing w:after="0" w:line="257" w:lineRule="auto"/>
        <w:tabs>
          <w:tab w:leader="none" w:pos="1283" w:val="left"/>
        </w:tabs>
        <w:numPr>
          <w:ilvl w:val="1"/>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hMPV/RSV Dual-Inhibitor:</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2023, we announced a new research program with broader spectrum antiviral activity,</w:t>
      </w:r>
      <w:r>
        <w:rPr>
          <w:rFonts w:ascii="Arial" w:cs="Arial" w:eastAsia="Arial" w:hAnsi="Arial"/>
          <w:sz w:val="18"/>
          <w:szCs w:val="18"/>
          <w:i w:val="1"/>
          <w:iCs w:val="1"/>
          <w:color w:val="auto"/>
        </w:rPr>
        <w:t xml:space="preserve"> </w:t>
      </w:r>
      <w:r>
        <w:rPr>
          <w:rFonts w:ascii="Arial" w:cs="Arial" w:eastAsia="Arial" w:hAnsi="Arial"/>
          <w:sz w:val="18"/>
          <w:szCs w:val="18"/>
          <w:color w:val="auto"/>
        </w:rPr>
        <w:t>targeting hMPV and RSV with a single agent, which we refer to as a dual-inhibitor. In preclinical studies, these dual-inhibitors maintained activity against multiple genotypes and strains of hMPV and RSV in a range of cell types, and blocked replication in a dose-dependent manner in respective mouse models of each virus. We expect to select a dual hMPV/RSV clinical candidate in the fourth quarter of 2023.</w:t>
      </w:r>
    </w:p>
    <w:p>
      <w:pPr>
        <w:spacing w:after="0" w:line="79" w:lineRule="exact"/>
        <w:rPr>
          <w:rFonts w:ascii="Arial" w:cs="Arial" w:eastAsia="Arial" w:hAnsi="Arial"/>
          <w:sz w:val="18"/>
          <w:szCs w:val="18"/>
          <w:color w:val="auto"/>
        </w:rPr>
      </w:pPr>
    </w:p>
    <w:p>
      <w:pPr>
        <w:ind w:left="523" w:right="260" w:hanging="373"/>
        <w:spacing w:after="0" w:line="275" w:lineRule="auto"/>
        <w:tabs>
          <w:tab w:leader="none" w:pos="52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Our lead clinical candidate for the treatment of chronic infection with hepatitis B virus, or HBV, is EDP-514, a core inhibitor that displays potent anti-HBV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at multiple points in the HBV lifecycle. Our goal is to develop a combination therapy approach, including existing approved treatments such as a nucleoside reverse transcriptase inhibitor, or NUC, with EDP-514 and one or more other mechanisms, which could lead to a functional cure for patients with chronic HBV infection. We are in the process of seeking other compounds that could be developed with EDP-514 for such a treatment regimen.</w:t>
      </w:r>
    </w:p>
    <w:p>
      <w:pPr>
        <w:spacing w:after="0" w:line="68" w:lineRule="exact"/>
        <w:rPr>
          <w:rFonts w:ascii="Arial" w:cs="Arial" w:eastAsia="Arial" w:hAnsi="Arial"/>
          <w:sz w:val="17"/>
          <w:szCs w:val="17"/>
          <w:color w:val="auto"/>
        </w:rPr>
      </w:pPr>
    </w:p>
    <w:p>
      <w:pPr>
        <w:ind w:left="1283" w:right="300" w:hanging="384"/>
        <w:spacing w:after="0" w:line="279" w:lineRule="auto"/>
        <w:tabs>
          <w:tab w:leader="none" w:pos="1283" w:val="left"/>
        </w:tabs>
        <w:numPr>
          <w:ilvl w:val="1"/>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EDP-514 - Core Inhibitor Candidate:</w:t>
      </w:r>
      <w:r>
        <w:rPr>
          <w:rFonts w:ascii="Arial" w:cs="Arial" w:eastAsia="Arial" w:hAnsi="Arial"/>
          <w:sz w:val="17"/>
          <w:szCs w:val="17"/>
          <w:i w:val="1"/>
          <w:iCs w:val="1"/>
          <w:color w:val="auto"/>
        </w:rPr>
        <w:t xml:space="preserve"> </w:t>
      </w:r>
      <w:r>
        <w:rPr>
          <w:rFonts w:ascii="Arial" w:cs="Arial" w:eastAsia="Arial" w:hAnsi="Arial"/>
          <w:sz w:val="17"/>
          <w:szCs w:val="17"/>
          <w:color w:val="auto"/>
        </w:rPr>
        <w:t>Final data from two Phase 1b studies of EDP-514 demonstrate the compound is safe and</w:t>
      </w:r>
      <w:r>
        <w:rPr>
          <w:rFonts w:ascii="Arial" w:cs="Arial" w:eastAsia="Arial" w:hAnsi="Arial"/>
          <w:sz w:val="17"/>
          <w:szCs w:val="17"/>
          <w:i w:val="1"/>
          <w:iCs w:val="1"/>
          <w:color w:val="auto"/>
        </w:rPr>
        <w:t xml:space="preserve"> </w:t>
      </w:r>
      <w:r>
        <w:rPr>
          <w:rFonts w:ascii="Arial" w:cs="Arial" w:eastAsia="Arial" w:hAnsi="Arial"/>
          <w:sz w:val="17"/>
          <w:szCs w:val="17"/>
          <w:color w:val="auto"/>
        </w:rPr>
        <w:t>potent in two different chronic HBV patient populations – those who are viremic and those who are on a treatment with a nucleoside reverse transcriptase inhibitor. Based on these data, we remain convinced that EDP-514, which has Fast Track designation, has the potential to be a best-in-class core inhibitor for HBV.</w:t>
      </w:r>
    </w:p>
    <w:p>
      <w:pPr>
        <w:spacing w:after="0" w:line="387"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9" w:right="359" w:bottom="1440" w:gutter="0" w:footer="0" w:header="0"/>
        </w:sectPr>
      </w:pPr>
    </w:p>
    <w:bookmarkStart w:id="18" w:name="page19"/>
    <w:bookmarkEnd w:id="18"/>
    <w:p>
      <w:pPr>
        <w:spacing w:after="0" w:line="263"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virology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163310" cy="32061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6331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*Fixed-dose antiviral combination contains glecaprevir and AbbVie’s NS5A inhibitor, pibrentasvir. Marketed by AbbVie as MAVYRET® (U.S.) and MAVIRET® (ex-U.S.).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Royalty Revenue Collaboration and Royalty Sale Agreement</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Glecaprevir is the HCV protease inhibitor we discovered that was developed by AbbVie in a fixed-dose combination with its NS5A inhibitor, pibrentasvir,</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for the treatment of chronic HCV. This patented combination, currently marketed under the brand 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 The $200.0 million received in April 2023 was recognized on our consolidated balance sheets as a liability which will be reduced by the payments made to OMERS over the term of the royalty sale agreement. We will continue to record 100% of HCV royalties earned under the AbbVie Agreement as royalty revenue in our consolidated statements of operations since the AbbVie Agreement has not been amended and is independent of our agreement with OMERS.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currently funding all research and development for our wholly-owned programs, which are targeted toward the discovery and development of novel compounds with an emphasis on treatments for viral infections. As of the date of this report, we are conducting three Phase 2 studies for EDP-938 and are set to start a Phase 2 challenge study in the fall for EDP-323. We are also progressing our dual hMPV/RSV program and conducting preclinical discovery research efforts in other disease areas.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 w:name="page20"/>
    <w:bookmarkEnd w:id="19"/>
    <w:p>
      <w:pPr>
        <w:ind w:right="20"/>
        <w:spacing w:after="0" w:line="263" w:lineRule="auto"/>
        <w:rPr>
          <w:sz w:val="20"/>
          <w:szCs w:val="20"/>
          <w:color w:val="auto"/>
        </w:rPr>
      </w:pPr>
      <w:r>
        <w:rPr>
          <w:rFonts w:ascii="Arial" w:cs="Arial" w:eastAsia="Arial" w:hAnsi="Arial"/>
          <w:sz w:val="18"/>
          <w:szCs w:val="18"/>
          <w:color w:val="auto"/>
        </w:rPr>
        <w:t>As a result of the timing of our clinical and preclinical development programs, we expect our research and development expenses will fluctuate from period to period. However, in the next 12 months, we expect our external research and development expenses generally to decrease since we will not conduct a Phase 3 trial of EDP-235 on our own.</w:t>
      </w:r>
    </w:p>
    <w:p>
      <w:pPr>
        <w:spacing w:after="0" w:line="7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 date, we have funded our operations primarily through royalty payments received under our collaboration agreement with AbbVie, a $200.0 million payment from our royalty sale agreement, and our existing cash, cash equivalents, and short-term and long-term marketable securities. We believe that our existing cash, cash equivalents and short-term and long-term marketable securities, as well as our continuing portion of HCV royalties, will enable us to fund our operating expenses and capital expenditure requirements into the second half of fiscal 2027.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revenue is primarily derived from our collaboration agreement with AbbVie and AbbVie’s sales of MAVYRET/MAVIRET, an 8-week treatment regimen for chronic HCV. During the nine months ended June 30, 2023, we also generated $1.0 million of license revenue from an upfront payment related to a license agreement for one of the antibacterial compounds we are no longer developing.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revenue recognized for the three and nine months ended June 30,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435"/>
              <w:spacing w:after="0"/>
              <w:rPr>
                <w:sz w:val="20"/>
                <w:szCs w:val="20"/>
                <w:color w:val="auto"/>
              </w:rPr>
            </w:pPr>
            <w:r>
              <w:rPr>
                <w:rFonts w:ascii="Arial" w:cs="Arial" w:eastAsia="Arial" w:hAnsi="Arial"/>
                <w:sz w:val="14"/>
                <w:szCs w:val="14"/>
                <w:b w:val="1"/>
                <w:bCs w:val="1"/>
                <w:color w:val="auto"/>
                <w:w w:val="99"/>
              </w:rPr>
              <w:t>Nine Months Ended June 30,</w:t>
            </w:r>
          </w:p>
        </w:tc>
        <w:tc>
          <w:tcPr>
            <w:tcW w:w="14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7"/>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thousands)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200" w:type="dxa"/>
            <w:vAlign w:val="bottom"/>
          </w:tcPr>
          <w:p>
            <w:pPr>
              <w:ind w:left="120"/>
              <w:spacing w:after="0"/>
              <w:rPr>
                <w:sz w:val="20"/>
                <w:szCs w:val="20"/>
                <w:color w:val="auto"/>
              </w:rPr>
            </w:pPr>
            <w:r>
              <w:rPr>
                <w:rFonts w:ascii="Arial" w:cs="Arial" w:eastAsia="Arial" w:hAnsi="Arial"/>
                <w:sz w:val="18"/>
                <w:szCs w:val="18"/>
                <w:color w:val="auto"/>
              </w:rPr>
              <w:t>Royalty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18,892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19,479</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59,272</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65,843</w:t>
            </w:r>
          </w:p>
        </w:tc>
        <w:tc>
          <w:tcPr>
            <w:tcW w:w="140" w:type="dxa"/>
            <w:vAlign w:val="bottom"/>
          </w:tcPr>
          <w:p>
            <w:pPr>
              <w:spacing w:after="0"/>
              <w:rPr>
                <w:sz w:val="20"/>
                <w:szCs w:val="20"/>
                <w:color w:val="auto"/>
              </w:rPr>
            </w:pPr>
          </w:p>
        </w:tc>
      </w:tr>
      <w:tr>
        <w:trPr>
          <w:trHeight w:val="249"/>
        </w:trPr>
        <w:tc>
          <w:tcPr>
            <w:tcW w:w="5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License revenue</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18,892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19,479</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60,272</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65,843</w:t>
            </w:r>
          </w:p>
        </w:tc>
        <w:tc>
          <w:tcPr>
            <w:tcW w:w="14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-187960</wp:posOffset>
            </wp:positionV>
            <wp:extent cx="8572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8572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8572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Agreement</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date, we have received annually tiered, double-digit royalties on our protease inhibitor product glecaprevir included in AbbVie’s net sales of MAVYRET/MAVIRET. Under the terms of our AbbVie Agreement, 50% of AbbVie’s net sales of MAVYRET/MAVIRET are allocated to glecaprevir. Beginning with each January 1, the cumulative net sales of MAVYRET/MAVIRET start at zero for purposes of calculating the tiered royalties. As disclosed above regarding the OMERS royalty sale agreement, we will only retain 45.5% of royalties on net sales of MAVYRET/MAVIRET occurring after June 30, 2023 through June 30, 2032, subject to a cap on aggregate payments to OMERS equal to 1.42 times OMERS’ purchase price.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are comprised of research and development expenses and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6"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Project-specific expenses reflect costs directly attributable to our clinical development candidates and preclinical candidates nominated and selected for further development. Our remaining research and development expenses are reflected in research and drug discovery, which represents early-stage drug discovery programs. At any given time, we typically have several active early-stage research and drug discovery projects. Our internal resources, employees, and infrastructure are not directly tied to any individual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80"/>
        <w:spacing w:after="0" w:line="296" w:lineRule="auto"/>
        <w:rPr>
          <w:sz w:val="20"/>
          <w:szCs w:val="20"/>
          <w:color w:val="auto"/>
        </w:rPr>
      </w:pPr>
      <w:r>
        <w:rPr>
          <w:rFonts w:ascii="Arial" w:cs="Arial" w:eastAsia="Arial" w:hAnsi="Arial"/>
          <w:sz w:val="16"/>
          <w:szCs w:val="16"/>
          <w:color w:val="auto"/>
        </w:rPr>
        <w:t>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fluctuate from period to period in the future as we advance our research and development programs. However, in the next 12 months, we expect our external research and development expenses generally to decrease since we will not conduct a Phase 3 trial of EDP-235 on our own. To date we have not identified any significant impact of inflation on spending in research and development, but it is uncertain whether there will be inflationary impacts in future periods.</w:t>
      </w:r>
    </w:p>
    <w:p>
      <w:pPr>
        <w:spacing w:after="0" w:line="5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research and drug discovery and development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and patent expenses.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that general and administrative expenses will continue to increase in the future primarily due to the ongoing expansion of our operating activities in support of our own research and development programs, as well as our patent litigation seeking damages for infringement of one of our COVID-19 patents. To date we have not experienced a significant impact of inflation on spending in general and administrative, but we anticipate inflation may impact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Other income (expense) consists of interest expense, interest and investment income, net and the change in fair value of our outstanding Series 1 nonconvertible preferred stock. Interest expense consists of the non-cash interest expense and amortization of debt issuance costs associated with the royalty sale agreement with an affiliate of OMERS. Interest income consists of interest earned on our cash equivalents and short-term and long-term marketable securities balances and interest earned for any refunds received from tax authorities. Investment income consists of the amortization or accretion of any purchased premium or discount, respectively, on our short-term and long-term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Income tax (expense) benefit is based on our best estimate of taxable net losses, applicable income tax rates, net research and development tax credits and carryforwards, net operating loss carrybacks, changes in valuation allowance estimates and deferred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(in</w:t>
            </w:r>
          </w:p>
        </w:tc>
        <w:tc>
          <w:tcPr>
            <w:tcW w:w="1460" w:type="dxa"/>
            <w:vAlign w:val="bottom"/>
            <w:gridSpan w:val="2"/>
          </w:tcPr>
          <w:p>
            <w:pPr>
              <w:jc w:val="right"/>
              <w:ind w:right="776"/>
              <w:spacing w:after="0"/>
              <w:rPr>
                <w:sz w:val="20"/>
                <w:szCs w:val="20"/>
                <w:color w:val="auto"/>
              </w:rPr>
            </w:pPr>
            <w:r>
              <w:rPr>
                <w:rFonts w:ascii="Arial" w:cs="Arial" w:eastAsia="Arial" w:hAnsi="Arial"/>
                <w:sz w:val="14"/>
                <w:szCs w:val="14"/>
                <w:b w:val="1"/>
                <w:bCs w:val="1"/>
                <w:color w:val="auto"/>
                <w:w w:val="76"/>
              </w:rPr>
              <w:t>thousands)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revenue</w:t>
            </w:r>
          </w:p>
        </w:tc>
        <w:tc>
          <w:tcPr>
            <w:tcW w:w="4260" w:type="dxa"/>
            <w:vAlign w:val="bottom"/>
            <w:gridSpan w:val="2"/>
            <w:shd w:val="clear" w:color="auto" w:fill="CFF0FC"/>
          </w:tcPr>
          <w:p>
            <w:pPr>
              <w:jc w:val="right"/>
              <w:ind w:right="962"/>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18,892</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19,479</w:t>
            </w:r>
          </w:p>
        </w:tc>
        <w:tc>
          <w:tcPr>
            <w:tcW w:w="140" w:type="dxa"/>
            <w:vAlign w:val="bottom"/>
            <w:shd w:val="clear" w:color="auto" w:fill="CFF0FC"/>
          </w:tcPr>
          <w:p>
            <w:pPr>
              <w:spacing w:after="0"/>
              <w:rPr>
                <w:sz w:val="21"/>
                <w:szCs w:val="2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42,987</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39,090</w:t>
            </w:r>
          </w:p>
        </w:tc>
        <w:tc>
          <w:tcPr>
            <w:tcW w:w="140" w:type="dxa"/>
            <w:vAlign w:val="bottom"/>
          </w:tcPr>
          <w:p>
            <w:pPr>
              <w:spacing w:after="0"/>
              <w:rPr>
                <w:sz w:val="20"/>
                <w:szCs w:val="20"/>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12,929</w:t>
            </w:r>
          </w:p>
        </w:tc>
        <w:tc>
          <w:tcPr>
            <w:tcW w:w="140" w:type="dxa"/>
            <w:vAlign w:val="bottom"/>
            <w:shd w:val="clear" w:color="auto" w:fill="CFF0FC"/>
          </w:tcPr>
          <w:p>
            <w:pPr>
              <w:spacing w:after="0"/>
              <w:rPr>
                <w:sz w:val="21"/>
                <w:szCs w:val="2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1,997</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investment income, net</w:t>
            </w:r>
          </w:p>
        </w:tc>
        <w:tc>
          <w:tcPr>
            <w:tcW w:w="3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FF0FC"/>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(4,221 )</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21"/>
                <w:szCs w:val="21"/>
                <w:color w:val="auto"/>
              </w:rPr>
            </w:pPr>
          </w:p>
        </w:tc>
      </w:tr>
      <w:tr>
        <w:trPr>
          <w:trHeight w:val="277"/>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1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ind w:right="96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(39,065</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ind w:right="99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(31,700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628"/>
        </w:trPr>
        <w:tc>
          <w:tcPr>
            <w:tcW w:w="4060" w:type="dxa"/>
            <w:vAlign w:val="bottom"/>
          </w:tcPr>
          <w:p>
            <w:pPr>
              <w:spacing w:after="0"/>
              <w:rPr>
                <w:sz w:val="24"/>
                <w:szCs w:val="24"/>
                <w:color w:val="auto"/>
              </w:rPr>
            </w:pPr>
          </w:p>
        </w:tc>
        <w:tc>
          <w:tcPr>
            <w:tcW w:w="3120" w:type="dxa"/>
            <w:vAlign w:val="bottom"/>
          </w:tcPr>
          <w:p>
            <w:pPr>
              <w:jc w:val="right"/>
              <w:ind w:right="137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-522605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-504825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-522605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recognized royalty revenue of $18.9 million during the three months ended June 30, 2023 as compared to $19.5 million during the three months ended June 30, 2022. The $0.6 million decrease in royalty revenue was due to AbbVie’s lower reported HCV sales as compared to the comparable period in 2022.</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 The $200.0 million received in April 2023 was recognized on our consolidated balance sheets as a liability which will be reduced by the payments made to OMERS over the term of the royalty sale agreement. We will continue to record 100% of HCV royalties earned under the AbbVie Agreement as royalty revenue in our consolidated statements of operations since the AbbVie Agreement has not been amended and is independent of our agreement with OMERS.</w:t>
      </w:r>
    </w:p>
    <w:p>
      <w:pPr>
        <w:sectPr>
          <w:pgSz w:w="11900" w:h="16838" w:orient="portrait"/>
          <w:cols w:equalWidth="0" w:num="1">
            <w:col w:w="11220"/>
          </w:cols>
          <w:pgMar w:left="320" w:top="449" w:right="35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R&amp;D programs: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Virology</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Liver disease (non-viral)</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Three Months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180"/>
        </w:trPr>
        <w:tc>
          <w:tcPr>
            <w:tcW w:w="400" w:type="dxa"/>
            <w:vAlign w:val="bottom"/>
          </w:tcPr>
          <w:p>
            <w:pPr>
              <w:spacing w:after="0"/>
              <w:rPr>
                <w:sz w:val="15"/>
                <w:szCs w:val="15"/>
                <w:color w:val="auto"/>
              </w:rPr>
            </w:pPr>
          </w:p>
        </w:tc>
        <w:tc>
          <w:tcPr>
            <w:tcW w:w="128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4"/>
              </w:rPr>
              <w:t>thousands)</w:t>
            </w:r>
          </w:p>
        </w:tc>
        <w:tc>
          <w:tcPr>
            <w:tcW w:w="1180" w:type="dxa"/>
            <w:vAlign w:val="bottom"/>
          </w:tcPr>
          <w:p>
            <w:pPr>
              <w:spacing w:after="0"/>
              <w:rPr>
                <w:sz w:val="15"/>
                <w:szCs w:val="15"/>
                <w:color w:val="auto"/>
              </w:rPr>
            </w:pPr>
          </w:p>
        </w:tc>
      </w:tr>
      <w:tr>
        <w:trPr>
          <w:trHeight w:val="462"/>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40,336</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34,042</w:t>
            </w:r>
          </w:p>
        </w:tc>
      </w:tr>
      <w:tr>
        <w:trPr>
          <w:trHeight w:val="243"/>
        </w:trPr>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809</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4,540</w:t>
            </w:r>
          </w:p>
        </w:tc>
      </w:tr>
      <w:tr>
        <w:trPr>
          <w:trHeight w:val="250"/>
        </w:trPr>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37"/>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42,987</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-805180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-496570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-179070</wp:posOffset>
            </wp:positionV>
            <wp:extent cx="713232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6760" w:space="720"/>
            <w:col w:w="3740"/>
          </w:cols>
          <w:pgMar w:left="320" w:top="449" w:right="359" w:bottom="1440" w:gutter="0" w:footer="0" w:header="0"/>
          <w:type w:val="continuous"/>
        </w:sectPr>
      </w:pPr>
    </w:p>
    <w:p>
      <w:pPr>
        <w:ind w:right="60"/>
        <w:spacing w:after="0" w:line="296" w:lineRule="auto"/>
        <w:rPr>
          <w:sz w:val="20"/>
          <w:szCs w:val="20"/>
          <w:color w:val="auto"/>
        </w:rPr>
      </w:pPr>
      <w:r>
        <w:rPr>
          <w:rFonts w:ascii="Arial" w:cs="Arial" w:eastAsia="Arial" w:hAnsi="Arial"/>
          <w:sz w:val="16"/>
          <w:szCs w:val="16"/>
          <w:color w:val="auto"/>
        </w:rPr>
        <w:t>The level of research and development expenses for the three months ended June 30, 2023 increased by $3.9 million compared to the same period in 2022. The increase in costs of $6.3 million in our virology program was primarily due to an increase in clinical trial costs and an increase in headcount, partially offset by a decrease in preclinical and manufacturing costs due to timing of our studies in our virology programs. The costs in our non-viral liver disease program decreased by $3.7 million as we wound down our non-alcoholic steatohepatitis, or NASH, program, which is now substantially complete. The costs in our other discovery programs increased by $1.3 million due to an increase in headcount and increase in lab material and supply purchases.</w:t>
      </w:r>
    </w:p>
    <w:p>
      <w:pPr>
        <w:spacing w:after="0" w:line="5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next 12 months, we expect our external research and development expenses generally to decrease since we will not conduct a Phase 3 trial of EDP-235 on our 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General and administrative expenses decreased by $0.3 million for the three months ended June 30, 2023 compared to the same period in 2022. The change was due to a decrease in stock compensation expense, partially offset by an increase in legal fees related to our patent infringement suit against Pfizer.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Interest expense increased $2.0 million for the three months ended June 30, 2023, as compared to the same period in 2022 due to the non-cash interest expense and amortization of debt issuance costs associated with the royalty sale agreement entered into during April 2023 with an affiliate of 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 net</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Interest and investment income, net, increased $3.5 million for the three months ended June 30, 2023, as compared to the same period in 2022. The increase was due to an increase in our cash balance due to receipt of the $200.0 million from OMERS as well as changes in interest rates year over year.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During the three months ended June 30, 2023 and 2022, we recorded income tax expense of $4.2 million and an income tax benefit of $0.4 million, respectively. The income tax expense in 2023 was driven by the receipt of the $200.0 million from the royalty sale agreement, which is taxable for federal and state purposes, and is partially offset by utilization of federal net operating losses and research and development tax credit carryforwards as well as a deduction for foreign derived intangible income. The income tax benefit for 2022 was driven by a release of a state tax reserve during the period.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Comparison of the Nine Months Ended June 30, 2023 and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Nine Months Ended June 30,</w:t>
            </w:r>
          </w:p>
        </w:tc>
        <w:tc>
          <w:tcPr>
            <w:tcW w:w="1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6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11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w w:val="74"/>
              </w:rPr>
              <w:t>thousands)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revenue</w:t>
            </w:r>
          </w:p>
        </w:tc>
        <w:tc>
          <w:tcPr>
            <w:tcW w:w="1300" w:type="dxa"/>
            <w:vAlign w:val="bottom"/>
            <w:shd w:val="clear" w:color="auto" w:fill="CFF0FC"/>
          </w:tcPr>
          <w:p>
            <w:pPr>
              <w:jc w:val="right"/>
              <w:ind w:right="109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59,272</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65,843</w:t>
            </w:r>
          </w:p>
        </w:tc>
        <w:tc>
          <w:tcPr>
            <w:tcW w:w="140" w:type="dxa"/>
            <w:vAlign w:val="bottom"/>
            <w:shd w:val="clear" w:color="auto" w:fill="CFF0FC"/>
          </w:tcPr>
          <w:p>
            <w:pPr>
              <w:spacing w:after="0"/>
              <w:rPr>
                <w:sz w:val="21"/>
                <w:szCs w:val="2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License revenue</w:t>
            </w:r>
          </w:p>
        </w:tc>
        <w:tc>
          <w:tcPr>
            <w:tcW w:w="1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127,357</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129,726</w:t>
            </w:r>
          </w:p>
        </w:tc>
        <w:tc>
          <w:tcPr>
            <w:tcW w:w="140" w:type="dxa"/>
            <w:vAlign w:val="bottom"/>
            <w:shd w:val="clear" w:color="auto" w:fill="CFF0FC"/>
          </w:tcPr>
          <w:p>
            <w:pPr>
              <w:spacing w:after="0"/>
              <w:rPr>
                <w:sz w:val="21"/>
                <w:szCs w:val="2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39,092</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32,913</w:t>
            </w:r>
          </w:p>
        </w:tc>
        <w:tc>
          <w:tcPr>
            <w:tcW w:w="140" w:type="dxa"/>
            <w:vAlign w:val="bottom"/>
          </w:tcPr>
          <w:p>
            <w:pPr>
              <w:spacing w:after="0"/>
              <w:rPr>
                <w:sz w:val="20"/>
                <w:szCs w:val="20"/>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Interest and investment income, net</w:t>
            </w:r>
          </w:p>
        </w:tc>
        <w:tc>
          <w:tcPr>
            <w:tcW w:w="1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6,696</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20"/>
                <w:szCs w:val="20"/>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1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(4,231 )</w:t>
            </w: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FF0FC"/>
          </w:tcPr>
          <w:p>
            <w:pPr>
              <w:spacing w:after="0"/>
              <w:rPr>
                <w:sz w:val="21"/>
                <w:szCs w:val="2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 xml:space="preserve">(105,709 </w:t>
            </w:r>
            <w:r>
              <w:rPr>
                <w:rFonts w:ascii="Arial" w:cs="Arial" w:eastAsia="Arial" w:hAnsi="Arial"/>
                <w:sz w:val="18"/>
                <w:szCs w:val="18"/>
                <w:color w:val="auto"/>
                <w:highlight w:val="white"/>
              </w:rPr>
              <w:t>)</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(95,407 )</w:t>
            </w:r>
          </w:p>
        </w:tc>
      </w:tr>
      <w:tr>
        <w:trPr>
          <w:trHeight w:val="20"/>
        </w:trPr>
        <w:tc>
          <w:tcPr>
            <w:tcW w:w="65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We recognized royalty revenue of $59.3 million during the nine months ended June 30, 2023 as compared to $65.8 million during the nine months ended June 30, 2022. The $6.6 million decrease in royalty revenue was due to AbbVie’s lower reported HCV sales as compared to the comparable period in 2022.</w:t>
      </w:r>
    </w:p>
    <w:p>
      <w:pPr>
        <w:spacing w:after="0" w:line="1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royalty revenues eligible to be earned in the future will depend on AbbVie’s HCV market share, the pricing of the MAVYRET/MAVIRET regimen and the number of patients treated.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23"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We also recognized $1.0 million of license revenue during the nine months ended June 30, 2023 related to an upfront payment received for a license agreement for one of the antibacterial compounds we are no longer developing.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June 30,</w:t>
            </w:r>
          </w:p>
        </w:tc>
        <w:tc>
          <w:tcPr>
            <w:tcW w:w="10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169"/>
        </w:trPr>
        <w:tc>
          <w:tcPr>
            <w:tcW w:w="7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ind w:right="118"/>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2"/>
          </w:tcPr>
          <w:p>
            <w:pPr>
              <w:jc w:val="right"/>
              <w:ind w:right="390"/>
              <w:spacing w:after="0"/>
              <w:rPr>
                <w:sz w:val="20"/>
                <w:szCs w:val="20"/>
                <w:color w:val="auto"/>
              </w:rPr>
            </w:pPr>
            <w:r>
              <w:rPr>
                <w:rFonts w:ascii="Arial" w:cs="Arial" w:eastAsia="Arial" w:hAnsi="Arial"/>
                <w:sz w:val="13"/>
                <w:szCs w:val="13"/>
                <w:b w:val="1"/>
                <w:bCs w:val="1"/>
                <w:color w:val="auto"/>
                <w:w w:val="71"/>
              </w:rPr>
              <w:t>thousands)</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R&amp;D programs:</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Virology</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120,478</w:t>
            </w:r>
          </w:p>
        </w:tc>
        <w:tc>
          <w:tcPr>
            <w:tcW w:w="10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112,476</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Liver disease (non-viral)</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15,641</w:t>
            </w:r>
          </w:p>
        </w:tc>
        <w:tc>
          <w:tcPr>
            <w:tcW w:w="140" w:type="dxa"/>
            <w:vAlign w:val="bottom"/>
            <w:shd w:val="clear" w:color="auto" w:fill="CFF0FC"/>
          </w:tcPr>
          <w:p>
            <w:pPr>
              <w:spacing w:after="0"/>
              <w:rPr>
                <w:sz w:val="21"/>
                <w:szCs w:val="21"/>
                <w:color w:val="auto"/>
              </w:rPr>
            </w:pPr>
          </w:p>
        </w:tc>
      </w:tr>
      <w:tr>
        <w:trPr>
          <w:trHeight w:val="243"/>
        </w:trPr>
        <w:tc>
          <w:tcPr>
            <w:tcW w:w="7180" w:type="dxa"/>
            <w:vAlign w:val="bottom"/>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2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40" w:type="dxa"/>
            <w:vAlign w:val="bottom"/>
          </w:tcPr>
          <w:p>
            <w:pPr>
              <w:spacing w:after="0"/>
              <w:rPr>
                <w:sz w:val="21"/>
                <w:szCs w:val="21"/>
                <w:color w:val="auto"/>
              </w:rPr>
            </w:pPr>
          </w:p>
        </w:tc>
      </w:tr>
      <w:tr>
        <w:trPr>
          <w:trHeight w:val="277"/>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127,357</w:t>
            </w:r>
          </w:p>
        </w:tc>
        <w:tc>
          <w:tcPr>
            <w:tcW w:w="2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129,726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level of research and development expenses for the nine months ended June 30, 2023 decreased by $2.4 million compared to the same period in 2022. The increase in costs of $8.0 million in our virology program was primarily due to an increase in clinical trial costs and an increase headcount partially offset by a decrease in preclinical and manufacturing costs due to the timing and scope of clinical trials. The costs in our non-viral liver disease program decreased by $13.5 million as we wound down our non-alcoholic steatohepatitis, or NASH, program, which is now substantially complete. The costs in our other discovery programs increased by $3.1 million due to an increase in headcount and increase in lab material and supply purchases.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General and administrative expenses increased by $6.2 million for the nine months ended June 30, 2023 compared to the same period in 2022. The increase was due to an increase in stock-based compensation expense and an increase in legal fees related to our patent infringement suit against Pfizer.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Interest expense increased $2.0 million for the nine months ended June 30, 2023, as compared to the same period in 2022 due to non-cash interest expense and amortization of debt issuance costs recorded as a result of the royalty sale agreement with an affiliate of OMERS, which was entered into in the third quarter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 net</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Interest and investment income, net, increased $5.8 million for the nine months ended June 30, 2023, as compared to the same period in 2022. The increase was due to an increase in our cash balance due to receipt of the $200.0 million from OMERS as well as changes in interest rates year over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During the nine months ended June 30, 2023 and 2022, we recorded income tax expense of $4.2 million and an income tax benefit of $0.4 million, respectively. The income tax expense in 2023 was driven by the receipt of the $200.0 million from the royalty sale agreement, which is taxable for federal and state purposes, partially offset by utilization of federal net operating losses and research and development tax credit carryforwards as well as a deduction for foreign derived intangible income. The income tax benefit for 2022 was driven by a release of a state tax reserve during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fund our operations with cash flows from our royalty revenue and our existing financial resources. At June 30, 2023, our principal sources of liquidity were cash, cash equivalents and short-term and long-term marketable securities totaling $392.5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nine months ended June 30, 2023 and 2022:</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Nine Months Ended June 30,</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60" w:type="dxa"/>
            <w:vAlign w:val="bottom"/>
            <w:vMerge w:val="restart"/>
          </w:tcPr>
          <w:p>
            <w:pPr>
              <w:ind w:left="20"/>
              <w:spacing w:after="0"/>
              <w:rPr>
                <w:sz w:val="20"/>
                <w:szCs w:val="20"/>
                <w:color w:val="auto"/>
              </w:rPr>
            </w:pPr>
            <w:r>
              <w:rPr>
                <w:rFonts w:ascii="Arial" w:cs="Arial" w:eastAsia="Arial" w:hAnsi="Arial"/>
                <w:sz w:val="18"/>
                <w:szCs w:val="18"/>
                <w:color w:val="auto"/>
              </w:rPr>
              <w:t>Cash provided by (used in):</w:t>
            </w:r>
          </w:p>
        </w:tc>
        <w:tc>
          <w:tcPr>
            <w:tcW w:w="1020" w:type="dxa"/>
            <w:vAlign w:val="bottom"/>
          </w:tcPr>
          <w:p>
            <w:pPr>
              <w:spacing w:after="0"/>
              <w:rPr>
                <w:sz w:val="15"/>
                <w:szCs w:val="15"/>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tcPr>
          <w:p>
            <w:pPr>
              <w:jc w:val="right"/>
              <w:ind w:right="676"/>
              <w:spacing w:after="0"/>
              <w:rPr>
                <w:sz w:val="20"/>
                <w:szCs w:val="20"/>
                <w:color w:val="auto"/>
              </w:rPr>
            </w:pPr>
            <w:r>
              <w:rPr>
                <w:rFonts w:ascii="Arial" w:cs="Arial" w:eastAsia="Arial" w:hAnsi="Arial"/>
                <w:sz w:val="14"/>
                <w:szCs w:val="14"/>
                <w:b w:val="1"/>
                <w:bCs w:val="1"/>
                <w:color w:val="auto"/>
                <w:w w:val="76"/>
              </w:rPr>
              <w:t>thousands)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4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activities</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w w:val="97"/>
              </w:rPr>
              <w:t>(81,552 )</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4"/>
              </w:rPr>
              <w:t>(69,248 )</w:t>
            </w:r>
          </w:p>
        </w:tc>
        <w:tc>
          <w:tcPr>
            <w:tcW w:w="0" w:type="dxa"/>
            <w:vAlign w:val="bottom"/>
          </w:tcPr>
          <w:p>
            <w:pPr>
              <w:spacing w:after="0"/>
              <w:rPr>
                <w:sz w:val="1"/>
                <w:szCs w:val="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Investing activities</w:t>
            </w:r>
          </w:p>
        </w:tc>
        <w:tc>
          <w:tcPr>
            <w:tcW w:w="1020" w:type="dxa"/>
            <w:vAlign w:val="bottom"/>
          </w:tcPr>
          <w:p>
            <w:pPr>
              <w:spacing w:after="0"/>
              <w:rPr>
                <w:sz w:val="20"/>
                <w:szCs w:val="20"/>
                <w:color w:val="auto"/>
              </w:rPr>
            </w:pPr>
          </w:p>
        </w:tc>
        <w:tc>
          <w:tcPr>
            <w:tcW w:w="980" w:type="dxa"/>
            <w:vAlign w:val="bottom"/>
            <w:gridSpan w:val="2"/>
          </w:tcPr>
          <w:p>
            <w:pPr>
              <w:jc w:val="right"/>
              <w:ind w:right="188"/>
              <w:spacing w:after="0"/>
              <w:rPr>
                <w:sz w:val="20"/>
                <w:szCs w:val="20"/>
                <w:color w:val="auto"/>
              </w:rPr>
            </w:pPr>
            <w:r>
              <w:rPr>
                <w:rFonts w:ascii="Arial" w:cs="Arial" w:eastAsia="Arial" w:hAnsi="Arial"/>
                <w:sz w:val="18"/>
                <w:szCs w:val="18"/>
                <w:color w:val="auto"/>
                <w:w w:val="97"/>
              </w:rPr>
              <w:t>(65,414 )</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26,666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Financing activities</w:t>
            </w:r>
          </w:p>
        </w:tc>
        <w:tc>
          <w:tcPr>
            <w:tcW w:w="10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198,149</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3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51,183</w:t>
            </w:r>
          </w:p>
        </w:tc>
        <w:tc>
          <w:tcPr>
            <w:tcW w:w="340" w:type="dxa"/>
            <w:vAlign w:val="bottom"/>
          </w:tcPr>
          <w:p>
            <w:pPr>
              <w:spacing w:after="0"/>
              <w:rPr>
                <w:sz w:val="20"/>
                <w:szCs w:val="20"/>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(25,479 )</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-187960</wp:posOffset>
            </wp:positionV>
            <wp:extent cx="8572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Cash used in operating activities was $81.6 million for the nine months ended June 30, 2023 as compared to cash used in operating activities of $69.2 million for the same period in 2022. Our cash used in operating activities increased $12.3 million, driven by timing of our research and development payments year-over-year and was offset by a federal tax refund of $8.5 million received in 2022.</w:t>
      </w:r>
    </w:p>
    <w:p>
      <w:pPr>
        <w:spacing w:after="0" w:line="7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For the foreseeable future, we expect to continue to incur substantial costs associated with research and development for our internally developed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used in investing activities was $65.4 million for the nine months ended June 30, 2023 as compared to cash provided by investing activities of $26.7 million for the same period in 2022. Our cash used in investing activities increased $92.1 million, driven by timing of purchases, sales and maturities of marketable securities in 2023 compared to 2022, offset by increased capital expenditures in fiscal 2023 for the buildout of our leased premises at 400 Talcott Avenue.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Cash provided by financing activities was $198.1 million for the nine months ended June 30, 2023 as compared to cash provided by financing activities of $17.1 million for the same period in 2022. Our cash provided by financing activities increased $181.0 million, driven by the proceeds from the sale of future royalties partially offset by the decrease in proceeds from stock option exercises.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June 30, 2023, we had $392.5 million in cash, cash equivalents and short-term and long-term marketable securities. We believe that our existing cash, cash equivalents and short-term and long-term marketable securities as of June 30, 2023, as well as the cash flows from our continuing portion of HCV royalties will be sufficient to meet our anticipated cash requirements into the second half of fiscal 2027. However, our projection of the period of time through which our financial resources will be adequate to support our operations is a forward-looking statement that involves risks and uncertainties, and actual results could vary materially.</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quarter ended June 30, 2023, we completed the transfer of all of our cash, cash equivalents and short-term and long-term marketable securities previously held at Silicon Valley Bank to a larger financial institution.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right="46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on our own, including conducting advanced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 of our retained portion of royalties generated from MAVYRET/MAVIRET sales under our existing collaboration with AbbVie;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establish new collaborations, licensing or other arrangements, if any, and the financial terms of such arrangements;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and therapeutic candidates;</w:t>
      </w:r>
    </w:p>
    <w:p>
      <w:pPr>
        <w:spacing w:after="0" w:line="117"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prosecuting our patent infringement suit regarding use of a coronavirus 3CL protease inhibitor in Paxlovid, Pfizer's antiviral treatment for COVID-19;</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amount of any sales of our product candidates, if any, or royalties thereon;</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potential effects of future inflation on our operations;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$200.0 million received in April 2023 was recognized on our consolidated balance sheets as a liability which will be reduced by the payments made to OMERS over the term of the Agreement. We will recognize imputed interest expense over the life of the royalty sale agreement based on our estimated future MAVYRET/MAVIRET royalties. We will continue to record 100% of HCV royalties earned under the AbbVie agreement as royalty revenue in our consolidated statements of operations since the AbbVie Agreement has not been amended and is independent of our agreement with OMERS.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2022 Form 10-K for </w:t>
      </w:r>
      <w:r>
        <w:rPr>
          <w:rFonts w:ascii="Arial" w:cs="Arial" w:eastAsia="Arial" w:hAnsi="Arial"/>
          <w:sz w:val="16"/>
          <w:szCs w:val="16"/>
          <w:color w:val="212529"/>
        </w:rPr>
        <w:t>information about our critical accounting</w:t>
      </w:r>
      <w:r>
        <w:rPr>
          <w:rFonts w:ascii="Arial" w:cs="Arial" w:eastAsia="Arial" w:hAnsi="Arial"/>
          <w:sz w:val="16"/>
          <w:szCs w:val="16"/>
          <w:color w:val="auto"/>
        </w:rPr>
        <w:t xml:space="preserve"> </w:t>
      </w:r>
      <w:r>
        <w:rPr>
          <w:rFonts w:ascii="Arial" w:cs="Arial" w:eastAsia="Arial" w:hAnsi="Arial"/>
          <w:sz w:val="16"/>
          <w:szCs w:val="16"/>
          <w:color w:val="212529"/>
        </w:rPr>
        <w:t>policies as well as a description of our other significant accounting policies</w:t>
      </w:r>
      <w:r>
        <w:rPr>
          <w:rFonts w:ascii="Arial" w:cs="Arial" w:eastAsia="Arial" w:hAnsi="Arial"/>
          <w:sz w:val="16"/>
          <w:szCs w:val="16"/>
          <w:color w:val="000000"/>
        </w:rPr>
        <w:t>. There have been no significant changes to our critical accounting policies since</w:t>
      </w:r>
      <w:r>
        <w:rPr>
          <w:rFonts w:ascii="Arial" w:cs="Arial" w:eastAsia="Arial" w:hAnsi="Arial"/>
          <w:sz w:val="16"/>
          <w:szCs w:val="16"/>
          <w:color w:val="212529"/>
        </w:rPr>
        <w:t xml:space="preserve"> </w:t>
      </w:r>
      <w:r>
        <w:rPr>
          <w:rFonts w:ascii="Arial" w:cs="Arial" w:eastAsia="Arial" w:hAnsi="Arial"/>
          <w:sz w:val="16"/>
          <w:szCs w:val="16"/>
          <w:color w:val="000000"/>
        </w:rPr>
        <w:t>the beginning of this fiscal year other than with respect to the liability related to the sale of future royalties described below.</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the Sale of Future Royalties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account for the $200.0 million payment from OMERS as a liability on our consolidated balance sheets because (1) under the royalty sale agreement OMERS will receive a portion of our royalty payments up to a capped amount of 1.42 times the original payment to us, and (2) we have significant continuing involvement in the generation of cash flows under the AbbVie Agreement. Interest expense for the liability related to the sale of future royalties will be recognized using the effective interest rate method over the term of the royalty sale agreement.</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liability related to the sale of future royalties and the related interest expense are based on our current estimates of future royalties, which we determine by using third-party forecasts of MAVYRET/MAVIRET sales. Third-party forecasts are updated periodically based on the latest pricing, market share and patient data. Changes in the amount or timing of estimated royalties will affect the interest rate utilized in the calculation of the liability related to the sale of future royalties.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6" w:name="page27"/>
    <w:bookmarkEnd w:id="26"/>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During the three and nine months ended June 30, 2023, there were no material changes to our market risk disclosures as set forth in Part II, Item 7A “Quantitative and Qualitative Disclosures About Market Risk” in our Annual Report on Form 10-K for the fiscal year ended September 30, 2022.</w:t>
      </w:r>
    </w:p>
    <w:p>
      <w:pPr>
        <w:spacing w:after="0" w:line="22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ind w:right="4840"/>
        <w:spacing w:after="0" w:line="378" w:lineRule="auto"/>
        <w:rPr>
          <w:sz w:val="20"/>
          <w:szCs w:val="20"/>
          <w:color w:val="auto"/>
        </w:rPr>
      </w:pPr>
      <w:r>
        <w:rPr>
          <w:rFonts w:ascii="Arial" w:cs="Arial" w:eastAsia="Arial" w:hAnsi="Arial"/>
          <w:sz w:val="18"/>
          <w:szCs w:val="18"/>
          <w:b w:val="1"/>
          <w:bCs w:val="1"/>
          <w:color w:val="auto"/>
        </w:rPr>
        <w:t xml:space="preserve">Disclosure Controls and Procedures and Internal Control over Financial Reporting </w:t>
      </w:r>
      <w:r>
        <w:rPr>
          <w:rFonts w:ascii="Arial" w:cs="Arial" w:eastAsia="Arial" w:hAnsi="Arial"/>
          <w:sz w:val="18"/>
          <w:szCs w:val="18"/>
          <w:i w:val="1"/>
          <w:iCs w:val="1"/>
          <w:color w:val="auto"/>
        </w:rPr>
        <w:t>Evaluation of Disclosure Controls and Procedures.</w:t>
      </w:r>
    </w:p>
    <w:p>
      <w:pPr>
        <w:ind w:right="120"/>
        <w:spacing w:after="0" w:line="296"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2023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2022 Form 10-K. There have been no material changes to such risk factors during the quarter ended June 30, 2023.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a “non-Rule 10b5-1 trading arrangement,” as each term is defined in Item 408(a) of Regulation S-K.</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tcPr>
          <w:p>
            <w:pPr>
              <w:spacing w:after="0"/>
              <w:rPr>
                <w:sz w:val="20"/>
                <w:szCs w:val="20"/>
                <w:color w:val="auto"/>
              </w:rPr>
            </w:pPr>
          </w:p>
        </w:tc>
        <w:tc>
          <w:tcPr>
            <w:tcW w:w="5020" w:type="dxa"/>
            <w:vAlign w:val="bottom"/>
            <w:gridSpan w:val="1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71"/>
        </w:trPr>
        <w:tc>
          <w:tcPr>
            <w:tcW w:w="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24"/>
                <w:szCs w:val="24"/>
                <w:color w:val="auto"/>
              </w:rPr>
            </w:pPr>
          </w:p>
        </w:tc>
        <w:tc>
          <w:tcPr>
            <w:tcW w:w="5020" w:type="dxa"/>
            <w:vAlign w:val="bottom"/>
            <w:gridSpan w:val="13"/>
            <w:vMerge w:val="restart"/>
          </w:tcPr>
          <w:p>
            <w:pPr>
              <w:ind w:left="19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6"/>
                <w:szCs w:val="16"/>
                <w:color w:val="auto"/>
              </w:rPr>
            </w:pPr>
          </w:p>
        </w:tc>
        <w:tc>
          <w:tcPr>
            <w:tcW w:w="502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980" w:type="dxa"/>
            <w:vAlign w:val="bottom"/>
            <w:tcBorders>
              <w:bottom w:val="single" w:sz="8" w:color="0000EE"/>
            </w:tcBorders>
            <w:gridSpan w:val="12"/>
          </w:tcPr>
          <w:p>
            <w:pPr>
              <w:spacing w:after="0"/>
              <w:rPr>
                <w:rFonts w:ascii="Arial" w:cs="Arial" w:eastAsia="Arial" w:hAnsi="Arial"/>
                <w:sz w:val="18"/>
                <w:szCs w:val="18"/>
                <w:color w:val="auto"/>
                <w:w w:val="90"/>
              </w:rPr>
            </w:pPr>
            <w:hyperlink r:id="rId184">
              <w:r>
                <w:rPr>
                  <w:rFonts w:ascii="Arial" w:cs="Arial" w:eastAsia="Arial" w:hAnsi="Arial"/>
                  <w:sz w:val="18"/>
                  <w:szCs w:val="18"/>
                  <w:color w:val="auto"/>
                  <w:w w:val="90"/>
                </w:rPr>
                <w:t>Restated Certificate of Incorporation of Enanta Pharmaceuticals, Inc.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880" w:type="dxa"/>
            <w:vAlign w:val="bottom"/>
            <w:tcBorders>
              <w:bottom w:val="single" w:sz="8" w:color="0000EE"/>
            </w:tcBorders>
            <w:gridSpan w:val="10"/>
          </w:tcPr>
          <w:p>
            <w:pPr>
              <w:spacing w:after="0"/>
              <w:rPr>
                <w:rFonts w:ascii="Arial" w:cs="Arial" w:eastAsia="Arial" w:hAnsi="Arial"/>
                <w:sz w:val="18"/>
                <w:szCs w:val="18"/>
                <w:color w:val="auto"/>
                <w:w w:val="89"/>
              </w:rPr>
            </w:pPr>
            <w:hyperlink r:id="rId185">
              <w:r>
                <w:rPr>
                  <w:rFonts w:ascii="Arial" w:cs="Arial" w:eastAsia="Arial" w:hAnsi="Arial"/>
                  <w:sz w:val="18"/>
                  <w:szCs w:val="18"/>
                  <w:color w:val="auto"/>
                  <w:w w:val="89"/>
                </w:rPr>
                <w:t>Amended and Restated Bylaws of Enanta Pharmaceuticals, Inc. (as</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20" w:type="dxa"/>
            <w:vAlign w:val="bottom"/>
            <w:gridSpan w:val="13"/>
          </w:tcPr>
          <w:p>
            <w:pPr>
              <w:spacing w:after="0" w:line="196" w:lineRule="exact"/>
              <w:rPr>
                <w:rFonts w:ascii="Arial" w:cs="Arial" w:eastAsia="Arial" w:hAnsi="Arial"/>
                <w:sz w:val="18"/>
                <w:szCs w:val="18"/>
                <w:color w:val="auto"/>
              </w:rPr>
            </w:pPr>
            <w:hyperlink r:id="rId185">
              <w:r>
                <w:rPr>
                  <w:rFonts w:ascii="Arial" w:cs="Arial" w:eastAsia="Arial" w:hAnsi="Arial"/>
                  <w:sz w:val="18"/>
                  <w:szCs w:val="18"/>
                  <w:color w:val="auto"/>
                </w:rPr>
                <w:t>amended and restated in August 2015)</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920" w:type="dxa"/>
            <w:vAlign w:val="bottom"/>
            <w:tcBorders>
              <w:bottom w:val="single" w:sz="8" w:color="0000FF"/>
            </w:tcBorders>
            <w:gridSpan w:val="11"/>
          </w:tcPr>
          <w:p>
            <w:pPr>
              <w:spacing w:after="0"/>
              <w:rPr>
                <w:rFonts w:ascii="Arial" w:cs="Arial" w:eastAsia="Arial" w:hAnsi="Arial"/>
                <w:sz w:val="18"/>
                <w:szCs w:val="18"/>
                <w:color w:val="0000FF"/>
                <w:w w:val="89"/>
              </w:rPr>
            </w:pPr>
            <w:hyperlink r:id="rId186">
              <w:r>
                <w:rPr>
                  <w:rFonts w:ascii="Arial" w:cs="Arial" w:eastAsia="Arial" w:hAnsi="Arial"/>
                  <w:sz w:val="18"/>
                  <w:szCs w:val="18"/>
                  <w:color w:val="0000FF"/>
                  <w:w w:val="89"/>
                </w:rPr>
                <w:t>Royalty Purchase Agreement between Enanta Pharmaceuticals, Inc.</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20" w:type="dxa"/>
            <w:vAlign w:val="bottom"/>
            <w:gridSpan w:val="13"/>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and OCM Life Sciences Portfolio LP dated as of April 25, 2023</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47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Certification of the Chief Executive Officer pursuant to Rule 13a-</w:t>
            </w:r>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14(a) or 15d-14(a) of the Securities Exchange Act of 1934.</w:t>
            </w:r>
          </w:p>
        </w:tc>
        <w:tc>
          <w:tcPr>
            <w:tcW w:w="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48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w w:val="93"/>
              </w:rPr>
              <w:t>Certification of Chief Financial Officer pursuant to Rule 13a-14(a)</w:t>
            </w:r>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auto"/>
                <w:w w:val="90"/>
              </w:rPr>
              <w:t>or 15d-14(a) of the Securities Exchange Act of 1934.</w:t>
            </w:r>
          </w:p>
        </w:tc>
        <w:tc>
          <w:tcPr>
            <w:tcW w:w="12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46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3"/>
              </w:rPr>
              <w:t>Certification of the Chief Executive Officer and Chief Financial</w:t>
            </w:r>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auto"/>
                <w:w w:val="90"/>
              </w:rPr>
              <w:t>Officer pursuant to 18 U.S.C. Section 1350, as adopted pursuant to</w:t>
            </w: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20" w:type="dxa"/>
            <w:vAlign w:val="bottom"/>
            <w:gridSpan w:val="13"/>
          </w:tcPr>
          <w:p>
            <w:pPr>
              <w:spacing w:after="0" w:line="196" w:lineRule="exact"/>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00" w:right="20" w:hanging="1022"/>
        <w:spacing w:after="0" w:line="290" w:lineRule="auto"/>
        <w:tabs>
          <w:tab w:leader="none" w:pos="11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following financial statements from the Quarterly Report of Enanta Pharmaceuticals, Inc. on Form 10-Q for the quarter ended June 30, 2023 formatted in Inline XBRL: (i) Consolidated Balance Sheets, (ii) Consolidated Statements of Operations, (iii) Consolidated Statements of Comprehensive Loss, (iv) Consolidated Statements of Stockholders’ Equity, (v) Consolidated Statements of Cash Flows, (vi) and Notes to Consolidated Financial Statements, tagged as blocks of text and including detailed tags</w:t>
      </w:r>
    </w:p>
    <w:p>
      <w:pPr>
        <w:spacing w:after="0" w:line="125" w:lineRule="exact"/>
        <w:rPr>
          <w:sz w:val="20"/>
          <w:szCs w:val="20"/>
          <w:color w:val="auto"/>
        </w:rPr>
      </w:pPr>
    </w:p>
    <w:p>
      <w:pPr>
        <w:ind w:left="1100" w:right="380" w:hanging="1022"/>
        <w:spacing w:after="0" w:line="277"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212529"/>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11"/>
                <w:szCs w:val="11"/>
                <w:color w:val="auto"/>
              </w:rPr>
            </w:pPr>
          </w:p>
        </w:tc>
        <w:tc>
          <w:tcPr>
            <w:tcW w:w="10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1"/>
                <w:szCs w:val="11"/>
                <w:color w:val="auto"/>
              </w:rPr>
            </w:pPr>
          </w:p>
        </w:tc>
        <w:tc>
          <w:tcPr>
            <w:tcW w:w="900" w:type="dxa"/>
            <w:vAlign w:val="bottom"/>
          </w:tcPr>
          <w:p>
            <w:pPr>
              <w:ind w:left="220"/>
              <w:spacing w:after="0" w:line="133"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File</w:t>
            </w:r>
          </w:p>
        </w:tc>
        <w:tc>
          <w:tcPr>
            <w:tcW w:w="12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57"/>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03/28/2013</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3.1</w:t>
            </w:r>
          </w:p>
        </w:tc>
        <w:tc>
          <w:tcPr>
            <w:tcW w:w="92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35839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08/18/2015</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3.2</w:t>
            </w:r>
          </w:p>
        </w:tc>
        <w:tc>
          <w:tcPr>
            <w:tcW w:w="92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35839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04/27/2023</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10.1</w:t>
            </w:r>
          </w:p>
        </w:tc>
        <w:tc>
          <w:tcPr>
            <w:tcW w:w="92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35839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608"/>
        </w:trPr>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608"/>
        </w:trPr>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823"/>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120" w:space="120"/>
            <w:col w:w="4940"/>
          </w:cols>
          <w:pgMar w:left="320" w:top="337"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ENANTA PHARMACEUTICALS, INC.</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2023</w:t>
      </w:r>
    </w:p>
    <w:p>
      <w:pPr>
        <w:spacing w:after="0" w:line="30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80" w:hanging="839"/>
        <w:spacing w:after="0"/>
        <w:tabs>
          <w:tab w:leader="none" w:pos="13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1020" w:right="40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7"/>
          <w:szCs w:val="17"/>
          <w:color w:val="auto"/>
        </w:rPr>
      </w:pPr>
    </w:p>
    <w:p>
      <w:pPr>
        <w:ind w:left="1020" w:right="40" w:hanging="479"/>
        <w:spacing w:after="0" w:line="263"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160" w:hanging="479"/>
        <w:spacing w:after="0" w:line="342" w:lineRule="auto"/>
        <w:tabs>
          <w:tab w:leader="none" w:pos="13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479"/>
        <w:spacing w:after="0" w:line="263"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380" w:hanging="479"/>
        <w:spacing w:after="0" w:line="308" w:lineRule="auto"/>
        <w:tabs>
          <w:tab w:leader="none" w:pos="13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60" w:hanging="479"/>
        <w:spacing w:after="0" w:line="277"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2023</w:t>
      </w:r>
    </w:p>
    <w:p>
      <w:pPr>
        <w:spacing w:after="0" w:line="27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549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Jay R. Luly, Ph.D.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80" w:hanging="839"/>
        <w:spacing w:after="0"/>
        <w:tabs>
          <w:tab w:leader="none" w:pos="13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1020" w:right="40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7"/>
          <w:szCs w:val="17"/>
          <w:color w:val="auto"/>
        </w:rPr>
      </w:pPr>
    </w:p>
    <w:p>
      <w:pPr>
        <w:ind w:left="1020" w:right="40" w:hanging="479"/>
        <w:spacing w:after="0" w:line="263" w:lineRule="auto"/>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160" w:hanging="479"/>
        <w:spacing w:after="0" w:line="342" w:lineRule="auto"/>
        <w:tabs>
          <w:tab w:leader="none" w:pos="13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479"/>
        <w:spacing w:after="0" w:line="263" w:lineRule="auto"/>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380" w:hanging="479"/>
        <w:spacing w:after="0" w:line="308" w:lineRule="auto"/>
        <w:tabs>
          <w:tab w:leader="none" w:pos="13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60" w:hanging="479"/>
        <w:spacing w:after="0" w:line="277" w:lineRule="auto"/>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2023</w:t>
      </w:r>
    </w:p>
    <w:p>
      <w:pPr>
        <w:spacing w:after="0" w:line="27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549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2023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212" w:lineRule="exact"/>
        <w:rPr>
          <w:sz w:val="20"/>
          <w:szCs w:val="20"/>
          <w:color w:val="auto"/>
        </w:rPr>
      </w:pPr>
    </w:p>
    <w:p>
      <w:pPr>
        <w:ind w:left="20"/>
        <w:spacing w:after="0"/>
        <w:tabs>
          <w:tab w:leader="none" w:pos="6700" w:val="left"/>
          <w:tab w:leader="none" w:pos="720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34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Jay R. Luly, Ph.D.</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ind w:left="20"/>
        <w:spacing w:after="0"/>
        <w:tabs>
          <w:tab w:leader="none" w:pos="6700" w:val="left"/>
          <w:tab w:leader="none" w:pos="720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34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Paul J. Mellett</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
      <w:numFmt w:val="bullet"/>
      <w:start w:val="1"/>
    </w:lvl>
    <w:lvl w:ilvl="1">
      <w:lvlJc w:val="left"/>
      <w:lvlText w:val="o"/>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01"/>
    </w:lvl>
  </w:abstractNum>
  <w:abstractNum w:abstractNumId="22">
    <w:nsid w:val="75A2A8D4"/>
    <w:multiLevelType w:val="hybridMultilevel"/>
    <w:lvl w:ilvl="0">
      <w:lvlJc w:val="left"/>
      <w:lvlText w:val="%1"/>
      <w:numFmt w:val="decimal"/>
      <w:start w:val="104"/>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84" Type="http://schemas.openxmlformats.org/officeDocument/2006/relationships/hyperlink" Target="https://www.sec.gov/Archives/edgar/data/1177648/000119312513132679/d511662dex31.htm" TargetMode="External"/><Relationship Id="rId185" Type="http://schemas.openxmlformats.org/officeDocument/2006/relationships/hyperlink" Target="https://www.sec.gov/Archives/edgar/data/1177648/000119312515294582/d95810dex32.htm" TargetMode="External"/><Relationship Id="rId186" Type="http://schemas.openxmlformats.org/officeDocument/2006/relationships/hyperlink" Target="https://www.sec.gov/Archives/edgar/data/1177648/000119312523122434/d50039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2023-08-08T15:17:15Z</dcterms:created>
  <dcterms:modified xsi:type="dcterms:W3CDTF">2023-08-08T15:17:15Z</dcterms:modified>
</cp:coreProperties>
</file>