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3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6" w:lineRule="exact"/>
        <w:rPr>
          <w:sz w:val="24"/>
          <w:szCs w:val="24"/>
          <w:color w:val="auto"/>
        </w:rPr>
      </w:pPr>
    </w:p>
    <w:p>
      <w:pPr>
        <w:ind w:left="580" w:right="160" w:hanging="559"/>
        <w:spacing w:after="0" w:line="229"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40" w:hanging="559"/>
        <w:spacing w:after="0" w:line="229"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4"/>
        </w:trPr>
        <w:tc>
          <w:tcPr>
            <w:tcW w:w="2840" w:type="dxa"/>
            <w:vAlign w:val="bottom"/>
          </w:tcPr>
          <w:p>
            <w:pPr>
              <w:jc w:val="center"/>
              <w:ind w:right="8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jc w:val="center"/>
        <w:spacing w:after="0" w:line="221" w:lineRule="auto"/>
        <w:rPr>
          <w:sz w:val="20"/>
          <w:szCs w:val="20"/>
          <w:color w:val="auto"/>
        </w:rPr>
      </w:pPr>
      <w:r>
        <w:rPr>
          <w:rFonts w:ascii="Arial" w:cs="Arial" w:eastAsia="Arial" w:hAnsi="Arial"/>
          <w:sz w:val="18"/>
          <w:szCs w:val="18"/>
          <w:b w:val="1"/>
          <w:bCs w:val="1"/>
          <w:color w:val="auto"/>
        </w:rPr>
        <w:t>Watertown, Massachusetts 02472</w:t>
      </w:r>
    </w:p>
    <w:p>
      <w:pPr>
        <w:jc w:val="center"/>
        <w:spacing w:after="0" w:line="225" w:lineRule="auto"/>
        <w:rPr>
          <w:sz w:val="20"/>
          <w:szCs w:val="20"/>
          <w:color w:val="auto"/>
        </w:rPr>
      </w:pPr>
      <w:r>
        <w:rPr>
          <w:rFonts w:ascii="Arial" w:cs="Arial" w:eastAsia="Arial" w:hAnsi="Arial"/>
          <w:sz w:val="18"/>
          <w:szCs w:val="18"/>
          <w:b w:val="1"/>
          <w:bCs w:val="1"/>
          <w:color w:val="auto"/>
        </w:rPr>
        <w:t>(617) 607-0800</w:t>
      </w:r>
    </w:p>
    <w:p>
      <w:pPr>
        <w:ind w:left="21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highlight w:val="white"/>
                <w:w w:val="89"/>
              </w:rPr>
              <w:t>Title of each class</w:t>
            </w: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60"/>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80" w:lineRule="exact"/>
        <w:rPr>
          <w:sz w:val="24"/>
          <w:szCs w:val="24"/>
          <w:color w:val="auto"/>
        </w:rPr>
      </w:pPr>
    </w:p>
    <w:p>
      <w:pPr>
        <w:ind w:right="6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09"/>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47" w:lineRule="exact"/>
        <w:rPr>
          <w:sz w:val="24"/>
          <w:szCs w:val="24"/>
          <w:color w:val="auto"/>
        </w:rPr>
      </w:pPr>
    </w:p>
    <w:p>
      <w:pPr>
        <w:ind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0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31, 2022, the registrant had 20,530,085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21"/>
        </w:trPr>
        <w:tc>
          <w:tcPr>
            <w:tcW w:w="7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99,068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159,984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186,796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27,648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11,506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28,751</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37,255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326,957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319,021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marketable securities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88,668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5,435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18,834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82"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440,594</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438,791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26,580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22,429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3,469</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37,890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36,172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15,958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856</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56,210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39,362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11)</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$0.01 par value per share, 100,000 shares authorized; 20,506 and</w:t>
            </w: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20,238 shares issued and outstanding at December 31, 2021 and</w:t>
            </w:r>
          </w:p>
        </w:tc>
        <w:tc>
          <w:tcPr>
            <w:tcW w:w="20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respectively</w:t>
            </w:r>
          </w:p>
        </w:tc>
        <w:tc>
          <w:tcPr>
            <w:tcW w:w="20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366,724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351,033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(1,006 )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18,461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384,384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399,429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440,594</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438,791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-3536950</wp:posOffset>
            </wp:positionV>
            <wp:extent cx="514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-3536950</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-2756535</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-2756535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-1950720</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-1950720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-1428115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-1428115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ENANTA PHARMACEUTICALS, INC.</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jc w:val="center"/>
        <w:ind w:right="-2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0"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8255</wp:posOffset>
            </wp:positionV>
            <wp:extent cx="2177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jc w:val="both"/>
        <w:ind w:left="8080"/>
        <w:spacing w:after="0"/>
        <w:tabs>
          <w:tab w:leader="none" w:pos="9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15240</wp:posOffset>
            </wp:positionV>
            <wp:extent cx="2177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ectPr>
          <w:pgSz w:w="11900" w:h="16838" w:orient="portrait"/>
          <w:cols w:equalWidth="0" w:num="1">
            <w:col w:w="10940"/>
          </w:cols>
          <w:pgMar w:left="340" w:top="324" w:right="61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ind w:left="180"/>
        <w:spacing w:after="0"/>
        <w:rPr>
          <w:sz w:val="20"/>
          <w:szCs w:val="20"/>
          <w:color w:val="auto"/>
        </w:rPr>
      </w:pPr>
      <w:r>
        <w:rPr>
          <w:rFonts w:ascii="Arial" w:cs="Arial" w:eastAsia="Arial" w:hAnsi="Arial"/>
          <w:sz w:val="18"/>
          <w:szCs w:val="18"/>
          <w:color w:val="auto"/>
        </w:rPr>
        <w:t>Research and development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34" w:lineRule="auto"/>
        <w:rPr>
          <w:sz w:val="20"/>
          <w:szCs w:val="20"/>
          <w:color w:val="auto"/>
        </w:rPr>
      </w:pPr>
      <w:r>
        <w:rPr>
          <w:rFonts w:ascii="Arial" w:cs="Arial" w:eastAsia="Arial" w:hAnsi="Arial"/>
          <w:sz w:val="18"/>
          <w:szCs w:val="18"/>
          <w:color w:val="auto"/>
        </w:rPr>
        <w:t>Loss from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 (expense),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other income (expense), net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ind w:left="360"/>
        <w:spacing w:after="0"/>
        <w:rPr>
          <w:sz w:val="20"/>
          <w:szCs w:val="20"/>
          <w:color w:val="auto"/>
        </w:rPr>
      </w:pPr>
      <w:r>
        <w:rPr>
          <w:rFonts w:ascii="Arial" w:cs="Arial" w:eastAsia="Arial" w:hAnsi="Arial"/>
          <w:sz w:val="18"/>
          <w:szCs w:val="18"/>
          <w:color w:val="auto"/>
        </w:rPr>
        <w:t>Diluted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34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48,549</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58,057</w:t>
            </w: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44,042</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(30,409</w:t>
            </w:r>
          </w:p>
        </w:tc>
        <w:tc>
          <w:tcPr>
            <w:tcW w:w="3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(12,299</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(30,151</w:t>
            </w:r>
          </w:p>
        </w:tc>
        <w:tc>
          <w:tcPr>
            <w:tcW w:w="3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(11,622</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(30,115</w:t>
            </w:r>
          </w:p>
        </w:tc>
        <w:tc>
          <w:tcPr>
            <w:tcW w:w="340" w:type="dxa"/>
            <w:vAlign w:val="bottom"/>
            <w:vMerge w:val="continue"/>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(8,328</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(1.48 )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30"/>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(1.48 )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580"/>
        </w:trPr>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20,388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20,388</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-2656840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-2390775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-2125345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-1859280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-1593850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-1328420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-1036320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-779145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-521970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-264795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720" w:space="720"/>
            <w:col w:w="3500"/>
          </w:cols>
          <w:pgMar w:left="340" w:top="324" w:right="61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324" w:right="61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5"/>
        </w:trPr>
        <w:tc>
          <w:tcPr>
            <w:tcW w:w="7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(30,115</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(8,328</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losses on marketable securities</w:t>
            </w:r>
          </w:p>
        </w:tc>
        <w:tc>
          <w:tcPr>
            <w:tcW w:w="10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(624 )</w:t>
            </w:r>
          </w:p>
        </w:tc>
        <w:tc>
          <w:tcPr>
            <w:tcW w:w="6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(439 )</w:t>
            </w:r>
          </w:p>
        </w:tc>
      </w:tr>
      <w:tr>
        <w:trPr>
          <w:trHeight w:val="20"/>
        </w:trPr>
        <w:tc>
          <w:tcPr>
            <w:tcW w:w="7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724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loss</w:t>
            </w:r>
          </w:p>
        </w:tc>
        <w:tc>
          <w:tcPr>
            <w:tcW w:w="106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(624 )</w:t>
            </w:r>
          </w:p>
        </w:tc>
        <w:tc>
          <w:tcPr>
            <w:tcW w:w="600" w:type="dxa"/>
            <w:vAlign w:val="bottom"/>
          </w:tcPr>
          <w:p>
            <w:pPr>
              <w:spacing w:after="0"/>
              <w:rPr>
                <w:sz w:val="17"/>
                <w:szCs w:val="17"/>
                <w:color w:val="auto"/>
              </w:rPr>
            </w:pPr>
          </w:p>
        </w:tc>
        <w:tc>
          <w:tcPr>
            <w:tcW w:w="1420" w:type="dxa"/>
            <w:vAlign w:val="bottom"/>
            <w:gridSpan w:val="2"/>
          </w:tcPr>
          <w:p>
            <w:pPr>
              <w:jc w:val="right"/>
              <w:ind w:right="181"/>
              <w:spacing w:after="0" w:line="196" w:lineRule="exact"/>
              <w:rPr>
                <w:sz w:val="20"/>
                <w:szCs w:val="20"/>
                <w:color w:val="auto"/>
              </w:rPr>
            </w:pPr>
            <w:r>
              <w:rPr>
                <w:rFonts w:ascii="Arial" w:cs="Arial" w:eastAsia="Arial" w:hAnsi="Arial"/>
                <w:sz w:val="18"/>
                <w:szCs w:val="18"/>
                <w:color w:val="auto"/>
              </w:rPr>
              <w:t>(439 )</w:t>
            </w:r>
          </w:p>
        </w:tc>
      </w:tr>
      <w:tr>
        <w:trPr>
          <w:trHeight w:val="236"/>
        </w:trPr>
        <w:tc>
          <w:tcPr>
            <w:tcW w:w="7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1060" w:type="dxa"/>
            <w:vAlign w:val="bottom"/>
            <w:tcBorders>
              <w:top w:val="single" w:sz="8" w:color="auto"/>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(30,739</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(8,767</w:t>
            </w:r>
          </w:p>
        </w:tc>
        <w:tc>
          <w:tcPr>
            <w:tcW w:w="320" w:type="dxa"/>
            <w:vAlign w:val="bottom"/>
            <w:tcBorders>
              <w:bottom w:val="single" w:sz="8" w:color="CFF0FC"/>
            </w:tcBorders>
            <w:shd w:val="clear" w:color="auto" w:fill="CFF0FC"/>
          </w:tcPr>
          <w:p>
            <w:pPr>
              <w:jc w:val="right"/>
              <w:ind w:right="181"/>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-296545</wp:posOffset>
            </wp:positionV>
            <wp:extent cx="60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-296545</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60" w:type="dxa"/>
            <w:vAlign w:val="bottom"/>
            <w:gridSpan w:val="3"/>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2020</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20,077</w:t>
            </w:r>
          </w:p>
        </w:tc>
        <w:tc>
          <w:tcPr>
            <w:tcW w:w="18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326,963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844</w:t>
            </w: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127,572</w:t>
            </w: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455,580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restricted stock units,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(534 )</w:t>
            </w: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(534 )</w:t>
            </w: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withholding</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(439 )</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(8,328 )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(8,328 )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2020</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20,142</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332,145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119,244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451,995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19"/>
        </w:trPr>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60" w:type="dxa"/>
            <w:vAlign w:val="bottom"/>
            <w:gridSpan w:val="3"/>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2021</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20,238</w:t>
            </w:r>
          </w:p>
        </w:tc>
        <w:tc>
          <w:tcPr>
            <w:tcW w:w="18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351,033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(382</w:t>
            </w:r>
          </w:p>
        </w:tc>
        <w:tc>
          <w:tcPr>
            <w:tcW w:w="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48,576</w:t>
            </w: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399,429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restricted stock units,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(778 )</w:t>
            </w: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(777 )</w:t>
            </w: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withholding</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(624 )</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(624 )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(30,115 )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(30,115 )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2021</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20,506</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366,724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20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18,461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384,384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-1765300</wp:posOffset>
            </wp:positionV>
            <wp:extent cx="43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-1748155</wp:posOffset>
            </wp:positionV>
            <wp:extent cx="431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-1765300</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-1748155</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-1765300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-1748155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-1765300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-1748155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-1765300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-1748155</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-1765300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-1748155</wp:posOffset>
            </wp:positionV>
            <wp:extent cx="431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43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(30,115 )</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(8,328 )</w:t>
            </w: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income to net cash provided by</w:t>
            </w:r>
          </w:p>
        </w:tc>
        <w:tc>
          <w:tcPr>
            <w:tcW w:w="10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Stock-based compensation expense</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6,062</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4,883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Premium paid on marketable securities</w:t>
            </w:r>
          </w:p>
        </w:tc>
        <w:tc>
          <w:tcPr>
            <w:tcW w:w="10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(474 )</w:t>
            </w:r>
          </w:p>
        </w:tc>
        <w:tc>
          <w:tcPr>
            <w:tcW w:w="5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(1,025 )</w:t>
            </w: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Amortization of premium on marketable securities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Change in operating assets and liabilities: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(4,072 )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(8,251 )</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2,682</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(4,496 )</w:t>
            </w: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Income tax receivable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8,504</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Operating lease, right-of-use assets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1,436</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1,152</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(1,663 )</w:t>
            </w: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Accrued expenses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4,206</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(2,498 )</w:t>
            </w: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Operating lease liabilities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(1,461 )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(1,289 )</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Other long-term liabilities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298</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(104 )</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(13,271</w:t>
            </w:r>
          </w:p>
        </w:tc>
        <w:tc>
          <w:tcPr>
            <w:tcW w:w="26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(14,890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marketable securities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6"/>
              </w:rPr>
              <w:t>(62,902 )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(104,674 )</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Proceeds from maturities and sale of marketable securities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108,766</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87,417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(363 )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(188 )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45,501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(17,445 )</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Proceeds from exercise of stock options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10,409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for settlement of share-based awards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(777 )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(534 )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9,632</w:t>
            </w:r>
          </w:p>
        </w:tc>
        <w:tc>
          <w:tcPr>
            <w:tcW w:w="2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41,862</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(32,036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57,814</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87,739</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99,676</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55,703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non-cash information:</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15,559</w:t>
            </w:r>
          </w:p>
        </w:tc>
        <w:tc>
          <w:tcPr>
            <w:tcW w:w="260" w:type="dxa"/>
            <w:vAlign w:val="bottom"/>
          </w:tcPr>
          <w:p>
            <w:pPr>
              <w:spacing w:after="0"/>
              <w:rPr>
                <w:sz w:val="18"/>
                <w:szCs w:val="18"/>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1,907</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-1479550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-1479550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-956945</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-956945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-419735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-402590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-419735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-402590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9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 with AbbVie for the treatment of chronic hepatitis C virus, or HCV. Glecaprevir is co-formulated as part of AbbVie’s leading direct-acting antiviral, or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and human metapneumovirus (“hMPV”).</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During the second half of fiscal 2021 and through December 31, 2021, AbbVie experienced a decline in HCV sales compared to prior years as a result of a reduction in patients accessing AbbVie’s HCV regimens due to the COVID-19 pandemic.</w:t>
      </w:r>
    </w:p>
    <w:p>
      <w:pPr>
        <w:spacing w:after="0" w:line="69" w:lineRule="exact"/>
        <w:rPr>
          <w:sz w:val="20"/>
          <w:szCs w:val="20"/>
          <w:color w:val="auto"/>
        </w:rPr>
      </w:pPr>
    </w:p>
    <w:p>
      <w:pPr>
        <w:jc w:val="both"/>
        <w:ind w:right="180"/>
        <w:spacing w:after="0" w:line="276" w:lineRule="auto"/>
        <w:rPr>
          <w:sz w:val="20"/>
          <w:szCs w:val="20"/>
          <w:color w:val="auto"/>
        </w:rPr>
      </w:pPr>
      <w:r>
        <w:rPr>
          <w:rFonts w:ascii="Arial" w:cs="Arial" w:eastAsia="Arial" w:hAnsi="Arial"/>
          <w:sz w:val="16"/>
          <w:szCs w:val="16"/>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its variants and public health actions taken to contain it, as well as the cumulative economic impact of both of those factors.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consolidated balance sheet at September 30, 2021 was derived from audited financial statements but does not include all disclosures required by accounting principles generally accepted in the United States of America (“GAAP”). The accompanying unaudited consolidated financial statements as of December 31, 2021 and for the three months ended December 31,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2021.</w:t>
      </w:r>
    </w:p>
    <w:p>
      <w:pPr>
        <w:spacing w:after="0" w:line="83"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December 31, 2021 and results of operations for the three months ended December 31, 2021 and 2020 and cash flows for the three months ended December 31, 2021 and 2020, have been made. The results of operations for the three months ended December 31, 2021 are not necessarily indicative of the results of operations that may be expected for subsequent quarters or the year ending September 30, 2022.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 w:name="page8"/>
    <w:bookmarkEnd w:id="7"/>
    <w:p>
      <w:pPr>
        <w:ind w:right="220"/>
        <w:spacing w:after="0" w:line="291"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2021. Any reference in these notes to applicable guidance is meant to refer to the authoritative GAAP as found in the Accounting Standards Codification and Accounting Standards Update (“ASU”) of the Financial Accounting Standards Board (“FASB”).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December 31, 2021. Actual results could differ from the Company’s estimates.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(Topic 740)</w:t>
      </w:r>
      <w:r>
        <w:rPr>
          <w:rFonts w:ascii="Arial" w:cs="Arial" w:eastAsia="Arial" w:hAnsi="Arial"/>
          <w:sz w:val="17"/>
          <w:szCs w:val="17"/>
          <w:color w:val="auto"/>
        </w:rPr>
        <w:t xml:space="preserve">, which removes certain exceptions to the general principles in </w:t>
      </w:r>
      <w:r>
        <w:rPr>
          <w:rFonts w:ascii="Arial" w:cs="Arial" w:eastAsia="Arial" w:hAnsi="Arial"/>
          <w:sz w:val="17"/>
          <w:szCs w:val="17"/>
          <w:i w:val="1"/>
          <w:iCs w:val="1"/>
          <w:color w:val="auto"/>
        </w:rPr>
        <w:t>Topic 740 – Income Taxes</w:t>
      </w:r>
      <w:r>
        <w:rPr>
          <w:rFonts w:ascii="Arial" w:cs="Arial" w:eastAsia="Arial" w:hAnsi="Arial"/>
          <w:sz w:val="17"/>
          <w:szCs w:val="17"/>
          <w:color w:val="auto"/>
        </w:rPr>
        <w:t xml:space="preserve"> and improves consistent application of and simplifies GAAP for other areas of Topic 740 by clarifying and amending existing guidance. This ASU became effective for the Company beginning October 1, 2021 and interim periods within that year. The adoption of the standard did not have a material impact on the Company's financial position or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94"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2021 and September 30, 2021, and indicate the fair value hierarchy of the valuation inputs utilized to determine such fair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Fair Value Measurements at December 31, 2021 Using:</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6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86,185</w:t>
            </w:r>
          </w:p>
        </w:tc>
        <w:tc>
          <w:tcPr>
            <w:tcW w:w="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86,185</w:t>
            </w:r>
          </w:p>
        </w:tc>
        <w:tc>
          <w:tcPr>
            <w:tcW w:w="60" w:type="dxa"/>
            <w:vAlign w:val="bottom"/>
            <w:shd w:val="clear" w:color="auto" w:fill="CFF0FC"/>
          </w:tcPr>
          <w:p>
            <w:pPr>
              <w:spacing w:after="0"/>
              <w:rPr>
                <w:sz w:val="17"/>
                <w:szCs w:val="17"/>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6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74,707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74,707</w:t>
            </w:r>
          </w:p>
        </w:tc>
        <w:tc>
          <w:tcPr>
            <w:tcW w:w="60" w:type="dxa"/>
            <w:vAlign w:val="bottom"/>
            <w:shd w:val="clear" w:color="auto" w:fill="CFF0FC"/>
          </w:tcPr>
          <w:p>
            <w:pPr>
              <w:spacing w:after="0"/>
              <w:rPr>
                <w:sz w:val="17"/>
                <w:szCs w:val="17"/>
                <w:color w:val="auto"/>
              </w:rPr>
            </w:pPr>
          </w:p>
        </w:tc>
      </w:tr>
      <w:tr>
        <w:trPr>
          <w:trHeight w:val="203"/>
        </w:trPr>
        <w:tc>
          <w:tcPr>
            <w:tcW w:w="4660" w:type="dxa"/>
            <w:vAlign w:val="bottom"/>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112,546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112,546</w:t>
            </w:r>
          </w:p>
        </w:tc>
        <w:tc>
          <w:tcPr>
            <w:tcW w:w="60" w:type="dxa"/>
            <w:vAlign w:val="bottom"/>
          </w:tcPr>
          <w:p>
            <w:pPr>
              <w:spacing w:after="0"/>
              <w:rPr>
                <w:sz w:val="17"/>
                <w:szCs w:val="17"/>
                <w:color w:val="auto"/>
              </w:rPr>
            </w:pPr>
          </w:p>
        </w:tc>
      </w:tr>
      <w:tr>
        <w:trPr>
          <w:trHeight w:val="203"/>
        </w:trPr>
        <w:tc>
          <w:tcPr>
            <w:tcW w:w="4660" w:type="dxa"/>
            <w:vAlign w:val="bottom"/>
            <w:tcBorders>
              <w:bottom w:val="single" w:sz="8" w:color="CFF2FC"/>
            </w:tcBorders>
            <w:shd w:val="clear" w:color="auto" w:fill="CFF2FC"/>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61,399</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61,399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160,892</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173,945</w:t>
            </w:r>
          </w:p>
        </w:tc>
        <w:tc>
          <w:tcPr>
            <w:tcW w:w="6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334,837</w:t>
            </w:r>
          </w:p>
        </w:tc>
        <w:tc>
          <w:tcPr>
            <w:tcW w:w="60" w:type="dxa"/>
            <w:vAlign w:val="bottom"/>
          </w:tcPr>
          <w:p>
            <w:pPr>
              <w:spacing w:after="0"/>
              <w:rPr>
                <w:sz w:val="17"/>
                <w:szCs w:val="17"/>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60" w:type="dxa"/>
            <w:vAlign w:val="bottom"/>
          </w:tcPr>
          <w:p>
            <w:pPr>
              <w:spacing w:after="0"/>
              <w:rPr>
                <w:sz w:val="17"/>
                <w:szCs w:val="17"/>
                <w:color w:val="auto"/>
              </w:rPr>
            </w:pPr>
          </w:p>
        </w:tc>
      </w:tr>
      <w:tr>
        <w:trPr>
          <w:trHeight w:val="236"/>
        </w:trPr>
        <w:tc>
          <w:tcPr>
            <w:tcW w:w="4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02"/>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-1042035</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-1042035</wp:posOffset>
            </wp:positionV>
            <wp:extent cx="431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-1042035</wp:posOffset>
            </wp:positionV>
            <wp:extent cx="431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-1042035</wp:posOffset>
            </wp:positionV>
            <wp:extent cx="3429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-488315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-471170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-488315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-471170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-488315</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-471170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-488315</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-471170</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Fair Value Measurements at September 30, 2021 Using:</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220" w:type="dxa"/>
            <w:vAlign w:val="bottom"/>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4820" w:type="dxa"/>
            <w:vAlign w:val="bottom"/>
            <w:shd w:val="clear" w:color="auto" w:fill="CFF2FC"/>
          </w:tcPr>
          <w:p>
            <w:pPr>
              <w:spacing w:after="0"/>
              <w:rPr>
                <w:sz w:val="14"/>
                <w:szCs w:val="14"/>
                <w:color w:val="auto"/>
              </w:rPr>
            </w:pPr>
          </w:p>
        </w:tc>
        <w:tc>
          <w:tcPr>
            <w:tcW w:w="300" w:type="dxa"/>
            <w:vAlign w:val="bottom"/>
            <w:shd w:val="clear" w:color="auto" w:fill="CFF2FC"/>
          </w:tcPr>
          <w:p>
            <w:pPr>
              <w:spacing w:after="0"/>
              <w:rPr>
                <w:sz w:val="14"/>
                <w:szCs w:val="14"/>
                <w:color w:val="auto"/>
              </w:rPr>
            </w:pPr>
          </w:p>
        </w:tc>
        <w:tc>
          <w:tcPr>
            <w:tcW w:w="1120" w:type="dxa"/>
            <w:vAlign w:val="bottom"/>
            <w:shd w:val="clear" w:color="auto" w:fill="CFF2FC"/>
          </w:tcPr>
          <w:p>
            <w:pPr>
              <w:spacing w:after="0"/>
              <w:rPr>
                <w:sz w:val="14"/>
                <w:szCs w:val="14"/>
                <w:color w:val="auto"/>
              </w:rPr>
            </w:pPr>
          </w:p>
        </w:tc>
        <w:tc>
          <w:tcPr>
            <w:tcW w:w="240" w:type="dxa"/>
            <w:vAlign w:val="bottom"/>
            <w:shd w:val="clear" w:color="auto" w:fill="CFF2FC"/>
          </w:tcPr>
          <w:p>
            <w:pPr>
              <w:spacing w:after="0"/>
              <w:rPr>
                <w:sz w:val="14"/>
                <w:szCs w:val="14"/>
                <w:color w:val="auto"/>
              </w:rPr>
            </w:pPr>
          </w:p>
        </w:tc>
        <w:tc>
          <w:tcPr>
            <w:tcW w:w="300" w:type="dxa"/>
            <w:vAlign w:val="bottom"/>
            <w:shd w:val="clear" w:color="auto" w:fill="CFF2FC"/>
          </w:tcPr>
          <w:p>
            <w:pPr>
              <w:spacing w:after="0"/>
              <w:rPr>
                <w:sz w:val="14"/>
                <w:szCs w:val="14"/>
                <w:color w:val="auto"/>
              </w:rPr>
            </w:pPr>
          </w:p>
        </w:tc>
        <w:tc>
          <w:tcPr>
            <w:tcW w:w="1120" w:type="dxa"/>
            <w:vAlign w:val="bottom"/>
            <w:shd w:val="clear" w:color="auto" w:fill="CFF2FC"/>
          </w:tcPr>
          <w:p>
            <w:pPr>
              <w:jc w:val="right"/>
              <w:ind w:right="7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shd w:val="clear" w:color="auto" w:fill="CFF2FC"/>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shd w:val="clear" w:color="auto" w:fill="CFF2FC"/>
          </w:tcPr>
          <w:p>
            <w:pPr>
              <w:spacing w:after="0"/>
              <w:rPr>
                <w:sz w:val="14"/>
                <w:szCs w:val="14"/>
                <w:color w:val="auto"/>
              </w:rPr>
            </w:pPr>
          </w:p>
        </w:tc>
        <w:tc>
          <w:tcPr>
            <w:tcW w:w="80" w:type="dxa"/>
            <w:vAlign w:val="bottom"/>
            <w:shd w:val="clear" w:color="auto" w:fill="CFF2FC"/>
          </w:tcPr>
          <w:p>
            <w:pPr>
              <w:spacing w:after="0"/>
              <w:rPr>
                <w:sz w:val="14"/>
                <w:szCs w:val="14"/>
                <w:color w:val="auto"/>
              </w:rPr>
            </w:pPr>
          </w:p>
        </w:tc>
        <w:tc>
          <w:tcPr>
            <w:tcW w:w="140" w:type="dxa"/>
            <w:vAlign w:val="bottom"/>
            <w:shd w:val="clear" w:color="auto" w:fill="CFF2FC"/>
          </w:tcPr>
          <w:p>
            <w:pPr>
              <w:spacing w:after="0"/>
              <w:rPr>
                <w:sz w:val="14"/>
                <w:szCs w:val="14"/>
                <w:color w:val="auto"/>
              </w:rPr>
            </w:pPr>
          </w:p>
        </w:tc>
        <w:tc>
          <w:tcPr>
            <w:tcW w:w="320" w:type="dxa"/>
            <w:vAlign w:val="bottom"/>
            <w:shd w:val="clear" w:color="auto" w:fill="CFF2FC"/>
          </w:tcPr>
          <w:p>
            <w:pPr>
              <w:spacing w:after="0"/>
              <w:rPr>
                <w:sz w:val="14"/>
                <w:szCs w:val="14"/>
                <w:color w:val="auto"/>
              </w:rPr>
            </w:pPr>
          </w:p>
        </w:tc>
        <w:tc>
          <w:tcPr>
            <w:tcW w:w="1080" w:type="dxa"/>
            <w:vAlign w:val="bottom"/>
            <w:shd w:val="clear" w:color="auto" w:fill="CFF2FC"/>
          </w:tcPr>
          <w:p>
            <w:pPr>
              <w:spacing w:after="0"/>
              <w:rPr>
                <w:sz w:val="14"/>
                <w:szCs w:val="14"/>
                <w:color w:val="auto"/>
              </w:rPr>
            </w:pPr>
          </w:p>
        </w:tc>
        <w:tc>
          <w:tcPr>
            <w:tcW w:w="60" w:type="dxa"/>
            <w:vAlign w:val="bottom"/>
            <w:shd w:val="clear" w:color="auto" w:fill="CFF2FC"/>
          </w:tcPr>
          <w:p>
            <w:pPr>
              <w:spacing w:after="0"/>
              <w:rPr>
                <w:sz w:val="14"/>
                <w:szCs w:val="14"/>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8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spacing w:after="0"/>
              <w:rPr>
                <w:sz w:val="17"/>
                <w:szCs w:val="17"/>
                <w:color w:val="auto"/>
              </w:rPr>
            </w:pP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8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spacing w:after="0"/>
              <w:rPr>
                <w:sz w:val="17"/>
                <w:szCs w:val="17"/>
                <w:color w:val="auto"/>
              </w:rPr>
            </w:pP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240" w:type="dxa"/>
            <w:vAlign w:val="bottom"/>
            <w:gridSpan w:val="3"/>
            <w:shd w:val="clear" w:color="auto" w:fill="CFF2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60" w:type="dxa"/>
            <w:vAlign w:val="bottom"/>
          </w:tcPr>
          <w:p>
            <w:pPr>
              <w:spacing w:after="0"/>
              <w:rPr>
                <w:sz w:val="17"/>
                <w:szCs w:val="17"/>
                <w:color w:val="auto"/>
              </w:rPr>
            </w:pPr>
          </w:p>
        </w:tc>
      </w:tr>
      <w:tr>
        <w:trPr>
          <w:trHeight w:val="236"/>
        </w:trPr>
        <w:tc>
          <w:tcPr>
            <w:tcW w:w="4820" w:type="dxa"/>
            <w:vAlign w:val="bottom"/>
            <w:tcBorders>
              <w:bottom w:val="single" w:sz="8" w:color="CFF2FC"/>
            </w:tcBorders>
            <w:shd w:val="clear" w:color="auto" w:fill="CFF2FC"/>
          </w:tcPr>
          <w:p>
            <w:pPr>
              <w:spacing w:after="0"/>
              <w:rPr>
                <w:sz w:val="20"/>
                <w:szCs w:val="20"/>
                <w:color w:val="auto"/>
              </w:rPr>
            </w:pPr>
          </w:p>
        </w:tc>
        <w:tc>
          <w:tcPr>
            <w:tcW w:w="300" w:type="dxa"/>
            <w:vAlign w:val="bottom"/>
            <w:tcBorders>
              <w:top w:val="single" w:sz="8" w:color="auto"/>
              <w:bottom w:val="single" w:sz="8" w:color="auto"/>
            </w:tcBorders>
            <w:shd w:val="clear" w:color="auto" w:fill="CFF2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137,857</w:t>
            </w:r>
          </w:p>
        </w:tc>
        <w:tc>
          <w:tcPr>
            <w:tcW w:w="240" w:type="dxa"/>
            <w:vAlign w:val="bottom"/>
            <w:tcBorders>
              <w:bottom w:val="single" w:sz="8" w:color="CFF2FC"/>
            </w:tcBorders>
            <w:shd w:val="clear" w:color="auto" w:fill="CFF2FC"/>
          </w:tcPr>
          <w:p>
            <w:pPr>
              <w:spacing w:after="0"/>
              <w:rPr>
                <w:sz w:val="20"/>
                <w:szCs w:val="20"/>
                <w:color w:val="auto"/>
              </w:rPr>
            </w:pPr>
          </w:p>
        </w:tc>
        <w:tc>
          <w:tcPr>
            <w:tcW w:w="300" w:type="dxa"/>
            <w:vAlign w:val="bottom"/>
            <w:tcBorders>
              <w:top w:val="single" w:sz="8" w:color="auto"/>
              <w:bottom w:val="single" w:sz="8" w:color="auto"/>
            </w:tcBorders>
            <w:shd w:val="clear" w:color="auto" w:fill="CFF2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212,174</w:t>
            </w:r>
          </w:p>
        </w:tc>
        <w:tc>
          <w:tcPr>
            <w:tcW w:w="240" w:type="dxa"/>
            <w:vAlign w:val="bottom"/>
            <w:tcBorders>
              <w:bottom w:val="single" w:sz="8" w:color="CFF2FC"/>
            </w:tcBorders>
            <w:shd w:val="clear" w:color="auto" w:fill="CFF2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2FC"/>
            </w:tcBorders>
            <w:shd w:val="clear" w:color="auto" w:fill="CFF2FC"/>
          </w:tcPr>
          <w:p>
            <w:pPr>
              <w:spacing w:after="0"/>
              <w:rPr>
                <w:sz w:val="20"/>
                <w:szCs w:val="20"/>
                <w:color w:val="auto"/>
              </w:rPr>
            </w:pPr>
          </w:p>
        </w:tc>
        <w:tc>
          <w:tcPr>
            <w:tcW w:w="320" w:type="dxa"/>
            <w:vAlign w:val="bottom"/>
            <w:tcBorders>
              <w:top w:val="single" w:sz="8" w:color="auto"/>
              <w:bottom w:val="single" w:sz="8" w:color="auto"/>
            </w:tcBorders>
            <w:shd w:val="clear" w:color="auto" w:fill="CFF2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350,031</w:t>
            </w:r>
          </w:p>
        </w:tc>
        <w:tc>
          <w:tcPr>
            <w:tcW w:w="60" w:type="dxa"/>
            <w:vAlign w:val="bottom"/>
            <w:tcBorders>
              <w:bottom w:val="single" w:sz="8" w:color="CFF2FC"/>
            </w:tcBorders>
            <w:shd w:val="clear" w:color="auto" w:fill="CFF2FC"/>
          </w:tcPr>
          <w:p>
            <w:pPr>
              <w:spacing w:after="0"/>
              <w:rPr>
                <w:sz w:val="20"/>
                <w:szCs w:val="20"/>
                <w:color w:val="auto"/>
              </w:rPr>
            </w:pPr>
          </w:p>
        </w:tc>
      </w:tr>
      <w:tr>
        <w:trPr>
          <w:trHeight w:val="183"/>
        </w:trPr>
        <w:tc>
          <w:tcPr>
            <w:tcW w:w="48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820" w:type="dxa"/>
            <w:vAlign w:val="bottom"/>
            <w:tcBorders>
              <w:bottom w:val="single" w:sz="8" w:color="CFF2FC"/>
            </w:tcBorders>
            <w:shd w:val="clear" w:color="auto" w:fill="CFF2FC"/>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00" w:type="dxa"/>
            <w:vAlign w:val="bottom"/>
            <w:tcBorders>
              <w:bottom w:val="single" w:sz="8" w:color="auto"/>
            </w:tcBorders>
            <w:shd w:val="clear" w:color="auto" w:fill="CFF2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7"/>
                <w:szCs w:val="17"/>
                <w:color w:val="auto"/>
              </w:rPr>
            </w:pPr>
          </w:p>
        </w:tc>
        <w:tc>
          <w:tcPr>
            <w:tcW w:w="300" w:type="dxa"/>
            <w:vAlign w:val="bottom"/>
            <w:tcBorders>
              <w:bottom w:val="single" w:sz="8" w:color="auto"/>
            </w:tcBorders>
            <w:shd w:val="clear" w:color="auto" w:fill="CFF2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7"/>
                <w:szCs w:val="17"/>
                <w:color w:val="auto"/>
              </w:rPr>
            </w:pPr>
          </w:p>
        </w:tc>
        <w:tc>
          <w:tcPr>
            <w:tcW w:w="400" w:type="dxa"/>
            <w:vAlign w:val="bottom"/>
            <w:tcBorders>
              <w:bottom w:val="single" w:sz="8" w:color="auto"/>
            </w:tcBorders>
            <w:shd w:val="clear" w:color="auto" w:fill="CFF2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80" w:type="dxa"/>
            <w:vAlign w:val="bottom"/>
            <w:tcBorders>
              <w:bottom w:val="single" w:sz="8" w:color="CFF2FC"/>
            </w:tcBorders>
            <w:shd w:val="clear" w:color="auto" w:fill="CFF2FC"/>
          </w:tcPr>
          <w:p>
            <w:pPr>
              <w:spacing w:after="0"/>
              <w:rPr>
                <w:sz w:val="17"/>
                <w:szCs w:val="17"/>
                <w:color w:val="auto"/>
              </w:rPr>
            </w:pPr>
          </w:p>
        </w:tc>
        <w:tc>
          <w:tcPr>
            <w:tcW w:w="140" w:type="dxa"/>
            <w:vAlign w:val="bottom"/>
            <w:tcBorders>
              <w:bottom w:val="single" w:sz="8" w:color="CFF2FC"/>
            </w:tcBorders>
            <w:shd w:val="clear" w:color="auto" w:fill="CFF2FC"/>
          </w:tcPr>
          <w:p>
            <w:pPr>
              <w:spacing w:after="0"/>
              <w:rPr>
                <w:sz w:val="17"/>
                <w:szCs w:val="17"/>
                <w:color w:val="auto"/>
              </w:rPr>
            </w:pPr>
          </w:p>
        </w:tc>
        <w:tc>
          <w:tcPr>
            <w:tcW w:w="320" w:type="dxa"/>
            <w:vAlign w:val="bottom"/>
            <w:tcBorders>
              <w:bottom w:val="single" w:sz="8" w:color="auto"/>
            </w:tcBorders>
            <w:shd w:val="clear" w:color="auto" w:fill="CFF2FC"/>
          </w:tcPr>
          <w:p>
            <w:pPr>
              <w:spacing w:after="0"/>
              <w:rPr>
                <w:sz w:val="17"/>
                <w:szCs w:val="17"/>
                <w:color w:val="auto"/>
              </w:rPr>
            </w:pPr>
          </w:p>
        </w:tc>
        <w:tc>
          <w:tcPr>
            <w:tcW w:w="108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2FC"/>
            </w:tcBorders>
            <w:shd w:val="clear" w:color="auto" w:fill="CFF2FC"/>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-445135</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-427990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-445135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-427990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-445135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-427990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-445135</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-427990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-159385</wp:posOffset>
            </wp:positionV>
            <wp:extent cx="431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431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2021 and 2020, there were no transfers between Level 1, Level 2 and Level 3.</w:t>
      </w:r>
    </w:p>
    <w:p>
      <w:pPr>
        <w:spacing w:after="0" w:line="104"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liquidation. Changes in the fair value of the Series 1 nonconvertible preferred stock are recognized in other income (expense), net in the consolidated statements of operations.</w:t>
      </w:r>
    </w:p>
    <w:p>
      <w:pPr>
        <w:spacing w:after="0" w:line="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Range</w:t>
            </w:r>
          </w:p>
        </w:tc>
      </w:tr>
      <w:tr>
        <w:trPr>
          <w:trHeight w:val="224"/>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ind w:left="9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100" w:type="dxa"/>
            <w:vAlign w:val="bottom"/>
            <w:gridSpan w:val="2"/>
          </w:tcPr>
          <w:p>
            <w:pPr>
              <w:ind w:left="2300"/>
              <w:spacing w:after="0"/>
              <w:rPr>
                <w:sz w:val="20"/>
                <w:szCs w:val="20"/>
                <w:color w:val="auto"/>
              </w:rPr>
            </w:pPr>
            <w:r>
              <w:rPr>
                <w:rFonts w:ascii="Arial" w:cs="Arial" w:eastAsia="Arial" w:hAnsi="Arial"/>
                <w:sz w:val="14"/>
                <w:szCs w:val="14"/>
                <w:b w:val="1"/>
                <w:bCs w:val="1"/>
                <w:color w:val="auto"/>
              </w:rPr>
              <w:t>Unobservable Input</w:t>
            </w:r>
          </w:p>
        </w:tc>
        <w:tc>
          <w:tcPr>
            <w:tcW w:w="2060" w:type="dxa"/>
            <w:vAlign w:val="bottom"/>
          </w:tcPr>
          <w:p>
            <w:pPr>
              <w:jc w:val="center"/>
              <w:ind w:left="499"/>
              <w:spacing w:after="0"/>
              <w:rPr>
                <w:sz w:val="20"/>
                <w:szCs w:val="20"/>
                <w:color w:val="auto"/>
              </w:rPr>
            </w:pPr>
            <w:r>
              <w:rPr>
                <w:rFonts w:ascii="Arial" w:cs="Arial" w:eastAsia="Arial" w:hAnsi="Arial"/>
                <w:sz w:val="14"/>
                <w:szCs w:val="14"/>
                <w:b w:val="1"/>
                <w:bCs w:val="1"/>
                <w:color w:val="auto"/>
                <w:w w:val="89"/>
              </w:rPr>
              <w:t>2021</w:t>
            </w:r>
          </w:p>
        </w:tc>
        <w:tc>
          <w:tcPr>
            <w:tcW w:w="3080" w:type="dxa"/>
            <w:vAlign w:val="bottom"/>
            <w:gridSpan w:val="3"/>
          </w:tcPr>
          <w:p>
            <w:pPr>
              <w:jc w:val="center"/>
              <w:ind w:left="782"/>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5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Probabilities of payout</w:t>
            </w:r>
          </w:p>
        </w:tc>
        <w:tc>
          <w:tcPr>
            <w:tcW w:w="280" w:type="dxa"/>
            <w:vAlign w:val="bottom"/>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jc w:val="center"/>
              <w:ind w:left="499"/>
              <w:spacing w:after="0" w:line="196" w:lineRule="exact"/>
              <w:rPr>
                <w:sz w:val="20"/>
                <w:szCs w:val="20"/>
                <w:color w:val="auto"/>
              </w:rPr>
            </w:pPr>
            <w:r>
              <w:rPr>
                <w:rFonts w:ascii="Arial" w:cs="Arial" w:eastAsia="Arial" w:hAnsi="Arial"/>
                <w:sz w:val="18"/>
                <w:szCs w:val="18"/>
                <w:color w:val="auto"/>
                <w:w w:val="94"/>
              </w:rPr>
              <w:t>0%-65%</w:t>
            </w: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0%-65%</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060" w:type="dxa"/>
            <w:vAlign w:val="bottom"/>
          </w:tcPr>
          <w:p>
            <w:pPr>
              <w:jc w:val="center"/>
              <w:ind w:left="499"/>
              <w:spacing w:after="0"/>
              <w:rPr>
                <w:sz w:val="20"/>
                <w:szCs w:val="20"/>
                <w:color w:val="auto"/>
              </w:rPr>
            </w:pPr>
            <w:r>
              <w:rPr>
                <w:rFonts w:ascii="Arial" w:cs="Arial" w:eastAsia="Arial" w:hAnsi="Arial"/>
                <w:sz w:val="18"/>
                <w:szCs w:val="18"/>
                <w:color w:val="auto"/>
                <w:w w:val="93"/>
              </w:rPr>
              <w:t>4.25%</w:t>
            </w:r>
          </w:p>
        </w:tc>
        <w:tc>
          <w:tcPr>
            <w:tcW w:w="3080" w:type="dxa"/>
            <w:vAlign w:val="bottom"/>
            <w:gridSpan w:val="3"/>
          </w:tcPr>
          <w:p>
            <w:pPr>
              <w:jc w:val="center"/>
              <w:ind w:left="782"/>
              <w:spacing w:after="0"/>
              <w:rPr>
                <w:sz w:val="20"/>
                <w:szCs w:val="20"/>
                <w:color w:val="auto"/>
              </w:rPr>
            </w:pPr>
            <w:r>
              <w:rPr>
                <w:rFonts w:ascii="Arial" w:cs="Arial" w:eastAsia="Arial" w:hAnsi="Arial"/>
                <w:sz w:val="18"/>
                <w:szCs w:val="18"/>
                <w:color w:val="auto"/>
                <w:w w:val="90"/>
              </w:rPr>
              <w:t>4.25%</w:t>
            </w:r>
          </w:p>
        </w:tc>
      </w:tr>
    </w:tbl>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80"/>
              <w:spacing w:after="0"/>
              <w:rPr>
                <w:sz w:val="20"/>
                <w:szCs w:val="20"/>
                <w:color w:val="auto"/>
              </w:rPr>
            </w:pPr>
            <w:r>
              <w:rPr>
                <w:rFonts w:ascii="Arial" w:cs="Arial" w:eastAsia="Arial" w:hAnsi="Arial"/>
                <w:sz w:val="14"/>
                <w:szCs w:val="14"/>
                <w:b w:val="1"/>
                <w:bCs w:val="1"/>
                <w:color w:val="auto"/>
                <w:w w:val="85"/>
              </w:rPr>
              <w:t>Series 1</w:t>
            </w:r>
          </w:p>
        </w:tc>
        <w:tc>
          <w:tcPr>
            <w:tcW w:w="60" w:type="dxa"/>
            <w:vAlign w:val="bottom"/>
          </w:tcPr>
          <w:p>
            <w:pPr>
              <w:spacing w:after="0"/>
              <w:rPr>
                <w:sz w:val="14"/>
                <w:szCs w:val="14"/>
                <w:color w:val="auto"/>
              </w:rPr>
            </w:pPr>
          </w:p>
        </w:tc>
      </w:tr>
      <w:tr>
        <w:trPr>
          <w:trHeight w:val="148"/>
        </w:trPr>
        <w:tc>
          <w:tcPr>
            <w:tcW w:w="8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60" w:type="dxa"/>
            <w:vAlign w:val="bottom"/>
          </w:tcPr>
          <w:p>
            <w:pPr>
              <w:spacing w:after="0"/>
              <w:rPr>
                <w:sz w:val="12"/>
                <w:szCs w:val="12"/>
                <w:color w:val="auto"/>
              </w:rPr>
            </w:pPr>
          </w:p>
        </w:tc>
      </w:tr>
      <w:tr>
        <w:trPr>
          <w:trHeight w:val="149"/>
        </w:trPr>
        <w:tc>
          <w:tcPr>
            <w:tcW w:w="8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60" w:type="dxa"/>
            <w:vAlign w:val="bottom"/>
          </w:tcPr>
          <w:p>
            <w:pPr>
              <w:spacing w:after="0"/>
              <w:rPr>
                <w:sz w:val="12"/>
                <w:szCs w:val="12"/>
                <w:color w:val="auto"/>
              </w:rPr>
            </w:pPr>
          </w:p>
        </w:tc>
      </w:tr>
      <w:tr>
        <w:trPr>
          <w:trHeight w:val="185"/>
        </w:trPr>
        <w:tc>
          <w:tcPr>
            <w:tcW w:w="8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r>
      <w:tr>
        <w:trPr>
          <w:trHeight w:val="196"/>
        </w:trPr>
        <w:tc>
          <w:tcPr>
            <w:tcW w:w="8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September 30, 2021</w:t>
            </w: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shd w:val="clear" w:color="auto" w:fill="CFF0FC"/>
          </w:tcPr>
          <w:p>
            <w:pPr>
              <w:spacing w:after="0"/>
              <w:rPr>
                <w:sz w:val="17"/>
                <w:szCs w:val="17"/>
                <w:color w:val="auto"/>
              </w:rPr>
            </w:pPr>
          </w:p>
        </w:tc>
      </w:tr>
      <w:tr>
        <w:trPr>
          <w:trHeight w:val="203"/>
        </w:trPr>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nonconvertible preferred stock</w:t>
            </w: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8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December 31, 2021</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September 30, 2021, the fair value of available-for-sale marketable securities, by type of security,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860" w:type="dxa"/>
            <w:vAlign w:val="bottom"/>
          </w:tcPr>
          <w:p>
            <w:pPr>
              <w:jc w:val="center"/>
              <w:ind w:left="104"/>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Losses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112,942</w:t>
            </w:r>
          </w:p>
        </w:tc>
        <w:tc>
          <w:tcPr>
            <w:tcW w:w="1060" w:type="dxa"/>
            <w:vAlign w:val="bottom"/>
            <w:gridSpan w:val="2"/>
            <w:shd w:val="clear" w:color="auto" w:fill="CFF0FC"/>
          </w:tcPr>
          <w:p>
            <w:pPr>
              <w:jc w:val="right"/>
              <w:ind w:right="68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30</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(426 )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61,399</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61,399</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74,933</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(228 )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74,707</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249,274</w:t>
            </w:r>
          </w:p>
        </w:tc>
        <w:tc>
          <w:tcPr>
            <w:tcW w:w="200" w:type="dxa"/>
            <w:vAlign w:val="bottom"/>
          </w:tcPr>
          <w:p>
            <w:pPr>
              <w:spacing w:after="0"/>
              <w:rPr>
                <w:sz w:val="17"/>
                <w:szCs w:val="17"/>
                <w:color w:val="auto"/>
              </w:rPr>
            </w:pPr>
          </w:p>
        </w:tc>
        <w:tc>
          <w:tcPr>
            <w:tcW w:w="860" w:type="dxa"/>
            <w:vAlign w:val="bottom"/>
          </w:tcPr>
          <w:p>
            <w:pPr>
              <w:jc w:val="right"/>
              <w:ind w:right="684"/>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79"/>
              </w:rPr>
              <w:t>32</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(654 )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248,652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75"/>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-630555</wp:posOffset>
            </wp:positionV>
            <wp:extent cx="431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-630555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-630555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-630555</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-630555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860" w:type="dxa"/>
            <w:vAlign w:val="bottom"/>
          </w:tcPr>
          <w:p>
            <w:pPr>
              <w:jc w:val="center"/>
              <w:ind w:left="104"/>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Losses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124,678</w:t>
            </w:r>
          </w:p>
        </w:tc>
        <w:tc>
          <w:tcPr>
            <w:tcW w:w="1060" w:type="dxa"/>
            <w:vAlign w:val="bottom"/>
            <w:gridSpan w:val="2"/>
            <w:shd w:val="clear" w:color="auto" w:fill="CFF0FC"/>
          </w:tcPr>
          <w:p>
            <w:pPr>
              <w:jc w:val="right"/>
              <w:ind w:right="68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93</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124,703</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83,061</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83,038</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295,210</w:t>
            </w:r>
          </w:p>
        </w:tc>
        <w:tc>
          <w:tcPr>
            <w:tcW w:w="200" w:type="dxa"/>
            <w:vAlign w:val="bottom"/>
          </w:tcPr>
          <w:p>
            <w:pPr>
              <w:spacing w:after="0"/>
              <w:rPr>
                <w:sz w:val="17"/>
                <w:szCs w:val="17"/>
                <w:color w:val="auto"/>
              </w:rPr>
            </w:pPr>
          </w:p>
        </w:tc>
        <w:tc>
          <w:tcPr>
            <w:tcW w:w="860" w:type="dxa"/>
            <w:vAlign w:val="bottom"/>
          </w:tcPr>
          <w:p>
            <w:pPr>
              <w:jc w:val="right"/>
              <w:ind w:right="684"/>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79"/>
              </w:rPr>
              <w:t>96</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(94 )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295,212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-159385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As of December 31, 2021 and September 30, 2021, marketable securities consisted of investments that mature within one year, with the exception of certain corporate bonds and U.S. Treasury notes, which have maturities between one and three years and an aggregate fair value of $88,668 and $108,416, respectively.</w:t>
      </w:r>
    </w:p>
    <w:p>
      <w:pPr>
        <w:spacing w:after="0" w:line="28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2021 and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r>
      <w:tr>
        <w:trPr>
          <w:trHeight w:val="185"/>
        </w:trPr>
        <w:tc>
          <w:tcPr>
            <w:tcW w:w="6800" w:type="dxa"/>
            <w:vAlign w:val="bottom"/>
          </w:tcPr>
          <w:p>
            <w:pPr>
              <w:spacing w:after="0"/>
              <w:rPr>
                <w:sz w:val="16"/>
                <w:szCs w:val="16"/>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Accrued expenses:</w:t>
            </w:r>
          </w:p>
        </w:tc>
        <w:tc>
          <w:tcPr>
            <w:tcW w:w="15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500" w:type="dxa"/>
            <w:vAlign w:val="bottom"/>
          </w:tcPr>
          <w:p>
            <w:pPr>
              <w:jc w:val="right"/>
              <w:ind w:right="131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6,447</w:t>
            </w:r>
          </w:p>
        </w:tc>
        <w:tc>
          <w:tcPr>
            <w:tcW w:w="7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6,062</w:t>
            </w:r>
          </w:p>
        </w:tc>
        <w:tc>
          <w:tcPr>
            <w:tcW w:w="60" w:type="dxa"/>
            <w:vAlign w:val="bottom"/>
          </w:tcPr>
          <w:p>
            <w:pPr>
              <w:spacing w:after="0"/>
              <w:rPr>
                <w:sz w:val="17"/>
                <w:szCs w:val="17"/>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payroll and related expenses</w:t>
            </w:r>
          </w:p>
        </w:tc>
        <w:tc>
          <w:tcPr>
            <w:tcW w:w="15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6,094</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Accrued pharmaceutical drug manufacturing</w:t>
            </w:r>
          </w:p>
        </w:tc>
        <w:tc>
          <w:tcPr>
            <w:tcW w:w="15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16,072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8,402</w:t>
            </w:r>
          </w:p>
        </w:tc>
        <w:tc>
          <w:tcPr>
            <w:tcW w:w="60" w:type="dxa"/>
            <w:vAlign w:val="bottom"/>
          </w:tcPr>
          <w:p>
            <w:pPr>
              <w:spacing w:after="0"/>
              <w:rPr>
                <w:sz w:val="17"/>
                <w:szCs w:val="17"/>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5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Accrued other</w:t>
            </w:r>
          </w:p>
        </w:tc>
        <w:tc>
          <w:tcPr>
            <w:tcW w:w="1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1,069</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1,171</w:t>
            </w:r>
          </w:p>
        </w:tc>
        <w:tc>
          <w:tcPr>
            <w:tcW w:w="60" w:type="dxa"/>
            <w:vAlign w:val="bottom"/>
          </w:tcPr>
          <w:p>
            <w:pPr>
              <w:spacing w:after="0"/>
              <w:rPr>
                <w:sz w:val="17"/>
                <w:szCs w:val="17"/>
                <w:color w:val="auto"/>
              </w:rPr>
            </w:pPr>
          </w:p>
        </w:tc>
      </w:tr>
      <w:tr>
        <w:trPr>
          <w:trHeight w:val="236"/>
        </w:trPr>
        <w:tc>
          <w:tcPr>
            <w:tcW w:w="68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3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26,580</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22,429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6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15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positions</w:t>
            </w:r>
          </w:p>
        </w:tc>
        <w:tc>
          <w:tcPr>
            <w:tcW w:w="1500" w:type="dxa"/>
            <w:vAlign w:val="bottom"/>
          </w:tcPr>
          <w:p>
            <w:pPr>
              <w:jc w:val="right"/>
              <w:ind w:right="131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7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60" w:type="dxa"/>
            <w:vAlign w:val="bottom"/>
          </w:tcPr>
          <w:p>
            <w:pPr>
              <w:spacing w:after="0"/>
              <w:rPr>
                <w:sz w:val="17"/>
                <w:szCs w:val="17"/>
                <w:color w:val="auto"/>
              </w:rPr>
            </w:pPr>
          </w:p>
        </w:tc>
      </w:tr>
      <w:tr>
        <w:trPr>
          <w:trHeight w:val="203"/>
        </w:trPr>
        <w:tc>
          <w:tcPr>
            <w:tcW w:w="6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Asset retirement obligation</w:t>
            </w:r>
          </w:p>
        </w:tc>
        <w:tc>
          <w:tcPr>
            <w:tcW w:w="15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2FC"/>
          </w:tcPr>
          <w:p>
            <w:pPr>
              <w:spacing w:after="0"/>
              <w:rPr>
                <w:sz w:val="17"/>
                <w:szCs w:val="17"/>
                <w:color w:val="auto"/>
              </w:rPr>
            </w:pPr>
          </w:p>
        </w:tc>
        <w:tc>
          <w:tcPr>
            <w:tcW w:w="16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2FC"/>
            </w:tcBorders>
            <w:shd w:val="clear" w:color="auto" w:fill="CFF2FC"/>
          </w:tcPr>
          <w:p>
            <w:pPr>
              <w:spacing w:after="0"/>
              <w:rPr>
                <w:sz w:val="17"/>
                <w:szCs w:val="17"/>
                <w:color w:val="auto"/>
              </w:rPr>
            </w:pPr>
          </w:p>
        </w:tc>
      </w:tr>
      <w:tr>
        <w:trPr>
          <w:trHeight w:val="196"/>
        </w:trPr>
        <w:tc>
          <w:tcPr>
            <w:tcW w:w="6800" w:type="dxa"/>
            <w:vAlign w:val="bottom"/>
          </w:tcPr>
          <w:p>
            <w:pPr>
              <w:spacing w:after="0"/>
              <w:rPr>
                <w:sz w:val="17"/>
                <w:szCs w:val="17"/>
                <w:color w:val="auto"/>
              </w:rPr>
            </w:pPr>
          </w:p>
        </w:tc>
        <w:tc>
          <w:tcPr>
            <w:tcW w:w="1500" w:type="dxa"/>
            <w:vAlign w:val="bottom"/>
            <w:tcBorders>
              <w:bottom w:val="single" w:sz="8" w:color="auto"/>
            </w:tcBorders>
          </w:tcPr>
          <w:p>
            <w:pPr>
              <w:jc w:val="right"/>
              <w:ind w:right="13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6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-702310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-685165</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-702310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-685165</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-159385</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$1,142,000 through December 31, 2021. Since the Company satisfied all of its performance obligations under the AbbVie Agreement by the end of fiscal 2011, all milestone payments received since then have been recognized as revenue when the milestones were achieved by AbbVie.</w:t>
      </w:r>
    </w:p>
    <w:p>
      <w:pPr>
        <w:spacing w:after="0" w:line="5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2021, 1,930 shares of Series 1 nonconvertible preferred stock were issued and outstanding. Since these shares qualify as a derivative, the outstanding shares are carried at fair value as a liability on the Company’s consolidated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0" w:name="page11"/>
    <w:bookmarkEnd w:id="10"/>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The Company also has outstanding stock option awards under its 2012 Equity Incentive Plan (the “2012 Plan”) and its amended and restated 1995 Equity Incentive Plan (the “1995 Plan”), but is no longer granting awards under these plans.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2021:</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as of September 30, 2021</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Granted</w:t>
      </w:r>
    </w:p>
    <w:p>
      <w:pPr>
        <w:ind w:left="200"/>
        <w:spacing w:after="0"/>
        <w:rPr>
          <w:sz w:val="20"/>
          <w:szCs w:val="20"/>
          <w:color w:val="auto"/>
        </w:rPr>
      </w:pPr>
      <w:r>
        <w:rPr>
          <w:rFonts w:ascii="Arial" w:cs="Arial" w:eastAsia="Arial" w:hAnsi="Arial"/>
          <w:sz w:val="18"/>
          <w:szCs w:val="18"/>
          <w:color w:val="auto"/>
        </w:rPr>
        <w:t>Exercised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as of December 31, 2021</w:t>
      </w:r>
    </w:p>
    <w:p>
      <w:pPr>
        <w:spacing w:after="0" w:line="16" w:lineRule="exact"/>
        <w:rPr>
          <w:sz w:val="20"/>
          <w:szCs w:val="20"/>
          <w:color w:val="auto"/>
        </w:rPr>
      </w:pPr>
    </w:p>
    <w:p>
      <w:pPr>
        <w:ind w:left="20" w:right="880"/>
        <w:spacing w:after="0" w:line="226" w:lineRule="auto"/>
        <w:rPr>
          <w:sz w:val="20"/>
          <w:szCs w:val="20"/>
          <w:color w:val="auto"/>
        </w:rPr>
      </w:pPr>
      <w:r>
        <w:rPr>
          <w:rFonts w:ascii="Arial" w:cs="Arial" w:eastAsia="Arial" w:hAnsi="Arial"/>
          <w:sz w:val="18"/>
          <w:szCs w:val="18"/>
          <w:b w:val="1"/>
          <w:bCs w:val="1"/>
          <w:color w:val="auto"/>
        </w:rPr>
        <w:t>Options vested and expected to vest as of December 31, 2021</w:t>
      </w:r>
    </w:p>
    <w:p>
      <w:pPr>
        <w:spacing w:after="0" w:line="9" w:lineRule="exact"/>
        <w:rPr>
          <w:sz w:val="20"/>
          <w:szCs w:val="20"/>
          <w:color w:val="auto"/>
        </w:rPr>
      </w:pPr>
    </w:p>
    <w:p>
      <w:pPr>
        <w:ind w:right="40" w:firstLine="13"/>
        <w:spacing w:after="0" w:line="434" w:lineRule="auto"/>
        <w:rPr>
          <w:sz w:val="20"/>
          <w:szCs w:val="20"/>
          <w:color w:val="auto"/>
        </w:rPr>
      </w:pPr>
      <w:r>
        <w:rPr>
          <w:rFonts w:ascii="Arial" w:cs="Arial" w:eastAsia="Arial" w:hAnsi="Arial"/>
          <w:sz w:val="16"/>
          <w:szCs w:val="16"/>
          <w:b w:val="1"/>
          <w:bCs w:val="1"/>
          <w:color w:val="auto"/>
        </w:rPr>
        <w:t>Options exercisable as of December 31, 2021 Market and Performance-Based Stock Unit Awards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11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1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3,852</w:t>
            </w:r>
          </w:p>
        </w:tc>
        <w:tc>
          <w:tcPr>
            <w:tcW w:w="26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48.61</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49,173</w:t>
            </w: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75.32</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(248 )</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42.11</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65.88</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4,177</w:t>
            </w:r>
          </w:p>
        </w:tc>
        <w:tc>
          <w:tcPr>
            <w:tcW w:w="26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52.74</w:t>
            </w:r>
          </w:p>
        </w:tc>
        <w:tc>
          <w:tcPr>
            <w:tcW w:w="1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97,158</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2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52.74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97,158</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2,425</w:t>
            </w:r>
          </w:p>
        </w:tc>
        <w:tc>
          <w:tcPr>
            <w:tcW w:w="26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46.85</w:t>
            </w:r>
          </w:p>
        </w:tc>
        <w:tc>
          <w:tcPr>
            <w:tcW w:w="1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71,494</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-1071245</wp:posOffset>
            </wp:positionV>
            <wp:extent cx="713232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-814070</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-548005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-153670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020" w:space="720"/>
            <w:col w:w="6500"/>
          </w:cols>
          <w:pgMar w:left="320" w:top="648" w:right="339" w:bottom="1440" w:gutter="0" w:footer="0" w:header="0"/>
          <w:type w:val="continuous"/>
        </w:sectPr>
      </w:pPr>
    </w:p>
    <w:p>
      <w:pPr>
        <w:ind w:right="160"/>
        <w:spacing w:after="0" w:line="262"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December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7"/>
              </w:rPr>
              <w:t>PSUs</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center"/>
              <w:ind w:left="348"/>
              <w:spacing w:after="0" w:line="133" w:lineRule="exact"/>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4"/>
          </w:tcPr>
          <w:p>
            <w:pPr>
              <w:jc w:val="center"/>
              <w:ind w:right="124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w w:val="94"/>
              </w:rPr>
              <w:t>(in thousands, except per share data)</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49.31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77.39</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66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7"/>
                <w:szCs w:val="17"/>
                <w:color w:val="auto"/>
              </w:rPr>
            </w:pPr>
          </w:p>
        </w:tc>
        <w:tc>
          <w:tcPr>
            <w:tcW w:w="1680" w:type="dxa"/>
            <w:vAlign w:val="bottom"/>
            <w:gridSpan w:val="3"/>
            <w:shd w:val="clear" w:color="auto" w:fill="CFF0FC"/>
          </w:tcPr>
          <w:p>
            <w:pPr>
              <w:jc w:val="right"/>
              <w:ind w:right="118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December 31, 2021</w:t>
            </w:r>
          </w:p>
        </w:tc>
        <w:tc>
          <w:tcPr>
            <w:tcW w:w="11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55.66</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w:t>
            </w:r>
          </w:p>
        </w:tc>
        <w:tc>
          <w:tcPr>
            <w:tcW w:w="3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36.58</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activity for the year-to-date period ending December 31,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left="382"/>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7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Restricted Stock</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96"/>
              </w:rPr>
              <w:t>Date Fair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7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7"/>
              </w:rPr>
              <w:t>Units</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96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42"/>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75.33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(29 )</w:t>
            </w:r>
          </w:p>
        </w:tc>
        <w:tc>
          <w:tcPr>
            <w:tcW w:w="15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7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(2 )</w:t>
            </w:r>
          </w:p>
        </w:tc>
        <w:tc>
          <w:tcPr>
            <w:tcW w:w="1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43.57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December 31, 2021</w:t>
            </w:r>
          </w:p>
        </w:tc>
        <w:tc>
          <w:tcPr>
            <w:tcW w:w="17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w:t>
            </w:r>
          </w:p>
        </w:tc>
        <w:tc>
          <w:tcPr>
            <w:tcW w:w="3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ind w:right="1342"/>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63.13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6720" w:type="dxa"/>
            <w:vAlign w:val="bottom"/>
          </w:tcPr>
          <w:p>
            <w:pPr>
              <w:ind w:left="5540"/>
              <w:spacing w:after="0"/>
              <w:rPr>
                <w:sz w:val="20"/>
                <w:szCs w:val="20"/>
                <w:color w:val="auto"/>
              </w:rPr>
            </w:pPr>
            <w:r>
              <w:rPr>
                <w:rFonts w:ascii="Arial" w:cs="Arial" w:eastAsia="Arial" w:hAnsi="Arial"/>
                <w:sz w:val="18"/>
                <w:szCs w:val="18"/>
                <w:color w:val="auto"/>
              </w:rPr>
              <w:t>11</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7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-505460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-488315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2021 and 2020, the Company recognized the following stock-based compensation expense: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7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ind w:left="38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30"/>
              <w:spacing w:after="0"/>
              <w:rPr>
                <w:sz w:val="20"/>
                <w:szCs w:val="20"/>
                <w:color w:val="auto"/>
              </w:rPr>
            </w:pPr>
            <w:r>
              <w:rPr>
                <w:rFonts w:ascii="Arial" w:cs="Arial" w:eastAsia="Arial" w:hAnsi="Arial"/>
                <w:sz w:val="12"/>
                <w:szCs w:val="12"/>
                <w:b w:val="1"/>
                <w:bCs w:val="1"/>
                <w:color w:val="auto"/>
                <w:w w:val="74"/>
              </w:rPr>
              <w:t>thousands)</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jc w:val="right"/>
              <w:ind w:right="121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2,584</w:t>
            </w:r>
          </w:p>
        </w:tc>
        <w:tc>
          <w:tcPr>
            <w:tcW w:w="920" w:type="dxa"/>
            <w:vAlign w:val="bottom"/>
            <w:gridSpan w:val="2"/>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2,420</w:t>
            </w:r>
          </w:p>
        </w:tc>
        <w:tc>
          <w:tcPr>
            <w:tcW w:w="6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3,478</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2,463</w:t>
            </w:r>
          </w:p>
        </w:tc>
        <w:tc>
          <w:tcPr>
            <w:tcW w:w="6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2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6,062</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4,883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22"/>
        </w:trPr>
        <w:tc>
          <w:tcPr>
            <w:tcW w:w="6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67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ind w:left="38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30"/>
              <w:spacing w:after="0"/>
              <w:rPr>
                <w:sz w:val="20"/>
                <w:szCs w:val="20"/>
                <w:color w:val="auto"/>
              </w:rPr>
            </w:pPr>
            <w:r>
              <w:rPr>
                <w:rFonts w:ascii="Arial" w:cs="Arial" w:eastAsia="Arial" w:hAnsi="Arial"/>
                <w:sz w:val="12"/>
                <w:szCs w:val="12"/>
                <w:b w:val="1"/>
                <w:bCs w:val="1"/>
                <w:color w:val="auto"/>
                <w:w w:val="74"/>
              </w:rPr>
              <w:t>thousands)</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w:t>
            </w:r>
          </w:p>
        </w:tc>
        <w:tc>
          <w:tcPr>
            <w:tcW w:w="1400" w:type="dxa"/>
            <w:vAlign w:val="bottom"/>
            <w:shd w:val="clear" w:color="auto" w:fill="CFF0FC"/>
          </w:tcPr>
          <w:p>
            <w:pPr>
              <w:jc w:val="right"/>
              <w:ind w:right="121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4,748</w:t>
            </w:r>
          </w:p>
        </w:tc>
        <w:tc>
          <w:tcPr>
            <w:tcW w:w="920" w:type="dxa"/>
            <w:vAlign w:val="bottom"/>
            <w:gridSpan w:val="2"/>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4,349</w:t>
            </w:r>
          </w:p>
        </w:tc>
        <w:tc>
          <w:tcPr>
            <w:tcW w:w="6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rTSRUs</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6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Performance stock units</w:t>
            </w:r>
          </w:p>
        </w:tc>
        <w:tc>
          <w:tcPr>
            <w:tcW w:w="1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589</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w:t>
            </w:r>
          </w:p>
        </w:tc>
        <w:tc>
          <w:tcPr>
            <w:tcW w:w="6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2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6,062</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4,883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-1276985</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-1259840</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-1276985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-1259840</wp:posOffset>
            </wp:positionV>
            <wp:extent cx="43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8"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During the three months ended December 31, 2021, the Company recognized stock-based compensation expense for performance-based stock units for which vesting became probable upon achievement of performance-based targets that occurred during the performance period.</w:t>
      </w:r>
    </w:p>
    <w:p>
      <w:pPr>
        <w:spacing w:after="0" w:line="3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As of December 31, 2021, the Company had an aggregate of $71,254 of unrecognized stock-based compensation cost, which is expected to be recognized over a weighted average period of 3.2 years.</w:t>
      </w:r>
    </w:p>
    <w:p>
      <w:pPr>
        <w:spacing w:after="0" w:line="2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for the three months ended December 31, 2021 and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except per share data)</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loss per share:</w:t>
            </w:r>
          </w:p>
        </w:tc>
        <w:tc>
          <w:tcPr>
            <w:tcW w:w="2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Numerator:</w:t>
            </w:r>
          </w:p>
        </w:tc>
        <w:tc>
          <w:tcPr>
            <w:tcW w:w="2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Net loss</w:t>
            </w:r>
          </w:p>
        </w:tc>
        <w:tc>
          <w:tcPr>
            <w:tcW w:w="3480" w:type="dxa"/>
            <w:vAlign w:val="bottom"/>
            <w:gridSpan w:val="2"/>
            <w:shd w:val="clear" w:color="auto" w:fill="CFF0FC"/>
          </w:tcPr>
          <w:p>
            <w:pPr>
              <w:jc w:val="right"/>
              <w:ind w:right="888"/>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8"/>
              <w:spacing w:after="0" w:line="182" w:lineRule="exact"/>
              <w:rPr>
                <w:sz w:val="20"/>
                <w:szCs w:val="20"/>
                <w:color w:val="auto"/>
              </w:rPr>
            </w:pPr>
            <w:r>
              <w:rPr>
                <w:rFonts w:ascii="Arial" w:cs="Arial" w:eastAsia="Arial" w:hAnsi="Arial"/>
                <w:sz w:val="18"/>
                <w:szCs w:val="18"/>
                <w:color w:val="auto"/>
                <w:w w:val="97"/>
              </w:rPr>
              <w:t>(30,115 )</w:t>
            </w:r>
          </w:p>
        </w:tc>
        <w:tc>
          <w:tcPr>
            <w:tcW w:w="1140" w:type="dxa"/>
            <w:vAlign w:val="bottom"/>
            <w:shd w:val="clear" w:color="auto" w:fill="CFF0FC"/>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w w:val="96"/>
              </w:rPr>
              <w:t>(8,328 )</w:t>
            </w:r>
          </w:p>
        </w:tc>
        <w:tc>
          <w:tcPr>
            <w:tcW w:w="0" w:type="dxa"/>
            <w:vAlign w:val="bottom"/>
          </w:tcPr>
          <w:p>
            <w:pPr>
              <w:spacing w:after="0"/>
              <w:rPr>
                <w:sz w:val="1"/>
                <w:szCs w:val="1"/>
                <w:color w:val="auto"/>
              </w:rPr>
            </w:pPr>
          </w:p>
        </w:tc>
      </w:tr>
      <w:tr>
        <w:trPr>
          <w:trHeight w:val="183"/>
        </w:trPr>
        <w:tc>
          <w:tcPr>
            <w:tcW w:w="466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8"/>
                <w:szCs w:val="18"/>
                <w:color w:val="auto"/>
              </w:rPr>
              <w:t>Denominator:</w:t>
            </w:r>
          </w:p>
        </w:tc>
        <w:tc>
          <w:tcPr>
            <w:tcW w:w="24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rPr>
              <w:t>Weighted average common shares outstanding</w:t>
            </w:r>
          </w:p>
        </w:tc>
        <w:tc>
          <w:tcPr>
            <w:tcW w:w="2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20,388</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20,093</w:t>
            </w:r>
          </w:p>
        </w:tc>
        <w:tc>
          <w:tcPr>
            <w:tcW w:w="3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FF0FC"/>
            </w:tcBorders>
            <w:shd w:val="clear" w:color="auto" w:fill="CFF0FC"/>
          </w:tcPr>
          <w:p>
            <w:pPr>
              <w:ind w:left="520"/>
              <w:spacing w:after="0" w:line="156" w:lineRule="exact"/>
              <w:rPr>
                <w:sz w:val="20"/>
                <w:szCs w:val="20"/>
                <w:color w:val="auto"/>
              </w:rPr>
            </w:pPr>
            <w:r>
              <w:rPr>
                <w:rFonts w:ascii="Arial" w:cs="Arial" w:eastAsia="Arial" w:hAnsi="Arial"/>
                <w:sz w:val="18"/>
                <w:szCs w:val="18"/>
                <w:color w:val="auto"/>
              </w:rPr>
              <w:t>—basic</w:t>
            </w:r>
          </w:p>
        </w:tc>
        <w:tc>
          <w:tcPr>
            <w:tcW w:w="24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00"/>
              <w:spacing w:after="0" w:line="182" w:lineRule="exact"/>
              <w:rPr>
                <w:sz w:val="20"/>
                <w:szCs w:val="20"/>
                <w:color w:val="auto"/>
              </w:rPr>
            </w:pPr>
            <w:r>
              <w:rPr>
                <w:rFonts w:ascii="Arial" w:cs="Arial" w:eastAsia="Arial" w:hAnsi="Arial"/>
                <w:sz w:val="18"/>
                <w:szCs w:val="18"/>
                <w:color w:val="auto"/>
              </w:rPr>
              <w:t>Net loss per share common share—basic</w:t>
            </w:r>
          </w:p>
        </w:tc>
        <w:tc>
          <w:tcPr>
            <w:tcW w:w="3480" w:type="dxa"/>
            <w:vAlign w:val="bottom"/>
            <w:gridSpan w:val="2"/>
          </w:tcPr>
          <w:p>
            <w:pPr>
              <w:jc w:val="right"/>
              <w:ind w:right="888"/>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8"/>
              <w:spacing w:after="0" w:line="182" w:lineRule="exact"/>
              <w:rPr>
                <w:sz w:val="20"/>
                <w:szCs w:val="20"/>
                <w:color w:val="auto"/>
              </w:rPr>
            </w:pPr>
            <w:r>
              <w:rPr>
                <w:rFonts w:ascii="Arial" w:cs="Arial" w:eastAsia="Arial" w:hAnsi="Arial"/>
                <w:sz w:val="18"/>
                <w:szCs w:val="18"/>
                <w:color w:val="auto"/>
              </w:rPr>
              <w:t>(1.48 )</w:t>
            </w:r>
          </w:p>
        </w:tc>
        <w:tc>
          <w:tcPr>
            <w:tcW w:w="1140" w:type="dxa"/>
            <w:vAlign w:val="bottom"/>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 net loss per share:</w:t>
            </w:r>
          </w:p>
        </w:tc>
        <w:tc>
          <w:tcPr>
            <w:tcW w:w="24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Numerator:</w:t>
            </w:r>
          </w:p>
        </w:tc>
        <w:tc>
          <w:tcPr>
            <w:tcW w:w="2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Net loss</w:t>
            </w:r>
          </w:p>
        </w:tc>
        <w:tc>
          <w:tcPr>
            <w:tcW w:w="3480" w:type="dxa"/>
            <w:vAlign w:val="bottom"/>
            <w:gridSpan w:val="2"/>
            <w:shd w:val="clear" w:color="auto" w:fill="CFF0FC"/>
          </w:tcPr>
          <w:p>
            <w:pPr>
              <w:jc w:val="right"/>
              <w:ind w:right="888"/>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8"/>
              <w:spacing w:after="0" w:line="182" w:lineRule="exact"/>
              <w:rPr>
                <w:sz w:val="20"/>
                <w:szCs w:val="20"/>
                <w:color w:val="auto"/>
              </w:rPr>
            </w:pPr>
            <w:r>
              <w:rPr>
                <w:rFonts w:ascii="Arial" w:cs="Arial" w:eastAsia="Arial" w:hAnsi="Arial"/>
                <w:sz w:val="18"/>
                <w:szCs w:val="18"/>
                <w:color w:val="auto"/>
                <w:w w:val="97"/>
              </w:rPr>
              <w:t>(30,115 )</w:t>
            </w:r>
          </w:p>
        </w:tc>
        <w:tc>
          <w:tcPr>
            <w:tcW w:w="1140" w:type="dxa"/>
            <w:vAlign w:val="bottom"/>
            <w:shd w:val="clear" w:color="auto" w:fill="CFF0FC"/>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w w:val="96"/>
              </w:rPr>
              <w:t>(8,328 )</w:t>
            </w:r>
          </w:p>
        </w:tc>
        <w:tc>
          <w:tcPr>
            <w:tcW w:w="0" w:type="dxa"/>
            <w:vAlign w:val="bottom"/>
          </w:tcPr>
          <w:p>
            <w:pPr>
              <w:spacing w:after="0"/>
              <w:rPr>
                <w:sz w:val="1"/>
                <w:szCs w:val="1"/>
                <w:color w:val="auto"/>
              </w:rPr>
            </w:pPr>
          </w:p>
        </w:tc>
      </w:tr>
      <w:tr>
        <w:trPr>
          <w:trHeight w:val="183"/>
        </w:trPr>
        <w:tc>
          <w:tcPr>
            <w:tcW w:w="466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8"/>
                <w:szCs w:val="18"/>
                <w:color w:val="auto"/>
              </w:rPr>
              <w:t>Denominator:</w:t>
            </w:r>
          </w:p>
        </w:tc>
        <w:tc>
          <w:tcPr>
            <w:tcW w:w="24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rPr>
              <w:t>Weighted average common shares outstanding</w:t>
            </w:r>
          </w:p>
        </w:tc>
        <w:tc>
          <w:tcPr>
            <w:tcW w:w="2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20,388</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20,093</w:t>
            </w:r>
          </w:p>
        </w:tc>
        <w:tc>
          <w:tcPr>
            <w:tcW w:w="3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—basic</w:t>
            </w:r>
          </w:p>
        </w:tc>
        <w:tc>
          <w:tcPr>
            <w:tcW w:w="2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80"/>
              <w:spacing w:after="0" w:line="202" w:lineRule="exact"/>
              <w:rPr>
                <w:sz w:val="20"/>
                <w:szCs w:val="20"/>
                <w:color w:val="auto"/>
              </w:rPr>
            </w:pPr>
            <w:r>
              <w:rPr>
                <w:rFonts w:ascii="Arial" w:cs="Arial" w:eastAsia="Arial" w:hAnsi="Arial"/>
                <w:sz w:val="18"/>
                <w:szCs w:val="18"/>
                <w:color w:val="auto"/>
              </w:rPr>
              <w:t>Dilutive effect of common stock equivalents</w:t>
            </w:r>
          </w:p>
        </w:tc>
        <w:tc>
          <w:tcPr>
            <w:tcW w:w="2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660" w:type="dxa"/>
            <w:vAlign w:val="bottom"/>
            <w:shd w:val="clear" w:color="auto" w:fill="CFF0FC"/>
          </w:tcPr>
          <w:p>
            <w:pPr>
              <w:ind w:left="380"/>
              <w:spacing w:after="0" w:line="156" w:lineRule="exact"/>
              <w:rPr>
                <w:sz w:val="20"/>
                <w:szCs w:val="20"/>
                <w:color w:val="auto"/>
              </w:rPr>
            </w:pPr>
            <w:r>
              <w:rPr>
                <w:rFonts w:ascii="Arial" w:cs="Arial" w:eastAsia="Arial" w:hAnsi="Arial"/>
                <w:sz w:val="18"/>
                <w:szCs w:val="18"/>
                <w:color w:val="auto"/>
              </w:rPr>
              <w:t>Weighted average common shares outstanding</w:t>
            </w:r>
          </w:p>
        </w:tc>
        <w:tc>
          <w:tcPr>
            <w:tcW w:w="240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20,388</w:t>
            </w:r>
          </w:p>
        </w:tc>
        <w:tc>
          <w:tcPr>
            <w:tcW w:w="400" w:type="dxa"/>
            <w:vAlign w:val="bottom"/>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20,093</w:t>
            </w:r>
          </w:p>
        </w:tc>
        <w:tc>
          <w:tcPr>
            <w:tcW w:w="3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FF0FC"/>
            </w:tcBorders>
            <w:shd w:val="clear" w:color="auto" w:fill="CFF0FC"/>
          </w:tcPr>
          <w:p>
            <w:pPr>
              <w:ind w:left="520"/>
              <w:spacing w:after="0" w:line="156" w:lineRule="exact"/>
              <w:rPr>
                <w:sz w:val="20"/>
                <w:szCs w:val="20"/>
                <w:color w:val="auto"/>
              </w:rPr>
            </w:pPr>
            <w:r>
              <w:rPr>
                <w:rFonts w:ascii="Arial" w:cs="Arial" w:eastAsia="Arial" w:hAnsi="Arial"/>
                <w:sz w:val="18"/>
                <w:szCs w:val="18"/>
                <w:color w:val="auto"/>
              </w:rPr>
              <w:t>—diluted</w:t>
            </w:r>
          </w:p>
        </w:tc>
        <w:tc>
          <w:tcPr>
            <w:tcW w:w="24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60" w:type="dxa"/>
            <w:vAlign w:val="bottom"/>
          </w:tcPr>
          <w:p>
            <w:pPr>
              <w:ind w:left="200"/>
              <w:spacing w:after="0" w:line="182" w:lineRule="exact"/>
              <w:rPr>
                <w:sz w:val="20"/>
                <w:szCs w:val="20"/>
                <w:color w:val="auto"/>
              </w:rPr>
            </w:pPr>
            <w:r>
              <w:rPr>
                <w:rFonts w:ascii="Arial" w:cs="Arial" w:eastAsia="Arial" w:hAnsi="Arial"/>
                <w:sz w:val="18"/>
                <w:szCs w:val="18"/>
                <w:color w:val="auto"/>
              </w:rPr>
              <w:t>Net loss per share common share—diluted</w:t>
            </w:r>
          </w:p>
        </w:tc>
        <w:tc>
          <w:tcPr>
            <w:tcW w:w="3480" w:type="dxa"/>
            <w:vAlign w:val="bottom"/>
            <w:gridSpan w:val="2"/>
          </w:tcPr>
          <w:p>
            <w:pPr>
              <w:jc w:val="right"/>
              <w:ind w:right="888"/>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8"/>
              <w:spacing w:after="0" w:line="182" w:lineRule="exact"/>
              <w:rPr>
                <w:sz w:val="20"/>
                <w:szCs w:val="20"/>
                <w:color w:val="auto"/>
              </w:rPr>
            </w:pPr>
            <w:r>
              <w:rPr>
                <w:rFonts w:ascii="Arial" w:cs="Arial" w:eastAsia="Arial" w:hAnsi="Arial"/>
                <w:sz w:val="18"/>
                <w:szCs w:val="18"/>
                <w:color w:val="auto"/>
              </w:rPr>
              <w:t>(1.48 )</w:t>
            </w:r>
          </w:p>
        </w:tc>
        <w:tc>
          <w:tcPr>
            <w:tcW w:w="1140" w:type="dxa"/>
            <w:vAlign w:val="bottom"/>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FF0FC"/>
          </w:tcPr>
          <w:p>
            <w:pPr>
              <w:ind w:left="200"/>
              <w:spacing w:after="0" w:line="142" w:lineRule="exact"/>
              <w:rPr>
                <w:sz w:val="20"/>
                <w:szCs w:val="20"/>
                <w:color w:val="auto"/>
              </w:rPr>
            </w:pPr>
            <w:r>
              <w:rPr>
                <w:rFonts w:ascii="Arial" w:cs="Arial" w:eastAsia="Arial" w:hAnsi="Arial"/>
                <w:sz w:val="16"/>
                <w:szCs w:val="16"/>
                <w:color w:val="auto"/>
              </w:rPr>
              <w:t>Anti-dilutive common stock equivalents excluded</w:t>
            </w:r>
          </w:p>
        </w:tc>
        <w:tc>
          <w:tcPr>
            <w:tcW w:w="24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4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3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from above</w:t>
            </w:r>
          </w:p>
        </w:tc>
        <w:tc>
          <w:tcPr>
            <w:tcW w:w="2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4660" w:type="dxa"/>
            <w:vAlign w:val="bottom"/>
          </w:tcPr>
          <w:p>
            <w:pPr>
              <w:spacing w:after="0"/>
              <w:rPr>
                <w:sz w:val="24"/>
                <w:szCs w:val="24"/>
                <w:color w:val="auto"/>
              </w:rPr>
            </w:pPr>
          </w:p>
        </w:tc>
        <w:tc>
          <w:tcPr>
            <w:tcW w:w="2400" w:type="dxa"/>
            <w:vAlign w:val="bottom"/>
          </w:tcPr>
          <w:p>
            <w:pPr>
              <w:jc w:val="right"/>
              <w:ind w:right="125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-2553970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-2536825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-2553970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-2536825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-2185035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-2167890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-2185035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-2167890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-1619250</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-1602105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-1619250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-1602105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-873760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-856615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-873760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-856615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2" w:name="page13"/>
    <w:bookmarkEnd w:id="12"/>
    <w:p>
      <w:pPr>
        <w:ind w:right="260"/>
        <w:spacing w:after="0" w:line="261"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For the three months ended December 31, 2021 and 2020, the Company recorded income tax benefits of $36 and $3,294, respectively, both of which were attributable to the Company’s domestic operations. The Company recorded an income tax benefit during the three months ended December 31, 2021 due to release of a tax reserve in connection with a state tax credit. The Company recorded an income tax benefit during the three months ended December 31, 2020 due to the Company’s ability and intent to carryback its current year tax loss under the Coronavirus Aid, Relief and Economic Security Act (the “CARES Act”), which was signed into law in March 2020. As of December 31, 2021, the Company recorded an income tax receivable of $28,751, consisting of an estimated federal net operating loss carryback for fiscal 2021 for which the Company will request a refund in the future.</w:t>
      </w:r>
    </w:p>
    <w:p>
      <w:pPr>
        <w:spacing w:after="0" w:line="5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As of December 31, 2021, the Company has recorded a valuation allowance against all of its net deferred tax assets. The Company continues to believe it more likely that it will not have sufficient taxable income in the future that will allow it to realize all of its existing deferred tax assets. This is due to the fact the Company’s expenses are increasing as it continues to progress its wholly-owned research and development programs, while its royalty revenues from the AbbVie Agreement are not increasing.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2021.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On November 19, 2021, the Company exercised its option to extend the lease term of its existing office and laboratory space at 500 Arsenal Street for an additional 5 years through September 1, 2027. The Company accounted for the extension as a modification and re-assessed the classification of the lease as an operating lease. The total remeasurement of the lease resulted in an increase in the right of use asset and lease liability of $15,076. The updated minimum lease payments related to the 500 Arsenal Street lease as a result of the extension totaled $20,342.</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2021 included in our Annual Report on Form 10-K for that fiscal year which is referred to as our 2021 Form 10-K. Please refer to our note regarding forward-looking statements on page 2 of this Form 10-Q, which is incorporated herein by this reference.</w:t>
      </w:r>
    </w:p>
    <w:p>
      <w:pPr>
        <w:spacing w:after="0" w:line="8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81" w:lineRule="exact"/>
        <w:rPr>
          <w:sz w:val="20"/>
          <w:szCs w:val="20"/>
          <w:color w:val="auto"/>
        </w:rPr>
      </w:pPr>
    </w:p>
    <w:p>
      <w:pPr>
        <w:jc w:val="both"/>
        <w:ind w:left="1020" w:right="360" w:hanging="503"/>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SARS-CoV-2, the virus that causes COVID-19, as well as other coronaviruses;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metapneumovirus, or hMPV, a virus that causes respiratory infection with symptoms similar to RSV.</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had $347.7 million in cash, cash equivalents and short-term and long-term marketable securities at December 31, 2021. In fiscal 2021, we earned $97.1 million in product royalties on AbbVie’s net sales of its HCV regimens. We expect cash flows from our continuing HCV royalties and our existing financial resources will allow us to continue to fund our wholly-owned research and development programs for at least the next two years.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HBV, SARS-CoV-2 and hMPV:</w:t>
      </w:r>
    </w:p>
    <w:p>
      <w:pPr>
        <w:spacing w:after="0" w:line="104" w:lineRule="exact"/>
        <w:rPr>
          <w:sz w:val="20"/>
          <w:szCs w:val="20"/>
          <w:color w:val="auto"/>
        </w:rPr>
      </w:pPr>
    </w:p>
    <w:p>
      <w:pPr>
        <w:ind w:left="1020" w:right="2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RSV:</w:t>
      </w:r>
      <w:r>
        <w:rPr>
          <w:rFonts w:ascii="Arial" w:cs="Arial" w:eastAsia="Arial" w:hAnsi="Arial"/>
          <w:sz w:val="16"/>
          <w:szCs w:val="16"/>
          <w:color w:val="auto"/>
        </w:rPr>
        <w:t xml:space="preserve"> We have a clinical stage program for RSV, for which the lead asset is EDP-938, a potent N-protein inhibitor of activity of both major subgroups of RSV. In addition, we recently announced a clinical candidate, EDP-323, which is an inhibitor of the RSV L-protein.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-305435</wp:posOffset>
            </wp:positionV>
            <wp:extent cx="612902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29020" cy="128905"/>
                    </a:xfrm>
                    <a:prstGeom prst="rect">
                      <a:avLst/>
                    </a:prstGeom>
                    <a:noFill/>
                  </pic:spPr>
                </pic:pic>
              </a:graphicData>
            </a:graphic>
          </wp:anchor>
        </w:drawing>
      </w:r>
    </w:p>
    <w:p>
      <w:pPr>
        <w:ind w:left="1800" w:hanging="384"/>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EDP-938 - N-protein inhibitor candidate</w:t>
      </w:r>
    </w:p>
    <w:p>
      <w:pPr>
        <w:spacing w:after="0" w:line="103" w:lineRule="exact"/>
        <w:rPr>
          <w:rFonts w:ascii="Arial" w:cs="Arial" w:eastAsia="Arial" w:hAnsi="Arial"/>
          <w:sz w:val="18"/>
          <w:szCs w:val="18"/>
          <w:color w:val="auto"/>
        </w:rPr>
      </w:pPr>
    </w:p>
    <w:p>
      <w:pPr>
        <w:ind w:left="2540" w:hanging="375"/>
        <w:spacing w:after="0" w:line="257" w:lineRule="auto"/>
        <w:tabs>
          <w:tab w:leader="none" w:pos="2540" w:val="left"/>
        </w:tabs>
        <w:numPr>
          <w:ilvl w:val="1"/>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RSVP:</w:t>
      </w:r>
      <w:r>
        <w:rPr>
          <w:rFonts w:ascii="Arial" w:cs="Arial" w:eastAsia="Arial" w:hAnsi="Arial"/>
          <w:sz w:val="17"/>
          <w:szCs w:val="17"/>
          <w:i w:val="1"/>
          <w:iCs w:val="1"/>
          <w:color w:val="auto"/>
        </w:rPr>
        <w:t xml:space="preserve"> </w:t>
      </w:r>
      <w:r>
        <w:rPr>
          <w:rFonts w:ascii="Arial" w:cs="Arial" w:eastAsia="Arial" w:hAnsi="Arial"/>
          <w:sz w:val="17"/>
          <w:szCs w:val="17"/>
          <w:color w:val="auto"/>
        </w:rPr>
        <w:t>To confirm our findings outside of a challenge study setting, we conducted the RSVP study to evaluate EDP-938</w:t>
      </w:r>
      <w:r>
        <w:rPr>
          <w:rFonts w:ascii="Arial" w:cs="Arial" w:eastAsia="Arial" w:hAnsi="Arial"/>
          <w:sz w:val="17"/>
          <w:szCs w:val="17"/>
          <w:i w:val="1"/>
          <w:iCs w:val="1"/>
          <w:color w:val="auto"/>
        </w:rPr>
        <w:t xml:space="preserve"> </w:t>
      </w:r>
      <w:r>
        <w:rPr>
          <w:rFonts w:ascii="Arial" w:cs="Arial" w:eastAsia="Arial" w:hAnsi="Arial"/>
          <w:sz w:val="17"/>
          <w:szCs w:val="17"/>
          <w:color w:val="auto"/>
        </w:rPr>
        <w:t>in an adult outpatient population infected with community-acquired RSV and provide us additional information on symptom alleviation and viral load decline. In late 2021, following a period of decreased RSV transmission due to social distancing measures, there was an uptick of RSV activity in various regions of the world, including parts of the United States and Europe, which allowed us to complete enrollment beyond our initial target of 70 patients. We expect to announce topline data in the second quarter of calendar 2022.</w:t>
      </w:r>
    </w:p>
    <w:p>
      <w:pPr>
        <w:spacing w:after="0" w:line="67" w:lineRule="exact"/>
        <w:rPr>
          <w:rFonts w:ascii="Arial" w:cs="Arial" w:eastAsia="Arial" w:hAnsi="Arial"/>
          <w:sz w:val="17"/>
          <w:szCs w:val="17"/>
          <w:color w:val="auto"/>
        </w:rPr>
      </w:pPr>
    </w:p>
    <w:p>
      <w:pPr>
        <w:ind w:left="2540" w:hanging="375"/>
        <w:spacing w:after="0" w:line="241" w:lineRule="auto"/>
        <w:tabs>
          <w:tab w:leader="none" w:pos="2540"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RSVPEDs: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initiated a Phase 2 RSV study called RSVPEDs in pediatric patients. In this dose-ranging,</w:t>
      </w:r>
      <w:r>
        <w:rPr>
          <w:rFonts w:ascii="Arial" w:cs="Arial" w:eastAsia="Arial" w:hAnsi="Arial"/>
          <w:sz w:val="18"/>
          <w:szCs w:val="18"/>
          <w:i w:val="1"/>
          <w:iCs w:val="1"/>
          <w:color w:val="auto"/>
        </w:rPr>
        <w:t xml:space="preserve"> </w:t>
      </w:r>
      <w:r>
        <w:rPr>
          <w:rFonts w:ascii="Arial" w:cs="Arial" w:eastAsia="Arial" w:hAnsi="Arial"/>
          <w:sz w:val="18"/>
          <w:szCs w:val="18"/>
          <w:color w:val="auto"/>
        </w:rPr>
        <w:t>randomized, double-blind, placebo-controlled study, we plan to enroll 90 infants and children aged 28 days to 36 months with RSV-associated respiratory tract infection, including both hospitalized and non-hospitalized patients who will be dosed in 4 age cohorts and will receive EDP-938 or a placebo for 5 days. The study will be conducted in 2 parts. Part 1 will evaluate multiple ascending doses in 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p>
      <w:pPr>
        <w:ind w:left="1877" w:right="160"/>
        <w:spacing w:after="0" w:line="261" w:lineRule="auto"/>
        <w:rPr>
          <w:sz w:val="20"/>
          <w:szCs w:val="20"/>
          <w:color w:val="auto"/>
        </w:rPr>
      </w:pPr>
      <w:r>
        <w:rPr>
          <w:rFonts w:ascii="Arial" w:cs="Arial" w:eastAsia="Arial" w:hAnsi="Arial"/>
          <w:sz w:val="18"/>
          <w:szCs w:val="18"/>
          <w:color w:val="auto"/>
        </w:rPr>
        <w:t>age cohort, with a primary endpoint of safety, tolerability, and pharmacokinetics. Part 2 will evaluate the selected dose from Part 1 across the 4 age cohorts, with a primary endpoint of antiviral activity.</w:t>
      </w:r>
    </w:p>
    <w:p>
      <w:pPr>
        <w:spacing w:after="0" w:line="63" w:lineRule="exact"/>
        <w:rPr>
          <w:sz w:val="20"/>
          <w:szCs w:val="20"/>
          <w:color w:val="auto"/>
        </w:rPr>
      </w:pPr>
    </w:p>
    <w:p>
      <w:pPr>
        <w:ind w:left="1877" w:right="300" w:hanging="375"/>
        <w:spacing w:after="0" w:line="279" w:lineRule="auto"/>
        <w:tabs>
          <w:tab w:leader="none" w:pos="1877"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RSVTx:</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also initiated a Phase 2b study called RSVTx in adult hematopoietic cell transplant recipients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acute RSV infection and symptoms of upper respiratory tract infection.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51" w:lineRule="exact"/>
        <w:rPr>
          <w:rFonts w:ascii="Arial" w:cs="Arial" w:eastAsia="Arial" w:hAnsi="Arial"/>
          <w:sz w:val="16"/>
          <w:szCs w:val="16"/>
          <w:color w:val="auto"/>
        </w:rPr>
      </w:pPr>
    </w:p>
    <w:p>
      <w:pPr>
        <w:ind w:left="1877" w:right="100" w:hanging="375"/>
        <w:spacing w:after="0" w:line="243" w:lineRule="auto"/>
        <w:tabs>
          <w:tab w:leader="none" w:pos="18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Given that the recent uptick of RSV is not following any normal seasonal pattern, as well as the impact of renewed social distancing interventions where both the Delta and Omicron variants has increased the incidence of COVID-19, it is uncertain how significant or sustained the new incidence of RSV will be moving forward and what impact it may have on our on-going RSV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-1233805</wp:posOffset>
            </wp:positionV>
            <wp:extent cx="499745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97450" cy="128905"/>
                    </a:xfrm>
                    <a:prstGeom prst="rect">
                      <a:avLst/>
                    </a:prstGeom>
                    <a:noFill/>
                  </pic:spPr>
                </pic:pic>
              </a:graphicData>
            </a:graphic>
          </wp:anchor>
        </w:drawing>
      </w:r>
    </w:p>
    <w:p>
      <w:pPr>
        <w:spacing w:after="0" w:line="60" w:lineRule="exact"/>
        <w:rPr>
          <w:sz w:val="20"/>
          <w:szCs w:val="20"/>
          <w:color w:val="auto"/>
        </w:rPr>
      </w:pPr>
    </w:p>
    <w:p>
      <w:pPr>
        <w:ind w:left="1137" w:hanging="384"/>
        <w:spacing w:after="0"/>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EDP-323 - L-Inhibitor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Our newest clinical candidate for RSV is a novel oral, direct-acting antiviral selectively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targeting the RSV L-protein, a viral RNA-dependent RNA polymerase enzyme that contains multiple enzymatic activities required for RSV replication. EDP-323 has shown nanomolar potency against RSV-A and RSV-B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is not expected to have cross-resistance to other classes of inhibitors. EDP-323 has the potential to be used alone or in combination with other RSV mechanisms, such as EDP-938, to broaden the treatment window or addressable patient populations. We plan to initiate a Phase 1 study of EDP-323 in the second half of calendar 2022.</w:t>
      </w:r>
    </w:p>
    <w:p>
      <w:pPr>
        <w:spacing w:after="0" w:line="81" w:lineRule="exact"/>
        <w:rPr>
          <w:rFonts w:ascii="Arial" w:cs="Arial" w:eastAsia="Arial" w:hAnsi="Arial"/>
          <w:sz w:val="18"/>
          <w:szCs w:val="18"/>
          <w:color w:val="auto"/>
        </w:rPr>
      </w:pPr>
    </w:p>
    <w:p>
      <w:pPr>
        <w:ind w:left="377" w:right="260" w:hanging="373"/>
        <w:spacing w:after="0" w:line="262" w:lineRule="auto"/>
        <w:tabs>
          <w:tab w:leader="none" w:pos="37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(NUC), with EDP-514 and one or more other mechanisms, which could lead to a functional cure for patients with chronic HBV infection.</w:t>
      </w:r>
    </w:p>
    <w:p>
      <w:pPr>
        <w:spacing w:after="0" w:line="64" w:lineRule="exact"/>
        <w:rPr>
          <w:rFonts w:ascii="Arial" w:cs="Arial" w:eastAsia="Arial" w:hAnsi="Arial"/>
          <w:sz w:val="17"/>
          <w:szCs w:val="17"/>
          <w:color w:val="auto"/>
        </w:rPr>
      </w:pPr>
    </w:p>
    <w:p>
      <w:pPr>
        <w:ind w:left="1137" w:right="60" w:hanging="384"/>
        <w:spacing w:after="0" w:line="276"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EDP-514 - Phase 1a/b</w:t>
      </w:r>
      <w:r>
        <w:rPr>
          <w:rFonts w:ascii="Arial" w:cs="Arial" w:eastAsia="Arial" w:hAnsi="Arial"/>
          <w:sz w:val="16"/>
          <w:szCs w:val="16"/>
          <w:i w:val="1"/>
          <w:iCs w:val="1"/>
          <w:color w:val="auto"/>
        </w:rPr>
        <w:t xml:space="preserve"> </w:t>
      </w:r>
      <w:r>
        <w:rPr>
          <w:rFonts w:ascii="Arial" w:cs="Arial" w:eastAsia="Arial" w:hAnsi="Arial"/>
          <w:sz w:val="16"/>
          <w:szCs w:val="16"/>
          <w:color w:val="auto"/>
        </w:rPr>
        <w:t>- Our initial study of EDP-514 was a randomized, double-blind, placebo-controlled Phase 1a/1b study</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in two parts. Part 1 of the study in healthy subjects demonstrated that EDP-514 is well-tolerated with a favorable safety profile and has a pharmacokinetic profile supportive of once-daily dosing. In Part 2, we studied EDP-514 in chronic HBV patients already being treated with a marketed NUC, which we refer to as NUC-suppressed patients. Data showed that the 200mg, 400mg and 800mg doses were safe and well tolerated, with pharmacokinetics (PK) supportive of once daily dosing, and antiviral activity demonstrating reductions in circulating HBV RNA levels as expected for this class in a short treatment duration study.</w:t>
      </w:r>
    </w:p>
    <w:p>
      <w:pPr>
        <w:spacing w:after="0" w:line="53" w:lineRule="exact"/>
        <w:rPr>
          <w:rFonts w:ascii="Arial" w:cs="Arial" w:eastAsia="Arial" w:hAnsi="Arial"/>
          <w:sz w:val="16"/>
          <w:szCs w:val="16"/>
          <w:color w:val="auto"/>
        </w:rPr>
      </w:pPr>
    </w:p>
    <w:p>
      <w:pPr>
        <w:ind w:left="1137" w:right="100" w:hanging="384"/>
        <w:spacing w:after="0" w:line="255" w:lineRule="auto"/>
        <w:tabs>
          <w:tab w:leader="none" w:pos="1137" w:val="left"/>
        </w:tabs>
        <w:numPr>
          <w:ilvl w:val="1"/>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Phase 1b study in Viremic HBV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 In addition, we conducted a second Phase 1b study, to evaluate EDP-514 in</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HBV patients with high viral load not currently on treatment, which we refer to as viremic patients. Results demonstrated that EDP-514 was safe and well-tolerated through 28 days of treatment, displayed pharmacokinetics supportive of once-daily dosing, with trough concentrations up to 20-fold the protein adjusted EC50</w:t>
      </w:r>
      <w:r>
        <w:rPr>
          <w:rFonts w:ascii="Arial" w:cs="Arial" w:eastAsia="Arial" w:hAnsi="Arial"/>
          <w:sz w:val="11"/>
          <w:szCs w:val="11"/>
          <w:color w:val="auto"/>
        </w:rPr>
        <w:t>,</w:t>
      </w:r>
      <w:r>
        <w:rPr>
          <w:rFonts w:ascii="Arial" w:cs="Arial" w:eastAsia="Arial" w:hAnsi="Arial"/>
          <w:sz w:val="17"/>
          <w:szCs w:val="17"/>
          <w:color w:val="auto"/>
        </w:rPr>
        <w:t xml:space="preserve"> the latter of which is a common measure of a compound's potency </w:t>
      </w:r>
      <w:r>
        <w:rPr>
          <w:rFonts w:ascii="Arial" w:cs="Arial" w:eastAsia="Arial" w:hAnsi="Arial"/>
          <w:sz w:val="17"/>
          <w:szCs w:val="17"/>
          <w:i w:val="1"/>
          <w:iCs w:val="1"/>
          <w:color w:val="auto"/>
        </w:rPr>
        <w:t>in vitro</w:t>
      </w:r>
      <w:r>
        <w:rPr>
          <w:rFonts w:ascii="Arial" w:cs="Arial" w:eastAsia="Arial" w:hAnsi="Arial"/>
          <w:sz w:val="17"/>
          <w:szCs w:val="17"/>
          <w:color w:val="auto"/>
        </w:rPr>
        <w:t>. Mean HBV DNA reductions of 2.9, 3.3, and 3.5 logs at 28 days were observed in the 200 mg, 400 mg, and 800 mg cohorts, respectively, compared to 0.2 log in placebo. Mean HBV RNA reduction of the three viremic treatment cohorts was at least 2 logs compared to a 0.02 log reduction in the placebo group.</w:t>
      </w:r>
    </w:p>
    <w:p>
      <w:pPr>
        <w:spacing w:after="0" w:line="71" w:lineRule="exact"/>
        <w:rPr>
          <w:rFonts w:ascii="Arial" w:cs="Arial" w:eastAsia="Arial" w:hAnsi="Arial"/>
          <w:sz w:val="17"/>
          <w:szCs w:val="17"/>
          <w:color w:val="auto"/>
        </w:rPr>
      </w:pPr>
    </w:p>
    <w:p>
      <w:pPr>
        <w:ind w:left="377" w:hanging="377"/>
        <w:spacing w:after="0" w:line="241" w:lineRule="auto"/>
        <w:tabs>
          <w:tab w:leader="none" w:pos="37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highlight w:val="white"/>
        </w:rPr>
        <w:t>: Since we announced our discovery program to develop a direct-acting antiviral for the treatment of COVID-19, we have been</w:t>
      </w:r>
      <w:r>
        <w:rPr>
          <w:rFonts w:ascii="Arial" w:cs="Arial" w:eastAsia="Arial" w:hAnsi="Arial"/>
          <w:sz w:val="18"/>
          <w:szCs w:val="18"/>
          <w:color w:val="auto"/>
        </w:rPr>
        <w:t xml:space="preserve"> leveraging our expertise in protease inhibitors to discover new compounds specifically designed to target the SARS-CoV-2 virus and potentially other coronaviruses. We have filed an Investigational New Drug Application, or IND, for our first clinical candidate, EDP-235, an oral inhibitor of coronavirus 3CL protease, also referred to as the main coronavirus protease, or Mpro and we are on schedule to begin dosing under our active IND in a first-in-human study in February 2022.</w:t>
      </w:r>
    </w:p>
    <w:p>
      <w:pPr>
        <w:spacing w:after="0" w:line="81" w:lineRule="exact"/>
        <w:rPr>
          <w:rFonts w:ascii="Arial" w:cs="Arial" w:eastAsia="Arial" w:hAnsi="Arial"/>
          <w:sz w:val="18"/>
          <w:szCs w:val="18"/>
          <w:color w:val="auto"/>
        </w:rPr>
      </w:pPr>
    </w:p>
    <w:p>
      <w:pPr>
        <w:ind w:left="1137" w:hanging="384"/>
        <w:spacing w:after="0" w:line="272"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EDP-235</w:t>
      </w:r>
      <w:r>
        <w:rPr>
          <w:rFonts w:ascii="Arial" w:cs="Arial" w:eastAsia="Arial" w:hAnsi="Arial"/>
          <w:sz w:val="16"/>
          <w:szCs w:val="16"/>
          <w:i w:val="1"/>
          <w:iCs w:val="1"/>
          <w:color w:val="auto"/>
        </w:rPr>
        <w:t xml:space="preserve"> </w:t>
      </w:r>
      <w:r>
        <w:rPr>
          <w:rFonts w:ascii="Arial" w:cs="Arial" w:eastAsia="Arial" w:hAnsi="Arial"/>
          <w:sz w:val="16"/>
          <w:szCs w:val="16"/>
          <w:color w:val="auto"/>
        </w:rPr>
        <w:t>- In a biochemical assay, EDP-235 inhibited the SARS-CoV-2 3CL protease with an IC</w:t>
      </w:r>
      <w:r>
        <w:rPr>
          <w:rFonts w:ascii="Arial" w:cs="Arial" w:eastAsia="Arial" w:hAnsi="Arial"/>
          <w:sz w:val="11"/>
          <w:szCs w:val="11"/>
          <w:color w:val="auto"/>
        </w:rPr>
        <w:t>50</w:t>
      </w:r>
      <w:r>
        <w:rPr>
          <w:rFonts w:ascii="Arial" w:cs="Arial" w:eastAsia="Arial" w:hAnsi="Arial"/>
          <w:sz w:val="16"/>
          <w:szCs w:val="16"/>
          <w:i w:val="1"/>
          <w:iCs w:val="1"/>
          <w:color w:val="auto"/>
        </w:rPr>
        <w:t xml:space="preserve"> </w:t>
      </w:r>
      <w:r>
        <w:rPr>
          <w:rFonts w:ascii="Arial" w:cs="Arial" w:eastAsia="Arial" w:hAnsi="Arial"/>
          <w:sz w:val="16"/>
          <w:szCs w:val="16"/>
          <w:color w:val="auto"/>
        </w:rPr>
        <w:t>of 5.8 nM. Importantly, this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was retained against the 3CL protease from a range of SARS-CoV-2 variants, including the 3CL protease in the Delta and Omicron variants. EDP-235 potently blocked SARS-CoV-2 replication in multiple cellular models, including primary human airway epithelial cells, where an EC</w:t>
      </w:r>
      <w:r>
        <w:rPr>
          <w:rFonts w:ascii="Arial" w:cs="Arial" w:eastAsia="Arial" w:hAnsi="Arial"/>
          <w:sz w:val="11"/>
          <w:szCs w:val="11"/>
          <w:color w:val="auto"/>
        </w:rPr>
        <w:t>90</w:t>
      </w:r>
      <w:r>
        <w:rPr>
          <w:rFonts w:ascii="Arial" w:cs="Arial" w:eastAsia="Arial" w:hAnsi="Arial"/>
          <w:sz w:val="16"/>
          <w:szCs w:val="16"/>
          <w:color w:val="auto"/>
        </w:rPr>
        <w:t xml:space="preserve"> of 33 nM was observed. Additionally, EDP-235 was shown to have potent antiviral activity across other human coronaviruses. EDP-235 had good permeability in human Caco-2 cells with a low plasma clearance in human liver microsomes. Consistent with this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EDP-235 had robust plasma exposure with an oral bioavailability of 95% in rats. Moreover, EDP-235 had favorable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penetration into multiple target tissues, including lung. Based on allometric scaling, EDP-235 is projected to have a long half-life of 16 hours with a projected efficacious human dose of 100 to 500 mg once-daily.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-4993005</wp:posOffset>
            </wp:positionV>
            <wp:extent cx="405447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54475" cy="12890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-4152900</wp:posOffset>
            </wp:positionV>
            <wp:extent cx="596646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-3569970</wp:posOffset>
            </wp:positionV>
            <wp:extent cx="471487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14875" cy="12890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-1049655</wp:posOffset>
            </wp:positionV>
            <wp:extent cx="402018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20185" cy="128905"/>
                    </a:xfrm>
                    <a:prstGeom prst="rect">
                      <a:avLst/>
                    </a:prstGeom>
                    <a:noFill/>
                  </pic:spPr>
                </pic:pic>
              </a:graphicData>
            </a:graphic>
          </wp:anchor>
        </w:drawing>
      </w:r>
    </w:p>
    <w:p>
      <w:pPr>
        <w:spacing w:after="0" w:line="148" w:lineRule="exact"/>
        <w:rPr>
          <w:sz w:val="20"/>
          <w:szCs w:val="20"/>
          <w:color w:val="auto"/>
        </w:rPr>
      </w:pPr>
    </w:p>
    <w:p>
      <w:pPr>
        <w:ind w:left="4877"/>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7"/>
          </w:cols>
          <w:pgMar w:left="983" w:top="436" w:right="359" w:bottom="1440" w:gutter="0" w:footer="0" w:header="0"/>
        </w:sectPr>
      </w:pPr>
    </w:p>
    <w:bookmarkStart w:id="15" w:name="page16"/>
    <w:bookmarkEnd w:id="15"/>
    <w:p>
      <w:pPr>
        <w:ind w:left="1020" w:right="10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hMPV</w:t>
      </w:r>
      <w:r>
        <w:rPr>
          <w:rFonts w:ascii="Arial" w:cs="Arial" w:eastAsia="Arial" w:hAnsi="Arial"/>
          <w:sz w:val="16"/>
          <w:szCs w:val="16"/>
          <w:color w:val="auto"/>
          <w:highlight w:val="white"/>
        </w:rPr>
        <w:t>: Since announcing our new drug discovery effort for human metapneumovirus, or hMPV, in January 2020, we have been optimizing</w:t>
      </w:r>
      <w:r>
        <w:rPr>
          <w:rFonts w:ascii="Arial" w:cs="Arial" w:eastAsia="Arial" w:hAnsi="Arial"/>
          <w:sz w:val="16"/>
          <w:szCs w:val="16"/>
          <w:color w:val="auto"/>
        </w:rPr>
        <w:t xml:space="preserve"> nanomolar inhibitor leads against this virus and are working toward selecting our first clinical candidate for this indication later in 2022.</w:t>
      </w:r>
    </w:p>
    <w:p>
      <w:pPr>
        <w:spacing w:after="0" w:line="11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6172200" cy="31286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220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and MAVIRET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(ex-U.S.), is referred to in this report as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and roll out vaccinations worldwide, as well as the cumulative economic impact of all of these factors. Additionally, as new, more infectious variants emerge, such as the Delta and Omicron variants, it is possible that the impact of the pandemic on our business may continue or change.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right="160"/>
        <w:spacing w:after="0" w:line="243" w:lineRule="auto"/>
        <w:rPr>
          <w:sz w:val="20"/>
          <w:szCs w:val="20"/>
          <w:color w:val="auto"/>
        </w:rPr>
      </w:pPr>
      <w:r>
        <w:rPr>
          <w:rFonts w:ascii="Arial" w:cs="Arial" w:eastAsia="Arial" w:hAnsi="Arial"/>
          <w:sz w:val="18"/>
          <w:szCs w:val="18"/>
          <w:color w:val="auto"/>
        </w:rPr>
        <w:t>We are continuing to assess and manage the potential impact of the COVID-19 pandemic on our business and operations, including our expenses, clinical trials and royalty revenue. While the majority of our employees were working from home during the first 16 months of of the pandemic, as we prepare to transition back to working on site, the majority of our employees are now working hybrid schedules while our scientific personnel are working in our laboratories.</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In addition, the mitigation steps to manage the COVID-19 pandemic in the past year have suppressed the global incidence of RSV and respiratory illnesses other than COVID-19, which had adversely affected enrollment in our RSVP study. We also continue to experience a variety of more minor interruptions and complications in our other clinical trials, such as limitations in clinical trial supplies other than drug product, as well as local changes in COVID-19 impacts at individual trial sites. While our ongoing trials are proceeding, it is unclear what further impact, if any, the COVID-19 pandemic may have on the timeline for enrollment and/or completion of all or any of our clinical trials.</w:t>
      </w:r>
    </w:p>
    <w:p>
      <w:pPr>
        <w:spacing w:after="0" w:line="7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With regard to our royalty revenue, we have continued to report lower royalty revenue during our fiscal 2021 and into fiscal 2022 as compared to periods ending before March 2020 due to the worldwide impact of the COVID-19 pandemic. The pandemic resulted in a decline in patient volumes, HCV diagnoses, HCV prescriptions and sales of MAVYRET/MAVIRET.</w:t>
      </w:r>
    </w:p>
    <w:p>
      <w:pPr>
        <w:spacing w:after="0" w:line="7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While the evolving impact of COVID-19 will likely continue to affect aspects of our business, including those described above, we remain capable of funding our research and development programs for at least the next two years with the current level of royalty revenue and our existing cash and short-term and long-term investments, which totaled $347.7 million at December 31, 2021.</w:t>
      </w:r>
    </w:p>
    <w:p>
      <w:pPr>
        <w:spacing w:after="0" w:line="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Please see Item 1A “Risk Factors” in this Form 10-Q for additional discussion of risks and potential risks of the COVID-19 pandemic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We currently have three Phase 2 studies ongoing for our wholly-owned program in RSV and two Phase 1 studies in our HBV program. We are also progressing other compounds into preclinical development in our RSV, HBV and SARS-CoV-2 programs as well as pursuing drug discovery efforts in hMPV.</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fiscal 2021 and into 2022, our business has been impacted by the COVID-19 pandemic. Specifically, AbbVie continues to report lower HCV revenues as a result of lower treated patient volumes. In addition, in 2021, we experienced slower enrollment in the clinical studies in our RSV program as a result of suppression of the incidence of respiratory illnesses globally (other than COVID-19) due to mitigation measures intended to suppress SARS-CoV-2.</w:t>
      </w:r>
    </w:p>
    <w:p>
      <w:pPr>
        <w:spacing w:after="0" w:line="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2022 than in 2021 as we continue to advance our RSV, HBV, SARS-CoV-2 and hMPV programs. However, if the COVID-19 pandemic further slows our research and development programs, it will reduce our spending in those areas in the near term.</w:t>
      </w:r>
    </w:p>
    <w:p>
      <w:pPr>
        <w:spacing w:after="0" w:line="5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levels of our future expenditures for the advancement of our internally developed compounds, we expect to continue to have net losses in fiscal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0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71"/>
              </w:rPr>
              <w:t>thousands)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48,549</w:t>
            </w:r>
          </w:p>
        </w:tc>
        <w:tc>
          <w:tcPr>
            <w:tcW w:w="8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36,665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9,508</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7,377</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58,057</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44,042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4" w:lineRule="exact"/>
        <w:rPr>
          <w:sz w:val="20"/>
          <w:szCs w:val="20"/>
          <w:color w:val="auto"/>
        </w:rPr>
      </w:pPr>
    </w:p>
    <w:p>
      <w:pPr>
        <w:ind w:left="1020" w:right="7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04"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80"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Other income (expense), net consists of interest and investment income and any change in fair value of our outstanding Series 1 nonconvertible preferred stock. Interest income consists of interest earned on our cash equivalents and short-term and long-term marketable securities balances as well as interest earned on any refunds received from tax authorities. Investment income consists of the amortization or accretion of any purchased premium or discount on our short-term and long-term marketable securities. The change in fair value of our Series 1 nonconvertible preferred stock relates to the remeasurement of these financial instruments from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right="840"/>
        <w:spacing w:after="0" w:line="360" w:lineRule="auto"/>
        <w:rPr>
          <w:sz w:val="20"/>
          <w:szCs w:val="20"/>
          <w:color w:val="auto"/>
        </w:rPr>
      </w:pPr>
      <w:r>
        <w:rPr>
          <w:rFonts w:ascii="Arial" w:cs="Arial" w:eastAsia="Arial" w:hAnsi="Arial"/>
          <w:sz w:val="18"/>
          <w:szCs w:val="18"/>
          <w:color w:val="auto"/>
        </w:rPr>
        <w:t xml:space="preserve">period to period as these instruments may require a transfer of assets because of the liquidation preference features of the underlying instrument. </w:t>
      </w:r>
      <w:r>
        <w:rPr>
          <w:rFonts w:ascii="Arial" w:cs="Arial" w:eastAsia="Arial" w:hAnsi="Arial"/>
          <w:sz w:val="18"/>
          <w:szCs w:val="18"/>
          <w:b w:val="1"/>
          <w:bCs w:val="1"/>
          <w:i w:val="1"/>
          <w:iCs w:val="1"/>
          <w:color w:val="auto"/>
        </w:rPr>
        <w:t>Income Tax Benefit</w:t>
      </w:r>
    </w:p>
    <w:p>
      <w:pPr>
        <w:jc w:val="both"/>
        <w:ind w:right="60"/>
        <w:spacing w:after="0" w:line="248" w:lineRule="auto"/>
        <w:rPr>
          <w:sz w:val="20"/>
          <w:szCs w:val="20"/>
          <w:color w:val="auto"/>
        </w:rPr>
      </w:pPr>
      <w:r>
        <w:rPr>
          <w:rFonts w:ascii="Arial" w:cs="Arial" w:eastAsia="Arial" w:hAnsi="Arial"/>
          <w:sz w:val="18"/>
          <w:szCs w:val="18"/>
          <w:color w:val="auto"/>
        </w:rPr>
        <w:t>The income tax benefit is generally the result of federal and state tax benefits, releases of tax reserves or tax refunds due as a result of tax losses generated in the period which are able to be carried back to prior years under the Coronavirus Aid, Relief and Economic Security Act (“CARES Act”). The benefit of the CARES Act is not available in fiscal 2022 and subsequent years.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71"/>
              </w:rPr>
              <w:t>thousands)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1040" w:type="dxa"/>
            <w:vAlign w:val="bottom"/>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27,648</w:t>
            </w:r>
          </w:p>
        </w:tc>
        <w:tc>
          <w:tcPr>
            <w:tcW w:w="860" w:type="dxa"/>
            <w:vAlign w:val="bottom"/>
            <w:gridSpan w:val="3"/>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31,743</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36,665</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677</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FF2FC"/>
          </w:tcPr>
          <w:p>
            <w:pPr>
              <w:spacing w:after="0"/>
              <w:rPr>
                <w:sz w:val="17"/>
                <w:szCs w:val="17"/>
                <w:color w:val="auto"/>
              </w:rPr>
            </w:pPr>
          </w:p>
        </w:tc>
        <w:tc>
          <w:tcPr>
            <w:tcW w:w="58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FF2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3,294</w:t>
            </w:r>
          </w:p>
        </w:tc>
        <w:tc>
          <w:tcPr>
            <w:tcW w:w="6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04"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recognized royalty revenue of $27.6 million during the three months ended December 31, 2021 as compared to $31.7 million during the three months ended December 31, 2020. The $4.1 million decrease in royalty revenue was due to AbbVie’s lower reported HCV sales as compared to the comparable period in 2020. HCV patient volumes continue to remain below pre-COVID-19 levels.</w:t>
      </w:r>
    </w:p>
    <w:p>
      <w:pPr>
        <w:sectPr>
          <w:pgSz w:w="11900" w:h="16838" w:orient="portrait"/>
          <w:cols w:equalWidth="0" w:num="1">
            <w:col w:w="11240"/>
          </w:cols>
          <w:pgMar w:left="320" w:top="436" w:right="3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ind w:left="200"/>
        <w:spacing w:after="0"/>
        <w:rPr>
          <w:sz w:val="20"/>
          <w:szCs w:val="20"/>
          <w:color w:val="auto"/>
        </w:rPr>
      </w:pPr>
      <w:r>
        <w:rPr>
          <w:rFonts w:ascii="Arial" w:cs="Arial" w:eastAsia="Arial" w:hAnsi="Arial"/>
          <w:sz w:val="18"/>
          <w:szCs w:val="18"/>
          <w:color w:val="auto"/>
        </w:rPr>
        <w:t>Liver disease (non-viral)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80"/>
        </w:trPr>
        <w:tc>
          <w:tcPr>
            <w:tcW w:w="40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1"/>
              </w:rPr>
              <w:t>thousands)</w:t>
            </w:r>
          </w:p>
        </w:tc>
        <w:tc>
          <w:tcPr>
            <w:tcW w:w="1140" w:type="dxa"/>
            <w:vAlign w:val="bottom"/>
          </w:tcPr>
          <w:p>
            <w:pPr>
              <w:spacing w:after="0"/>
              <w:rPr>
                <w:sz w:val="15"/>
                <w:szCs w:val="15"/>
                <w:color w:val="auto"/>
              </w:rPr>
            </w:pPr>
          </w:p>
        </w:tc>
      </w:tr>
      <w:tr>
        <w:trPr>
          <w:trHeight w:val="38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42,522</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24,588</w:t>
            </w:r>
          </w:p>
        </w:tc>
      </w:tr>
      <w:tr>
        <w:trPr>
          <w:trHeight w:val="203"/>
        </w:trPr>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5,554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11,197</w:t>
            </w:r>
          </w:p>
        </w:tc>
      </w:tr>
      <w:tr>
        <w:trPr>
          <w:trHeight w:val="217"/>
        </w:trPr>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196"/>
        </w:trPr>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48,549</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36,665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-676275</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-419100</wp:posOffset>
            </wp:positionV>
            <wp:extent cx="713232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-153670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436"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9" w:name="page20"/>
    <w:bookmarkEnd w:id="19"/>
    <w:p>
      <w:pPr>
        <w:ind w:right="40"/>
        <w:spacing w:after="0" w:line="256" w:lineRule="auto"/>
        <w:rPr>
          <w:sz w:val="20"/>
          <w:szCs w:val="20"/>
          <w:color w:val="auto"/>
        </w:rPr>
      </w:pPr>
      <w:r>
        <w:rPr>
          <w:rFonts w:ascii="Arial" w:cs="Arial" w:eastAsia="Arial" w:hAnsi="Arial"/>
          <w:sz w:val="16"/>
          <w:szCs w:val="16"/>
          <w:color w:val="auto"/>
        </w:rPr>
        <w:t>The level of research and development expenses for the three months ended December 31, 2021 increased by $11.9 million compared to the same period in 2020. The increase was primarily driven by the timing of our manufacturing in support of our clinical studies in our virology programs, partially offset by a decrease in clinical trial expenses in our liver disease program. For our virology program, we had our ongoing two Phase 1b studies of EDP-514 in chronic HBV as well as three Phase 2 studies of EDP-938 in RSV and were preparing for our Phase 1 study of EDP-235 in our COVID-19 program. For our liver disease program, we announced in October 2021 that we would not continue to develop our non-alcoholic steatohepatitis, or NASH, FXR agonists further and pursue an out-license strategy for further development. In the prior year, we had our clinical study of EDP-514 in a Phase 1a study and our ongoing Phase 2 RSVP study of EDP-938 and in our liver disease program our Phase 2 study of ARGON-2 and Phase 1 study of EDP-297.</w:t>
      </w:r>
    </w:p>
    <w:p>
      <w:pPr>
        <w:spacing w:after="0" w:line="138" w:lineRule="exact"/>
        <w:rPr>
          <w:sz w:val="20"/>
          <w:szCs w:val="20"/>
          <w:color w:val="auto"/>
        </w:rPr>
      </w:pPr>
    </w:p>
    <w:p>
      <w:pPr>
        <w:jc w:val="both"/>
        <w:ind w:right="500"/>
        <w:spacing w:after="0" w:line="235"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2022 and negatively impacts patient recruitment and monitoring. In the coming years, we expect our research and development expenses to increase as our wholly-owned programs advance, subject to any longer-term impact of the COVID-19 pandemic.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General and administrative expenses increased by $2.1 million for the three months ended December 31, 2021 compared to the same period in 2020. The increase was primarily due to increases in headcount and related compensation expense in support of expansion of our research and development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Other income (expense), net, decreased $0.4 million for the three months ended December 31, 2021 as compared to the same period in 2020 due to lower invested cash balances and lower investment yield on our marketable securities purchased in 2021 as compared to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0"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For the three months ended December 31, 2021 and 2020, we recorded an income tax benefit of less than $0.1 million and $3.3 million, respectively. For the three months ended December 31, 2021, our minor tax benefit was driven by release of a tax reserve in connection with a state tax credit. In the prior year, our income tax benefit was driven by a federal net operating loss carryback available under the CARES Act for our fiscal year 2021. We continue to record a valuation allowance against substantially all of our deferred tax assets as it is more likely than not that those tax benefits will not be realized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fund our operations with cash flows from our royalty revenue and our existing financial resources. At December 31, 2021, our principal sources of liquidity were cash, cash equivalents and short-term and long-term marketable securities totaling $347.7 million, compared to $352.4 million at September 30,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December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5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7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30"/>
              <w:spacing w:after="0"/>
              <w:rPr>
                <w:sz w:val="20"/>
                <w:szCs w:val="20"/>
                <w:color w:val="auto"/>
              </w:rPr>
            </w:pPr>
            <w:r>
              <w:rPr>
                <w:rFonts w:ascii="Arial" w:cs="Arial" w:eastAsia="Arial" w:hAnsi="Arial"/>
                <w:sz w:val="13"/>
                <w:szCs w:val="13"/>
                <w:b w:val="1"/>
                <w:bCs w:val="1"/>
                <w:color w:val="auto"/>
                <w:w w:val="74"/>
              </w:rPr>
              <w:t>thousands)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provided by (used in):</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380"/>
              <w:spacing w:after="0" w:line="202" w:lineRule="exact"/>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w w:val="97"/>
              </w:rPr>
              <w:t>(13,271 )</w:t>
            </w: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(14,890 )</w:t>
            </w:r>
          </w:p>
        </w:tc>
      </w:tr>
      <w:tr>
        <w:trPr>
          <w:trHeight w:val="203"/>
        </w:trPr>
        <w:tc>
          <w:tcPr>
            <w:tcW w:w="7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45,501</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(17,445 )</w:t>
            </w:r>
          </w:p>
        </w:tc>
      </w:tr>
      <w:tr>
        <w:trPr>
          <w:trHeight w:val="203"/>
        </w:trPr>
        <w:tc>
          <w:tcPr>
            <w:tcW w:w="7520" w:type="dxa"/>
            <w:vAlign w:val="bottom"/>
          </w:tcPr>
          <w:p>
            <w:pPr>
              <w:ind w:left="380"/>
              <w:spacing w:after="0" w:line="202" w:lineRule="exact"/>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9,632</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w:t>
            </w:r>
          </w:p>
        </w:tc>
        <w:tc>
          <w:tcPr>
            <w:tcW w:w="8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Net increase (decrease) in cash, cash equivalents and restricted cash</w:t>
            </w:r>
          </w:p>
        </w:tc>
        <w:tc>
          <w:tcPr>
            <w:tcW w:w="1080" w:type="dxa"/>
            <w:vAlign w:val="bottom"/>
            <w:tcBorders>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41,862</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(32,036</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$13.3 million for the three months ended December 31, 2021 as compared to cash used in operating activities of</w:t>
      </w:r>
    </w:p>
    <w:p>
      <w:pPr>
        <w:spacing w:after="0" w:line="3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$14.9 million for the same period in 2020. Our cash used in operating activities decreased $1.6 million, driven by a federal tax refund of $8.5 million and offset by an increase in research and development costs incurred year-over-year.</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For the foreseeable future, we expect to incur substantial costs associated with research and development for our internally developed programs.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Net cash provided (used in) investing activities</w:t>
      </w:r>
    </w:p>
    <w:p>
      <w:pPr>
        <w:spacing w:after="0" w:line="1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increase of $62.9 million in cash provided by investing activities during 2021 as compared to the same period in 2020 was driven by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increase in net cash provided by financing activities during 2021 as compared to the same period in 2020 was driven by an increase in stock option exercises due to an increase in our stock price year-over-year.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of December 31, 2021 we had $347.7 million in cash, cash equivalents and short-term and long-term marketable securities. We believe that our existing cash, cash equivalents and marketable securities as of December 31, 2021 will be sufficient to meet our anticipated cash requirements for at least the next two years. However, our forecast of the period of time through which our financial resources will be adequate to support our operations is a forward-looking statement that involves risks and uncertainties, and actual results could vary materially.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 continuing;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and therapeutic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our 2021 Form 10-K Part II, Item 7, Management’s Discussion and Analysis of Financial Conditions and Results of Operations, under the heading “Contractual Obligations and Commitments”, we have described our commitments and contingencies.</w:t>
      </w:r>
    </w:p>
    <w:p>
      <w:pPr>
        <w:spacing w:after="0" w:line="6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During the three months ended December 31, 2021, we exercised our option to extend our lease located at 500 Arsenal Street in Watertown, Massachusetts for an additional 5 years through September 1, 2027. The updated minimum lease payments through the remainder of the lease totaled $20.3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2021 (referred to as our 2021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275" w:lineRule="exact"/>
        <w:rPr>
          <w:sz w:val="20"/>
          <w:szCs w:val="20"/>
          <w:color w:val="auto"/>
        </w:rPr>
      </w:pPr>
    </w:p>
    <w:p>
      <w:pPr>
        <w:ind w:right="4100"/>
        <w:spacing w:after="0" w:line="362"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b w:val="1"/>
          <w:bCs w:val="1"/>
          <w:i w:val="1"/>
          <w:iCs w:val="1"/>
          <w:color w:val="auto"/>
        </w:rPr>
        <w:t>Interest Rate Sensitivity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had cash, cash equivalents and short-term and long-term marketable securities of $347.7 million at December 31, 2021 consisting of cash, money market funds,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three months ended December 31, 2021,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2" w:name="page23"/>
    <w:bookmarkEnd w:id="22"/>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December 31, 2021 that has materially affected, or is reasonably likely to materially affect, our internal control over financial reporting.</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652" w:right="6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300"/>
        <w:spacing w:after="0"/>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in the short term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0" w:lineRule="exact"/>
        <w:rPr>
          <w:sz w:val="20"/>
          <w:szCs w:val="20"/>
          <w:color w:val="auto"/>
        </w:rPr>
      </w:pPr>
    </w:p>
    <w:p>
      <w:pPr>
        <w:ind w:left="1020" w:right="1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w:t>
      </w:r>
    </w:p>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4" w:name="page25"/>
    <w:bookmarkEnd w:id="24"/>
    <w:p>
      <w:pPr>
        <w:ind w:right="100"/>
        <w:spacing w:after="0" w:line="266"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6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14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SARS-CoV-2 and hMPV which may result in others discovering, developing or commercializing products before we do or doing so more successfully than we do.</w:t>
      </w:r>
    </w:p>
    <w:p>
      <w:pPr>
        <w:spacing w:after="0" w:line="16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SARS-CoV-2 and hMPV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18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5" w:name="page26"/>
    <w:bookmarkEnd w:id="25"/>
    <w:p>
      <w:pPr>
        <w:ind w:right="40"/>
        <w:spacing w:after="0"/>
        <w:rPr>
          <w:sz w:val="20"/>
          <w:szCs w:val="20"/>
          <w:color w:val="auto"/>
        </w:rPr>
      </w:pPr>
      <w:r>
        <w:rPr>
          <w:rFonts w:ascii="Arial" w:cs="Arial" w:eastAsia="Arial" w:hAnsi="Arial"/>
          <w:sz w:val="18"/>
          <w:szCs w:val="18"/>
          <w:color w:val="auto"/>
        </w:rPr>
        <w:t>Similarly, HBV, RSV and COVID-19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Tasly, Vaccitech, VBI Vaccines and Vir Biotechnology have Phase 2 programs in progress, with many of these companies conducting earlier stage programs as well. In addition, a number of companies have Phase 1 or earlier stage HBV programs.</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to develop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15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Currently, there are two Emergency Use Authorizations of oral antiviral treatments for non-hospitalized, high-risk patients with SARS-CoV-2 infection: Paxlovid, a 3CL protease inhibitor, and Molnupiravir, a polymerase inhibitor. Additionally, there are companies developing oral direct acting antivirals for SARS-CoV-2 that are currently in Phase 2 or 3 studies including Atea, Shionogi, Toyama, and Todos as well as compounds in Phase 1 studies, including those from Pardes and Gilead.</w:t>
      </w:r>
    </w:p>
    <w:p>
      <w:pPr>
        <w:spacing w:after="0" w:line="1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started to return to more on-site activity. Notwithstanding these recent trends, the COVID-19 pandemic, including insufficient vaccination of the general population and the emergence of new SARS-CoV-2 variants, including the delta variant,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fully re-emerges, but we cannot predict when that may occur. These impacts of COVID-19 could continue to affect the future course of our RSV studies and our other ongoing clinical trials and delay their timelines.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6" w:name="page27"/>
    <w:bookmarkEnd w:id="26"/>
    <w:p>
      <w:pPr>
        <w:ind w:right="240"/>
        <w:spacing w:after="0" w:line="248" w:lineRule="auto"/>
        <w:rPr>
          <w:sz w:val="20"/>
          <w:szCs w:val="20"/>
          <w:color w:val="auto"/>
        </w:rPr>
      </w:pPr>
      <w:r>
        <w:rPr>
          <w:rFonts w:ascii="Arial" w:cs="Arial" w:eastAsia="Arial" w:hAnsi="Arial"/>
          <w:sz w:val="18"/>
          <w:szCs w:val="18"/>
          <w:color w:val="auto"/>
        </w:rPr>
        <w:t>During 2021 and 2020, COVID-19 has also impacted new HCV patient starts in both the United States and the rest of the world, resulting in a decline in sales of HCV treatments. While new HCV infections are continuing, at this time it is uncertain when and the extent to which treatment of new HCV patients and revenues will return to pre-COVID-19 levels.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1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80" w:lineRule="exact"/>
        <w:rPr>
          <w:sz w:val="20"/>
          <w:szCs w:val="20"/>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9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5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are not successful in developing EDP-938, EDP-235, EDP-514, and/or EDP-323 or in discovering further product candidates, our ability to expand our business and achieve our strategic objectives will be impaired.</w:t>
      </w:r>
    </w:p>
    <w:p>
      <w:pPr>
        <w:spacing w:after="0" w:line="15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80"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7" w:name="page28"/>
    <w:bookmarkEnd w:id="27"/>
    <w:p>
      <w:pPr>
        <w:ind w:right="20"/>
        <w:spacing w:after="0" w:line="241"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We reported a net loss for the three months ended December 31, 2021 and for the fiscal year ended September 30, 2021, primarily due to the impact of COVID-19 on our royalty revenues and increased levels of research and development expense as we progress our wholly-owned programs.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reducing royalty revenue, combined with increasing research and development expenses in support of our advancing programs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will result in continued operating losses in the coming year and in future periods unless we develop other sources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17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15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as well as other employees and consultants. For example, Nathalie Adda, M.D., our Senior Vice President and Chief Medical Officer, has announced that she will be retiring in February 2022, and she has agreed to be available on a consulting basis for a brief period thereafter. While we have initiated a search for her replacement, it is uncertain when we will recruit that person. Although neither Dr. Luly nor Dr. Or has informed us to date that either individual expects to retire or resign in the near future, the loss of the services of either of these individuals or one or more of our other members of senior management could delay or prevent the successful development of our product candidates.</w:t>
      </w:r>
    </w:p>
    <w:p>
      <w:pPr>
        <w:spacing w:after="0" w:line="18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98"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ind w:right="80"/>
        <w:spacing w:after="0" w:line="241" w:lineRule="auto"/>
        <w:rPr>
          <w:sz w:val="20"/>
          <w:szCs w:val="20"/>
          <w:color w:val="auto"/>
        </w:rPr>
      </w:pPr>
      <w:r>
        <w:rPr>
          <w:rFonts w:ascii="Arial" w:cs="Arial" w:eastAsia="Arial" w:hAnsi="Arial"/>
          <w:sz w:val="18"/>
          <w:szCs w:val="18"/>
          <w:color w:val="auto"/>
        </w:rPr>
        <w:t>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6" w:lineRule="exact"/>
        <w:rPr>
          <w:sz w:val="20"/>
          <w:szCs w:val="20"/>
          <w:color w:val="auto"/>
        </w:rPr>
      </w:pPr>
    </w:p>
    <w:p>
      <w:pPr>
        <w:jc w:val="both"/>
        <w:ind w:right="140"/>
        <w:spacing w:after="0" w:line="362"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8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 Our future capital requirements depend on many factors, including:</w:t>
      </w:r>
    </w:p>
    <w:p>
      <w:pPr>
        <w:spacing w:after="0" w:line="8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15" w:lineRule="exact"/>
        <w:rPr>
          <w:rFonts w:ascii="Arial" w:cs="Arial" w:eastAsia="Arial" w:hAnsi="Arial"/>
          <w:sz w:val="17"/>
          <w:szCs w:val="17"/>
          <w:color w:val="auto"/>
        </w:rPr>
      </w:pPr>
    </w:p>
    <w:p>
      <w:pPr>
        <w:ind w:left="1020" w:right="420" w:hanging="503"/>
        <w:spacing w:after="0" w:line="261" w:lineRule="auto"/>
        <w:tabs>
          <w:tab w:leader="none" w:pos="102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02"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34"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9" w:name="page30"/>
    <w:bookmarkEnd w:id="29"/>
    <w:p>
      <w:pPr>
        <w:ind w:right="140"/>
        <w:spacing w:after="0" w:line="238" w:lineRule="auto"/>
        <w:rPr>
          <w:sz w:val="20"/>
          <w:szCs w:val="20"/>
          <w:color w:val="auto"/>
        </w:rPr>
      </w:pPr>
      <w:r>
        <w:rPr>
          <w:rFonts w:ascii="Arial" w:cs="Arial" w:eastAsia="Arial" w:hAnsi="Arial"/>
          <w:sz w:val="18"/>
          <w:szCs w:val="18"/>
          <w:color w:val="auto"/>
        </w:rPr>
        <w:t>other than glecaprevir, which was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88" w:lineRule="exact"/>
        <w:rPr>
          <w:sz w:val="20"/>
          <w:szCs w:val="20"/>
          <w:color w:val="auto"/>
        </w:rPr>
      </w:pPr>
    </w:p>
    <w:p>
      <w:pPr>
        <w:ind w:left="1020" w:right="28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03" w:lineRule="exact"/>
        <w:rPr>
          <w:rFonts w:ascii="Arial" w:cs="Arial" w:eastAsia="Arial" w:hAnsi="Arial"/>
          <w:sz w:val="18"/>
          <w:szCs w:val="18"/>
          <w:color w:val="auto"/>
        </w:rPr>
      </w:pPr>
    </w:p>
    <w:p>
      <w:pPr>
        <w:ind w:left="1020" w:right="54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seasonality and variations in incidence of infection year to year (e.g. RSV) affecting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to add new clinical trial sites;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HBV, COVID-19 or hMPV infection;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03" w:lineRule="exact"/>
        <w:rPr>
          <w:rFonts w:ascii="Arial" w:cs="Arial" w:eastAsia="Arial" w:hAnsi="Arial"/>
          <w:sz w:val="18"/>
          <w:szCs w:val="18"/>
          <w:color w:val="auto"/>
        </w:rPr>
      </w:pPr>
    </w:p>
    <w:p>
      <w:pPr>
        <w:ind w:left="1020" w:right="140" w:hanging="503"/>
        <w:spacing w:after="0" w:line="32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 w:name="page31"/>
    <w:bookmarkEnd w:id="30"/>
    <w:p>
      <w:pPr>
        <w:jc w:val="both"/>
        <w:ind w:right="40"/>
        <w:spacing w:after="0" w:line="270"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50"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expect that the further development of successful therapies in our principal disease area of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50"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EDP-938, EDP-235, EDP-514,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12121"/>
        </w:rPr>
        <w:t>In our RSV program, we are developing inhibitors of the N and L protein. No inhibitor of the RSV N protein has progressed beyond a Phase 2 clinical trial, so we are not yet able to assess the potential liabilities of an 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212121"/>
        </w:rPr>
        <w:t>In our HBV program, we have developed modulators of capsid assembly, also known as core inhibitors. These are newer mechanisms of action for potential HBV treatment, and no capsid assembly modulators have advanced beyond Phase 2 clinical studies, leaving them less tested for unexpected side effects. For example, we discontinued development of our lead HBV RNA destabilizer based on safety observations in a Phase 1 study in healthy volunteers. In addition, we are not able to predict what other adverse effects may arise in longer term studies conducted in larger populations.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color w:val="212121"/>
        </w:rPr>
        <w:t>In our SARS-CoV-2 program, we have designed EDP-235 as a 3CL protease inhibitor specifically for the SARS-CoV-2 virus. We have not yet tested EDP-235 in humans and, therefore, any short-term potential side effects are unknown. While scientific understanding of the longer-term effects of COVID-19 are still emerging and being studied, it may be difficult to determine whether any unexpected downstream effects after treatment with EDP-235 are due to that drug or the infection itself.</w:t>
      </w:r>
    </w:p>
    <w:p>
      <w:pPr>
        <w:spacing w:after="0" w:line="17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3" w:lineRule="exact"/>
        <w:rPr>
          <w:sz w:val="20"/>
          <w:szCs w:val="20"/>
          <w:color w:val="auto"/>
        </w:rPr>
      </w:pPr>
    </w:p>
    <w:p>
      <w:pPr>
        <w:ind w:left="1020" w:right="2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98" w:lineRule="exact"/>
        <w:rPr>
          <w:sz w:val="20"/>
          <w:szCs w:val="20"/>
          <w:color w:val="auto"/>
        </w:rPr>
      </w:pPr>
    </w:p>
    <w:p>
      <w:pPr>
        <w:ind w:right="620"/>
        <w:spacing w:after="0" w:line="24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ind w:right="200"/>
        <w:spacing w:after="0" w:line="248"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48" w:lineRule="exact"/>
        <w:rPr>
          <w:sz w:val="20"/>
          <w:szCs w:val="20"/>
          <w:color w:val="auto"/>
        </w:rPr>
      </w:pPr>
    </w:p>
    <w:p>
      <w:pPr>
        <w:jc w:val="both"/>
        <w:ind w:right="54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88"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26" w:lineRule="exact"/>
        <w:rPr>
          <w:rFonts w:ascii="Arial" w:cs="Arial" w:eastAsia="Arial" w:hAnsi="Arial"/>
          <w:sz w:val="16"/>
          <w:szCs w:val="16"/>
          <w:color w:val="auto"/>
        </w:rPr>
      </w:pPr>
    </w:p>
    <w:p>
      <w:pPr>
        <w:ind w:left="1020" w:right="1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ind w:left="1020" w:right="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20" w:right="940" w:hanging="503"/>
        <w:spacing w:after="0" w:line="29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60"/>
        <w:spacing w:after="0" w:line="237"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FDA has the authority to grant an emergency use authorization, or EUA, to allow unapproved medical products to be used in an emergency to diagnose, treat, or prevent serious or life-threatening diseases or conditions when there are no adequate, approved, and available alternatives. To date, COVID-19 vaccines, therapeutic antibodies and other therapeutics that have demonstrated positive results in clinical trials have moved rapidly through the FDA regulatory review and EUA process, as well as the review and authorization process in a number of other jurisdictions, including the EU. The speed at which all parties are acting to create and test many therapeutics for COVID-19 is unusual, while evolving or changing plans or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Moreover, there is not yet any clear definition of the point at which the FDA will determine that the underlying COVID-19 health emergency no longer exists or warrants such authorizations. Accordingly, if there are successful clinical trials of EDP-235 demonstrating its therapeutic benefit and safety profile, it is still uncertain what will be the timelines or regulatory processes required for the authorization or approval of EDP-235 as a treatment for COVID-19.</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68"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7" w:lineRule="exact"/>
        <w:rPr>
          <w:sz w:val="20"/>
          <w:szCs w:val="20"/>
          <w:color w:val="auto"/>
        </w:rPr>
      </w:pPr>
    </w:p>
    <w:p>
      <w:pPr>
        <w:ind w:left="1020" w:right="1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 income citizens.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14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140"/>
        <w:spacing w:after="0" w:line="228" w:lineRule="auto"/>
        <w:rPr>
          <w:sz w:val="20"/>
          <w:szCs w:val="20"/>
          <w:color w:val="auto"/>
        </w:rPr>
      </w:pPr>
      <w:r>
        <w:rPr>
          <w:rFonts w:ascii="Arial" w:cs="Arial" w:eastAsia="Arial" w:hAnsi="Arial"/>
          <w:sz w:val="18"/>
          <w:szCs w:val="18"/>
          <w:color w:val="auto"/>
        </w:rPr>
        <w:t>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There is significant uncertainty around the future path of the COVID-19 pandemic which may impact opportunity of EDP-235 as a potential treatment for COVID-19.</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COVID-19 is currently still an ongoing global pandemic and there is an urgent need for a safe and effective oral treatment for it. However, the longevity and extent of the ongoing COVID-19 pandemic is unpredictable, and it is uncertain whether SARS-CoV-2 will become an endemic seasonal respiratory disease, such as RSV or flu, after the current pandemic has subsided. If the pandemic were to end with a substantial decrease in new infections, due to the effectiveness of vaccines or otherwise, there would be a reduced opportunity for EDP-235.</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order to prepare for the possibility that EDP-235 is successful in development and commercialization, we are currently devoting resources towards executing on an accelerated development path, including sufficient drug supply for advanced clinical trials and commercialization. If EDP-235 does not advance in development or is not approved for the treatment of COVID-19, or if infection rates decrease substantially, we may not be able to recover these costs and our results of operations and financial condition would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7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ind w:right="340"/>
        <w:spacing w:after="0" w:line="243"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6"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7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5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EDP-938, EDP-235, EDP-514 and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39" w:lineRule="exact"/>
        <w:rPr>
          <w:sz w:val="20"/>
          <w:szCs w:val="20"/>
          <w:color w:val="auto"/>
        </w:rPr>
      </w:pPr>
    </w:p>
    <w:p>
      <w:pPr>
        <w:ind w:left="1020" w:right="18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03" w:lineRule="exact"/>
        <w:rPr>
          <w:rFonts w:ascii="Arial" w:cs="Arial" w:eastAsia="Arial" w:hAnsi="Arial"/>
          <w:sz w:val="18"/>
          <w:szCs w:val="18"/>
          <w:color w:val="auto"/>
        </w:rPr>
      </w:pPr>
    </w:p>
    <w:p>
      <w:pPr>
        <w:jc w:val="both"/>
        <w:ind w:left="1020" w:right="200" w:hanging="503"/>
        <w:spacing w:after="0" w:line="27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36" w:name="page37"/>
    <w:bookmarkEnd w:id="36"/>
    <w:p>
      <w:pPr>
        <w:ind w:left="1020" w:right="7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98"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380"/>
        <w:spacing w:after="0" w:line="362"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8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5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resulting from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spacing w:after="0" w:line="255" w:lineRule="auto"/>
        <w:rPr>
          <w:sz w:val="20"/>
          <w:szCs w:val="20"/>
          <w:color w:val="auto"/>
        </w:rPr>
      </w:pPr>
      <w:r>
        <w:rPr>
          <w:rFonts w:ascii="Arial" w:cs="Arial" w:eastAsia="Arial" w:hAnsi="Arial"/>
          <w:sz w:val="17"/>
          <w:szCs w:val="17"/>
          <w:color w:val="auto"/>
        </w:rPr>
        <w:t>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59"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8" w:name="page39"/>
    <w:bookmarkEnd w:id="38"/>
    <w:p>
      <w:pPr>
        <w:ind w:right="620"/>
        <w:spacing w:after="0" w:line="261" w:lineRule="auto"/>
        <w:rPr>
          <w:sz w:val="20"/>
          <w:szCs w:val="20"/>
          <w:color w:val="auto"/>
        </w:rPr>
      </w:pPr>
      <w:r>
        <w:rPr>
          <w:rFonts w:ascii="Arial" w:cs="Arial" w:eastAsia="Arial" w:hAnsi="Arial"/>
          <w:sz w:val="18"/>
          <w:szCs w:val="18"/>
          <w:b w:val="1"/>
          <w:bCs w:val="1"/>
          <w:i w:val="1"/>
          <w:iCs w:val="1"/>
          <w:color w:val="auto"/>
        </w:rPr>
        <w:t>these third parties fail to timely transfer any regulatory information held by them to us, we may not be able to obtain regulatory approval for, or commercialize, our product candidates.</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 HBV patients as a result of the COVID-19 pandemic in March 2020, but we were able to resume these studies in July 2020. The pause in these studies has delayed their completion, and it is uncertain whether they or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6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ind w:right="80"/>
        <w:spacing w:after="0" w:line="231" w:lineRule="auto"/>
        <w:rPr>
          <w:sz w:val="20"/>
          <w:szCs w:val="20"/>
          <w:color w:val="auto"/>
        </w:rPr>
      </w:pPr>
      <w:r>
        <w:rPr>
          <w:rFonts w:ascii="Arial" w:cs="Arial" w:eastAsia="Arial" w:hAnsi="Arial"/>
          <w:sz w:val="18"/>
          <w:szCs w:val="18"/>
          <w:color w:val="auto"/>
        </w:rPr>
        <w:t>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53"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40" w:name="page41"/>
    <w:bookmarkEnd w:id="40"/>
    <w:p>
      <w:pPr>
        <w:ind w:right="100"/>
        <w:spacing w:after="0" w:line="243" w:lineRule="auto"/>
        <w:rPr>
          <w:sz w:val="20"/>
          <w:szCs w:val="20"/>
          <w:color w:val="auto"/>
        </w:rPr>
      </w:pPr>
      <w:r>
        <w:rPr>
          <w:rFonts w:ascii="Arial" w:cs="Arial" w:eastAsia="Arial" w:hAnsi="Arial"/>
          <w:sz w:val="18"/>
          <w:szCs w:val="18"/>
          <w:color w:val="auto"/>
        </w:rPr>
        <w:t>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7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15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5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8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6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1" w:lineRule="exact"/>
        <w:rPr>
          <w:sz w:val="20"/>
          <w:szCs w:val="20"/>
          <w:color w:val="auto"/>
        </w:rPr>
      </w:pPr>
    </w:p>
    <w:p>
      <w:pPr>
        <w:ind w:left="1020" w:hanging="503"/>
        <w:spacing w:after="0" w:line="24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9" w:lineRule="exact"/>
        <w:rPr>
          <w:rFonts w:ascii="Arial" w:cs="Arial" w:eastAsia="Arial" w:hAnsi="Arial"/>
          <w:sz w:val="18"/>
          <w:szCs w:val="18"/>
          <w:color w:val="auto"/>
        </w:rPr>
      </w:pPr>
    </w:p>
    <w:p>
      <w:pPr>
        <w:jc w:val="both"/>
        <w:ind w:left="1020" w:right="300" w:hanging="503"/>
        <w:spacing w:after="0" w:line="270"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left="1020" w:right="260" w:hanging="503"/>
        <w:spacing w:after="0" w:line="24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20" w:right="40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20" w:right="100" w:hanging="503"/>
        <w:spacing w:after="0" w:line="259"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June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30, 2016 through December 31, 2021, the daily closing price of our common stock on the NASDAQ Global Select Market has ranged from $21.00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$126.37. The stock market in general and the market for biopharmaceutical companies, and for those developing potential therapies for viral infections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liver diseases in particular, have experienced extreme volatility that has often been unrelated to the operating performance of particular companies, which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some cases has been exacerbated by the COVID-19 pandemic. As a result of this volatility, you may not be able to sell your holdings of our common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stock at or above your purchase price, if at all. The market price for our common stock may be influenced by many factors, including:</w:t>
      </w:r>
    </w:p>
    <w:p>
      <w:pPr>
        <w:spacing w:after="0" w:line="88" w:lineRule="exact"/>
        <w:rPr>
          <w:sz w:val="20"/>
          <w:szCs w:val="20"/>
          <w:color w:val="auto"/>
        </w:rPr>
      </w:pPr>
    </w:p>
    <w:p>
      <w:pPr>
        <w:ind w:left="1020" w:right="50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20" w:right="9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4"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20" w:right="460" w:hanging="503"/>
        <w:spacing w:after="0" w:line="270"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5" w:lineRule="exact"/>
        <w:rPr>
          <w:rFonts w:ascii="Arial" w:cs="Arial" w:eastAsia="Arial" w:hAnsi="Arial"/>
          <w:sz w:val="17"/>
          <w:szCs w:val="17"/>
          <w:color w:val="auto"/>
        </w:rPr>
      </w:pPr>
    </w:p>
    <w:p>
      <w:pPr>
        <w:ind w:left="1020" w:right="46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ind w:right="80"/>
        <w:spacing w:after="0" w:line="261" w:lineRule="auto"/>
        <w:rPr>
          <w:sz w:val="20"/>
          <w:szCs w:val="20"/>
          <w:color w:val="auto"/>
        </w:rPr>
      </w:pPr>
      <w:r>
        <w:rPr>
          <w:rFonts w:ascii="Arial" w:cs="Arial" w:eastAsia="Arial" w:hAnsi="Arial"/>
          <w:sz w:val="18"/>
          <w:szCs w:val="18"/>
          <w:color w:val="auto"/>
        </w:rPr>
        <w:t>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$5.9 million for severance and other non-equity-based benefits in the event of a termination of employment in connection with a change of control of our company. In addition, based on the closing price of our common stock of $74.78 per common share as of December 31, 2021, the aggregate intrinsic value of unvested stock options and other equity awards subject to accelerated vesting upon these events was $30.6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3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5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2021, we had 20.5 million shares of common stock outstanding. In addition, as of December 31, 2021, we had 4.2 million and 0.5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ind w:right="100"/>
        <w:spacing w:after="0" w:line="225" w:lineRule="auto"/>
        <w:rPr>
          <w:sz w:val="20"/>
          <w:szCs w:val="20"/>
          <w:color w:val="auto"/>
        </w:rPr>
      </w:pPr>
      <w:r>
        <w:rPr>
          <w:rFonts w:ascii="Arial" w:cs="Arial" w:eastAsia="Arial" w:hAnsi="Arial"/>
          <w:sz w:val="18"/>
          <w:szCs w:val="18"/>
          <w:color w:val="auto"/>
        </w:rPr>
        <w:t>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7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1020" w:right="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6" w:name="page47"/>
    <w:bookmarkEnd w:id="46"/>
    <w:p>
      <w:pPr>
        <w:ind w:left="1020" w:right="18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right="80" w:hanging="503"/>
        <w:spacing w:after="0" w:line="24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9"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for example by preventing us from marketing one or more of our product</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candidates for one or more indications.</w:t>
      </w: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4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3"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140"/>
        <w:spacing w:after="0" w:line="276"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6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8"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34"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48" w:name="page49"/>
    <w:bookmarkEnd w:id="48"/>
    <w:p>
      <w:pPr>
        <w:ind w:right="380"/>
        <w:spacing w:after="0" w:line="246" w:lineRule="auto"/>
        <w:rPr>
          <w:sz w:val="20"/>
          <w:szCs w:val="20"/>
          <w:color w:val="auto"/>
        </w:rPr>
      </w:pPr>
      <w:r>
        <w:rPr>
          <w:rFonts w:ascii="Arial" w:cs="Arial" w:eastAsia="Arial" w:hAnsi="Arial"/>
          <w:sz w:val="18"/>
          <w:szCs w:val="18"/>
          <w:color w:val="auto"/>
        </w:rPr>
        <w:t>cannot be sure that our existing insurance coverage and coverage for errors and omissions will continue to be available on acceptable terms or that our insurers will not deny coverage as to any future claim.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could give rise to liability or reputational harm.</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5240" w:type="dxa"/>
            <w:vAlign w:val="bottom"/>
            <w:gridSpan w:val="11"/>
            <w:vMerge w:val="restart"/>
          </w:tcPr>
          <w:p>
            <w:pPr>
              <w:ind w:left="206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1"/>
                <w:szCs w:val="11"/>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1"/>
                <w:szCs w:val="11"/>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File Number</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240" w:type="dxa"/>
            <w:vAlign w:val="bottom"/>
            <w:tcBorders>
              <w:bottom w:val="single" w:sz="8" w:color="auto"/>
            </w:tcBorders>
            <w:gridSpan w:val="11"/>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rFonts w:ascii="Arial" w:cs="Arial" w:eastAsia="Arial" w:hAnsi="Arial"/>
                <w:sz w:val="18"/>
                <w:szCs w:val="18"/>
                <w:color w:val="auto"/>
                <w:w w:val="90"/>
              </w:rPr>
            </w:pPr>
            <w:hyperlink r:id="rId224">
              <w:r>
                <w:rPr>
                  <w:rFonts w:ascii="Arial" w:cs="Arial" w:eastAsia="Arial" w:hAnsi="Arial"/>
                  <w:sz w:val="18"/>
                  <w:szCs w:val="18"/>
                  <w:color w:val="auto"/>
                  <w:w w:val="90"/>
                </w:rPr>
                <w:t>Restated Certificate of Incorporation of Enanta Pharmaceuticals, Inc.</w:t>
              </w:r>
            </w:hyperlink>
          </w:p>
        </w:tc>
        <w:tc>
          <w:tcPr>
            <w:tcW w:w="34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03/28/2013</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auto"/>
                <w:w w:val="98"/>
              </w:rPr>
            </w:pPr>
            <w:hyperlink r:id="rId225">
              <w:r>
                <w:rPr>
                  <w:rFonts w:ascii="Arial" w:cs="Arial" w:eastAsia="Arial" w:hAnsi="Arial"/>
                  <w:sz w:val="18"/>
                  <w:szCs w:val="18"/>
                  <w:color w:val="auto"/>
                  <w:w w:val="98"/>
                </w:rPr>
                <w:t>Amended and Restated Bylaws of Enanta Pharmaceuticals, Inc. (as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08/18/2015</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88"/>
              </w:rPr>
            </w:pPr>
            <w:hyperlink r:id="rId225">
              <w:r>
                <w:rPr>
                  <w:rFonts w:ascii="Arial" w:cs="Arial" w:eastAsia="Arial" w:hAnsi="Arial"/>
                  <w:sz w:val="18"/>
                  <w:szCs w:val="18"/>
                  <w:color w:val="auto"/>
                  <w:w w:val="88"/>
                </w:rPr>
                <w:t>amended and restated in August 2015)</w:t>
              </w:r>
            </w:hyperlink>
          </w:p>
        </w:tc>
        <w:tc>
          <w:tcPr>
            <w:tcW w:w="2100" w:type="dxa"/>
            <w:vAlign w:val="bottom"/>
            <w:tcBorders>
              <w:top w:val="single" w:sz="8" w:color="0000EE"/>
            </w:tcBorders>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auto"/>
                <w:w w:val="95"/>
              </w:rPr>
            </w:pPr>
            <w:hyperlink w:anchor="page52">
              <w:r>
                <w:rPr>
                  <w:rFonts w:ascii="Arial" w:cs="Arial" w:eastAsia="Arial" w:hAnsi="Arial"/>
                  <w:sz w:val="18"/>
                  <w:szCs w:val="18"/>
                  <w:color w:val="auto"/>
                  <w:w w:val="95"/>
                </w:rPr>
                <w:t>Certification of the Chief Executive Officer pursuant to Rule 13a-14(a)</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tcBorders>
              <w:top w:val="single" w:sz="8" w:color="0000EE"/>
            </w:tcBorders>
            <w:gridSpan w:val="8"/>
          </w:tcPr>
          <w:p>
            <w:pPr>
              <w:spacing w:after="0" w:line="156" w:lineRule="exact"/>
              <w:rPr>
                <w:rFonts w:ascii="Arial" w:cs="Arial" w:eastAsia="Arial" w:hAnsi="Arial"/>
                <w:sz w:val="18"/>
                <w:szCs w:val="18"/>
                <w:color w:val="auto"/>
              </w:rPr>
            </w:pPr>
            <w:hyperlink w:anchor="page52">
              <w:r>
                <w:rPr>
                  <w:rFonts w:ascii="Arial" w:cs="Arial" w:eastAsia="Arial" w:hAnsi="Arial"/>
                  <w:sz w:val="18"/>
                  <w:szCs w:val="18"/>
                  <w:color w:val="auto"/>
                </w:rPr>
                <w:t>or 15d-14(a) of the Securities Exchange Act of 1934.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auto"/>
                <w:w w:val="98"/>
              </w:rPr>
            </w:pPr>
            <w:hyperlink w:anchor="page53">
              <w:r>
                <w:rPr>
                  <w:rFonts w:ascii="Arial" w:cs="Arial" w:eastAsia="Arial" w:hAnsi="Arial"/>
                  <w:sz w:val="18"/>
                  <w:szCs w:val="18"/>
                  <w:color w:val="auto"/>
                  <w:w w:val="98"/>
                </w:rPr>
                <w:t>Certification of Chief Financial Officer pursuant to Rule 13a-14(a) or</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tcBorders>
              <w:top w:val="single" w:sz="8" w:color="0000EE"/>
            </w:tcBorders>
            <w:gridSpan w:val="7"/>
          </w:tcPr>
          <w:p>
            <w:pPr>
              <w:spacing w:after="0" w:line="156" w:lineRule="exact"/>
              <w:rPr>
                <w:rFonts w:ascii="Arial" w:cs="Arial" w:eastAsia="Arial" w:hAnsi="Arial"/>
                <w:sz w:val="18"/>
                <w:szCs w:val="18"/>
                <w:color w:val="auto"/>
              </w:rPr>
            </w:pPr>
            <w:hyperlink w:anchor="page53">
              <w:r>
                <w:rPr>
                  <w:rFonts w:ascii="Arial" w:cs="Arial" w:eastAsia="Arial" w:hAnsi="Arial"/>
                  <w:sz w:val="18"/>
                  <w:szCs w:val="18"/>
                  <w:color w:val="auto"/>
                </w:rPr>
                <w:t>15d-14(a) of the Securities Exchange Act of 1934.</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auto"/>
                <w:w w:val="96"/>
              </w:rPr>
            </w:pPr>
            <w:hyperlink w:anchor="page54">
              <w:r>
                <w:rPr>
                  <w:rFonts w:ascii="Arial" w:cs="Arial" w:eastAsia="Arial" w:hAnsi="Arial"/>
                  <w:sz w:val="18"/>
                  <w:szCs w:val="18"/>
                  <w:color w:val="auto"/>
                  <w:w w:val="96"/>
                </w:rPr>
                <w:t>Certification of the Chief Executive Officer and Chief Financial Officer</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EE"/>
            </w:tcBorders>
            <w:gridSpan w:val="10"/>
          </w:tcPr>
          <w:p>
            <w:pPr>
              <w:spacing w:after="0" w:line="156" w:lineRule="exact"/>
              <w:rPr>
                <w:rFonts w:ascii="Arial" w:cs="Arial" w:eastAsia="Arial" w:hAnsi="Arial"/>
                <w:sz w:val="18"/>
                <w:szCs w:val="18"/>
                <w:color w:val="auto"/>
                <w:w w:val="90"/>
              </w:rPr>
            </w:pPr>
            <w:hyperlink w:anchor="page54">
              <w:r>
                <w:rPr>
                  <w:rFonts w:ascii="Arial" w:cs="Arial" w:eastAsia="Arial" w:hAnsi="Arial"/>
                  <w:sz w:val="18"/>
                  <w:szCs w:val="18"/>
                  <w:color w:val="auto"/>
                  <w:w w:val="90"/>
                </w:rPr>
                <w:t>pursuant to 18 U.S.C. Section 1350, as adopted pursuant to Section 906</w:t>
              </w:r>
            </w:hyperlink>
          </w:p>
        </w:tc>
        <w:tc>
          <w:tcPr>
            <w:tcW w:w="1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Borders>
              <w:top w:val="single" w:sz="8" w:color="0000EE"/>
              <w:bottom w:val="single" w:sz="8" w:color="0000EE"/>
            </w:tcBorders>
          </w:tcPr>
          <w:p>
            <w:pPr>
              <w:spacing w:after="0" w:line="156" w:lineRule="exact"/>
              <w:rPr>
                <w:rFonts w:ascii="Arial" w:cs="Arial" w:eastAsia="Arial" w:hAnsi="Arial"/>
                <w:sz w:val="18"/>
                <w:szCs w:val="18"/>
                <w:color w:val="auto"/>
                <w:w w:val="90"/>
              </w:rPr>
            </w:pPr>
            <w:hyperlink w:anchor="page54">
              <w:r>
                <w:rPr>
                  <w:rFonts w:ascii="Arial" w:cs="Arial" w:eastAsia="Arial" w:hAnsi="Arial"/>
                  <w:sz w:val="18"/>
                  <w:szCs w:val="18"/>
                  <w:color w:val="auto"/>
                  <w:w w:val="90"/>
                </w:rPr>
                <w:t>of the Sarbanes-Oxley Act of 2002.</w:t>
              </w:r>
            </w:hyperlink>
          </w:p>
        </w:tc>
        <w:tc>
          <w:tcPr>
            <w:tcW w:w="2640" w:type="dxa"/>
            <w:vAlign w:val="bottom"/>
            <w:tcBorders>
              <w:top w:val="single" w:sz="8" w:color="0000EE"/>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4"/>
              </w:rPr>
              <w:t>The following financial statements from the Quarterly Report of Enanta</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12"/>
          </w:tcPr>
          <w:p>
            <w:pPr>
              <w:spacing w:after="0" w:line="176" w:lineRule="exact"/>
              <w:rPr>
                <w:sz w:val="20"/>
                <w:szCs w:val="20"/>
                <w:color w:val="auto"/>
              </w:rPr>
            </w:pPr>
            <w:r>
              <w:rPr>
                <w:rFonts w:ascii="Arial" w:cs="Arial" w:eastAsia="Arial" w:hAnsi="Arial"/>
                <w:sz w:val="18"/>
                <w:szCs w:val="18"/>
                <w:color w:val="auto"/>
                <w:w w:val="96"/>
              </w:rPr>
              <w:t>Pharmaceuticals, Inc. on Form 10-Q for the quarter ended December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20" w:type="dxa"/>
            <w:vAlign w:val="bottom"/>
            <w:gridSpan w:val="12"/>
          </w:tcPr>
          <w:p>
            <w:pPr>
              <w:spacing w:after="0" w:line="191" w:lineRule="exact"/>
              <w:rPr>
                <w:sz w:val="20"/>
                <w:szCs w:val="20"/>
                <w:color w:val="auto"/>
              </w:rPr>
            </w:pPr>
            <w:r>
              <w:rPr>
                <w:rFonts w:ascii="Arial" w:cs="Arial" w:eastAsia="Arial" w:hAnsi="Arial"/>
                <w:sz w:val="18"/>
                <w:szCs w:val="18"/>
                <w:color w:val="auto"/>
                <w:w w:val="98"/>
              </w:rPr>
              <w:t>31, 2021formatted in Inline XBRL: (i) Consolidated Balance Sheets,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20" w:right="5100"/>
        <w:spacing w:after="0" w:line="225" w:lineRule="auto"/>
        <w:tabs>
          <w:tab w:leader="none" w:pos="12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0" w:type="dxa"/>
            <w:vAlign w:val="bottom"/>
          </w:tcPr>
          <w:p>
            <w:pPr>
              <w:jc w:val="right"/>
              <w:ind w:right="270"/>
              <w:spacing w:after="0"/>
              <w:rPr>
                <w:sz w:val="20"/>
                <w:szCs w:val="20"/>
                <w:color w:val="auto"/>
              </w:rPr>
            </w:pPr>
            <w:r>
              <w:rPr>
                <w:rFonts w:ascii="Arial" w:cs="Arial" w:eastAsia="Arial" w:hAnsi="Arial"/>
                <w:sz w:val="18"/>
                <w:szCs w:val="18"/>
                <w:color w:val="auto"/>
                <w:w w:val="86"/>
              </w:rPr>
              <w:t>104</w:t>
            </w:r>
          </w:p>
        </w:tc>
        <w:tc>
          <w:tcPr>
            <w:tcW w:w="7540" w:type="dxa"/>
            <w:vAlign w:val="bottom"/>
          </w:tcPr>
          <w:p>
            <w:pPr>
              <w:ind w:left="360"/>
              <w:spacing w:after="0"/>
              <w:rPr>
                <w:sz w:val="20"/>
                <w:szCs w:val="20"/>
                <w:color w:val="auto"/>
              </w:rPr>
            </w:pPr>
            <w:r>
              <w:rPr>
                <w:rFonts w:ascii="Arial" w:cs="Arial" w:eastAsia="Arial" w:hAnsi="Arial"/>
                <w:sz w:val="18"/>
                <w:szCs w:val="18"/>
                <w:color w:val="212529"/>
              </w:rPr>
              <w:t>Cover Page Interactive Data File (formatted as Inline XBRL and</w:t>
            </w:r>
          </w:p>
        </w:tc>
        <w:tc>
          <w:tcPr>
            <w:tcW w:w="2660" w:type="dxa"/>
            <w:vAlign w:val="bottom"/>
          </w:tcPr>
          <w:p>
            <w:pPr>
              <w:ind w:left="2540"/>
              <w:spacing w:after="0"/>
              <w:rPr>
                <w:sz w:val="20"/>
                <w:szCs w:val="20"/>
                <w:color w:val="auto"/>
              </w:rPr>
            </w:pPr>
            <w:r>
              <w:rPr>
                <w:rFonts w:ascii="Arial" w:cs="Arial" w:eastAsia="Arial" w:hAnsi="Arial"/>
                <w:sz w:val="18"/>
                <w:szCs w:val="18"/>
                <w:color w:val="auto"/>
                <w:w w:val="82"/>
              </w:rPr>
              <w:t>X</w:t>
            </w:r>
          </w:p>
        </w:tc>
      </w:tr>
      <w:tr>
        <w:trPr>
          <w:trHeight w:val="230"/>
        </w:trPr>
        <w:tc>
          <w:tcPr>
            <w:tcW w:w="64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212529"/>
              </w:rPr>
              <w:t>contained in Exhibit 101).</w:t>
            </w:r>
          </w:p>
        </w:tc>
        <w:tc>
          <w:tcPr>
            <w:tcW w:w="2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firstLine="8"/>
        <w:spacing w:after="0" w:line="198" w:lineRule="auto"/>
        <w:tabs>
          <w:tab w:leader="none" w:pos="126"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ENANTA PHARMACEUTICALS, INC.</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9,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Paul J. Mellett</w:t>
      </w:r>
    </w:p>
    <w:p>
      <w:pPr>
        <w:ind w:left="678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04"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9,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04"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9,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2021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59"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February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Jay R. Luly, Ph.D.</w:t>
      </w:r>
    </w:p>
    <w:p>
      <w:pPr>
        <w:ind w:left="72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February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Paul J. Mellett</w:t>
      </w: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o"/>
      <w:numFmt w:val="bullet"/>
      <w:start w:val="1"/>
    </w:lvl>
    <w:lvl w:ilvl="1">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o"/>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Roman"/>
      <w:start w:val="2"/>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24" Type="http://schemas.openxmlformats.org/officeDocument/2006/relationships/hyperlink" Target="https://www.sec.gov/Archives/edgar/data/1177648/000119312513132679/d511662dex31.htm" TargetMode="External"/><Relationship Id="rId225" Type="http://schemas.openxmlformats.org/officeDocument/2006/relationships/hyperlink" Target="https://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2022-02-10T05:16:33Z</dcterms:created>
  <dcterms:modified xsi:type="dcterms:W3CDTF">2022-02-10T05:16:33Z</dcterms:modified>
</cp:coreProperties>
</file>