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0" w:lineRule="exact"/>
        <w:rPr>
          <w:sz w:val="24"/>
          <w:szCs w:val="24"/>
          <w:color w:val="auto"/>
        </w:rPr>
      </w:pPr>
    </w:p>
    <w:p>
      <w:pPr>
        <w:spacing w:after="0" w:line="262"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9"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September 30, 2022</w:t>
      </w:r>
    </w:p>
    <w:p>
      <w:pPr>
        <w:spacing w:after="0" w:line="4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9"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001-35839</w:t>
      </w:r>
    </w:p>
    <w:p>
      <w:pPr>
        <w:spacing w:after="0" w:line="200" w:lineRule="exact"/>
        <w:rPr>
          <w:sz w:val="24"/>
          <w:szCs w:val="24"/>
          <w:color w:val="auto"/>
        </w:rPr>
      </w:pPr>
    </w:p>
    <w:p>
      <w:pPr>
        <w:spacing w:after="0" w:line="2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ENANTA PHARMACEUTICALS, INC.</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520" w:type="dxa"/>
        <w:tblCellMar>
          <w:top w:w="0" w:type="dxa"/>
          <w:left w:w="0" w:type="dxa"/>
          <w:bottom w:w="0" w:type="dxa"/>
          <w:right w:w="0" w:type="dxa"/>
        </w:tblCellMar>
      </w:tblPr>
      <w:tr>
        <w:trPr>
          <w:trHeight w:val="180"/>
        </w:trPr>
        <w:tc>
          <w:tcPr>
            <w:tcW w:w="980" w:type="dxa"/>
            <w:vAlign w:val="bottom"/>
          </w:tcPr>
          <w:p>
            <w:pPr>
              <w:spacing w:after="0"/>
              <w:rPr>
                <w:sz w:val="15"/>
                <w:szCs w:val="15"/>
                <w:color w:val="auto"/>
              </w:rPr>
            </w:pPr>
          </w:p>
        </w:tc>
        <w:tc>
          <w:tcPr>
            <w:tcW w:w="278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w w:val="96"/>
              </w:rPr>
              <w:t>DELAWARE</w:t>
            </w:r>
          </w:p>
        </w:tc>
        <w:tc>
          <w:tcPr>
            <w:tcW w:w="2380" w:type="dxa"/>
            <w:vAlign w:val="bottom"/>
            <w:gridSpan w:val="2"/>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2834</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20" w:type="dxa"/>
            <w:vAlign w:val="bottom"/>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04-3205099</w:t>
            </w:r>
          </w:p>
        </w:tc>
        <w:tc>
          <w:tcPr>
            <w:tcW w:w="100" w:type="dxa"/>
            <w:vAlign w:val="bottom"/>
          </w:tcPr>
          <w:p>
            <w:pPr>
              <w:spacing w:after="0"/>
              <w:rPr>
                <w:sz w:val="15"/>
                <w:szCs w:val="15"/>
                <w:color w:val="auto"/>
              </w:rPr>
            </w:pPr>
          </w:p>
        </w:tc>
      </w:tr>
      <w:tr>
        <w:trPr>
          <w:trHeight w:val="135"/>
        </w:trPr>
        <w:tc>
          <w:tcPr>
            <w:tcW w:w="3760" w:type="dxa"/>
            <w:vAlign w:val="bottom"/>
            <w:gridSpan w:val="2"/>
          </w:tcPr>
          <w:p>
            <w:pPr>
              <w:jc w:val="center"/>
              <w:ind w:right="956"/>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60" w:type="dxa"/>
            <w:vAlign w:val="bottom"/>
          </w:tcPr>
          <w:p>
            <w:pPr>
              <w:spacing w:after="0"/>
              <w:rPr>
                <w:sz w:val="11"/>
                <w:szCs w:val="11"/>
                <w:color w:val="auto"/>
              </w:rPr>
            </w:pPr>
          </w:p>
        </w:tc>
        <w:tc>
          <w:tcPr>
            <w:tcW w:w="2020" w:type="dxa"/>
            <w:vAlign w:val="bottom"/>
          </w:tcPr>
          <w:p>
            <w:pPr>
              <w:jc w:val="center"/>
              <w:ind w:right="219"/>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(Primary Standard Industrial</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2"/>
          </w:tcPr>
          <w:p>
            <w:pPr>
              <w:jc w:val="center"/>
              <w:ind w:left="5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760" w:type="dxa"/>
            <w:vAlign w:val="bottom"/>
            <w:gridSpan w:val="2"/>
          </w:tcPr>
          <w:p>
            <w:pPr>
              <w:jc w:val="center"/>
              <w:ind w:right="976"/>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60" w:type="dxa"/>
            <w:vAlign w:val="bottom"/>
          </w:tcPr>
          <w:p>
            <w:pPr>
              <w:spacing w:after="0"/>
              <w:rPr>
                <w:sz w:val="14"/>
                <w:szCs w:val="14"/>
                <w:color w:val="auto"/>
              </w:rPr>
            </w:pPr>
          </w:p>
        </w:tc>
        <w:tc>
          <w:tcPr>
            <w:tcW w:w="2020" w:type="dxa"/>
            <w:vAlign w:val="bottom"/>
          </w:tcPr>
          <w:p>
            <w:pPr>
              <w:jc w:val="center"/>
              <w:ind w:right="239"/>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2"/>
          </w:tcPr>
          <w:p>
            <w:pPr>
              <w:jc w:val="center"/>
              <w:ind w:left="594"/>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167"/>
        </w:trPr>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500 Arsenal Street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380" w:type="dxa"/>
            <w:vAlign w:val="bottom"/>
            <w:gridSpan w:val="2"/>
          </w:tcPr>
          <w:p>
            <w:pPr>
              <w:jc w:val="center"/>
              <w:ind w:left="185"/>
              <w:spacing w:after="0" w:line="157" w:lineRule="exact"/>
              <w:rPr>
                <w:sz w:val="20"/>
                <w:szCs w:val="20"/>
                <w:color w:val="auto"/>
              </w:rPr>
            </w:pPr>
            <w:r>
              <w:rPr>
                <w:rFonts w:ascii="Times New Roman" w:cs="Times New Roman" w:eastAsia="Times New Roman" w:hAnsi="Times New Roman"/>
                <w:sz w:val="14"/>
                <w:szCs w:val="14"/>
                <w:b w:val="1"/>
                <w:bCs w:val="1"/>
                <w:color w:val="auto"/>
              </w:rPr>
              <w:t>Watertown, Massachusetts 02472</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8"/>
        </w:trPr>
        <w:tc>
          <w:tcPr>
            <w:tcW w:w="9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380" w:type="dxa"/>
            <w:vAlign w:val="bottom"/>
            <w:gridSpan w:val="2"/>
          </w:tcPr>
          <w:p>
            <w:pPr>
              <w:jc w:val="center"/>
              <w:ind w:left="185"/>
              <w:spacing w:after="0"/>
              <w:rPr>
                <w:sz w:val="20"/>
                <w:szCs w:val="20"/>
                <w:color w:val="auto"/>
              </w:rPr>
            </w:pPr>
            <w:r>
              <w:rPr>
                <w:rFonts w:ascii="Times New Roman" w:cs="Times New Roman" w:eastAsia="Times New Roman" w:hAnsi="Times New Roman"/>
                <w:sz w:val="16"/>
                <w:szCs w:val="16"/>
                <w:b w:val="1"/>
                <w:bCs w:val="1"/>
                <w:color w:val="auto"/>
                <w:w w:val="99"/>
              </w:rPr>
              <w:t>(617) 607-0800</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0"/>
        </w:trPr>
        <w:tc>
          <w:tcPr>
            <w:tcW w:w="980" w:type="dxa"/>
            <w:vAlign w:val="bottom"/>
          </w:tcPr>
          <w:p>
            <w:pPr>
              <w:spacing w:after="0"/>
              <w:rPr>
                <w:sz w:val="13"/>
                <w:szCs w:val="13"/>
                <w:color w:val="auto"/>
              </w:rPr>
            </w:pPr>
          </w:p>
        </w:tc>
        <w:tc>
          <w:tcPr>
            <w:tcW w:w="838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r>
      <w:tr>
        <w:trPr>
          <w:trHeight w:val="188"/>
        </w:trPr>
        <w:tc>
          <w:tcPr>
            <w:tcW w:w="980" w:type="dxa"/>
            <w:vAlign w:val="bottom"/>
          </w:tcPr>
          <w:p>
            <w:pPr>
              <w:spacing w:after="0"/>
              <w:rPr>
                <w:sz w:val="16"/>
                <w:szCs w:val="16"/>
                <w:color w:val="auto"/>
              </w:rPr>
            </w:pPr>
          </w:p>
        </w:tc>
        <w:tc>
          <w:tcPr>
            <w:tcW w:w="5900" w:type="dxa"/>
            <w:vAlign w:val="bottom"/>
            <w:gridSpan w:val="4"/>
          </w:tcPr>
          <w:p>
            <w:pPr>
              <w:jc w:val="center"/>
              <w:ind w:left="2236"/>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
        </w:trPr>
        <w:tc>
          <w:tcPr>
            <w:tcW w:w="980" w:type="dxa"/>
            <w:vAlign w:val="bottom"/>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r>
      <w:tr>
        <w:trPr>
          <w:trHeight w:val="142"/>
        </w:trPr>
        <w:tc>
          <w:tcPr>
            <w:tcW w:w="980" w:type="dxa"/>
            <w:vAlign w:val="bottom"/>
            <w:tcBorders>
              <w:right w:val="single" w:sz="8" w:color="auto"/>
            </w:tcBorders>
          </w:tcPr>
          <w:p>
            <w:pPr>
              <w:spacing w:after="0"/>
              <w:rPr>
                <w:sz w:val="12"/>
                <w:szCs w:val="12"/>
                <w:color w:val="auto"/>
              </w:rPr>
            </w:pPr>
          </w:p>
        </w:tc>
        <w:tc>
          <w:tcPr>
            <w:tcW w:w="2780" w:type="dxa"/>
            <w:vAlign w:val="bottom"/>
            <w:tcBorders>
              <w:bottom w:val="single" w:sz="8" w:color="auto"/>
            </w:tcBorders>
          </w:tcPr>
          <w:p>
            <w:pPr>
              <w:jc w:val="center"/>
              <w:ind w:left="256"/>
              <w:spacing w:after="0" w:line="122" w:lineRule="exact"/>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6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120" w:type="dxa"/>
            <w:vAlign w:val="bottom"/>
            <w:tcBorders>
              <w:bottom w:val="single" w:sz="8" w:color="auto"/>
              <w:right w:val="single" w:sz="8" w:color="auto"/>
            </w:tcBorders>
            <w:gridSpan w:val="3"/>
          </w:tcPr>
          <w:p>
            <w:pPr>
              <w:ind w:left="540"/>
              <w:spacing w:after="0" w:line="12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100" w:type="dxa"/>
            <w:vAlign w:val="bottom"/>
          </w:tcPr>
          <w:p>
            <w:pPr>
              <w:spacing w:after="0"/>
              <w:rPr>
                <w:sz w:val="12"/>
                <w:szCs w:val="12"/>
                <w:color w:val="auto"/>
              </w:rPr>
            </w:pPr>
          </w:p>
        </w:tc>
      </w:tr>
      <w:tr>
        <w:trPr>
          <w:trHeight w:val="123"/>
        </w:trPr>
        <w:tc>
          <w:tcPr>
            <w:tcW w:w="980" w:type="dxa"/>
            <w:vAlign w:val="bottom"/>
            <w:tcBorders>
              <w:right w:val="single" w:sz="8" w:color="auto"/>
            </w:tcBorders>
          </w:tcPr>
          <w:p>
            <w:pPr>
              <w:spacing w:after="0"/>
              <w:rPr>
                <w:sz w:val="10"/>
                <w:szCs w:val="10"/>
                <w:color w:val="auto"/>
              </w:rPr>
            </w:pPr>
          </w:p>
        </w:tc>
        <w:tc>
          <w:tcPr>
            <w:tcW w:w="2780" w:type="dxa"/>
            <w:vAlign w:val="bottom"/>
            <w:tcBorders>
              <w:bottom w:val="single" w:sz="8" w:color="auto"/>
            </w:tcBorders>
          </w:tcPr>
          <w:p>
            <w:pPr>
              <w:jc w:val="center"/>
              <w:ind w:left="256"/>
              <w:spacing w:after="0" w:line="123" w:lineRule="exact"/>
              <w:rPr>
                <w:sz w:val="20"/>
                <w:szCs w:val="20"/>
                <w:color w:val="auto"/>
              </w:rPr>
            </w:pPr>
            <w:r>
              <w:rPr>
                <w:rFonts w:ascii="Times New Roman" w:cs="Times New Roman" w:eastAsia="Times New Roman" w:hAnsi="Times New Roman"/>
                <w:sz w:val="11"/>
                <w:szCs w:val="11"/>
                <w:color w:val="auto"/>
                <w:w w:val="98"/>
              </w:rPr>
              <w:t>Common Stock, par value $0.01 per share</w:t>
            </w:r>
          </w:p>
        </w:tc>
        <w:tc>
          <w:tcPr>
            <w:tcW w:w="36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w w:val="95"/>
              </w:rPr>
              <w:t>ENTA</w:t>
            </w:r>
          </w:p>
        </w:tc>
        <w:tc>
          <w:tcPr>
            <w:tcW w:w="7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ind w:left="20"/>
              <w:spacing w:after="0" w:line="121" w:lineRule="exact"/>
              <w:rPr>
                <w:sz w:val="20"/>
                <w:szCs w:val="20"/>
                <w:color w:val="auto"/>
              </w:rPr>
            </w:pPr>
            <w:r>
              <w:rPr>
                <w:rFonts w:ascii="Times New Roman" w:cs="Times New Roman" w:eastAsia="Times New Roman" w:hAnsi="Times New Roman"/>
                <w:sz w:val="11"/>
                <w:szCs w:val="11"/>
                <w:color w:val="auto"/>
              </w:rPr>
              <w:t>NASDAQ</w:t>
            </w:r>
          </w:p>
        </w:tc>
        <w:tc>
          <w:tcPr>
            <w:tcW w:w="100" w:type="dxa"/>
            <w:vAlign w:val="bottom"/>
          </w:tcPr>
          <w:p>
            <w:pPr>
              <w:spacing w:after="0"/>
              <w:rPr>
                <w:sz w:val="10"/>
                <w:szCs w:val="10"/>
                <w:color w:val="auto"/>
              </w:rPr>
            </w:pPr>
          </w:p>
        </w:tc>
      </w:tr>
      <w:tr>
        <w:trPr>
          <w:trHeight w:val="202"/>
        </w:trPr>
        <w:tc>
          <w:tcPr>
            <w:tcW w:w="980" w:type="dxa"/>
            <w:vAlign w:val="bottom"/>
          </w:tcPr>
          <w:p>
            <w:pPr>
              <w:spacing w:after="0"/>
              <w:rPr>
                <w:sz w:val="17"/>
                <w:szCs w:val="17"/>
                <w:color w:val="auto"/>
              </w:rPr>
            </w:pPr>
          </w:p>
        </w:tc>
        <w:tc>
          <w:tcPr>
            <w:tcW w:w="6460" w:type="dxa"/>
            <w:vAlign w:val="bottom"/>
            <w:gridSpan w:val="5"/>
          </w:tcPr>
          <w:p>
            <w:pPr>
              <w:jc w:val="center"/>
              <w:ind w:left="169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85"/>
        </w:trPr>
        <w:tc>
          <w:tcPr>
            <w:tcW w:w="6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19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26"/>
        </w:trPr>
        <w:tc>
          <w:tcPr>
            <w:tcW w:w="6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192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ind w:right="10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77" w:right="359" w:bottom="1440" w:gutter="0" w:footer="0" w:header="0"/>
        </w:sectPr>
      </w:pPr>
    </w:p>
    <w:p>
      <w:pPr>
        <w:spacing w:after="0" w:line="2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320" w:space="680"/>
            <w:col w:w="5920" w:space="720"/>
            <w:col w:w="1660" w:space="720"/>
            <w:col w:w="200"/>
          </w:cols>
          <w:pgMar w:left="320" w:top="1177" w:right="359" w:bottom="1440" w:gutter="0" w:footer="0" w:header="0"/>
          <w:type w:val="continuous"/>
        </w:sectPr>
      </w:pP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280" w:space="720"/>
            <w:col w:w="5920" w:space="720"/>
            <w:col w:w="1660" w:space="720"/>
            <w:col w:w="200"/>
          </w:cols>
          <w:pgMar w:left="320" w:top="1177" w:right="35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40" w:firstLine="509"/>
        <w:spacing w:after="0" w:line="182"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4" w:lineRule="exact"/>
        <w:rPr>
          <w:sz w:val="24"/>
          <w:szCs w:val="24"/>
          <w:color w:val="auto"/>
        </w:rPr>
      </w:pPr>
    </w:p>
    <w:p>
      <w:pPr>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right="10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as of the last business day of the registrant’s most recently completed second fiscal quarter, March 31, 2022, based on the last reported sale price of the registrant’s common stock of $71.18 per share was $1,262,330,179. The number of shares of the registrant’s Common Stock, $0.01 par value, outstanding as of November 1, 2022 was 20,797,491 shares.</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5" w:lineRule="exact"/>
        <w:rPr>
          <w:sz w:val="24"/>
          <w:szCs w:val="24"/>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scheduled to be held on March 2, 2023, which Definitive Proxy will be filed with the Securities and Exchange Commission not later than 120 days after the registrant’s fiscal year end of September 30,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7" w:right="359" w:bottom="1440" w:gutter="0" w:footer="0" w:header="0"/>
          <w:type w:val="continuous"/>
        </w:sectPr>
      </w:pPr>
    </w:p>
    <w:bookmarkStart w:id="1" w:name="page2"/>
    <w:bookmarkEnd w:id="1"/>
    <w:p>
      <w:pPr>
        <w:ind w:right="100"/>
        <w:spacing w:after="0" w:line="272" w:lineRule="auto"/>
        <w:rPr>
          <w:sz w:val="20"/>
          <w:szCs w:val="20"/>
          <w:color w:val="auto"/>
        </w:rPr>
      </w:pPr>
      <w:r>
        <w:rPr>
          <w:rFonts w:ascii="Times New Roman" w:cs="Times New Roman" w:eastAsia="Times New Roman" w:hAnsi="Times New Roman"/>
          <w:sz w:val="18"/>
          <w:szCs w:val="18"/>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VIEKIRA PAK™, VIEKIRAX™, and, EXVIERA™ are trademarks of AbbVie, Inc.</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2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56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11"/>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For the year ended September 30, 2022</w:t>
            </w:r>
          </w:p>
        </w:tc>
        <w:tc>
          <w:tcPr>
            <w:tcW w:w="56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60" w:type="dxa"/>
            <w:vAlign w:val="bottom"/>
          </w:tcPr>
          <w:p>
            <w:pPr>
              <w:spacing w:after="0"/>
              <w:rPr>
                <w:sz w:val="24"/>
                <w:szCs w:val="24"/>
                <w:color w:val="auto"/>
              </w:rPr>
            </w:pPr>
          </w:p>
        </w:tc>
      </w:tr>
      <w:tr>
        <w:trPr>
          <w:trHeight w:val="392"/>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Summary of Principal 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1"/>
              </w:rPr>
              <w:t>PART I</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64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auto"/>
                <w:w w:val="96"/>
              </w:rPr>
              <w:t>Business</w:t>
            </w:r>
          </w:p>
        </w:tc>
        <w:tc>
          <w:tcPr>
            <w:tcW w:w="9140" w:type="dxa"/>
            <w:vAlign w:val="bottom"/>
            <w:gridSpan w:val="23"/>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Properties</w:t>
            </w:r>
          </w:p>
        </w:tc>
        <w:tc>
          <w:tcPr>
            <w:tcW w:w="7740" w:type="dxa"/>
            <w:vAlign w:val="bottom"/>
            <w:gridSpan w:val="1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8440" w:type="dxa"/>
            <w:vAlign w:val="bottom"/>
            <w:gridSpan w:val="1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5"/>
              </w:rPr>
              <w:t>PART II</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7"/>
                <w:szCs w:val="17"/>
                <w:color w:val="auto"/>
              </w:rPr>
            </w:pPr>
          </w:p>
        </w:tc>
        <w:tc>
          <w:tcPr>
            <w:tcW w:w="8300" w:type="dxa"/>
            <w:vAlign w:val="bottom"/>
            <w:tcBorders>
              <w:bottom w:val="single" w:sz="8" w:color="0000EE"/>
            </w:tcBorders>
            <w:gridSpan w:val="23"/>
          </w:tcPr>
          <w:p>
            <w:pPr>
              <w:spacing w:after="0" w:line="202" w:lineRule="exact"/>
              <w:rPr>
                <w:sz w:val="20"/>
                <w:szCs w:val="20"/>
                <w:color w:val="auto"/>
              </w:rPr>
            </w:pPr>
            <w:r>
              <w:rPr>
                <w:rFonts w:ascii="Times New Roman" w:cs="Times New Roman" w:eastAsia="Times New Roman" w:hAnsi="Times New Roman"/>
                <w:sz w:val="18"/>
                <w:szCs w:val="18"/>
                <w:color w:val="auto"/>
                <w:w w:val="99"/>
              </w:rPr>
              <w:t>Market for the Company’s Common Equity, Related Stockholder Matters and Issuer Purchases of Equity Securities</w:t>
            </w:r>
          </w:p>
        </w:tc>
        <w:tc>
          <w:tcPr>
            <w:tcW w:w="1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332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Consolidated 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6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330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16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0000EE"/>
            </w:tcBorders>
            <w:gridSpan w:val="3"/>
          </w:tcPr>
          <w:p>
            <w:pPr>
              <w:spacing w:after="0"/>
              <w:rPr>
                <w:sz w:val="19"/>
                <w:szCs w:val="19"/>
                <w:color w:val="auto"/>
              </w:rPr>
            </w:pPr>
          </w:p>
        </w:tc>
        <w:tc>
          <w:tcPr>
            <w:tcW w:w="8020" w:type="dxa"/>
            <w:vAlign w:val="bottom"/>
            <w:gridSpan w:val="1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160" w:type="dxa"/>
            <w:vAlign w:val="bottom"/>
          </w:tcPr>
          <w:p>
            <w:pPr>
              <w:spacing w:after="0"/>
              <w:rPr>
                <w:sz w:val="19"/>
                <w:szCs w:val="19"/>
                <w:color w:val="auto"/>
              </w:rPr>
            </w:pP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9"/>
                <w:szCs w:val="19"/>
                <w:color w:val="auto"/>
              </w:rPr>
            </w:pPr>
          </w:p>
        </w:tc>
        <w:tc>
          <w:tcPr>
            <w:tcW w:w="4860" w:type="dxa"/>
            <w:vAlign w:val="bottom"/>
            <w:gridSpan w:val="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3"/>
              </w:rPr>
              <w:t>PART III</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202" w:lineRule="exact"/>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5680" w:type="dxa"/>
            <w:vAlign w:val="bottom"/>
            <w:gridSpan w:val="10"/>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72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50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54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434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7"/>
              </w:rPr>
              <w:t>PART IV</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202" w:lineRule="exact"/>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6620" w:type="dxa"/>
            <w:vAlign w:val="bottom"/>
            <w:gridSpan w:val="11"/>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Signatures</w:t>
            </w:r>
          </w:p>
        </w:tc>
        <w:tc>
          <w:tcPr>
            <w:tcW w:w="8240" w:type="dxa"/>
            <w:vAlign w:val="bottom"/>
            <w:gridSpan w:val="17"/>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608"/>
        </w:trPr>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in the Section 1A “Risk Factors” of this report. This summary is qualified in its entirety by that more complete statement. You should carefully read the entire statement and “Risk Factors” when considering the risks and uncertainties as part of your evaluation of an investment in our common stock.</w:t>
      </w:r>
    </w:p>
    <w:p>
      <w:pPr>
        <w:spacing w:after="0" w:line="70" w:lineRule="exact"/>
        <w:rPr>
          <w:sz w:val="20"/>
          <w:szCs w:val="20"/>
          <w:color w:val="auto"/>
        </w:rPr>
      </w:pPr>
    </w:p>
    <w:p>
      <w:pPr>
        <w:ind w:left="520" w:right="60" w:hanging="512"/>
        <w:spacing w:after="0" w:line="28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financial prospects for the next several years are substantially dependent upon AbbVie’s success selling MAVYRET/MAVIRET, which includes our protease inhibitor, glecaprevir, for the treatment of HCV</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may continue to experience lower sales volume in future quarters due to a reduction in diagnoses and treatment rates of HCV if doctor visits and other routine healthcare activities remain at below normal levels as a result of the COVID-19 pandemic.</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AbbVie’s MAVYRET/MAVIRET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63" w:lineRule="exact"/>
        <w:rPr>
          <w:rFonts w:ascii="Times New Roman" w:cs="Times New Roman" w:eastAsia="Times New Roman" w:hAnsi="Times New Roman"/>
          <w:sz w:val="18"/>
          <w:szCs w:val="18"/>
          <w:color w:val="auto"/>
        </w:rPr>
      </w:pPr>
    </w:p>
    <w:p>
      <w:pPr>
        <w:ind w:left="520" w:right="80" w:hanging="512"/>
        <w:spacing w:after="0" w:line="28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There are many companies developing potential therapies for RSV, SARS-CoV-2, HBV and hMPV, which may result in others discovering, developing or commercializing products before we do or doing so more successfully than we do.</w:t>
      </w:r>
    </w:p>
    <w:p>
      <w:pPr>
        <w:spacing w:after="0" w:line="50"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most of the disease areas currently the subject of our research and development efforts, there are other companies with product candidates that are more advanced than ours.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“first to market” with one of our product candidates in one or more of our targeted disease indications, our competitive position could be compromised because it may be more difficult for us to obtain marketing approval for that product candidate and/or market acceptance of that product candidate as a follow-on competitor.</w:t>
      </w:r>
    </w:p>
    <w:p>
      <w:pPr>
        <w:spacing w:after="0" w:line="63" w:lineRule="exact"/>
        <w:rPr>
          <w:rFonts w:ascii="Times New Roman" w:cs="Times New Roman" w:eastAsia="Times New Roman" w:hAnsi="Times New Roman"/>
          <w:sz w:val="18"/>
          <w:szCs w:val="18"/>
          <w:color w:val="auto"/>
        </w:rPr>
      </w:pPr>
    </w:p>
    <w:p>
      <w:pPr>
        <w:ind w:left="520" w:right="20" w:hanging="512"/>
        <w:spacing w:after="0" w:line="26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changes in royalty revenue earned under our AbbVie agreement or in the level of expenses associated with our clinical development programs, or both, will cause our results of operations to fluctuate from period to period. Any continuation of the recent trend of reducing royalty revenue, combined with increasing research and development expenses in support of our advancing programs, will result in continuing operating losses in future periods unless we develop other sources of revenue.</w:t>
      </w:r>
    </w:p>
    <w:p>
      <w:pPr>
        <w:spacing w:after="0" w:line="72"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due to our advancement of compounds into more clinical studies and any impact of inflation, which will likely result in continuing operating losses.</w:t>
      </w:r>
    </w:p>
    <w:p>
      <w:pPr>
        <w:spacing w:after="0" w:line="63" w:lineRule="exact"/>
        <w:rPr>
          <w:rFonts w:ascii="Times New Roman" w:cs="Times New Roman" w:eastAsia="Times New Roman" w:hAnsi="Times New Roman"/>
          <w:sz w:val="18"/>
          <w:szCs w:val="18"/>
          <w:color w:val="auto"/>
        </w:rPr>
      </w:pPr>
    </w:p>
    <w:p>
      <w:pPr>
        <w:jc w:val="both"/>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will require substantial additional funding to achieve our goals. If we do not generate sufficient funding from our existing collaboration and any future collaborations, we will need to obtain additional funding to support our operations. A failure to obtain funding when needed could force us to delay, limit, reduce or terminate some or all of our product development efforts.</w:t>
      </w:r>
    </w:p>
    <w:p>
      <w:pPr>
        <w:spacing w:after="0" w:line="62" w:lineRule="exact"/>
        <w:rPr>
          <w:rFonts w:ascii="Times New Roman" w:cs="Times New Roman" w:eastAsia="Times New Roman" w:hAnsi="Times New Roman"/>
          <w:sz w:val="18"/>
          <w:szCs w:val="18"/>
          <w:color w:val="auto"/>
        </w:rPr>
      </w:pPr>
    </w:p>
    <w:p>
      <w:pPr>
        <w:ind w:left="520" w:right="1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drug development for viral infections and liver diseases involves a lengthy and expensive process with uncertain timelines, uncertain outcomes and evolving clinical endpoints for regulatory approvals. If clinical trials of any of our proprietary product candidates are prolonged or delayed, we may be unable to commercialize our product candidates on a timely basis</w:t>
      </w:r>
      <w:r>
        <w:rPr>
          <w:rFonts w:ascii="Times New Roman" w:cs="Times New Roman" w:eastAsia="Times New Roman" w:hAnsi="Times New Roman"/>
          <w:sz w:val="18"/>
          <w:szCs w:val="18"/>
          <w:b w:val="1"/>
          <w:bCs w:val="1"/>
          <w:i w:val="1"/>
          <w:iCs w:val="1"/>
          <w:color w:val="auto"/>
        </w:rPr>
        <w:t>.</w:t>
      </w:r>
    </w:p>
    <w:p>
      <w:pPr>
        <w:spacing w:after="0" w:line="6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product candidates in our clinical development pipeline has yet to advance beyond Phase 2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clinical trials may be delayed due to the continuing impact of COVID-19 on the ability of trial sites to conduct their operations and recruit trial subjects, as well as its potential impact on the future incidence of RSV.</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 including guidelines specifically addressing requirements for the development of treatments for RSV, SARS-CoV-2, HBV or hMPV could also delay the time required to reach approval of one or more of our product candidates.</w:t>
      </w:r>
    </w:p>
    <w:p>
      <w:pPr>
        <w:spacing w:after="0" w:line="63" w:lineRule="exact"/>
        <w:rPr>
          <w:rFonts w:ascii="Times New Roman" w:cs="Times New Roman" w:eastAsia="Times New Roman" w:hAnsi="Times New Roman"/>
          <w:sz w:val="18"/>
          <w:szCs w:val="18"/>
          <w:color w:val="auto"/>
        </w:rPr>
      </w:pPr>
    </w:p>
    <w:p>
      <w:pPr>
        <w:ind w:left="520" w:right="6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results of clinical trials are inherently uncertain. The results of preclinical studies and early clinical trials of our product candidates may not be predictive of the results of later-stage clinical trials, if any, including sufficient efficacy and an acceptable safety and tolerability profile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left="1012" w:right="4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53" w:lineRule="exact"/>
        <w:rPr>
          <w:rFonts w:ascii="Times New Roman" w:cs="Times New Roman" w:eastAsia="Times New Roman" w:hAnsi="Times New Roman"/>
          <w:sz w:val="18"/>
          <w:szCs w:val="18"/>
          <w:color w:val="auto"/>
        </w:rPr>
      </w:pPr>
    </w:p>
    <w:p>
      <w:pPr>
        <w:ind w:left="1012" w:right="42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53" w:lineRule="exact"/>
        <w:rPr>
          <w:rFonts w:ascii="Times New Roman" w:cs="Times New Roman" w:eastAsia="Times New Roman" w:hAnsi="Times New Roman"/>
          <w:sz w:val="18"/>
          <w:szCs w:val="18"/>
          <w:color w:val="auto"/>
        </w:rPr>
      </w:pPr>
    </w:p>
    <w:p>
      <w:pPr>
        <w:ind w:left="1012" w:right="240"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test any of our clinical candidates preclinically and/or clinically in combination with other compounds with different mechanisms of action. Any adverse results from such testing may have adverse consequences for the further development potential of not only the combination but also the clinical candidate itself as a monotherapy or in combination with other mechanisms of action.</w:t>
      </w:r>
    </w:p>
    <w:p>
      <w:pPr>
        <w:spacing w:after="0" w:line="63" w:lineRule="exact"/>
        <w:rPr>
          <w:rFonts w:ascii="Times New Roman" w:cs="Times New Roman" w:eastAsia="Times New Roman" w:hAnsi="Times New Roman"/>
          <w:sz w:val="18"/>
          <w:szCs w:val="18"/>
          <w:color w:val="auto"/>
        </w:rPr>
      </w:pPr>
    </w:p>
    <w:p>
      <w:pPr>
        <w:ind w:left="512"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COVID-19 pandemic has had an impact on our business operations and it could continue to materially affect directly or indirectly, our business.</w:t>
      </w:r>
    </w:p>
    <w:p>
      <w:pPr>
        <w:spacing w:after="0" w:line="50" w:lineRule="exact"/>
        <w:rPr>
          <w:rFonts w:ascii="Times New Roman" w:cs="Times New Roman" w:eastAsia="Times New Roman" w:hAnsi="Times New Roman"/>
          <w:sz w:val="18"/>
          <w:szCs w:val="18"/>
          <w:color w:val="auto"/>
        </w:rPr>
      </w:pPr>
    </w:p>
    <w:p>
      <w:pPr>
        <w:ind w:left="1012" w:right="100"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severity of the continuing impact of the pandemic on our business and clinical trials will be determined largely by the extent of delays in the conduct and recruitment of current and future clinical trials, reductions in the number of patients accessing AbbVie’s MAVYRET/MAVIRET HCV regimen, and disruptions in the supply chains for our research and clinical trial materials.</w:t>
      </w:r>
    </w:p>
    <w:p>
      <w:pPr>
        <w:spacing w:after="0" w:line="63" w:lineRule="exact"/>
        <w:rPr>
          <w:rFonts w:ascii="Times New Roman" w:cs="Times New Roman" w:eastAsia="Times New Roman" w:hAnsi="Times New Roman"/>
          <w:sz w:val="18"/>
          <w:szCs w:val="18"/>
          <w:color w:val="auto"/>
        </w:rPr>
      </w:pPr>
    </w:p>
    <w:p>
      <w:pPr>
        <w:ind w:left="512" w:right="780"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may delay or terminate the development of a product candidate at any time if we believe the perceived market or commercial opportunity does not justify further investment.</w:t>
      </w:r>
    </w:p>
    <w:p>
      <w:pPr>
        <w:spacing w:after="0" w:line="4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could be unsuccessful in obtaining or maintaining adequate patent protection for one or more of our product candidates.</w:t>
      </w:r>
    </w:p>
    <w:p>
      <w:pPr>
        <w:spacing w:after="0" w:line="121"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competing to develop intellectual property in areas of small-molecule drug development that are highly competitive.</w:t>
      </w:r>
    </w:p>
    <w:p>
      <w:pPr>
        <w:spacing w:after="0" w:line="117" w:lineRule="exact"/>
        <w:rPr>
          <w:rFonts w:ascii="Times New Roman" w:cs="Times New Roman" w:eastAsia="Times New Roman" w:hAnsi="Times New Roman"/>
          <w:sz w:val="18"/>
          <w:szCs w:val="18"/>
          <w:color w:val="auto"/>
        </w:rPr>
      </w:pPr>
    </w:p>
    <w:p>
      <w:pPr>
        <w:ind w:left="1012" w:right="20"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fail to provide us with any competitive advantage.</w:t>
      </w:r>
    </w:p>
    <w:p>
      <w:pPr>
        <w:spacing w:after="0" w:line="63" w:lineRule="exact"/>
        <w:rPr>
          <w:rFonts w:ascii="Times New Roman" w:cs="Times New Roman" w:eastAsia="Times New Roman" w:hAnsi="Times New Roman"/>
          <w:sz w:val="18"/>
          <w:szCs w:val="18"/>
          <w:color w:val="auto"/>
        </w:rPr>
      </w:pPr>
    </w:p>
    <w:p>
      <w:pPr>
        <w:ind w:left="512" w:right="160"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rely on third parties to manufacture our clinical drug supplies, monitor, support, conduct and/or oversee clinical trials of our product candidates that we develop independently.</w:t>
      </w:r>
    </w:p>
    <w:p>
      <w:pPr>
        <w:spacing w:after="0" w:line="15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445"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90" w:lineRule="exact"/>
        <w:rPr>
          <w:sz w:val="20"/>
          <w:szCs w:val="20"/>
          <w:color w:val="auto"/>
        </w:rPr>
      </w:pPr>
    </w:p>
    <w:p>
      <w:pPr>
        <w:jc w:val="both"/>
        <w:ind w:left="1020" w:right="3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as well as other coronaviruses, with estimates suggesting that COVID-19 has caused over 240,000 deaths and over 1.7 million hospitalizations in the U.S. in 2022 through October 29, with comparable, or at least significant, impact in other major populations of the world and with new variants still emerging;</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metapneumovirus, or hMPV, an important, relatively recently identified cause of respiratory tract infections, particularly in children, the elderly and immunocompromised individuals, with symptoms similar to RSV.</w:t>
      </w:r>
    </w:p>
    <w:p>
      <w:pPr>
        <w:spacing w:after="0" w:line="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had $278.5 million in cash, cash equivalents and short-term and long-term marketable securities at September 30, 2022. In fiscal 2022, we earned $86.2 million in product royalties on AbbVie’s net sales of its HCV regimens. We expect cash flows from our continuing HCV royalties and our existing financial resources will allow us to continue to fund our wholly-owned research and development programs into approximately the fourth quarter of fiscal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namely RSV, SARS-CoV-2, HBV and hMPV:</w:t>
      </w:r>
    </w:p>
    <w:p>
      <w:pPr>
        <w:spacing w:after="0" w:line="117" w:lineRule="exact"/>
        <w:rPr>
          <w:sz w:val="20"/>
          <w:szCs w:val="20"/>
          <w:color w:val="auto"/>
        </w:rPr>
      </w:pPr>
    </w:p>
    <w:p>
      <w:pPr>
        <w:ind w:left="1020" w:right="16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a clinical stage program for RSV, with two compounds in clinical trials – EDP-938 and EDP-323. EDP-938, which has Fast Track designation from the U.S. Food and Drug Administration, or FDA, is a potent N-protein inhibitor of activity of both major subgroups of RSV, referred to as RSV-A and RSV-B. It has been investigated in a Phase 2a challenge study and is currently in three ongoing Phase 2 studies, each in a different patient population. In addition, we recently announced the initiation of a Phase 1 clinical study of EDP-323, an inhibitor of the RSV L-protein.</w:t>
      </w:r>
    </w:p>
    <w:p>
      <w:pPr>
        <w:spacing w:after="0" w:line="73" w:lineRule="exact"/>
        <w:rPr>
          <w:rFonts w:ascii="Times New Roman" w:cs="Times New Roman" w:eastAsia="Times New Roman" w:hAnsi="Times New Roman"/>
          <w:sz w:val="18"/>
          <w:szCs w:val="18"/>
          <w:color w:val="auto"/>
        </w:rPr>
      </w:pPr>
    </w:p>
    <w:p>
      <w:pPr>
        <w:ind w:left="1540" w:right="2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 xml:space="preserve">EDP-938 - N-protein Inhibitor Candidate: </w:t>
      </w:r>
      <w:r>
        <w:rPr>
          <w:rFonts w:ascii="Times New Roman" w:cs="Times New Roman" w:eastAsia="Times New Roman" w:hAnsi="Times New Roman"/>
          <w:sz w:val="18"/>
          <w:szCs w:val="18"/>
          <w:color w:val="auto"/>
        </w:rPr>
        <w:t>We have studied EDP-938 in two Phase 2 studies that were designed to be proof-of-concept and exploratory to understand better viral response in the context of RSV infection. These studies were conducted in otherwise healthy adults. The first study was the challenge study, which was reported out in mid-2019. The second study, known as RSVP, was designed to confirm the challenge study findings in an adult outpatient population with community-acquired RSV infection to provide additional information on symptom alleviation and viral load decline. In May 2022, we announced topline results for RSVP, noting that EDP-938 did not meet the primary endpoint of reduction in total symptom score compared to placebo, or the secondary antiviral endpoints. However, a statistically significant difference in the number of subjects achieving undetectable RSV RNA at the end of treatment at Day 5 was observed with EDP-938 compared to placebo (p=0.033). Further, EDP-938 demonstrated a favorable safety profile, consistent with that observed in approximately 500 subjects exposed to EDP-938 to date. Based on the growing safety profile of EDP-938 and differences in the range of the course of RSV infection in higher risk populations, which have always been our target populations, EDP-938 merits continued study. We believe that EDP-938 continues to have the greatest potential to show optimal efficacy in high-risk populations, as these patients have reduced RSV immunity, which manifests in a higher and longer duration of viral load and greater disease severity, allowing a bigger window to realize the full potential of EDP-938. We are continuing to evaluate EDP-938 in high-risk populations in the following ongoing and planned clinical studies,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1023"/>
        <w:spacing w:after="0"/>
        <w:rPr>
          <w:sz w:val="20"/>
          <w:szCs w:val="20"/>
          <w:color w:val="auto"/>
        </w:rPr>
      </w:pPr>
      <w:r>
        <w:rPr>
          <w:rFonts w:ascii="Times New Roman" w:cs="Times New Roman" w:eastAsia="Times New Roman" w:hAnsi="Times New Roman"/>
          <w:sz w:val="18"/>
          <w:szCs w:val="18"/>
          <w:color w:val="auto"/>
        </w:rPr>
        <w:t>including pediatric patients, adult hematopoietic stem cell recipients and high-risk adults, all of which have significant unmet need:</w:t>
      </w:r>
    </w:p>
    <w:p>
      <w:pPr>
        <w:spacing w:after="0" w:line="223" w:lineRule="exact"/>
        <w:rPr>
          <w:sz w:val="20"/>
          <w:szCs w:val="20"/>
          <w:color w:val="auto"/>
        </w:rPr>
      </w:pPr>
    </w:p>
    <w:p>
      <w:pPr>
        <w:ind w:left="1523" w:right="20" w:hanging="505"/>
        <w:spacing w:after="0" w:line="267" w:lineRule="auto"/>
        <w:tabs>
          <w:tab w:leader="none" w:pos="15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pediatric patients. This dose-ranging, randomized, double-blind, placebo-controlled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study, will evaluate multiple ascending doses in up to four age cohorts to determine safety, tolerability, and pharmacokinetics, as well as a second part evaluating the selected dose for antiviral activity.</w:t>
      </w:r>
    </w:p>
    <w:p>
      <w:pPr>
        <w:spacing w:after="0" w:line="65" w:lineRule="exact"/>
        <w:rPr>
          <w:rFonts w:ascii="Times New Roman" w:cs="Times New Roman" w:eastAsia="Times New Roman" w:hAnsi="Times New Roman"/>
          <w:sz w:val="18"/>
          <w:szCs w:val="18"/>
          <w:color w:val="auto"/>
        </w:rPr>
      </w:pPr>
    </w:p>
    <w:p>
      <w:pPr>
        <w:ind w:left="1523" w:hanging="505"/>
        <w:spacing w:after="0" w:line="261" w:lineRule="auto"/>
        <w:tabs>
          <w:tab w:leader="none" w:pos="15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RSVTx is a Phase 2b study in adult hematopoietic cell transplant recipients with acute RSV infection and symptoms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upper respiratory tract infection. We plan to enroll approximately 200 adult subjects 18 to 75 years of age, within 72 hours of symptom onset, who will receive EDP-938 or placebo for 21 days and will be monitored for the incidence of lower respiratory tract complications within 28 days of enrollment.</w:t>
      </w:r>
    </w:p>
    <w:p>
      <w:pPr>
        <w:spacing w:after="0" w:line="71" w:lineRule="exact"/>
        <w:rPr>
          <w:rFonts w:ascii="Times New Roman" w:cs="Times New Roman" w:eastAsia="Times New Roman" w:hAnsi="Times New Roman"/>
          <w:sz w:val="18"/>
          <w:szCs w:val="18"/>
          <w:color w:val="auto"/>
        </w:rPr>
      </w:pPr>
    </w:p>
    <w:p>
      <w:pPr>
        <w:ind w:left="1523" w:right="80" w:hanging="505"/>
        <w:spacing w:after="0" w:line="258" w:lineRule="auto"/>
        <w:tabs>
          <w:tab w:leader="none" w:pos="15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3, 2022, we announced the initiation of a Phase 2b study called RSVHR in high-risk adults,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who are older than 65 years of age and those who have asthma, chronic obstructive pulmonary disease, or COPD, or congestive heart failure. Approximately 180 patients will be treated with 800 mg of EDP-938 or placebo for five days and evaluated for 28 days thereafter. The primary endpoint of the study is time to resolution of RSV lower respiratory tract disease symptoms.</w:t>
      </w:r>
    </w:p>
    <w:p>
      <w:pPr>
        <w:spacing w:after="0" w:line="77" w:lineRule="exact"/>
        <w:rPr>
          <w:sz w:val="20"/>
          <w:szCs w:val="20"/>
          <w:color w:val="auto"/>
        </w:rPr>
      </w:pPr>
    </w:p>
    <w:p>
      <w:pPr>
        <w:ind w:left="1023" w:right="440" w:hanging="513"/>
        <w:spacing w:after="0" w:line="266" w:lineRule="auto"/>
        <w:tabs>
          <w:tab w:leader="none" w:pos="10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RSV has not been following any normal seasonal pattern since the COVID-19 pandemic began. The future incidence and timing of RSV infections remain highly unpredictable and thus may continue to impact enrollment in our ongoing Phase 2 RSV trials.</w:t>
      </w:r>
    </w:p>
    <w:p>
      <w:pPr>
        <w:spacing w:after="0" w:line="65" w:lineRule="exact"/>
        <w:rPr>
          <w:rFonts w:ascii="Times New Roman" w:cs="Times New Roman" w:eastAsia="Times New Roman" w:hAnsi="Times New Roman"/>
          <w:sz w:val="18"/>
          <w:szCs w:val="18"/>
          <w:color w:val="auto"/>
        </w:rPr>
      </w:pPr>
    </w:p>
    <w:p>
      <w:pPr>
        <w:ind w:left="1023" w:hanging="513"/>
        <w:spacing w:after="0" w:line="257" w:lineRule="auto"/>
        <w:tabs>
          <w:tab w:leader="none" w:pos="10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newest clinical candidate for RSV is a novel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the RSV L-protein, a viral RNA-dependent RNA polymerase enzyme that contains multiple enzymatic activities required for RSV replication. EDP-323 has shown nanomolar potency against RSV-A and RSV-B in vitro and is not expected to have cross-resistance to other classes of inhibitors. EDP-323 has the potential to be used alone or in combination with other RSV mechanisms, such as EDP-938, to broaden the treatment window or addressable patient populations. We initiated a Phase 1 clinical study of EDP-323 in October 2022.</w:t>
      </w:r>
    </w:p>
    <w:p>
      <w:pPr>
        <w:spacing w:after="0" w:line="184"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We have been leveraging our expertise in developing protease inhibitors to discover new compounds specifically designed to target the SARS-CoV-2 virus and potentially other coronaviruses.</w:t>
      </w:r>
    </w:p>
    <w:p>
      <w:pPr>
        <w:spacing w:after="0" w:line="51" w:lineRule="exact"/>
        <w:rPr>
          <w:rFonts w:ascii="Times New Roman" w:cs="Times New Roman" w:eastAsia="Times New Roman" w:hAnsi="Times New Roman"/>
          <w:sz w:val="18"/>
          <w:szCs w:val="18"/>
          <w:color w:val="auto"/>
        </w:rPr>
      </w:pPr>
    </w:p>
    <w:p>
      <w:pPr>
        <w:ind w:left="1023" w:right="200" w:hanging="514"/>
        <w:spacing w:after="0" w:line="281" w:lineRule="auto"/>
        <w:tabs>
          <w:tab w:leader="none" w:pos="102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EDP-235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Protease Inhibitor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Our lead clinical candidate for COVID-19, EDP-235, is an oral inhibitor of coronavirus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3CL protease, also referred to as 3CLpro or the main coronavirus protease, or Mpro, which has been granted Fast Track designation by the FDA. In addition to SARS-CoV-2, EDP-235 has potent antiviral activity against other human coronaviruses, enabling the potential for a pan-coronavirus treatment, including possibly coronaviruses that may infect human populations in the future.</w:t>
      </w:r>
    </w:p>
    <w:p>
      <w:pPr>
        <w:spacing w:after="0" w:line="56" w:lineRule="exact"/>
        <w:rPr>
          <w:rFonts w:ascii="Times New Roman" w:cs="Times New Roman" w:eastAsia="Times New Roman" w:hAnsi="Times New Roman"/>
          <w:sz w:val="17"/>
          <w:szCs w:val="17"/>
          <w:color w:val="auto"/>
        </w:rPr>
      </w:pPr>
    </w:p>
    <w:p>
      <w:pPr>
        <w:ind w:left="1523" w:right="60" w:hanging="505"/>
        <w:spacing w:after="0"/>
        <w:tabs>
          <w:tab w:leader="none" w:pos="152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1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July 2022, we completed a Phase 1 study and reported positive topline results. This first-in-human,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or PK, of oral EDP-235 in single ascending doses and multiple ascending doses for seven days, and the effect of food. Data from the Phase 1 study demonstrated EDP-235 was generally safe and well-tolerated up to 400 mg for seven days with strong exposure multiples over the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which is a measure of potency, specifically the concentration of drug that results in 90% inhibition of viral replication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EDP-235 200 mg taken once daily with food resulted in mean trough plasma levels at steady state that were 3-fold and 7-fold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tested Alpha variant and Omicron variant, respectively, while 400 mg resulted in levels that were 6-fold and 13-fold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respective variants. These target exposure multiples were achieved without the need for ritonavir boosting and its associated drug-drug interactions. EDP-235 is projected to have four times higher drug levels in lung tissue compared to plasma, which would be expected to drive the 400 mg multiples to 28-fold and 52-fold for the respective variants. Adverse events were infrequent and mild.</w:t>
      </w:r>
    </w:p>
    <w:p>
      <w:pPr>
        <w:spacing w:after="0" w:line="88" w:lineRule="exact"/>
        <w:rPr>
          <w:rFonts w:ascii="Times New Roman" w:cs="Times New Roman" w:eastAsia="Times New Roman" w:hAnsi="Times New Roman"/>
          <w:sz w:val="18"/>
          <w:szCs w:val="18"/>
          <w:color w:val="auto"/>
        </w:rPr>
      </w:pPr>
    </w:p>
    <w:p>
      <w:pPr>
        <w:ind w:left="1523" w:right="40" w:hanging="505"/>
        <w:spacing w:after="0" w:line="255" w:lineRule="auto"/>
        <w:tabs>
          <w:tab w:leader="none" w:pos="152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November 2022, we initiated SPRINT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ARS-Cov-2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otease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hibitor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reatment), a Phase 2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EDP-235 in non-hospitalized, symptomatic adults with mild or moderate COVID-19. This randomized, double-blind, placebo-controlled study is designed to evaluate the safety, tolerability and antiviral activity of 200 mg and 400 mg once-daily doses of EDP-235 compared to placebo. The study will enroll approximately 200 non-hospitalized, symptomatic patients with mild to moderate COVID-19 who are not at increased risk for developing severe disease. Patients will be eligible to participate if they have had symptoms for five days or less and have not received a SARS-CoV-2 vaccine or been infected with SARS-CoV-2 within 90 days of enrollment. Patients will receive EDP-235 orally with food at a dose of 200 mg or 400 mg or placebo once daily for five days. The primary objective of the study includes evaluation of safety</w:t>
      </w:r>
    </w:p>
    <w:p>
      <w:pPr>
        <w:spacing w:after="0" w:line="189"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7" w:name="page8"/>
    <w:bookmarkEnd w:id="7"/>
    <w:p>
      <w:pPr>
        <w:ind w:left="2040" w:right="20"/>
        <w:spacing w:after="0" w:line="282" w:lineRule="auto"/>
        <w:rPr>
          <w:sz w:val="20"/>
          <w:szCs w:val="20"/>
          <w:color w:val="auto"/>
        </w:rPr>
      </w:pPr>
      <w:r>
        <w:rPr>
          <w:rFonts w:ascii="Times New Roman" w:cs="Times New Roman" w:eastAsia="Times New Roman" w:hAnsi="Times New Roman"/>
          <w:sz w:val="18"/>
          <w:szCs w:val="18"/>
          <w:color w:val="auto"/>
        </w:rPr>
        <w:t>and tolerability, and secondary objectives include pharmacokinetics and multiple virology measures to guide dose selection for other trials.</w:t>
      </w:r>
    </w:p>
    <w:p>
      <w:pPr>
        <w:spacing w:after="0" w:line="54" w:lineRule="exact"/>
        <w:rPr>
          <w:sz w:val="20"/>
          <w:szCs w:val="20"/>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researching additional compounds that might be eligible to be designated for clinical development for SARS-CoV-2.</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We are in the process of seeking other compounds that could be developed with EDP-514 for such a treatment regimen.</w:t>
      </w:r>
    </w:p>
    <w:p>
      <w:pPr>
        <w:spacing w:after="0" w:line="73" w:lineRule="exact"/>
        <w:rPr>
          <w:rFonts w:ascii="Times New Roman" w:cs="Times New Roman" w:eastAsia="Times New Roman" w:hAnsi="Times New Roman"/>
          <w:sz w:val="18"/>
          <w:szCs w:val="18"/>
          <w:color w:val="auto"/>
        </w:rPr>
      </w:pPr>
    </w:p>
    <w:p>
      <w:pPr>
        <w:ind w:left="1540" w:hanging="513"/>
        <w:spacing w:after="0" w:line="24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EDP-514 - Core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June 2022, final data from two of our Phase 1b studies of EDP-514 were presented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Liver Congress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2022. EDP-514, which has Fast Track designation from the FDA, has been shown to be safe and potent in two different chronic HBV patient populations – those who have a high viral load, whom we refer to as viremic patients, and those who are on a treatment with a nucleoside reverse transcriptase inhibitor, whom we refer to as NUC-suppressed patients. Based on these data, we remain convinced that EDP-514 has the potential to be a best-in-class core inhibitor for HBV.</w:t>
      </w:r>
    </w:p>
    <w:p>
      <w:pPr>
        <w:spacing w:after="0" w:line="19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hMPV:</w:t>
      </w:r>
      <w:r>
        <w:rPr>
          <w:rFonts w:ascii="Times New Roman" w:cs="Times New Roman" w:eastAsia="Times New Roman" w:hAnsi="Times New Roman"/>
          <w:sz w:val="18"/>
          <w:szCs w:val="18"/>
          <w:color w:val="auto"/>
        </w:rPr>
        <w:t xml:space="preserve"> Human metapneumovirus, or hMPV, a virus that is a significant cause of respiratory tract infections, or RTIs, particularly in children, the elderly and immunocompromised individuals. It is the second most common cause of lower respiratory tract infections in children, with symptoms similar to RSV. The viral structure and lifecycle of hMPV are also similar to RSV. We have been optimizing nanomolar inhibitor leads against hMPV and are working toward selecting our first development candidate for this indication in 2023.</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HCV:</w:t>
      </w:r>
      <w:r>
        <w:rPr>
          <w:rFonts w:ascii="Times New Roman" w:cs="Times New Roman" w:eastAsia="Times New Roman" w:hAnsi="Times New Roman"/>
          <w:sz w:val="18"/>
          <w:szCs w:val="18"/>
          <w:color w:val="auto"/>
        </w:rPr>
        <w:t xml:space="preserve"> Two protease inhibitors developed through our Collaborative Development and License Agreement with AbbVie have been clinically tested, manufactured, and commercialized by AbbVie as part of its combination regimens for HCV. We have received the full $330.0 million of contractual milestone payments under the agreement related to clinical development and commercialization regulatory approvals of these regimens in major markets, and we continue to earn royalties on sales of those regimens.</w:t>
      </w:r>
    </w:p>
    <w:p>
      <w:pPr>
        <w:spacing w:after="0" w:line="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This regimen is a once-daily, all-oral,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over 50 countries where MAVYRET/MAVIRET is sold by AbbVie and where MAVYRET/MAVIRET remains the only 8-week pan-genotypic HCV treatment.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primary objective is to become a leader in the discovery and development of treatments for viral infections to provide new therapies for patients with unmet medical needs. Our principal focus is on antiviral targets for viruses such as RSV, SARS-CoV-2, HBV and hMPV, which in most cases are therapeutic areas that have attracted research and development efforts of many competitors. Our strategy includes the following key elements:</w:t>
      </w:r>
    </w:p>
    <w:p>
      <w:pPr>
        <w:spacing w:after="0" w:line="66" w:lineRule="exact"/>
        <w:rPr>
          <w:sz w:val="20"/>
          <w:szCs w:val="20"/>
          <w:color w:val="auto"/>
        </w:rPr>
      </w:pPr>
    </w:p>
    <w:p>
      <w:pPr>
        <w:ind w:left="102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clinical development of novel virology product candidates for RSV, SARS-CoV-2, HBV and hMPV. </w:t>
      </w:r>
      <w:r>
        <w:rPr>
          <w:rFonts w:ascii="Times New Roman" w:cs="Times New Roman" w:eastAsia="Times New Roman" w:hAnsi="Times New Roman"/>
          <w:sz w:val="18"/>
          <w:szCs w:val="18"/>
          <w:color w:val="auto"/>
        </w:rPr>
        <w:t>We have ongoing clinical studies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three compounds discovered in our research programs in the disease areas of RSV and SARS-CoV-2. We believe each of these diseases represents a substantial medical need for an effective, or more effective, treatment.</w:t>
      </w:r>
    </w:p>
    <w:p>
      <w:pPr>
        <w:spacing w:after="0" w:line="65"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in research and development of compounds in new disease areas or add to our clinical candidates in RSV, SARS-CoV-2, HBV and hMPV</w:t>
      </w:r>
      <w:r>
        <w:rPr>
          <w:rFonts w:ascii="Times New Roman" w:cs="Times New Roman" w:eastAsia="Times New Roman" w:hAnsi="Times New Roman"/>
          <w:sz w:val="18"/>
          <w:szCs w:val="18"/>
          <w:color w:val="auto"/>
        </w:rPr>
        <w:t>. We are continuing to invest significant resources in our research programs in our efforts to identify and advance additional novel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compounds that have the potential to address significant unmet medical needs in our primary disease areas, as well as others. We may also explore clinically other diseases where our assets could play a role. In addition, we may seek to augment our product candidate pipeline through the acquisition or in-licensing of external assets and/or technologies in one or more of our disease areas of focus.</w:t>
      </w:r>
    </w:p>
    <w:p>
      <w:pPr>
        <w:spacing w:after="0" w:line="75"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Collaborate or out-license, where and when appropriate, with pharmaceutical partners to create combination therapies and accelerate the development and commercialization of our proprietary compounds</w:t>
      </w:r>
      <w:r>
        <w:rPr>
          <w:rFonts w:ascii="Times New Roman" w:cs="Times New Roman" w:eastAsia="Times New Roman" w:hAnsi="Times New Roman"/>
          <w:sz w:val="18"/>
          <w:szCs w:val="18"/>
          <w:color w:val="auto"/>
        </w:rPr>
        <w:t>. We are prepared to join forces, where and when appropriate,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collaborators with compounds targeting other mechanisms of action in diseases such as HBV, where there is the potential for better treatments with combination therapies. Our decisions regarding our proprietary programs will be based on the results of our early phase clinical studies and the potential for combinations with one or more drugs targeting other mechanisms of action in these diseases.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use our existing resources and future cash flow from our AbbVie collaboration to fund our research and development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our existing financial resources and future royalty payments from our AbbVie collaboration will provide us resources to fund our research and development programs into approximately the fourth quarter of fiscal 2024. These resources will allow us to continue to advance compounds in clinical development and to progress the most promising candidates at least through proof-of-concept trials. Further development of any compound as a monotherapy or in combinations with other therapeutic agents when we believe such combinations will provide the most promising opportunities will likely require additional financial resources.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2200" cy="3472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RSV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RSV</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Respiratory syncytial virus, or RSV, is a virus that infects the lungs and is the most common cause of bronchiolitis and pneumonia in young children and a significant cause of respiratory illness in older adults. Almost all children are infected at least once before they are 2 years old, and about a half are infected twice, resulting in over 2 million outpatient visits in young children. Hospitalization rates due to RSV are approximately 16 times higher than for influenza among children aged less than 1 year. On average each year in the U.S., RSV leads to 58,000 hospitalizations in children under 5 years old and 177,000 in adults older than 65 years old. RSV is estimated to cause 100–500 deaths annually in children under 5 years old and 14,000 deaths in adults over 65 years old in the U.S. There are currently no safe and effective therapies for RSV infection.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RSV is a single-stranded, negative-sense RNA virus. The RSV genome consists of ten genes that encode for 11 proteins, namely NS1, NS2, N, P, M, SH, G, F, M2-1, M2-2, and L. The F and G proteins are the predominant target proteins for RSV vaccines. Similarly, small molecule therapeutics have focused primarily on the F (or fusion) protein, while some efforts have targeted the N and L proteins. There are two major subgroups of RSV, designated RSV-A and RSV-B, each of which contains numerous genotypes. Both groups are viewed as capable of causing RSV infections that can result in hospitalization.</w:t>
      </w:r>
    </w:p>
    <w:p>
      <w:pPr>
        <w:spacing w:after="0" w:line="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Several companies are seeking to develop antiviral treatments for RSV infection in adult and pediatric patients. Ark Biosciences (Ziresovir – fusion inhibitor), Pfizer/ReViral (acquired in June 2022) (sinsunatovir – fusion inhibitor and RV299 – N inhibitor), and Merck (molnupiravir – polymerase inhibitor) have compounds in clinical development. Synagis, a prophylactic, monoclonal-antibody-based treatment from AstraZeneca,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(Beyfortus/nirsevimab – filed in U.S./EU) and Merck (clesrovimab – Phase 3)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RSV</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While a number of companies are developing potential approaches geared toward the F protein (or fusion protein, responsible for mediating viral entry of RSV into host cells), we are focused on other mechanisms, such as the N-protein and the L-protein, that target the replication process of RSV. It is possible that N-protein and L-protein inhibitors may also be effective treatments at later stages of infection.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EDP-938, Our N-Protein Inhibitor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Through our internal chemistry efforts, we identified our lead clinical candidate, EDP-938. During preclinical studies, EDP-938 demonstrated a greater than 4-log reduction in viral load in an animal model challenged with RSV. Further, EDP-938 maintained antiviral potency across all clinical isolates tested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as well as virus that was resistant to fusion inhibitors. The compound inhibited RSV at a post-entry replication step and maintained its activity</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when given 24 hours post infection. In addition, combination studies of EDP-938 with other types of RSV inhibitors, such as fusion inhibitors,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showed synergistic antiviral effects.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studied EDP-938 in two Phase 2 studies that were designed to be proof-of-concept and exploratory to better understand antiviral response in the context of RSV infection. These studies were conducted in otherwise healthy adults. The first study was a challenge study, which had a data readout in June 2019. This study was a randomized, double-blind, placebo-controlled, human challenge study of 115 healthy adult subjects. Data from this study demonstrated that EDP-938 was safe and well-tolerated and achieved highly statistically significant reductions (p=&lt;0.001) in RSV viral load and symptoms compared to placebo. See Ahmad et al, N Engl J Med 2022; 386:655-666. The second study, known as RSVP, was designed to confirm the challenge study findings in an adult outpatient population with mild and self-resolving community-acquired, RSV infection to provide us additional information on symptom alleviation and viral load decline. In May 2022, we announced topline results for RSVP, noting that EDP-938 did not meet the primary endpoint of reduction in total symptom score compared to placebo, or the secondary antiviral endpoints. However, a statistically significant difference in the number of subjects achieving undetectable RSV RNA at the end of treatment at Day 5 was observed with EDP-938 compared to placebo (p=0.033). Although patients were treated within 48 hours of symptom onset, the viral load and symptoms had already peaked and were declining, indicating RSV infection resolves quickly in this otherwise healthy population. Further, EDP-938 demonstrated a favorable safety profile, consistent with that observed in approximately 500 subjects exposed to date. Based on the growing safety profile of EDP-938 and differences in the range of the course of RSV infection in higher risk populations, which have always been our target populations, we are progressing development of EDP-938 in patients at high-risk for developing severe infection leading to hospitalization or death. EDP-938 has the greatest potential to show optimal efficacy in these high-risk populations with significant unmet need, as these patients have reduced RSV immunity, which manifests in a higher and longer duration of viral replication and greater disease severity, allowing a bigger window to realize the full potential of EDP-938.</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now studying EDP-938 in three additional RSV studies:</w:t>
      </w:r>
    </w:p>
    <w:p>
      <w:pPr>
        <w:spacing w:after="0" w:line="113" w:lineRule="exact"/>
        <w:rPr>
          <w:sz w:val="20"/>
          <w:szCs w:val="20"/>
          <w:color w:val="auto"/>
        </w:rPr>
      </w:pPr>
    </w:p>
    <w:p>
      <w:pPr>
        <w:ind w:left="1020" w:right="100" w:hanging="503"/>
        <w:spacing w:after="0" w:line="25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RSVPEDs </w:t>
      </w:r>
      <w:r>
        <w:rPr>
          <w:rFonts w:ascii="Times New Roman" w:cs="Times New Roman" w:eastAsia="Times New Roman" w:hAnsi="Times New Roman"/>
          <w:sz w:val="18"/>
          <w:szCs w:val="18"/>
          <w:color w:val="auto"/>
        </w:rPr>
        <w:t>is a Phase 2 dose-ranging, randomized, double-blind, placebo-controlled study in pediatric patients. We plan to enroll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90 infants and children aged 28 days to 36 months with RSV-associated respiratory tract infection, who will be dosed in up to four age cohorts and will receive EDP-938 or a placebo for five days. The study will be conducted in two parts. Part 1 will evaluate multiple ascending doses in each age cohort, with a primary endpoint of safety, tolerability, and pharmacokinetics. Part 2 will evaluate the selected dose from Part 1 across the age cohorts, with a primary endpoint of antiviral activity.</w:t>
      </w:r>
    </w:p>
    <w:p>
      <w:pPr>
        <w:spacing w:after="0" w:line="179" w:lineRule="exact"/>
        <w:rPr>
          <w:rFonts w:ascii="Times New Roman" w:cs="Times New Roman" w:eastAsia="Times New Roman" w:hAnsi="Times New Roman"/>
          <w:sz w:val="18"/>
          <w:szCs w:val="18"/>
          <w:color w:val="auto"/>
        </w:rPr>
      </w:pPr>
    </w:p>
    <w:p>
      <w:pPr>
        <w:ind w:left="1020" w:right="200" w:hanging="503"/>
        <w:spacing w:after="0" w:line="26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RSVTx </w:t>
      </w:r>
      <w:r>
        <w:rPr>
          <w:rFonts w:ascii="Times New Roman" w:cs="Times New Roman" w:eastAsia="Times New Roman" w:hAnsi="Times New Roman"/>
          <w:sz w:val="18"/>
          <w:szCs w:val="18"/>
          <w:color w:val="auto"/>
        </w:rPr>
        <w:t>is a Phase 2b study in adult hematopoietic cell transplant recipients with acute RSV infection and symptoms of upper respiratory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tract infection. This study is designed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w:t>
      </w:r>
    </w:p>
    <w:p>
      <w:pPr>
        <w:spacing w:after="0" w:line="176"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RSVHR </w:t>
      </w:r>
      <w:r>
        <w:rPr>
          <w:rFonts w:ascii="Times New Roman" w:cs="Times New Roman" w:eastAsia="Times New Roman" w:hAnsi="Times New Roman"/>
          <w:sz w:val="18"/>
          <w:szCs w:val="18"/>
          <w:color w:val="auto"/>
        </w:rPr>
        <w:t>is a Phase 2b study initiated in October 2022 in high-risk adults, including those who are older than 65 years of age, have asthma,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chronic obstructive pulmonary disease, or COPD, or congestive heart failure. Approximately 180 patients will be treated with 800 mg of EDP-938 or placebo for five days and evaluated for 28 days thereafter. The study will include non-hospitalized adult subjects with up to 72 hours of respiratory tract infection symptoms who test positive for RSV and negative for influenza virus and SARS-CoV-2. The primary endpoint of the study is time to resolution of RSV lower respiratory tract disease symptoms as assessed by the Respiratory Infection Intensity and Impact Questionnaire, or RiiQ™, symptom scale through Day 33. Secondary endpoints include additional clinical efficacy measures and antiviral activity compared to placebo, pharmacokinetics, and safety of EDP-938.</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EDP-323, Our RSV L-Protein Inhibitor: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N-protein inhibitor, EDP-938, our newest clinical candidate for RSV is EDP-323, a novel oral, direct-acting antiviral selectively targeting the RSV L-protein, a viral RNA-dependent RNA polymerase enzyme that contains multiple enzymatic activities required for RSV replication. EDP-323 has shown nanomolar potency against RSV-A and RSV-B in vitro and is not expected to have cross-resistance to other classes of inhibitors. EDP-323 has the potential to be used alone or in combination with other RSV mechanisms, such as EDP-938, to broaden the treatment window or addressable patient populations.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initiated a Phase 1 clinical study of EDP-323 in October 2022. This randomized, double-blind, placebo-controlled, first-in-human Phase 1 study will enroll approximately 80 healthy subjects ranging in age from 18 to 65 years old to evaluate the safely, tolerability and pharmacokinetics, or PK, of EDP-323 with a single-ascending dose phase, including a two-part food effect, or FE, cohort, and a multiple-ascending dose phase. All single-ascending dose, or SAD, and multiple-ascending dose cohorts will enroll eight participants who will be randomized to receive EDP-323 or placebo in a 3:1 ratio. The SAD/FE cohort will enroll ten subjects randomized in a 4:1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SARS-CoV-2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SARS-CoV-2</w:t>
      </w:r>
    </w:p>
    <w:p>
      <w:pPr>
        <w:spacing w:after="0" w:line="92"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Severe acute respiratory syndrome coronavirus 2, or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is the virus that causes COVID-19 (coronavirus disease 2019), the respiratory illness responsible for the COVID-19 pandemic. SARS-CoV-2 is the seventh known coronavirus to infect people, after 229E, NL63, OC43, HKU1, MERS-CoV, and the original SARS-CoV. Most people infected with the virus experience mild to moderate respiratory illness and recover over time. However, some patients will have more severe symptoms requiring hospitalization and may experience severe life-threatening complications, including acute respiratory distress syndrome, or ARDS, which may trigger a systemic multi-organ collapse. Older people and those with underlying medical conditions like cardiovascular disease, diabetes, chronic respiratory disease, or cancer are more likely to develop serious illness. There are also many patients who experience continuing effects of COVID-19, often referred to as “long COVID”, and there still is little known about the enduring effects of the disease. As of November 1, 2022, the World Health Organization estimated that there were approximately 620 million reported cases of people infected with SARS-CoV-2 worldwide, resulting in approximately 6.5 million deaths, while many estimates of the number of infections far exceed the reported cases. While effective vaccines are available, uptake has not been optimal. In addition, breakthrough infection can occur because the vaccines are not 100% effective, especially against emerging variants. With the continuing prevalence of COVID-19 globally, there is heightened risk of a further mutation of the virus that could evade one or more of the current vaccines. Thus, there is an urgent need for effective, safe, oral, antiviral treatments.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coronaviruses have a single-stranded, positive-sense RNA (+ssRNA) genome, which is the largest known genome for an RNA virus. The overall structure of the SARS-CoV-2 genome is shared with other betacoronaviruses, namely MERS-CoV and SARS-CoV. These viruses encode two cysteine proteases, which are enzymes that break down, or cleave, proteins into smaller pieces and are indispensable for viral replication: 3C-like protease, or 3CLpro (also known as the main protease, or Mpro) and papain-like protease, or PLpro. 3CLpro cleaves at 11 sites in the viral polyprotein, which is required for creating 16 separate, non-structural proteins that constitute the structural complex that enables replication of the SARS-CoV-2 virus, and PLpro cleaves three other sites within the viral polyprotein as well as multiple host proteins. Due primarily to their central role in viral replication, and the previous success of strategies targeting viral proteases, 3CLpro and Plpro are highly attractive targets for the development of direct-acting antiviral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503545" cy="1885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354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Derived from ViralZone 2020, SIB Swiss Institute of Bioinformatics. Retrieved from https://viralzone.expasy.org/764?outline=all_by_species.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Early in the COVID-19 pandemic, hundreds of existing antivirals and other compounds were initially screened for activity against SARS-CoV-2 in the hopes of quickly finding an effective treatment. Some of these compounds progressed into clinical testing, including remdesivir, which is currently the only FDA-approved antiviral for COVID-19. Remdesivir was originally developed for treatment of the Ebola virus, but it showed efficacy in COVID-19. Currently, there are two Emergency Use Authorizations of oral antiviral treatments for non-hospitalized, high-risk patients with SARS-CoV-2 infection: Paxlovid, a 3CL protease inhibitor, and Molnupiravir, a polymerase inhibitor. Additionally, there are several companies developing oral direct acting antivirals for SARS-CoV-2 that are currently in Phase 2 or Phase 3 studies, including Shionogi, Gilead (an oral formulation of remdesivir), Toyama, Pardes, Atea, SyneuRx and Todos, as well as additional compounds in Phase 1 studies.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Merck reported results from a Phase 3 study of molnupiravir in high-risk outpatients infected with COVID-19, which showed a 50% reduction in hospitalization or death through one month after treatment compared to placebo. Molnupiravir is currently approved in the UK and U.S. under EUA but is limited to situations where other FDA-authorized treatments for COVID-19 are inaccessible or are not clinically appropriate. Pfizer also reported results from a Phase 3 study of Paxlovid in high-risk outpatients infected with COVID-19, which showed an 85% reduction in hospitalization or death through one month after treatment compared to placebo (89% if treated within 3 days of symptom onset). Paxlovid is dosed twice daily in combination with a low dose of ritonavir, which has significant drug interactions with numerous other medications. These data indicate the opportunity for novel SARS-CoV-2 direct-acting antivirals and highlight the need to bring forward safe, efficacious and convenient treatments. We have been leveraging our expertise in protease inhibitors to discover new compounds specifically designed to target the SARS-CoV-2 virus and potentially other coronaviruses.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EDP-235, Our Lead, Oral, 3CL Protease Inhibitor</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lead clinical candidate for COVID-19 is EDP-235, an oral inhibitor of coronavirus 3CL protease, which has been granted Fast Track designation from the FDA. In addition to SARS-CoV-2, EDP-235 has potent antiviral activity against other human coronaviruses, enabling the potential for a pan-coronavirus treatment, including possibly coronaviruses that may infect human populations in the future.</w:t>
      </w:r>
    </w:p>
    <w:p>
      <w:pPr>
        <w:spacing w:after="0" w:line="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In a biochemical assay, EDP-235 inhibited the SARS-CoV-2 3CL protease with an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of 5.8 nM. Importantly, this activity was retained against proteases from SARS-CoV-2 variants, including Omicron. EDP-235 potently blocked the replication of SARS-CoV-2 in multiple cellular models, including primary human airway epithelial cells, where an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of 33 nM was observed. Additionally, EDP-235 was shown to have potent antiviral activity across other human coronaviruses. In comparison to preclinical data from other direct acting antivirals in development for COVID-19 today, EDP-235 appears to be among the most potent against SARS-CoV-2 in cellular 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494655" cy="1834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9465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FRET: fluorescence resonance energy transfer, P-gpi: P-glycoprotein inhibitor CP-100356 (2 µM), CPE: cytopathic effect</w:t>
      </w:r>
    </w:p>
    <w:p>
      <w:pPr>
        <w:spacing w:after="0" w:line="226" w:lineRule="auto"/>
        <w:rPr>
          <w:sz w:val="20"/>
          <w:szCs w:val="20"/>
          <w:color w:val="auto"/>
        </w:rPr>
      </w:pPr>
      <w:r>
        <w:rPr>
          <w:rFonts w:ascii="Times New Roman" w:cs="Times New Roman" w:eastAsia="Times New Roman" w:hAnsi="Times New Roman"/>
          <w:sz w:val="14"/>
          <w:szCs w:val="14"/>
          <w:color w:val="auto"/>
        </w:rPr>
        <w:t>Values average of replicate experiments except where noted</w:t>
      </w:r>
    </w:p>
    <w:p>
      <w:pPr>
        <w:spacing w:after="0" w:line="222" w:lineRule="auto"/>
        <w:rPr>
          <w:sz w:val="20"/>
          <w:szCs w:val="20"/>
          <w:color w:val="auto"/>
        </w:rPr>
      </w:pPr>
      <w:r>
        <w:rPr>
          <w:rFonts w:ascii="Times New Roman" w:cs="Times New Roman" w:eastAsia="Times New Roman" w:hAnsi="Times New Roman"/>
          <w:sz w:val="14"/>
          <w:szCs w:val="14"/>
          <w:color w:val="auto"/>
        </w:rPr>
        <w:t>*Omicron subvariant colloquially known as ‘Centaurus’</w:t>
      </w:r>
    </w:p>
    <w:p>
      <w:pPr>
        <w:spacing w:after="0"/>
        <w:rPr>
          <w:sz w:val="20"/>
          <w:szCs w:val="20"/>
          <w:color w:val="auto"/>
        </w:rPr>
      </w:pPr>
      <w:r>
        <w:rPr>
          <w:rFonts w:ascii="Times New Roman" w:cs="Times New Roman" w:eastAsia="Times New Roman" w:hAnsi="Times New Roman"/>
          <w:sz w:val="14"/>
          <w:szCs w:val="14"/>
          <w:color w:val="auto"/>
        </w:rPr>
        <w:t>**3CLpro sequences for the ancestral A lineage and B.1.617.2 (Delta) variant are identical</w:t>
      </w:r>
    </w:p>
    <w:p>
      <w:pPr>
        <w:spacing w:after="0" w:line="19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EDP-235 showed good human Caco-2 cell permeability and a low plasma clearance in human liver microsomes. Consistent with this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EDP-235 had robust plasma exposure with an oral bioavailability of 95% in rats. Moreover, EDP-235 had favorable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penetration into multiple target tissues, including lung, kidney, liver, and heart. These results indicate that EDP-235 has good oral bioavailability and target tissue distribution compared to other antivirals in development for SARS-CoV-2 today. Based on allometric scaling, EDP-235 is projected to have a long half-life of 16 hours with an efficacious dose of 100 to 500 mg once-daily in humans. Taken together, these data indicate that EDP-235 has the potential for once-daily oral dosing with a low pill burden. These predictions are now supported by Phase 1 pharmacokinetic data at a 200mg and 400mg once-daily dose.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Clinical studies of EDP-235 consist of the following:</w:t>
      </w:r>
    </w:p>
    <w:p>
      <w:pPr>
        <w:spacing w:after="0" w:line="113" w:lineRule="exact"/>
        <w:rPr>
          <w:sz w:val="20"/>
          <w:szCs w:val="20"/>
          <w:color w:val="auto"/>
        </w:rPr>
      </w:pPr>
    </w:p>
    <w:p>
      <w:pPr>
        <w:ind w:left="1020" w:hanging="503"/>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 Study</w:t>
      </w:r>
      <w:r>
        <w:rPr>
          <w:rFonts w:ascii="Times New Roman" w:cs="Times New Roman" w:eastAsia="Times New Roman" w:hAnsi="Times New Roman"/>
          <w:sz w:val="18"/>
          <w:szCs w:val="18"/>
          <w:color w:val="auto"/>
        </w:rPr>
        <w:t>: In July 2022, we completed a Phase 1 study of EDP-235 and reported positive topline results. This first-in-human,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or PK, of oral EDP-235 in single ascending doses and multiple ascending doses for seven days, and the effect of food. Data from the Phase 1 study demonstrated EDP-235 was generally safe and well-tolerated up to 400 mg for seven days with infrequent adverse events, the majority of which were mild. Results demonstrated strong exposure multiples over the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which is a measure of potency, specifically the concentration of drug that results in 90% inhibition of viral replication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EDP-235 200 mg taken once daily with food resulted in mean trough plasma levels at steady state that were 3-fold and 7-fold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tested Alpha variant and Omicron variant, respectively, while 400 mg resulted in levels that were 6-fold and 13-fold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respective variants. These target exposure multiples were achieved without the need for ritonavir boosting and its associated drug-drug interactions. EDP-235 is projected to have four times higher drug levels in lung tissue compared to plasma, which would be expected to drive the 400 mg multiples to 28-fold and 52-fold for the respective variants.</w:t>
      </w:r>
    </w:p>
    <w:p>
      <w:pPr>
        <w:spacing w:after="0" w:line="9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2 SPRINT Study</w:t>
      </w:r>
      <w:r>
        <w:rPr>
          <w:rFonts w:ascii="Times New Roman" w:cs="Times New Roman" w:eastAsia="Times New Roman" w:hAnsi="Times New Roman"/>
          <w:sz w:val="18"/>
          <w:szCs w:val="18"/>
          <w:color w:val="auto"/>
        </w:rPr>
        <w:t>: In November 2022, we initiated SPRINT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ARS-Cov-2</w:t>
      </w:r>
      <w:r>
        <w:rPr>
          <w:rFonts w:ascii="Times New Roman" w:cs="Times New Roman" w:eastAsia="Times New Roman" w:hAnsi="Times New Roman"/>
          <w:sz w:val="18"/>
          <w:szCs w:val="18"/>
          <w:b w:val="1"/>
          <w:bCs w:val="1"/>
          <w:color w:val="auto"/>
        </w:rPr>
        <w:t xml:space="preserve"> Pr</w:t>
      </w:r>
      <w:r>
        <w:rPr>
          <w:rFonts w:ascii="Times New Roman" w:cs="Times New Roman" w:eastAsia="Times New Roman" w:hAnsi="Times New Roman"/>
          <w:sz w:val="18"/>
          <w:szCs w:val="18"/>
          <w:color w:val="auto"/>
        </w:rPr>
        <w:t>otease</w:t>
      </w:r>
      <w:r>
        <w:rPr>
          <w:rFonts w:ascii="Times New Roman" w:cs="Times New Roman" w:eastAsia="Times New Roman" w:hAnsi="Times New Roman"/>
          <w:sz w:val="18"/>
          <w:szCs w:val="18"/>
          <w:b w:val="1"/>
          <w:bCs w:val="1"/>
          <w:color w:val="auto"/>
        </w:rPr>
        <w:t xml:space="preserve"> In</w:t>
      </w:r>
      <w:r>
        <w:rPr>
          <w:rFonts w:ascii="Times New Roman" w:cs="Times New Roman" w:eastAsia="Times New Roman" w:hAnsi="Times New Roman"/>
          <w:sz w:val="18"/>
          <w:szCs w:val="18"/>
          <w:color w:val="auto"/>
        </w:rPr>
        <w:t>hibitor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8"/>
          <w:szCs w:val="18"/>
          <w:color w:val="auto"/>
        </w:rPr>
        <w:t>reatment), a Phase 2 clinical trial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EDP-235 in non-hospitalized, symptomatic adults with mild or moderate COVID-19. This randomized, double-blind, placebo-controlled study is designed to evaluate the safety, tolerability and antiviral activity of 200 mg and 400 mg once-daily doses of EDP-235 compared to placebo. The study will enroll approximately 200 non-hospitalized, symptomatic patients with mild to moderate COVID-19 who are not at increased risk for developing severe disease. Patients will be eligible to participate if they have had symptoms for five days or less and have not received a SARS-CoV-2 vaccine or been infected with SARS-CoV-2 within 90 days of enrollment. Patients will receive EDP-235 orally with food at a dose of 200 mg or 400 mg or placebo once daily for five days. The primary objective of the study includes evaluation of safety and tolerability, and secondary objectives include pharmacokinetics and multiple virology measures to guide dose selection for other trials.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HBV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HBV</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Hepatitis B virus, or HBV, can cause potentially life-threatening liver infection. The virus is transmitted through contact with the blood or other bodily fluids of an infected person. It is estimated that close to 300 million people worldwide are chronically infected, and 15-40% of patients with chronic HBV infection develop chronic liver disease, including cirrhosis, liver cancer, or liver decompensation. HBV is a leading cause of chronic liver disease and need for liver transplantation. It is estimated that more than 820,000 people worldwide died in 2019 due to complications of HBV.</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Current approaches to treatment include interferon therapy and/or inhibitors of HBV reverse transcriptase, the enzyme responsible for viral DNA synthesis, which is necessary for HBV replication. Treatment with interferon offers modest cure rates, and is accompanied by serious side effects, including flu-like symptoms, fatigue, headache and nausea. Reverse transcriptase inhibitors can be very effective at suppressing the virus but often require lifelong therapy and rarely result in full eradication of the virus from the liver. New treatments that can provide functional cures to chronically-infected patients are urgently needed.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HBV is a partially double-stranded DNA virus with a complex life cycle. There are multiple mechanisms associated with HBV replication that could potentially be targeted with new drugs, and combination approaches may ultimately provide the most effective therapy for HBV. Mechanisms under study for HBV include:</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inhibitors that interfere with the initial binding of HBV to hepatocytes, thus preventing new infection from occurring.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of covalently closed circular DNA, or cccDNA, the template for HBV replication, most of which act in an indirect manner, such as preventing formation of cccDNA or silencing its transcription.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 silencing of gene expression (siRNA’s and ASO’s) has the potential to significantly reduce HBV RNA, HBV DNA, and HBV protein levels.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Inhibition of the hepatitis B core protein, which plays a critical role in viral replication, intracellular trafficking, and maintenance of chronic infections.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modulators of the human immune system, or immunomodulators, are another major mechanism being researched, including agonists of toll-like receptors, modulators of apoptotic signaling, and checkpoint inhibition, as well as therapeutic vaccines.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60"/>
        <w:spacing w:after="0" w:line="258"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Altimmune, Arbutus, Ascletis, Assembly, Gilead, Green Cross, GSK/Ionis, HEC Pharma, Johnson &amp; Johnson/Janssen, Qilu, Replicor, Roche, Vaccitech, VBI Vaccines and Vir Biotechnology have Phase 2 programs in progress, with many of these companies conducting earlier stage programs as well. In addition, several companies have Phase 1 or earlier stage HBV programs.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that HBV, like HIV and HCV, will be optimally treated with multiple agents that have different mechanisms, and therefore seek to develop a combination regimen. We initially focused on new core inhibitors that we expect to have an impact on capsid assembly and possibly interfere with other viral processes. Core inhibitors, also known as capsid assembly modulators or core protein allosteric modulators, are a novel class of replication inhibitors that have been shown to act at multiple steps in the HBV lifecycle. These inhibitors are expected to prevent proper uncoating, nuclear import, assembly, and recycling. This approach is supported by clinical validation, demonstrating reduction of viral RNA and DNA in chronic HBV patients in Phase 2 clinical studies.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EDP-514</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EDP-514, our most advanced novel core inhibitor,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and has been studied in two Phase 1b studies in patients with chronic HBV.</w:t>
      </w:r>
    </w:p>
    <w:p>
      <w:pPr>
        <w:spacing w:after="0" w:line="52" w:lineRule="exact"/>
        <w:rPr>
          <w:sz w:val="20"/>
          <w:szCs w:val="20"/>
          <w:color w:val="auto"/>
        </w:rPr>
      </w:pPr>
    </w:p>
    <w:p>
      <w:pPr>
        <w:ind w:left="1020" w:right="40" w:hanging="503"/>
        <w:spacing w:after="0" w:line="25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study, which evaluated EDP-514 in NUC-suppressed chronic HBV patients, EDP-514 led to a maximum HBV RNA reduction of 2.3 log in HBeAg-negative and 2.8 log in HBeAg-positive subjects in the EDP-514 arms compared to 1.2 log in placebo. For the EDP-514 800 mg subjects, five of six subjects had either non-detectable or very low levels of HBV RNA at baseline; consequently, the effect of EDP-514 on HBV RNA could not be assessed in these subjects. There were no instances of virologic failure. Overall, EDP-514 was generally safe and well-tolerated at 200, 400 and 800 mg doses for 28 days in NUC-suppressed chronic HBV patients. EDP-514 was rapidly absorbed and its exposure increased with increasing multiple doses. EDP-514 exhibited PK suitable for once daily oral dosing.</w:t>
      </w:r>
    </w:p>
    <w:p>
      <w:pPr>
        <w:spacing w:after="0" w:line="77" w:lineRule="exact"/>
        <w:rPr>
          <w:rFonts w:ascii="Times New Roman" w:cs="Times New Roman" w:eastAsia="Times New Roman" w:hAnsi="Times New Roman"/>
          <w:sz w:val="18"/>
          <w:szCs w:val="18"/>
          <w:color w:val="auto"/>
        </w:rPr>
      </w:pPr>
    </w:p>
    <w:p>
      <w:pPr>
        <w:ind w:left="1020" w:right="80" w:hanging="503"/>
        <w:spacing w:after="0" w:line="25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Phase 1b study was conducted in patients with chronic HBV infection who were not previously on HBV therapy and had high levels of virus in their blood, whom we refer to as viremic HBV patients. Results demonstrated that EDP-514 was safe and well-tolerated through 28 days of treatment, displayed pharmacokinetics supportive of once-daily dosing. Mean HBV DNA reductions of 2.9, 3.3, and 3.5 logs were observed at 28 days for the 200 mg, 400 mg, and 800 mg cohorts, respectively, compared to 0.2 log in the placebo cohort. Mean HBV RNA reductions in the three viremic treatment cohorts were at least 2 logs compared to a 0.02 log reduction in the placebo group. Our goal is to develop a combination therapy approach, including existing approved treatments such as a NUC, with EDP-514 and one or more other mechanisms, which could lead to a functional cure for patients with chronic HBV infection. We are actively pursuing opportunities for internal or external development of this combination approach.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hMPV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hMPV</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Human metapneumovirus, or hMPV, is an important cause of acute respiratory tract infections, or RTIs, and is associated with considerable morbidity, particularly in children, the elderly and immunocompromised individuals. Broader use of molecular diagnostic testing has increased identification and awareness of hMPV as an important cause of upper and lower respiratory infection. It is the second most common cause of lower RTIs in children behind RSV. Nearly every child will be infected with hMPV by the age of 5 and reinfection occurs throughout life. Rates of hospitalization in children are highest in the first year of life but occur throughout early childhood. Many studies report the peak age of hospitalization between 6 and 12 months of age, which is later than for RSV.</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otherwise healthy younger adults, hMPV infection is typically mild, however infection leads to increased disease severity and high morbidity and mortality rates in the elderly. A retrospective study in Canada showed that 46% of hMPV cases were from patients &gt;65 years old, and 60% of these elderly patients were hospitalized. A subsequent study reported that at least 50% of elderly patients infected during an hMPV outbreak in a long-term care facility developed bronchitis or pneumonia, leading to 50% mortality. See Shafagati N, Williams J. F1000Res. 2018 Feb 1;7:135. There are no approved vaccines or therapeutics available for hMPV.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hMPV is a paramyxovirus that is closely related to RSV. It is a negative-sense, non-segmented, single-stranded RNA virus. The genome is about 13,000 nucleotides with 8 genes encoding for 9 proteins, including a nucleoprotein (N), phosphoprotein (P), matrix protein (M), fusion protein (F), matrix-2 proteins (M2-1 and M2-2), small hydrophobic (SH) protein, glycoprotein (G), and large (L) polymerase protein. Though similar to RSV, hMPV has a different gene order and lacks the non-structural proteins (NS1 &amp; NS2)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ind w:right="420"/>
        <w:spacing w:after="0" w:line="282" w:lineRule="auto"/>
        <w:rPr>
          <w:sz w:val="20"/>
          <w:szCs w:val="20"/>
          <w:color w:val="auto"/>
        </w:rPr>
      </w:pPr>
      <w:r>
        <w:rPr>
          <w:rFonts w:ascii="Times New Roman" w:cs="Times New Roman" w:eastAsia="Times New Roman" w:hAnsi="Times New Roman"/>
          <w:sz w:val="18"/>
          <w:szCs w:val="18"/>
          <w:color w:val="auto"/>
        </w:rPr>
        <w:t>RSV. Nucleotide analysis of hMPV’s fusion (F) and glycoprotein (G) genes class hMPV into four distinct groups: A1, A2, B1, and B2. Although both genotypes A and B can co-circulate in a given community, the dominant lineage tends to vary year by year.</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in other paramyxoviruses, replication is dependent on several viral proteins (N, L, and P) that form a multiprotein viral replication complex in cells, providing multiple potential targets for drug discovery of replication inhibitors.</w:t>
      </w:r>
    </w:p>
    <w:p>
      <w:pPr>
        <w:spacing w:after="0" w:line="5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have been optimizing nanomolar inhibitor leads against this virus and are working toward completing toxicology testing and selecting our first development candidate for this indication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Out-Licensed HCV Protease Inhibitor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HCV Market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 estimated 58 million people worldwide are chronically infected with HCV and have an increased risk of eventually developing liver cirrhosis or liver cancer. Approximately 290,000 people die every year from HCV-related liver diseases. According to the CDC, the incidence rate of acute HCV has increased 15% since 2019, with an estimated 66,700 new infections in 2020, the most recent year for which the CDC has published data. During 2020, 41 states reported a total of 107,300 newly identified chronic HCV cases in 2020, corresponding to 40.7 chronic HCV cases per 100,000. HCV-associated deaths during 2020 increased 4% (3.45 deaths per 100,000 people), compared to 2019 (3.33 deaths per 100,000 people). We believe that the chronically infected population remains significantly untreated, even with the introduction of several new treatment regimens beginning in 2013.</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 require 8 weeks of treatment compared to 12 weeks with other HCV regimens, including Gilead’s EPCLUSA® and HARVONI® in almost all HCV genotypes.</w:t>
      </w:r>
    </w:p>
    <w:p>
      <w:pPr>
        <w:spacing w:after="0" w:line="8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Since the introduction of Gilead’s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AbbVie’s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late 2014, the reported worldwide sales of the leading HCV therapies have declined from $23 billion in 2015 to $3.6 billion in 2021. Through the first nine months of calendar 2022, reported worldwide net sales were $2.5 billion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HCV sales have declined since their peak in 2015 due to payers obtaining additional discounts, competitive market dynamics and a decline in the number of patients treated annually after the initial wave of diagnosed chronic HCV patients who had urgency for treatment. Despite the high numbers of HCV patients that have been successfully treated, there remains a large population of chronic HCV-infected patients who have yet to be treated with one of the newer “high cure” regimens. In addition, and as noted above, new HCV infections (principally in association with IV drug use) are an ongoing target population for treatment.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has also impacted new HCV patient volumes, HCV diagnoses, HCV prescriptions and sales of MAVYRET/MAVIRET worldwide. While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HCV infections are continuing, at this time it is uncertain when and the extent to which treatment of new HCV patients and revenues will return to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 in AbbVie’s Marketed Therapies</w:t>
      </w:r>
    </w:p>
    <w:p>
      <w:pPr>
        <w:spacing w:after="0" w:line="11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Glecaprevir </w:t>
      </w:r>
      <w:r>
        <w:rPr>
          <w:rFonts w:ascii="Times New Roman" w:cs="Times New Roman" w:eastAsia="Times New Roman" w:hAnsi="Times New Roman"/>
          <w:sz w:val="18"/>
          <w:szCs w:val="18"/>
          <w:color w:val="auto"/>
        </w:rPr>
        <w:t>- Our protease inhibitor, glecaprevir, which is part of the latest HCV regimen from AbbVie, was developed by AbbVie in combination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pibrentasvir, AbbVie’s second NS5A inhibitor. This co-formulated combination,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contains two novel DAAs that target and inhibit proteins essential for the replication of HCV. MAVYRET/MAVIRET is approved in the U.S., EU, Japan and numerous other countries globally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or CKD, or those with genotype 3 chronic HCV. MAVYRET/MAVIRET is approved for use in patients across all stages of CKD with any of the major HCV genotypes (GT1-6). The approvals of MAVYRET/MAVIRET are supported by data from nine registrational studies in AbbVie’s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clinical development program, which evaluated more than 2,300 patients in 27 countries across all major HCV genotypes (GT1-6) and special populations:</w:t>
      </w:r>
    </w:p>
    <w:p>
      <w:pPr>
        <w:spacing w:after="0" w:line="113" w:lineRule="exact"/>
        <w:rPr>
          <w:sz w:val="20"/>
          <w:szCs w:val="20"/>
          <w:color w:val="auto"/>
        </w:rPr>
      </w:pPr>
    </w:p>
    <w:p>
      <w:pPr>
        <w:ind w:left="1020" w:right="200" w:hanging="503"/>
        <w:spacing w:after="0" w:line="266"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8 weeks for treatment-naïve, non-cirrhotic patients: </w:t>
      </w:r>
      <w:r>
        <w:rPr>
          <w:rFonts w:ascii="Times New Roman" w:cs="Times New Roman" w:eastAsia="Times New Roman" w:hAnsi="Times New Roman"/>
          <w:sz w:val="17"/>
          <w:szCs w:val="17"/>
          <w:color w:val="auto"/>
        </w:rPr>
        <w:t>In November 2016, results from several Phase 3 studies of this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demonstrated 97.5% of chronic HCV infected patients without cirrhosis and new to treatment across all major genotypes (GT1-6) achieved sustained virologic response at 12 weeks post-treatment, referred to as SVR</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7"/>
          <w:szCs w:val="17"/>
          <w:color w:val="auto"/>
        </w:rPr>
        <w:t>, with just 8 weeks of MAVYRET/MAVIRET treatment.</w:t>
      </w:r>
    </w:p>
    <w:p>
      <w:pPr>
        <w:spacing w:after="0" w:line="56" w:lineRule="exact"/>
        <w:rPr>
          <w:rFonts w:ascii="Times New Roman" w:cs="Times New Roman" w:eastAsia="Times New Roman" w:hAnsi="Times New Roman"/>
          <w:sz w:val="17"/>
          <w:szCs w:val="17"/>
          <w:color w:val="auto"/>
        </w:rPr>
      </w:pPr>
    </w:p>
    <w:p>
      <w:pPr>
        <w:ind w:left="1020" w:hanging="503"/>
        <w:spacing w:after="0" w:line="24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with chronic kidney disease: </w:t>
      </w:r>
      <w:r>
        <w:rPr>
          <w:rFonts w:ascii="Times New Roman" w:cs="Times New Roman" w:eastAsia="Times New Roman" w:hAnsi="Times New Roman"/>
          <w:sz w:val="18"/>
          <w:szCs w:val="18"/>
          <w:color w:val="auto"/>
        </w:rPr>
        <w:t>Results were also presented from AbbVie’s EXPEDITION-4 study in chronic HCV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kidney disease, or CKD, in which 98% of patients (n=102/104) across all major genotypes (GT1-6) achieved SVR</w:t>
      </w:r>
      <w:r>
        <w:rPr>
          <w:rFonts w:ascii="Times New Roman" w:cs="Times New Roman" w:eastAsia="Times New Roman" w:hAnsi="Times New Roman"/>
          <w:sz w:val="24"/>
          <w:szCs w:val="24"/>
          <w:color w:val="auto"/>
          <w:vertAlign w:val="subscript"/>
        </w:rPr>
        <w:t>12</w:t>
      </w:r>
      <w:r>
        <w:rPr>
          <w:rFonts w:ascii="Times New Roman" w:cs="Times New Roman" w:eastAsia="Times New Roman" w:hAnsi="Times New Roman"/>
          <w:sz w:val="18"/>
          <w:szCs w:val="18"/>
          <w:color w:val="auto"/>
        </w:rPr>
        <w:t xml:space="preserve"> with 12 weeks of treatment with MAVYRET/MAVIRET.</w:t>
      </w:r>
    </w:p>
    <w:p>
      <w:pPr>
        <w:spacing w:after="0" w:line="81" w:lineRule="exact"/>
        <w:rPr>
          <w:rFonts w:ascii="Times New Roman" w:cs="Times New Roman" w:eastAsia="Times New Roman" w:hAnsi="Times New Roman"/>
          <w:sz w:val="18"/>
          <w:szCs w:val="18"/>
          <w:color w:val="auto"/>
        </w:rPr>
      </w:pPr>
    </w:p>
    <w:p>
      <w:pPr>
        <w:ind w:left="1020" w:right="240" w:hanging="503"/>
        <w:spacing w:after="0" w:line="24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GT-3: </w:t>
      </w:r>
      <w:r>
        <w:rPr>
          <w:rFonts w:ascii="Times New Roman" w:cs="Times New Roman" w:eastAsia="Times New Roman" w:hAnsi="Times New Roman"/>
          <w:sz w:val="18"/>
          <w:szCs w:val="18"/>
          <w:color w:val="auto"/>
        </w:rPr>
        <w:t>Data from AbbVie’s ENDURANCE-3 study were presented at the 2017 ILC, demonstrating that 95% of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challenging-to-treat, genotype 3, or GT3, chronic HCV infection, without cirrhosis and new to treatment, achieved SVR</w:t>
      </w:r>
      <w:r>
        <w:rPr>
          <w:rFonts w:ascii="Times New Roman" w:cs="Times New Roman" w:eastAsia="Times New Roman" w:hAnsi="Times New Roman"/>
          <w:sz w:val="24"/>
          <w:szCs w:val="24"/>
          <w:color w:val="auto"/>
          <w:vertAlign w:val="subscript"/>
        </w:rPr>
        <w:t>12</w:t>
      </w:r>
      <w:r>
        <w:rPr>
          <w:rFonts w:ascii="Times New Roman" w:cs="Times New Roman" w:eastAsia="Times New Roman" w:hAnsi="Times New Roman"/>
          <w:sz w:val="18"/>
          <w:szCs w:val="18"/>
          <w:color w:val="auto"/>
        </w:rPr>
        <w:t xml:space="preserve"> after 8 weeks of treatment with MAVYRET/MAVIRET.</w:t>
      </w:r>
    </w:p>
    <w:p>
      <w:pPr>
        <w:spacing w:after="0" w:line="81" w:lineRule="exact"/>
        <w:rPr>
          <w:rFonts w:ascii="Times New Roman" w:cs="Times New Roman" w:eastAsia="Times New Roman" w:hAnsi="Times New Roman"/>
          <w:sz w:val="18"/>
          <w:szCs w:val="18"/>
          <w:color w:val="auto"/>
        </w:rPr>
      </w:pPr>
    </w:p>
    <w:p>
      <w:pPr>
        <w:ind w:left="1020" w:right="220" w:hanging="503"/>
        <w:spacing w:after="0" w:line="24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compensated cirrhosis: </w:t>
      </w:r>
      <w:r>
        <w:rPr>
          <w:rFonts w:ascii="Times New Roman" w:cs="Times New Roman" w:eastAsia="Times New Roman" w:hAnsi="Times New Roman"/>
          <w:sz w:val="18"/>
          <w:szCs w:val="18"/>
          <w:color w:val="auto"/>
        </w:rPr>
        <w:t>Based on data from AbbVie’s EXPEDITION-8 study, which demonstrated that with 8 weeks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MAVYRET treatment, 100 percent (n=273/273) of genotype 1, 2, 4, 5 and 6 patients achieved a sustained virologic response 8 weeks after treatment (SVR</w:t>
      </w:r>
      <w:r>
        <w:rPr>
          <w:rFonts w:ascii="Times New Roman" w:cs="Times New Roman" w:eastAsia="Times New Roman" w:hAnsi="Times New Roman"/>
          <w:sz w:val="24"/>
          <w:szCs w:val="24"/>
          <w:color w:val="auto"/>
          <w:vertAlign w:val="subscript"/>
        </w:rPr>
        <w:t>8</w:t>
      </w:r>
      <w:r>
        <w:rPr>
          <w:rFonts w:ascii="Times New Roman" w:cs="Times New Roman" w:eastAsia="Times New Roman" w:hAnsi="Times New Roman"/>
          <w:sz w:val="18"/>
          <w:szCs w:val="18"/>
          <w:color w:val="auto"/>
        </w:rPr>
        <w:t>) per protocol analysis. Based on this data and a second cohort of the study in GT3 chronic HCV-infected patients, MAVYRET is now approved for all genotypes with compensated cirrhosis in the U.S.</w:t>
      </w:r>
    </w:p>
    <w:p>
      <w:pPr>
        <w:spacing w:after="0" w:line="18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Paritaprevir </w:t>
      </w:r>
      <w:r>
        <w:rPr>
          <w:rFonts w:ascii="Times New Roman" w:cs="Times New Roman" w:eastAsia="Times New Roman" w:hAnsi="Times New Roman"/>
          <w:sz w:val="18"/>
          <w:szCs w:val="18"/>
          <w:color w:val="auto"/>
        </w:rPr>
        <w:t>- The first protease inhibitor developed through our collaboration with AbbVie, paritaprevir, is part of AbbVie’s 3-DAA regimen approved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treatment of genotype 1 and 4 HCV patients. This 3-DAA combination was sold as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(paritaprevir/ritonavir/ombitasvir/dasabuvir) in the U.S. from December 2014 to December 2018, and as VIEKIRAX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+EXVIERA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most other jurisdictions, for non-cirrhotic patients and those with early stage, or compensated, cirrhosis. These regimens have been almost entirely replaced by MAVYRET/MAVIRET.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AbbVie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6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The research program and the evaluation period, which was performed by both parties, ended in June 2011. The first commercialized compound was paritaprevir with the second commercialized compound, glecaprevir, approved in 2017 and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or MAVIRET™ (ex-U.S.). Under this collaboration we have received $396 million in payments from AbbVie for license payments, proceeds from a sale of preferred stock, research funding payments and milestone payments.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Under the terms of our agreement, as amended in October 2014, 50% of AbbVie’s net sales of MAVYRET/MAVIRET 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allocated to glecaprevir. Beginning with each January 1, the cumulative net sales of a given royalty-bearing protease inhibitor product start at zero for purposes of calculating the tiered royalties on a product-by-product basis. Under this collaboration, we have received royalty payments from AbbVie totaling $812 million through September 30, 2022. Further details of these tiered royalties are set forth in Note 7 in Notes to Consolidated Financial Statements included in this report, which are incorporated herein by this reference.</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AbbVie terminates the agreement for our uncured breach, the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Discovery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virology and liver disease product candidates.</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focus on virology and other disease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studies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research models of antiviral or antibacterial efficacy.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regularly examine opportunities to in-license compounds and technologies to complement our existing internal discovery programs. In addition, we engage from time to time in discussions with third parties to out-license intellectual property that no longer fits in our strategic priorities for our internal research and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RSV, SARS-CoV-2, HBV, hMPV and other viral infections or other diseases that we may target in the future.</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 products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medical, regulatory, sales and marketing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other proprietary protection for our processes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others in the development and commercialization of new products.</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68"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 dose combination of sofosbuvir and velpatasvir), Vosevi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triple combination therapy of sofosbuvir, velpatasvir and voxilaprevir approved by the FDA for specified sofosbuvir -treatment failures and NS5A-inhibitor treatment failures) and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fixed-dose combination of sofosbuvir and ledipasvir); and to a lesser extent - Merck’s Zepatier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Similarly, RSV, COVID-19 and HBV represent competitive therapeutic areas. For RSV, there are currently no safe and effective therapies for already established RSV infection. Several companies are seeking to develop new antiviral treatments for RSV infection in adult and pediatric patients. Ark Biosciences, Pfizer/ReViral (acquired in June 2022) and Merck all have compounds in clinical development. Synagis, a prophylactic, monoclonal-antibody-based treatment from AstraZeneca,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Currently, there are two Emergency Use Authorizations of oral antiviral treatments for non-hospitalized, high-risk patients with SARS-CoV-2 infection: Paxlovid, a 3CL protease inhibitor, and Molnupiravir, a polymerase inhibitor. Additionally, there are companies developing oral direct acting antivirals for SARS-CoV-2 that are currently in Phase 2 or 3 studies including Shionogi, Toyama, Atea, Pardes, SyneuRx and Todos as well as additional compounds in Phase 1 studies.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9" w:name="page20"/>
    <w:bookmarkEnd w:id="19"/>
    <w:p>
      <w:pPr>
        <w:ind w:right="160"/>
        <w:spacing w:after="0" w:line="261"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including GIGB, Gilead, Green Cross, GSK/Ionis, HEC Pharma, Johnson &amp; Johnson/Janssen, Qilu, Replicor, Roche, Vaccitech, VBI Vaccines and Vir Biotechnology, which have Phase 2 programs in progress, with many of these companies conducting earlier stage programs as well. In addition, a number of companies have Phase 1 or earlier stage HBV programs.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our major research and development programs, including RSV, SARS-CoV-2, HBV and hMPV, as well as our out-licensed products for HCV and our FXR agonist assets, typically has several pending patent claims and issued patents in the program area containing claims to compounds, methods of use and processes for synthesis. However, only a few of the issued patents and/or pending patent applications cover the lead product candidate in a given program.</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RSV, SARS-CoV-2, HBV. </w:t>
      </w:r>
      <w:r>
        <w:rPr>
          <w:rFonts w:ascii="Times New Roman" w:cs="Times New Roman" w:eastAsia="Times New Roman" w:hAnsi="Times New Roman"/>
          <w:sz w:val="18"/>
          <w:szCs w:val="18"/>
          <w:color w:val="auto"/>
        </w:rPr>
        <w:t>Our patent portfolio directed to N-and L-protein inhibitors for RSV, protease inhibitors for SARS-CoV-2 and core inhibitors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HBV, includes issued U.S. patents or pending U.S. patent applications, or both, as well as numerous foreign patent applications. We expect that our existing patents and patent applications (assuming patents are ultimately issued), will provide patent coverage in the U.S., if and when a compound is approved by the FDA, until at least 2038 for each of our compounds currently in clinical development.</w:t>
      </w:r>
    </w:p>
    <w:p>
      <w:pPr>
        <w:spacing w:after="0" w:line="7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HCV NS3 Protease Inhibitor Program. </w:t>
      </w:r>
      <w:r>
        <w:rPr>
          <w:rFonts w:ascii="Times New Roman" w:cs="Times New Roman" w:eastAsia="Times New Roman" w:hAnsi="Times New Roman"/>
          <w:sz w:val="17"/>
          <w:szCs w:val="17"/>
          <w:color w:val="auto"/>
        </w:rPr>
        <w:t>The patent portfolio directed to the HCV protease inhibitor program with AbbVie includes U.S. patents and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patents, as well as non-provisional applications. The issued U.S. composition-of-matter patent covering paritaprevir is expected to expire in 2031. The issued U.S. composition-of-matter patent covering glecaprevir is expected to expire in 2032. AbbVie is a joint owner of a number of the non-provisional patent applications. AbbVie also has rights to some or all of these patents and patent applications pursuant to its collaboration agreement with us.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jointly own patent applications, together with AbbVie, that claim paritaprevir and glecaprevir as a chemical entity. However, there is no guarantee that such applications will issue.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Factors—Risks Related to Our Intellectual Property Rights.”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 or GLPs, or other applicable regulations;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an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current Good Clinical Practice, or GCPs,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an NDA, for a new drug product;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NDA;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1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lengthy process of seeking required approvals, which can often take anywhere from six months from the time the NDA is filed if there is a priority review for a breakthrough therapy to at least twelve months for a standard review, and the continuing need for compliance with applicable statutes and regulations require the expenditure of substantial resources. There can be no certainty that approvals will be granted.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The IRB also approves the informed consent form that must be provided to each clinical trial subject or his or her legal representative and must monitor the clinical trial until it is completed.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prior to approval are typically conducted in three sequential phases that may overlap or be combined:</w:t>
      </w:r>
    </w:p>
    <w:p>
      <w:pPr>
        <w:spacing w:after="0" w:line="115" w:lineRule="exact"/>
        <w:rPr>
          <w:sz w:val="20"/>
          <w:szCs w:val="20"/>
          <w:color w:val="auto"/>
        </w:rPr>
      </w:pPr>
    </w:p>
    <w:p>
      <w:pPr>
        <w:ind w:left="102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humans and tested for safety, dosage tolerance, absorption, metabolism,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65" w:lineRule="exact"/>
        <w:rPr>
          <w:rFonts w:ascii="Times New Roman" w:cs="Times New Roman" w:eastAsia="Times New Roman" w:hAnsi="Times New Roman"/>
          <w:sz w:val="18"/>
          <w:szCs w:val="18"/>
          <w:color w:val="auto"/>
        </w:rPr>
      </w:pPr>
    </w:p>
    <w:p>
      <w:pPr>
        <w:ind w:left="1020" w:right="14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evaluated in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and to determine dosage tolerance, optimal dosage and dosing schedule for patients having the specific disease.</w:t>
      </w:r>
    </w:p>
    <w:p>
      <w:pPr>
        <w:spacing w:after="0" w:line="6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7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review clock for an NDA may be extended if a major amendment is submitted during the review cycle. In addition, the FDA does not always meet its PDUFA goal dates for standard and priority NDAs.</w:t>
      </w:r>
    </w:p>
    <w:p>
      <w:pPr>
        <w:spacing w:after="0" w:line="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right="60"/>
        <w:spacing w:after="0" w:line="261" w:lineRule="auto"/>
        <w:rPr>
          <w:sz w:val="20"/>
          <w:szCs w:val="20"/>
          <w:color w:val="auto"/>
        </w:rPr>
      </w:pPr>
      <w:r>
        <w:rPr>
          <w:rFonts w:ascii="Times New Roman" w:cs="Times New Roman" w:eastAsia="Times New Roman" w:hAnsi="Times New Roman"/>
          <w:sz w:val="18"/>
          <w:szCs w:val="18"/>
          <w:color w:val="auto"/>
        </w:rPr>
        <w:t>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 in addition to emergency use authorization, or EUA, in situations such as the COVID-19 pandemic.</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 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FDA also has a “priority review” program for products offering significant improvement in the treatment, diagnosis or prevention of a disease. The goal of the priority review program is to shorten the review period to six months from the twelve months required for standard review. Any drug with breakthrough therapy, accelerated approval designation, or fast track can be granted priority review if it meets the necessary criteria.</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3" w:name="page24"/>
    <w:bookmarkEnd w:id="23"/>
    <w:p>
      <w:pPr>
        <w:ind w:right="160"/>
        <w:spacing w:after="0" w:line="256" w:lineRule="auto"/>
        <w:rPr>
          <w:sz w:val="20"/>
          <w:szCs w:val="20"/>
          <w:color w:val="auto"/>
        </w:rPr>
      </w:pPr>
      <w:r>
        <w:rPr>
          <w:rFonts w:ascii="Times New Roman" w:cs="Times New Roman" w:eastAsia="Times New Roman" w:hAnsi="Times New Roman"/>
          <w:sz w:val="18"/>
          <w:szCs w:val="18"/>
          <w:color w:val="auto"/>
        </w:rPr>
        <w:t>The FDA may also allow the use of unapproved medical products, or unapproved uses of approved medical products, under an emergency use authorization, or EUA, to diagnose, treat, or prevent serious or life-threatening diseases or conditions when certain statutory criteria have been met, including that there are no adequate, approved, and available alternatives. An EUA is a mechanism to facilitate the availability and use of medical countermeasures during public health emergencies, such as the COVID-19 pandemic. Once submitted, the FDA will evaluate an EUA request and determine whether the relevant statutory criteria are met, taking into account the totality of the scientific evidence about the drug that is available to FDA. EUAs can be terminated, revoked or reissued, depending on the state of the public health emergency and new data about the drug.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Price Competition and Patent Term Restoration Act of 1984</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Federal Food, Drug and Cosmetic Act, or FDCA</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5" w:name="page26"/>
    <w:bookmarkEnd w:id="25"/>
    <w:p>
      <w:pPr>
        <w:ind w:right="400"/>
        <w:spacing w:after="0" w:line="282" w:lineRule="auto"/>
        <w:rPr>
          <w:sz w:val="20"/>
          <w:szCs w:val="20"/>
          <w:color w:val="auto"/>
        </w:rPr>
      </w:pPr>
      <w:r>
        <w:rPr>
          <w:rFonts w:ascii="Times New Roman" w:cs="Times New Roman" w:eastAsia="Times New Roman" w:hAnsi="Times New Roman"/>
          <w:sz w:val="18"/>
          <w:szCs w:val="18"/>
          <w:color w:val="auto"/>
        </w:rPr>
        <w:t>each country’s national health authority and an independent ethics committee, much like the FDA and IRB, respectively. Once the CTA is approved in accordance with a country’s requirements, clinical trials may proceed.</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private prescription drug plans that contract with the federal government and adhere to certain minimum requirements.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known as the Affordable Care Act, or ACA, substantially changed the way healthcare is financed by both governmental and private insurers, and significantly impacted the pharmaceutical industry.</w:t>
      </w:r>
    </w:p>
    <w:p>
      <w:pPr>
        <w:spacing w:after="0" w:line="6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comprehensive overhaul extended coverage to approximately 20 million previously uninsured Americans. Since its adoption, the ACA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tied to performance. Additionally, the Affordable Care Act:</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brand-name drugs from 15.1% to 23.1%;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Several states have not implemented the provisions of the ACA that involve the expansion of Medicaid eligibility to low-income adults. While the United States Supreme Court recently rejected the latest challenge to the constitutionality of the ACA, it is possible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that other legislative efforts may seek to modify it. In addition, other legislative changes have been proposed since the Affordable Care Act was enacted.</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For example, the Inflation Reduction Act of 2022, or IRA, introduces some of the most significant changes to Medicare payment for prescription drugs since the ACA. Among its many provisions, the IRA authorizes the Medicare program to negotiate pricing for certain high-cost drugs, including physician-administered and self-administered drugs, that have been on the market for a minimum amount of time without generic competition. Each year, beginning with calendar year 2026, the Secretary of the Department of Health and Human Services will implement a negotiated price, known as the “Maximum Fair Price”, or MFP, that will be made public and apply to the drug’s Medicare utilization if the drug is among the top 10 drugs with the highest Medicare spending. Manufacturers who fail to offer the MFP, or fail to come to the table to negotiate after the Secretary has determined their drug is eligible for negotiation, will incur an excise tax of up to 95% for each sale of the drug in the United States. Depending on the share of Medicare spending each year that is attributed to MAVYRET or any other drug we may develop or out-license, and whether or not those drugs become eligible for Medicare negotiation, those drugs and our revenue may be adversely impacted by this provision.</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IRA also will require manufacturers, beginning in 2023, to rebate the Medicare program for Medicare utilization of drugs that have price increases faster than the rate of inflation. The benchmark to which price increases are compared will vary depending on the drug. Although manufacturers are generally familiar with inflation rebates under the Medicaid program, where they have existed for decades, the IRA represents the first time that the Centers for Medicare and Medicaid Services, or CMS, has extended inflation rebates to the Medicare program.</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IRA also redesigns the Medicare prescription drug benefit in several important ways, beginning in calendar year 2025. First, the IRA places an annual out-of-pocket cap on Medicare beneficiary cost sharing amounts, which will actually take effect in calendar year 2024 before the full benefit redesign. Previously, beneficiaries’ out-of-pocket costs were uncapped, even if heavily subsidized. Second, the IRA requires that manufacturers share in the cost of prescription drugs throughout the prescription drug benefit. Previously manufacturers only needed to offer discounted pricing for a single phase of the prescription drug benefit. Finally, the IRA shifts the majority of liability in the “catastrophic phase”—the phase of the prescription drug benefit that only the costliest of Medicare beneficiaries enter—to the private Part D plans, thereby encouraging them to better manage costs. Previously, the Federal government incurred the vast majority of liability during the catastrophic phase. Together, these changes to the Medicare prescription drug benefit will create new pricing dynamics for payers and manufacturers.</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$164.5 million, $174.1 million and $136.8 million for the fiscal years ended September 30,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do not have our own manufacturing capabilities, except with respect to limited amounts of active pharmaceutical ingredients needed for preclinical development. To date, we have relied on third-party manufacturers, including manufacturers in China, for supply of active pharmaceutical ingredients and ingredients for use in clinical trials of our product candidates. We also expect that in the future we will rely on such manufacturers to produce commercial quantities of any product candidates that we commercialize ourselves. Manufacturing for glecaprevir is conducted by AbbVie. Wherever possible, we seek to identify multiple suppliers for raw materials and key intermediaries to be used in our manufacturing process.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Delaware corporation, incorporated in 1995. Our principal executive offices are located at 500 Arsenal Street, Watertown, Massachusetts 02472, and our telephone number is (617) 607-0800. Our web site address is http://www.enanta.com.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provide segment information in Note 2 to our Consolidated Financial Statements included in Item 8 of this report. We are incorporating that information into this section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September 30, 2022, we had 160 full-time employees, 74 of whom hold Ph.D. or M.D. degrees and an additional 40 of whom hold a master's degree or other post-graduate degree. We consider the intellectual capital of our employees to be an essential driver of our business and key to our future prospects. Historically we have had relatively low turnover of employees, but as our headcount has grown in the past three years and the number of biotechnology and pharmaceutical companies in the Boston area has increased dramatically, we have experienced an increase in the number of employees leaving for other opportunities. Given our financial resources and our track record, we continue to be able to fill the vacated positions and grow our headcount in support of our expanding pipeline of research programs and product candidates. We also monitor our compensation programs closely and provide what we consider to be a very competitive mix of compensation and insurance benefits for all our employees, as well as participation in our equity programs. None of our employees is subject to a collective bargaining agreement or represented by a trade or labor union. We consider our relations with our employees to be good.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addition, the SEC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in the short term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5" w:lineRule="exact"/>
        <w:rPr>
          <w:sz w:val="20"/>
          <w:szCs w:val="20"/>
          <w:color w:val="auto"/>
        </w:rPr>
      </w:pPr>
    </w:p>
    <w:p>
      <w:pPr>
        <w:ind w:left="1020" w:right="1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to comply with additional requests and recommendations from the FDA, including label restrictions for its regimen containing glecaprevir;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obtain all commercially necessary reimbursement approvals;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MAVYRET/MAVIRET, whether for competitive or strategic reasons or otherwise due to a change in business priorities;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cease to perform its obligations under the terms of our collaboration agreement;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unilaterally terminate our collaboration agreement on specified prior notice without any reason and without any further commitment.</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royalty revenues are derived from AbbVie’s net sales of its MAVYRET/MAVIRET regimen for HCV. If AbbVie is unable to maintain sales of this regimen at or above current levels of sales, our royalty revenues will be adversely affected.</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AbbVie’s MAVYRET/MAVIRET regimen continues to be the leading HCV treatment in the U.S. and several market geographies in developed countries where it is approved. While commercialization of this regimen is exclusively in AbbVie’s control without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9" w:name="page30"/>
    <w:bookmarkEnd w:id="29"/>
    <w:p>
      <w:pPr>
        <w:ind w:right="80"/>
        <w:spacing w:after="0" w:line="244" w:lineRule="auto"/>
        <w:rPr>
          <w:sz w:val="20"/>
          <w:szCs w:val="20"/>
          <w:color w:val="auto"/>
        </w:rPr>
      </w:pPr>
      <w:r>
        <w:rPr>
          <w:rFonts w:ascii="Times New Roman" w:cs="Times New Roman" w:eastAsia="Times New Roman" w:hAnsi="Times New Roman"/>
          <w:sz w:val="18"/>
          <w:szCs w:val="18"/>
          <w:color w:val="auto"/>
        </w:rPr>
        <w:t>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has been awarded the contract in Louisiana and other states and AbbVie has been awarded the contract in Washington and other states. In addition, Gilead has been able to access the Medicaid market at a lower price point to build its market share by using an authorized generic version of its HCV regimen branded as Epclusa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19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17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AbbVie face substantial competition in the markets for HCV drugs, and there are many companies developing potential therapies for RSV, SARS-CoV-2, HBV and hMPV which may result in others discovering, developing or commercializing products before we do or doing so more successfully than we do.</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SARS-CoV-2, HBV and hMPV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to gain regulatory approvals, overcome price competition and be commercially successful.</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Similarly, RSV, COVID-19, HBV and hMPV, represent competitive therapeutic areas. 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functional cure for HBV. Altimmune, Arbutus, Ascletis, Assembly, Gilead, Green Cross, GSK/Ionis, HEC Pharma, Johnson &amp; Johnson/Janssen, Qilu, Replicor, Roche, Vaccitech, VBI Vaccines and Vir Biotechnology have Phase 2 programs in progress, with many of these companies conducting earlier stage programs as well. In addition, a number of companies have Phase 1 or earlier stage HBV programs.</w:t>
      </w:r>
    </w:p>
    <w:p>
      <w:pPr>
        <w:spacing w:after="0" w:line="6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For RSV, there are currently no safe and effective therapies for already established RSV infection. Several companies are seeking to develop antiviral treatments for RSV infection in adult and pediatric patients. Ark Biosciences, Pfizer/ReViral (acquired in June 2022) and Merck all have compounds in clinical development. Synagis, a prophylactic, monoclonal-antibody-based treatment from AstraZeneca,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Currently, there are two Emergency Use Authorizations of oral antiviral treatments for non-hospitalized, high-risk patients with SARS-CoV-2 infection: Paxlovid, a 3CL protease inhibitor, and Molnupiravir, a polymerase inhibitor. Additionally, there are companies developing oral direct acting antivirals for SARS-CoV-2 that are currently in Phase 2 or 3 studies including Shionogi, Toyama, Atea, Pardes, SyneuRx and Todos as well as additional compounds in Phase 1 studies.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reported net losses for the fiscal years ended September 30, 2022 and 2021 primarily due to the impact of COVID-19 on our royalty revenues and increased levels of research and development expense as we progress our wholly-owned programs.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diminishing royalty revenue, combined with increasing research and development expenses in support of our advancing programs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will result in continued operating losses in this fiscal year and in future periods unless we develop other sources of revenue.</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AbbVie’s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further impacted by the pandemic. Additionally, inflation may further impact our future development expenses.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1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achieve our goals. A failure to obtain this funding when needed could force us to delay, limit, reduce or terminate some or all of our product development efforts.</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will continue to expend substantial resources discovering and developing our proprietary product candidates. These expenditures will include costs associated with research and development, preclinical manufacturing of product candidates, conducting preclinical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ind w:right="440"/>
        <w:spacing w:after="0" w:line="282" w:lineRule="auto"/>
        <w:rPr>
          <w:sz w:val="20"/>
          <w:szCs w:val="20"/>
          <w:color w:val="auto"/>
        </w:rPr>
      </w:pPr>
      <w:r>
        <w:rPr>
          <w:rFonts w:ascii="Times New Roman" w:cs="Times New Roman" w:eastAsia="Times New Roman" w:hAnsi="Times New Roman"/>
          <w:sz w:val="18"/>
          <w:szCs w:val="18"/>
          <w:color w:val="auto"/>
        </w:rPr>
        <w:t>experiments and clinical trials and obtaining regulatory approvals, as well as commercializing any products later approved for sale. Our future capital requirements depend on many factors, including:</w:t>
      </w:r>
    </w:p>
    <w:p>
      <w:pPr>
        <w:spacing w:after="0" w:line="54" w:lineRule="exact"/>
        <w:rPr>
          <w:sz w:val="20"/>
          <w:szCs w:val="20"/>
          <w:color w:val="auto"/>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MAVYRET/MAVIRET sales under our existing collaboration with AbbVie, including any continuing impact of the COVID-19 pandemic on the number of treated HCV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existing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 in our clinical trials as a result of the COVID-19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opportunities to in-license or otherwise acquire new technologies, therapeutic candidates and therapies</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12529"/>
        </w:rPr>
      </w:pPr>
    </w:p>
    <w:p>
      <w:pPr>
        <w:ind w:left="1020" w:right="60" w:hanging="503"/>
        <w:spacing w:after="0" w:line="282" w:lineRule="auto"/>
        <w:tabs>
          <w:tab w:leader="none" w:pos="1020"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costs associated with prosecuting our patent infringement suit regarding the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timing and amount of any sales of our product candidates, if any, or royalties thereon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12529"/>
        </w:rPr>
      </w:pPr>
    </w:p>
    <w:p>
      <w:pPr>
        <w:ind w:left="1020" w:right="460" w:hanging="503"/>
        <w:spacing w:after="0" w:line="282" w:lineRule="auto"/>
        <w:tabs>
          <w:tab w:leader="none" w:pos="1020"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costs involved in preparing, filing, prosecuting, maintaining, defending and enforcing patents, including any litigation costs and the outcomes of any such litigation</w:t>
      </w:r>
      <w:r>
        <w:rPr>
          <w:rFonts w:ascii="Times New Roman" w:cs="Times New Roman" w:eastAsia="Times New Roman" w:hAnsi="Times New Roman"/>
          <w:sz w:val="18"/>
          <w:szCs w:val="18"/>
          <w:color w:val="000000"/>
        </w:rPr>
        <w:t>; and</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Accordingly, if we do not generate sufficient funding from our existing collaboration and any future collaborations, we will need to obtain additional funding to support our operations. 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and HBV programs, we will need to successfully:</w:t>
      </w:r>
    </w:p>
    <w:p>
      <w:pPr>
        <w:spacing w:after="0" w:line="72"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development of our product candidates and demonstrate acceptable safety and efficacy for them alone or in combination with other drugs or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future collaborations we may enter into for any of these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protection for our product candidates and freedom from infringement of intellectual property of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acceptable commercial manufacturing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independently or in collaboration with future collaborators;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among physicians, payors and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product candidates and expand our business or continue our operations.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developing EDP-938, EDP-235, EDP-514 and/or EDP-323, or in discovering further product candidates, our ability to expand our business and achieve our strategic objectives will be impaired.</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additional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less commercially viable or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obtain intellectual property protection that effectively prevents us from developing a product candidate;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 impact on our business operations and clinical trials and could continue, directly or indirectly, to adversely affect our business, results of operations and financial condition and our stock price.</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COVID-19 pandemic has had an impact on our business operations and we continue to monitor applicable government recommendations. We had to make modifications to our normal operations because of the COVID-19 pandemic, including allowing certain of our employees to work remotely and conducting our laboratory operations at reduced capacity. Now that almost all of our employees are vaccinated and levels of COVID-19 infection in Eastern Massachusetts have declined substantially, we have our laboratory operations back at full capacity and other operations have returned to more on-site activity. Notwithstanding these recent trends, the emergence of any new, more virulent SARS-CoV-2 variant that evades immunity from vaccination or prior infection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COVID-19. Organizations and individuals may continue to take steps to avoid or reduce infection, including limiting travel and staying home from work.</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two of our studies in March 2020, but we were able to resume recruitment of these studies in July 2020. In addition, the public health response to the COVID-19 pandemic, including lock-downs, mask mandates, social distancing and other mitigation steps to manage the COVID-19 pandemic significantly reduced the incidence of RSV and other respiratory illnesses worldwide. We have made extensive efforts to expand our RSV clinical trial sites beyond North America, including sites across Europe, the Asia-Pacific and the Southern Hemisphere, to be ready when RSV infection fully re-emerges globally, but we cannot predict when that may occur. These impacts of COVID-19 could continue to affect the future course of our RSV studies and delay their timelines.</w:t>
      </w:r>
    </w:p>
    <w:p>
      <w:pPr>
        <w:spacing w:after="0" w:line="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COVID-19 has also impacted new HCV patient starts in both the United States and the rest of the world, resulting in a decline in sales of HCV treatments compared with pre-COVID-19 levels. While new HCV infections are continuing, at this time it is uncertain when and the extent to which treatment of new HCV patients and revenues will return to pre-COVID-19 levels.</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3" w:name="page34"/>
    <w:bookmarkEnd w:id="33"/>
    <w:p>
      <w:pPr>
        <w:ind w:right="60"/>
        <w:spacing w:after="0" w:line="261" w:lineRule="auto"/>
        <w:rPr>
          <w:sz w:val="20"/>
          <w:szCs w:val="20"/>
          <w:color w:val="auto"/>
        </w:rPr>
      </w:pPr>
      <w:r>
        <w:rPr>
          <w:rFonts w:ascii="Times New Roman" w:cs="Times New Roman" w:eastAsia="Times New Roman" w:hAnsi="Times New Roman"/>
          <w:sz w:val="18"/>
          <w:szCs w:val="18"/>
          <w:color w:val="auto"/>
        </w:rPr>
        <w:t>clinical research, any continued spread of COVID-19, measures taken by governments, actions taken to protect employees from this disease, and the broad impact of the pandemic on all business activities, may materially and adversely affect our business, results of operations and financial condition and our stock price. Additionally, if new, more infectious and virulent variants emerge, it is possible that the impact of the pandemic on our business may increase or lengthen in duration.</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Scott T. Rottinghaus, M.D., our Senior Vice President and Chief Medical Officer whom we hired in August 2022, as well as other employees and consultants. Although none of Drs. Luly, Or, or Rottinghaus has informed us to date that he expects to retire or resign in the near future, the loss of the services of any of these individuals or one or more of our other members of senior management could delay or prevent the successful development of our product candidates.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 Clinical trials can be delayed for a variety of reasons, including delays related to:</w:t>
      </w:r>
    </w:p>
    <w:p>
      <w:pPr>
        <w:spacing w:after="0" w:line="81" w:lineRule="exact"/>
        <w:rPr>
          <w:sz w:val="20"/>
          <w:szCs w:val="20"/>
          <w:color w:val="auto"/>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on a timely basis, or at all, the necessary approvals from regulators or institutional review boards, or IRBs,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suitable patients to participate in a trial;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ability of CROs to conduct their own operations, resulting in, among other things, delays in recruitment or dosing of our clinical trials;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impact of the COVID-19 pandemic on the incidence of other viruses (e.g., RSV and hMPV), the economic challenges for clinical trial sites and the political and socio-economic stability affecting their operations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variations in the incidence of infection year to year (e.g. RSV) affecting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add new clinical trial sites;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product sufficient to complete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regulatory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clear guidance or changes in regulatory requirements, policy and guidelines, including guidelines specifically addressing requirements for the development of treatments for RSV, COVID-19, HBV or hMPV infection;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and maintaining adequate insurance coverage;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7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expect that the further development of successful therapies in our principal disease area of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EDP-938, EDP-235, EDP-514,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121"/>
        </w:rPr>
        <w:t>In our RSV program, we are developing inhibitors of the N-protein and L-protein. No inhibitor of the RSV N- or L-protein has progressed beyond a Phase 2 clinical trial, so we are not yet able to assess the potential liabilities of an N-protein or L-protein inhibitor 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12121"/>
        </w:rPr>
        <w:t>In our SARS-CoV-2 program, we have designed EDP-235 as a 3CL protease inhibitor specifically for the SARS-CoV-2 virus. We recently started testing EDP-235 in humans and, therefore, any long-term or rare potential side effects are unknown. While scientific understanding of the longer-term effects of COVID-19, also known as long-COVID, are still emerging and being studied, it may be difficult to determine whether any unexpected downstream effects after treatment with EDP-235 are due to that drug or the infection itself.</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12121"/>
        </w:rPr>
        <w:t>In our HBV program, we have developed modulators of capsid assembly, also known as core inhibitors. No capsid assembly modulators have advanced beyond Phase 2 clinical studies, and thus we are not able to predict what adverse effects may arise in longer studies conducted in larger populations. In addition, no mechanisms or combination of mechanisms with a finite treatment duration have resulted in a sustained viral response, so it is unknown what role a core inhibitor mechanism may play in HBV therapy.</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12121"/>
        </w:rPr>
        <w:t>If any of our product candidates receives marketing approval and we or others later identify undesirable or unacceptable side effects caused by such products:</w:t>
      </w:r>
    </w:p>
    <w:p>
      <w:pPr>
        <w:spacing w:after="0" w:line="54" w:lineRule="exact"/>
        <w:rPr>
          <w:sz w:val="20"/>
          <w:szCs w:val="20"/>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subject to additional distribution restrictions under a REMS, if required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stock price may suffer.</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6" w:name="page37"/>
    <w:bookmarkEnd w:id="36"/>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Product candidate development risk is heightened by any changes in the planned clinical trials compared to the completed clinical trials. As product candidates are developed through preclinical studies and early-stage and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83"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9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62"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ind w:right="240"/>
        <w:spacing w:after="0" w:line="282" w:lineRule="auto"/>
        <w:rPr>
          <w:sz w:val="20"/>
          <w:szCs w:val="20"/>
          <w:color w:val="auto"/>
        </w:rPr>
      </w:pPr>
      <w:r>
        <w:rPr>
          <w:rFonts w:ascii="Times New Roman" w:cs="Times New Roman" w:eastAsia="Times New Roman" w:hAnsi="Times New Roman"/>
          <w:sz w:val="18"/>
          <w:szCs w:val="18"/>
          <w:color w:val="auto"/>
        </w:rPr>
        <w:t>reimbursement before it can be approved for sale in that country. Any of the foregoing scenarios could materially harm the commercial prospects for our product candidates and our business.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has the authority to grant an emergency use authorization, or EUA, to allow unapproved medical products to be used in an emergency to diagnose, treat, or prevent serious or life-threatening diseases or conditions when there are no adequate, approved, and available alternatives. To date, COVID-19 vaccines, therapeutic antibodies and other therapeutics that have demonstrated positive results in clinical trials have moved rapidly through the FDA regulatory review and EUA process, as well as the review and authorization process in a number of other jurisdictions, including the EU. The speed at which all parties are acting to create and test many therapeutics for COVID-19 is unusual, while evolving or changing plans or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Moreover, there is not yet any clear definition of the point at which the FDA will determine that the underlying COVID-19 health emergency no longer exists or warrants such authorizations. Accordingly, if there are successful clinical trials of EDP-235 demonstrating its therapeutic benefit and safety profile, it is still uncertain what will be the timelines or regulatory processes required for the authorization or approval of EDP-235 as a treatment for COVID-19.</w:t>
      </w:r>
    </w:p>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6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9" w:lineRule="exact"/>
        <w:rPr>
          <w:sz w:val="20"/>
          <w:szCs w:val="20"/>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right="180"/>
        <w:spacing w:after="0" w:line="261" w:lineRule="auto"/>
        <w:rPr>
          <w:sz w:val="20"/>
          <w:szCs w:val="20"/>
          <w:color w:val="auto"/>
        </w:rPr>
      </w:pPr>
      <w:r>
        <w:rPr>
          <w:rFonts w:ascii="Times New Roman" w:cs="Times New Roman" w:eastAsia="Times New Roman" w:hAnsi="Times New Roman"/>
          <w:sz w:val="18"/>
          <w:szCs w:val="18"/>
          <w:color w:val="auto"/>
        </w:rPr>
        <w:t>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pricing regulations, third-party reimbursement practices or healthcare reform initiatives in the United States could harm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the provisions of the ACA that involve the expansion of Medicaid-eligibility for low-income adults.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Most recently, the Inflation Reduction Act of 2022, or IRA, which, among other provisions, included several measures intended to lower the cost of prescription drugs and related healthcare reforms. Specifically, the Act authorizes and directs the Department of Health and Human Services, or DHHS, to set drug price caps for certain high-cost Medicare Part B and Part D qualified drugs, with the initial list of drugs to be selected by September 1, 2023, and the first year of maximum price applicability to begin in calendar year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beginning in calendar year 2025. We cannot be sure whether additional or related legislation or rulemaking will be issued or enacted, or what impact, if any, such changes will have on the royalty revenue we receive from MAVYRET/MAVIRET or revenue from any of our drug candidates, if approved for commercial use, in the future. If any further healthcare reform measures adopted in the future result in additional downward pressure on the price that AbbVie receives for MAVYRET/MAVIRET, this would adversely affect our future revenues, and the price of our common stock could be materially adversely affected.</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right="480"/>
        <w:spacing w:after="0" w:line="282" w:lineRule="auto"/>
        <w:rPr>
          <w:sz w:val="20"/>
          <w:szCs w:val="20"/>
          <w:color w:val="auto"/>
        </w:rPr>
      </w:pPr>
      <w:r>
        <w:rPr>
          <w:rFonts w:ascii="Times New Roman" w:cs="Times New Roman" w:eastAsia="Times New Roman" w:hAnsi="Times New Roman"/>
          <w:sz w:val="18"/>
          <w:szCs w:val="18"/>
          <w:color w:val="auto"/>
        </w:rPr>
        <w:t>to obtain the same for any product candidate that we develop, could have a material adverse effect on our operating results, our ability to raise capital needed to commercialize products and our overall financial condition.</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significant uncertainty around the future path of the COVID-19 pandemic, which may impact opportunity of EDP-235 as a potential treatment for COVID-19.</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COVID-19 is currently still an ongoing global pandemic and there is an urgent need for a safe and effective oral treatment for it. However, the longevity and extent of the COVID-19 pandemic are unpredictable, and it is uncertain whether SARS-CoV-2 will become an endemic seasonal respiratory disease, such as RSV or flu, after the current pandemic has subsided. If the pandemic were to end with a substantial decrease in new infections, due to the effectiveness of vaccines or otherwise, there would be a reduced opportunity for EDP-235.</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prepare for the possibility that EDP-235 is successful in development and commercialization, we are currently devoting resources towards executing on an accelerated development path, including sufficient drug supply for advanced clinical trials and commercialization. If EDP-235 does not advance in development or is not approved for the treatment of COVID-19, or if infection rates decrease substantially, we may not be able to recover these costs and our results of operations and financial condition would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15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EDP-938, EDP-235, EDP-514, and EDP-323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68" w:lineRule="exact"/>
        <w:rPr>
          <w:sz w:val="20"/>
          <w:szCs w:val="20"/>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treatment regimen containing one of our product candidates become approved;</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among physicians, major operators of clinics, payors and patients of any treatment regimen containing one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treatment regimens containing one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of regimens containing one of our product candidates in relation to the cost of alternative treatments;</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longevity of any market for which we develop a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funding provided by government-funded healthcare for treatment of any disease for which we develop a drug;</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treatment regimen containing one of our product candidates compared to competitive regimens;</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whether involving the use of treatment regimens containing one of our products candidates or similar, competitive treatment regimens;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we plan to out-license our FXR agonist candidates for combination therapy for NASH and are seeking potential partners for this program.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product candidates may be terminated or delayed;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the development of certain of our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candidate that is commercialized could be reduced.</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resulting from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7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2" w:name="page43"/>
    <w:bookmarkEnd w:id="42"/>
    <w:p>
      <w:pPr>
        <w:spacing w:after="0" w:line="256" w:lineRule="auto"/>
        <w:rPr>
          <w:sz w:val="20"/>
          <w:szCs w:val="20"/>
          <w:color w:val="auto"/>
        </w:rPr>
      </w:pPr>
      <w:r>
        <w:rPr>
          <w:rFonts w:ascii="Times New Roman" w:cs="Times New Roman" w:eastAsia="Times New Roman" w:hAnsi="Times New Roman"/>
          <w:sz w:val="18"/>
          <w:szCs w:val="18"/>
          <w:color w:val="auto"/>
        </w:rPr>
        <w:t>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76"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or the continuing series of so-called “lock-downs” in China when strict quarantine requirements are imposed on large population areas in response to new incidents of COVID infection. To date, our contract manufacturers in China, which are not located in the Wuhan region, have avoided any material delays in their ability to deliver API and other services through extraordinary efforts, including temporarily housing staff in the manufacturing facility.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8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as a result of the COVID-19 pandemic in March 2020, but we were able to resume the studies in July 2020.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ind w:right="40"/>
        <w:spacing w:after="0" w:line="255" w:lineRule="auto"/>
        <w:rPr>
          <w:sz w:val="20"/>
          <w:szCs w:val="20"/>
          <w:color w:val="auto"/>
        </w:rPr>
      </w:pPr>
      <w:r>
        <w:rPr>
          <w:rFonts w:ascii="Times New Roman" w:cs="Times New Roman" w:eastAsia="Times New Roman" w:hAnsi="Times New Roman"/>
          <w:sz w:val="18"/>
          <w:szCs w:val="18"/>
          <w:color w:val="auto"/>
        </w:rPr>
        <w:t>The pause in these studies delayed their completion, and it is uncertain whether any of our other ongoing studies may be subject to further disruptions due to the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t>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 if challenged in court.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The same could occur in our patent infringement suit recently brought against Pfizer regarding Paxlovid, its antiviral treatment for COVID-19, even though our ‘953 patent at issue does not cover EDP-235 or our other discovery efforts targeted at SARS-CoV-2. In patent litigation in the United States and in some other jurisdictions, defendant counterclaims alleging invalidity and/or unenforceability are commonplace. Grounds for a validity challenge could be an alleged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80"/>
        <w:spacing w:after="0" w:line="253" w:lineRule="auto"/>
        <w:rPr>
          <w:sz w:val="20"/>
          <w:szCs w:val="20"/>
          <w:color w:val="auto"/>
        </w:rPr>
      </w:pPr>
      <w:r>
        <w:rPr>
          <w:rFonts w:ascii="Times New Roman" w:cs="Times New Roman" w:eastAsia="Times New Roman" w:hAnsi="Times New Roman"/>
          <w:sz w:val="18"/>
          <w:szCs w:val="18"/>
          <w:color w:val="auto"/>
        </w:rPr>
        <w:t>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If a defendant were to prevail on a legal assertion of invalidity and/or unenforceability, other than in litigation like the Pfizer case,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Any efforts to enforce our intellectual property rights are also likely to be costly, as may well be the case with the Pfizer suit, and may divert the efforts of our scientific and management personnel.</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protect us from all potential threats to our competitive advantage.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1"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1020" w:right="2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to continue our research and development programs or to market any resulting product. It is possible that the necessary license will not be available to us on commercially acceptable terms, or at all. Alternatively, we may be required to modify or redesign our products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5"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and product candidates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9" w:lineRule="exact"/>
        <w:rPr>
          <w:rFonts w:ascii="Times New Roman" w:cs="Times New Roman" w:eastAsia="Times New Roman" w:hAnsi="Times New Roman"/>
          <w:sz w:val="18"/>
          <w:szCs w:val="18"/>
          <w:color w:val="auto"/>
        </w:rPr>
      </w:pPr>
    </w:p>
    <w:p>
      <w:pPr>
        <w:jc w:val="both"/>
        <w:ind w:left="1020" w:right="30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1020" w:right="440"/>
        <w:spacing w:after="0" w:line="266" w:lineRule="auto"/>
        <w:rPr>
          <w:sz w:val="20"/>
          <w:szCs w:val="20"/>
          <w:color w:val="auto"/>
        </w:rPr>
      </w:pPr>
      <w:r>
        <w:rPr>
          <w:rFonts w:ascii="Times New Roman" w:cs="Times New Roman" w:eastAsia="Times New Roman" w:hAnsi="Times New Roman"/>
          <w:sz w:val="18"/>
          <w:szCs w:val="18"/>
          <w:color w:val="auto"/>
        </w:rPr>
        <w:t>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volatile, and thus our stockholders could incur substantial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has been volatile and could be subject to wide fluctuations in response to various factors, many of which are beyond our control. From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2016 through September 30, 2022, the daily closing price of our common stock on the NASDAQ Global Select Market has ranged from $21.00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$126.37. The stock market in general and the market for biopharmaceutical companies, and for those developing potential therapies for viral infections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 diseases in particular, have experienced extreme volatility that has often been unrelated to the operating performance of particular companies,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some cases has been exacerbated by the COVID-19 pandemic. As a result of this volatility, you may not be able to sell your holdings of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at or above your purchase price, if at all. The market price for our common stock may be influenced by many factors, including:</w:t>
      </w:r>
    </w:p>
    <w:p>
      <w:pPr>
        <w:spacing w:after="0" w:line="99" w:lineRule="exact"/>
        <w:rPr>
          <w:sz w:val="20"/>
          <w:szCs w:val="20"/>
          <w:color w:val="auto"/>
        </w:rPr>
      </w:pPr>
    </w:p>
    <w:p>
      <w:pPr>
        <w:ind w:left="1020" w:right="5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 as well as results of regulatory reviews relating to the approval of our product candidates;</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AbbVie regarding the MAVYRET/MAVIRET regimen, including announcements regarding regulatory or commercial developments;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expectations about and response to the levels of sales or scripts achieved by, or the announced prices or discounts for, AbbVie’s MAVYRET/MAVIRET regimen or competitive HCV drugs;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AbbVie’s MAVYRET/MAVIRET regimen to maintain its sales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or technologies introduced or announced by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manufacturers, clinical trial sponsors and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political or legal developments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we develop independently,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or other actions that affect the effective reimbursement rates for treatment regimens containing our products or for competitive regimens;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or staggered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that provide for aggregate cash payments of up to approximately $6.0 million for severance and other non-equity-based benefits in the event of a termination of employment in connection with a change of control of our company. In addition, based on the closing price of our common stock of $51.87 per common share as of September 30, 2022, the aggregate intrinsic value of unvested stock options and other equity awards subject to accelerated vesting upon these events was $18.0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1" w:name="page52"/>
    <w:bookmarkEnd w:id="5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5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2022 we had 20.8 million shares of common stock outstanding. In addition, as of September 30, 2022, we had 4.0 million and 0.4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specified business risks, which will leave us exposed to significant uninsured liabilities.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right="80"/>
        <w:spacing w:after="0" w:line="266" w:lineRule="auto"/>
        <w:rPr>
          <w:sz w:val="20"/>
          <w:szCs w:val="20"/>
          <w:color w:val="auto"/>
        </w:rPr>
      </w:pPr>
      <w:r>
        <w:rPr>
          <w:rFonts w:ascii="Times New Roman" w:cs="Times New Roman" w:eastAsia="Times New Roman" w:hAnsi="Times New Roman"/>
          <w:sz w:val="18"/>
          <w:szCs w:val="18"/>
          <w:color w:val="auto"/>
        </w:rPr>
        <w:t>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could give rise to liability or reputational harm.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corporate headquarters is located in Watertown, Massachusetts, where we lease approximately 49,000 square feet of office and laboratory space under the 500 Arsenal Street lease agreement that expires on September 1, 2027. In May 2022, we entered into a new lease agreement for approximately 73,000 square feet of laboratory and office space in Watertown, Massachusetts, at a to-be-constructed facility located at Arsenal on the Charles. We expect to gain access to the facility in October 2023 to construct tenant improvements. In conjunction with the new lease agreement at Arsenal on the Charles, we amended the 500 Arsenal Street lease agreement to shorten the term of the lease from September 2027 to the date when the Arsenal on the Charles facility is completed and ready for the Company's occupancy. We also lease approximately 38,000 square feet of additional office space located in Watertown, Massachusetts. The term of this lease expires on June 1, 2034.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12 of the Notes to Consolidated Financial Statements contained in Part II, Item 8 of this Annual Report on Form 10-K,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14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COMPANY'S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Stockholder Information</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fiscal years ended September 30, 2022 and 2021:</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4"/>
                <w:szCs w:val="14"/>
                <w:color w:val="auto"/>
              </w:rPr>
            </w:pPr>
          </w:p>
        </w:tc>
      </w:tr>
      <w:tr>
        <w:trPr>
          <w:trHeight w:val="25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FF0FC"/>
          </w:tcPr>
          <w:p>
            <w:pPr>
              <w:spacing w:after="0"/>
              <w:rPr>
                <w:sz w:val="22"/>
                <w:szCs w:val="22"/>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21"/>
                <w:szCs w:val="21"/>
                <w:color w:val="auto"/>
              </w:rPr>
            </w:pPr>
          </w:p>
        </w:tc>
      </w:tr>
      <w:tr>
        <w:trPr>
          <w:trHeight w:val="405"/>
        </w:trPr>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4"/>
                <w:szCs w:val="14"/>
                <w:color w:val="auto"/>
              </w:rPr>
            </w:pPr>
          </w:p>
        </w:tc>
      </w:tr>
      <w:tr>
        <w:trPr>
          <w:trHeight w:val="25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FF0FC"/>
          </w:tcPr>
          <w:p>
            <w:pPr>
              <w:spacing w:after="0"/>
              <w:rPr>
                <w:sz w:val="22"/>
                <w:szCs w:val="22"/>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21"/>
                <w:szCs w:val="21"/>
                <w:color w:val="auto"/>
              </w:rPr>
            </w:pPr>
          </w:p>
        </w:tc>
      </w:tr>
    </w:tbl>
    <w:p>
      <w:pPr>
        <w:spacing w:after="0" w:line="2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November 14, 2022 there were 18 stockholders of record of our common stock, which excludes stockholders whose shares were held in nominee or street name by brokers.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 have never declared or paid cash dividends on our common stock, and we do not expect to declare or pay any cash dividends for the foreseeable future.</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Performance Graph</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September 30, 2017 through September 30, 2022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FIVE YEARS CUMULATIVE TOTAL RETURN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Among Enanta Pharmaceuticals, Inc., the NASDAQ Composite Index,</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6172200" cy="4234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520" w:hanging="512"/>
        <w:spacing w:after="0" w:line="231" w:lineRule="auto"/>
        <w:tabs>
          <w:tab w:leader="none" w:pos="5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90" w:lineRule="exact"/>
        <w:rPr>
          <w:sz w:val="20"/>
          <w:szCs w:val="20"/>
          <w:color w:val="auto"/>
        </w:rPr>
      </w:pPr>
    </w:p>
    <w:p>
      <w:pPr>
        <w:jc w:val="both"/>
        <w:ind w:left="1020" w:right="36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as well as other coronaviruses, with estimates suggesting that COVID-19 has caused over 240,000 deaths and over 1.7 million hospitalizations in the U.S. in 2022 through October 29, with comparable, or at least significant, impact in other major populations of the world and with new variants still emerging;</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metapneumovirus, or hMPV, an important, relatively recently identified cause of respiratory tract infections, particularly in children, the elderly and immunocompromised individuals, with symptoms similar to RSV.</w:t>
      </w:r>
    </w:p>
    <w:p>
      <w:pPr>
        <w:spacing w:after="0" w:line="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had $278.5 million in cash, cash equivalents and short-term and long-term marketable securities at September 30, 2022. In fiscal 2022, we earned $86.2 million in product royalties on AbbVie’s net sales of its HCV regimens. We expect cash flows from our continuing HCV royalties and our existing financial resources will allow us to continue to fund our wholly-owned research and development programs into approximately the fourth quarter of fiscal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namely RSV, SARS-CoV-2, HBV and hMPV:</w:t>
      </w:r>
    </w:p>
    <w:p>
      <w:pPr>
        <w:spacing w:after="0" w:line="117" w:lineRule="exact"/>
        <w:rPr>
          <w:sz w:val="20"/>
          <w:szCs w:val="20"/>
          <w:color w:val="auto"/>
        </w:rPr>
      </w:pPr>
    </w:p>
    <w:p>
      <w:pPr>
        <w:ind w:left="1020" w:right="160" w:hanging="503"/>
        <w:spacing w:after="0" w:line="258"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a clinical stage program for RSV, with two compounds in clinical trials – EDP-938 and EDP-323. EDP-938, which has Fast Track designation from the U.S. Food and Drug Administration, or FDA, is a potent N-protein inhibitor of activity of both major subgroups of RSV, referred to as RSV-A and RSV-B. It has been investigated in a Phase 2a challenge study and is currently in three ongoing Phase 2 studies, each in a different patient population. In addition, we recently announced the initiation of a Phase 1 clinical study of EDP-323, an inhibitor of the RSV L-protein.</w:t>
      </w:r>
    </w:p>
    <w:p>
      <w:pPr>
        <w:spacing w:after="0" w:line="73" w:lineRule="exact"/>
        <w:rPr>
          <w:rFonts w:ascii="Times New Roman" w:cs="Times New Roman" w:eastAsia="Times New Roman" w:hAnsi="Times New Roman"/>
          <w:sz w:val="18"/>
          <w:szCs w:val="18"/>
          <w:color w:val="auto"/>
        </w:rPr>
      </w:pPr>
    </w:p>
    <w:p>
      <w:pPr>
        <w:ind w:left="1540" w:right="8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 xml:space="preserve">EDP-938 - N-protein Inhibitor Candidate: </w:t>
      </w:r>
      <w:r>
        <w:rPr>
          <w:rFonts w:ascii="Times New Roman" w:cs="Times New Roman" w:eastAsia="Times New Roman" w:hAnsi="Times New Roman"/>
          <w:sz w:val="18"/>
          <w:szCs w:val="18"/>
          <w:color w:val="auto"/>
        </w:rPr>
        <w:t>We have studied EDP-938 in two Phase 2 studies that were designed to be proof-of-concept and exploratory to understand better viral response in the context of RSV infection. These studies were conducted in otherwise healthy adults. The first study was the challenge study, which was reported out in mid-2019. The second study, known as RSVP, was designed to confirm the challenge study findings in an adult outpatient population with community-acquired RSV infection to provide additional information on symptom alleviation and viral load decline. In May 2022, we announced topline results for RSVP, noting that EDP-938 did not meet the primary endpoint of reduction in total symptom score compared to placebo, or the secondary antiviral endpoints. However, a statistically significant difference in the number of subjects achieving undetectable RSV RNA at the end of treatment at Day 5 was observed with EDP-938 compared to placebo (p=0.033). Further, EDP-938 demonstrated a favorable safety profile, consistent with that observed in approximately 500 subjects exposed to EDP-938 to date. Based on the growing safety profile of EDP-938 and differences in the range of the course of RSV infection in higher risk populations, which have always been our target populations, EDP-938 merits continued study. We believe that EDP-938 continues to have the greatest potential to show optimal efficacy in high-risk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left="1023" w:right="160"/>
        <w:spacing w:after="0" w:line="261" w:lineRule="auto"/>
        <w:rPr>
          <w:sz w:val="20"/>
          <w:szCs w:val="20"/>
          <w:color w:val="auto"/>
        </w:rPr>
      </w:pPr>
      <w:r>
        <w:rPr>
          <w:rFonts w:ascii="Times New Roman" w:cs="Times New Roman" w:eastAsia="Times New Roman" w:hAnsi="Times New Roman"/>
          <w:sz w:val="18"/>
          <w:szCs w:val="18"/>
          <w:color w:val="auto"/>
        </w:rPr>
        <w:t>populations, as these patients have reduced RSV immunity, which manifests in a higher and longer duration of viral load and greater disease severity, allowing a bigger window to realize the full potential of EDP-938. We are continuing to evaluate EDP-938 in high-risk populations in the following ongoing and planned clinical studies, including pediatric patients, adult hematopoietic stem cell recipients and high-risk adults, all of which have significant unmet need:</w:t>
      </w:r>
    </w:p>
    <w:p>
      <w:pPr>
        <w:spacing w:after="0" w:line="70" w:lineRule="exact"/>
        <w:rPr>
          <w:sz w:val="20"/>
          <w:szCs w:val="20"/>
          <w:color w:val="auto"/>
        </w:rPr>
      </w:pPr>
    </w:p>
    <w:p>
      <w:pPr>
        <w:ind w:left="1523" w:right="20" w:hanging="505"/>
        <w:spacing w:after="0" w:line="267" w:lineRule="auto"/>
        <w:tabs>
          <w:tab w:leader="none" w:pos="15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pediatric patients. This dose-ranging, randomized, double-blind, placebo-controlled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study, will evaluate multiple ascending doses in up to four age cohorts to determine safety, tolerability, and pharmacokinetics, as well as a second part evaluating the selected dose for antiviral activity.</w:t>
      </w:r>
    </w:p>
    <w:p>
      <w:pPr>
        <w:spacing w:after="0" w:line="65" w:lineRule="exact"/>
        <w:rPr>
          <w:rFonts w:ascii="Times New Roman" w:cs="Times New Roman" w:eastAsia="Times New Roman" w:hAnsi="Times New Roman"/>
          <w:sz w:val="18"/>
          <w:szCs w:val="18"/>
          <w:color w:val="auto"/>
        </w:rPr>
      </w:pPr>
    </w:p>
    <w:p>
      <w:pPr>
        <w:ind w:left="1523" w:hanging="505"/>
        <w:spacing w:after="0" w:line="261" w:lineRule="auto"/>
        <w:tabs>
          <w:tab w:leader="none" w:pos="15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RSVTx is a Phase 2b study in adult hematopoietic cell transplant recipients with acute RSV infection and symptoms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upper respiratory tract infection. We plan to enroll approximately 200 adult subjects 18 to 75 years of age, within 72 hours of symptom onset, who will receive EDP-938 or placebo for 21 days and will be monitored for the incidence of lower respiratory tract complications within 28 days of enrollment.</w:t>
      </w:r>
    </w:p>
    <w:p>
      <w:pPr>
        <w:spacing w:after="0" w:line="71" w:lineRule="exact"/>
        <w:rPr>
          <w:rFonts w:ascii="Times New Roman" w:cs="Times New Roman" w:eastAsia="Times New Roman" w:hAnsi="Times New Roman"/>
          <w:sz w:val="18"/>
          <w:szCs w:val="18"/>
          <w:color w:val="auto"/>
        </w:rPr>
      </w:pPr>
    </w:p>
    <w:p>
      <w:pPr>
        <w:ind w:left="1523" w:right="80" w:hanging="505"/>
        <w:spacing w:after="0" w:line="258" w:lineRule="auto"/>
        <w:tabs>
          <w:tab w:leader="none" w:pos="15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3, 2022, we announced the initiation of a Phase 2b study called RSVHR in high-risk adults,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who are older than 65 years of age and those who have asthma, chronic obstructive pulmonary disease, or COPD, or congestive heart failure. Approximately 180 patients will be treated with 800 mg of EDP-938 or placebo for five days and evaluated for 28 days thereafter. The primary endpoint of the study is time to resolution of RSV lower respiratory tract disease symptoms.</w:t>
      </w:r>
    </w:p>
    <w:p>
      <w:pPr>
        <w:spacing w:after="0" w:line="77" w:lineRule="exact"/>
        <w:rPr>
          <w:sz w:val="20"/>
          <w:szCs w:val="20"/>
          <w:color w:val="auto"/>
        </w:rPr>
      </w:pPr>
    </w:p>
    <w:p>
      <w:pPr>
        <w:ind w:left="1023" w:right="440" w:hanging="513"/>
        <w:spacing w:after="0" w:line="266" w:lineRule="auto"/>
        <w:tabs>
          <w:tab w:leader="none" w:pos="10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RSV has not been following any normal seasonal pattern since the COVID-19 pandemic began. The future incidence and timing of RSV infections remain highly unpredictable and thus may continue to impact enrollment in our ongoing Phase 2 RSV trials.</w:t>
      </w:r>
    </w:p>
    <w:p>
      <w:pPr>
        <w:spacing w:after="0" w:line="65" w:lineRule="exact"/>
        <w:rPr>
          <w:rFonts w:ascii="Times New Roman" w:cs="Times New Roman" w:eastAsia="Times New Roman" w:hAnsi="Times New Roman"/>
          <w:sz w:val="18"/>
          <w:szCs w:val="18"/>
          <w:color w:val="auto"/>
        </w:rPr>
      </w:pPr>
    </w:p>
    <w:p>
      <w:pPr>
        <w:ind w:left="1023" w:hanging="513"/>
        <w:spacing w:after="0" w:line="257" w:lineRule="auto"/>
        <w:tabs>
          <w:tab w:leader="none" w:pos="10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newest clinical candidate for RSV is a novel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the RSV L-protein, a viral RNA-dependent RNA polymerase enzyme that contains multiple enzymatic activities required for RSV replication. EDP-323 has shown nanomolar potency against RSV-A and RSV-B in vitro and is not expected to have cross-resistance to other classes of inhibitors. EDP-323 has the potential to be used alone or in combination with other RSV mechanisms, such as EDP-938, to broaden the treatment window or addressable patient populations. We initiated a Phase 1 clinical study of EDP-323 in October 2022.</w:t>
      </w:r>
    </w:p>
    <w:p>
      <w:pPr>
        <w:spacing w:after="0" w:line="184"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We have been leveraging our expertise in developing protease inhibitors to discover new compounds specifically designed to target the SARS-CoV-2 virus and potentially other coronaviruses.</w:t>
      </w:r>
    </w:p>
    <w:p>
      <w:pPr>
        <w:spacing w:after="0" w:line="51" w:lineRule="exact"/>
        <w:rPr>
          <w:rFonts w:ascii="Times New Roman" w:cs="Times New Roman" w:eastAsia="Times New Roman" w:hAnsi="Times New Roman"/>
          <w:sz w:val="18"/>
          <w:szCs w:val="18"/>
          <w:color w:val="auto"/>
        </w:rPr>
      </w:pPr>
    </w:p>
    <w:p>
      <w:pPr>
        <w:ind w:left="1023" w:right="200" w:hanging="514"/>
        <w:spacing w:after="0" w:line="281" w:lineRule="auto"/>
        <w:tabs>
          <w:tab w:leader="none" w:pos="1023"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EDP-235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Protease Inhibitor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Our lead clinical candidate for COVID-19, EDP-235, is an oral inhibitor of coronavirus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3CL protease, also referred to as 3CLpro or the main coronavirus protease, or Mpro, which has been granted Fast Track designation by the FDA. In addition to SARS-CoV-2, EDP-235 has potent antiviral activity against other human coronaviruses, enabling the potential for a pan-coronavirus treatment, including possibly coronaviruses that may infect human populations in the future.</w:t>
      </w:r>
    </w:p>
    <w:p>
      <w:pPr>
        <w:spacing w:after="0" w:line="56" w:lineRule="exact"/>
        <w:rPr>
          <w:rFonts w:ascii="Times New Roman" w:cs="Times New Roman" w:eastAsia="Times New Roman" w:hAnsi="Times New Roman"/>
          <w:sz w:val="17"/>
          <w:szCs w:val="17"/>
          <w:color w:val="auto"/>
        </w:rPr>
      </w:pPr>
    </w:p>
    <w:p>
      <w:pPr>
        <w:ind w:left="1523" w:right="60" w:hanging="505"/>
        <w:spacing w:after="0"/>
        <w:tabs>
          <w:tab w:leader="none" w:pos="152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1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July 2022, we completed a Phase 1 study and reported positive topline results. This first-in-human,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or PK, of oral EDP-235 in single ascending doses and multiple ascending doses for seven days, and the effect of food. Data from the Phase 1 study demonstrated EDP-235 was generally safe and well-tolerated up to 400 mg for seven days with strong exposure multiples over the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which is a measure of potency, specifically the concentration of drug that results in 90% inhibition of viral replication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EDP-235 200 mg taken once daily with food resulted in mean trough plasma levels at steady state that were 3-fold and 7-fold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tested Alpha variant and Omicron variant, respectively, while 400 mg resulted in levels that were 6-fold and 13-fold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respective variants. These target exposure multiples were achieved without the need for ritonavir boosting and its associated drug-drug interactions. EDP-235 is projected to have four times higher drug levels in lung tissue compared to plasma, which would be expected to drive the 400 mg multiples to 28-fold and 52-fold for the respective variants. Adverse events were infrequent and mild.</w:t>
      </w:r>
    </w:p>
    <w:p>
      <w:pPr>
        <w:spacing w:after="0" w:line="88" w:lineRule="exact"/>
        <w:rPr>
          <w:rFonts w:ascii="Times New Roman" w:cs="Times New Roman" w:eastAsia="Times New Roman" w:hAnsi="Times New Roman"/>
          <w:sz w:val="18"/>
          <w:szCs w:val="18"/>
          <w:color w:val="auto"/>
        </w:rPr>
      </w:pPr>
    </w:p>
    <w:p>
      <w:pPr>
        <w:ind w:left="1523" w:right="40" w:hanging="505"/>
        <w:spacing w:after="0" w:line="257" w:lineRule="auto"/>
        <w:tabs>
          <w:tab w:leader="none" w:pos="152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November 2022, we initiated SPRINT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ARS-Cov-2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otease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hibitor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reatment), a Phase 2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EDP-235 in non-hospitalized, symptomatic adults with mild or moderate COVID-19. This randomized, double-blind, placebo-controlled study is designed to evaluate the safety, tolerability and antiviral activity of 200 mg and 400 mg once-daily doses of EDP-235 compared to placebo. The study will enroll approximately 200 non-hospitalized, symptomatic patients with mild to moderate COVID-19 who are not at increased risk for developing severe disease. Patients will be eligible to participate if they have had</w:t>
      </w:r>
    </w:p>
    <w:p>
      <w:pPr>
        <w:spacing w:after="0" w:line="18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58" w:name="page59"/>
    <w:bookmarkEnd w:id="58"/>
    <w:p>
      <w:pPr>
        <w:jc w:val="both"/>
        <w:ind w:left="2040" w:right="200"/>
        <w:spacing w:after="0" w:line="261" w:lineRule="auto"/>
        <w:rPr>
          <w:sz w:val="20"/>
          <w:szCs w:val="20"/>
          <w:color w:val="auto"/>
        </w:rPr>
      </w:pPr>
      <w:r>
        <w:rPr>
          <w:rFonts w:ascii="Times New Roman" w:cs="Times New Roman" w:eastAsia="Times New Roman" w:hAnsi="Times New Roman"/>
          <w:sz w:val="18"/>
          <w:szCs w:val="18"/>
          <w:color w:val="auto"/>
        </w:rPr>
        <w:t>symptoms for five days or less and have not received a SARS-CoV-2 vaccine or been infected with SARS-CoV-2 within 90 days of enrollment. Patients will receive EDP-235 orally with food at a dose of 200 mg or 400 mg or placebo once daily for five days. The primary objective of the study includes evaluation of safety and tolerability, and secondary objectives include pharmacokinetics and multiple virology measures to guide dose selection for other trials.</w:t>
      </w:r>
    </w:p>
    <w:p>
      <w:pPr>
        <w:spacing w:after="0" w:line="72" w:lineRule="exact"/>
        <w:rPr>
          <w:sz w:val="20"/>
          <w:szCs w:val="20"/>
          <w:color w:val="auto"/>
        </w:rPr>
      </w:pPr>
    </w:p>
    <w:p>
      <w:pPr>
        <w:ind w:left="1540" w:hanging="514"/>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researching additional compounds that might be eligible to be designated for clinical development for SARS-CoV-2.</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5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We are in the process of seeking other compounds that could be developed with EDP-514 for such a treatment regimen.</w:t>
      </w:r>
    </w:p>
    <w:p>
      <w:pPr>
        <w:spacing w:after="0" w:line="73" w:lineRule="exact"/>
        <w:rPr>
          <w:rFonts w:ascii="Times New Roman" w:cs="Times New Roman" w:eastAsia="Times New Roman" w:hAnsi="Times New Roman"/>
          <w:sz w:val="18"/>
          <w:szCs w:val="18"/>
          <w:color w:val="auto"/>
        </w:rPr>
      </w:pPr>
    </w:p>
    <w:p>
      <w:pPr>
        <w:ind w:left="1540" w:hanging="513"/>
        <w:spacing w:after="0" w:line="24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EDP-514 - Core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June 2022, final data from two of our Phase 1b studies of EDP-514 were presented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Liver Congress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2022. EDP-514, which has Fast Track designation from the FDA, has been shown to be safe and potent in two different chronic HBV patient populations – those who have a high viral load, whom we refer to as viremic patients, and those who are on a treatment with a nucleoside reverse transcriptase inhibitor, whom we refer to as NUC-suppressed patients. Based on these data, we remain convinced that EDP-514 has the potential to be a best-in-class core inhibitor for HBV.</w:t>
      </w:r>
    </w:p>
    <w:p>
      <w:pPr>
        <w:spacing w:after="0" w:line="19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hMPV:</w:t>
      </w:r>
      <w:r>
        <w:rPr>
          <w:rFonts w:ascii="Times New Roman" w:cs="Times New Roman" w:eastAsia="Times New Roman" w:hAnsi="Times New Roman"/>
          <w:sz w:val="18"/>
          <w:szCs w:val="18"/>
          <w:color w:val="auto"/>
        </w:rPr>
        <w:t xml:space="preserve"> Human metapneumovirus, or hMPV, a virus that is a significant cause of respiratory tract infections, or RTIs, particularly in children, the elderly and immunocompromised individuals. It is the second most common cause of lower respiratory tract infections in children, with symptoms similar to RSV. The viral structure and lifecycle of hMPV are also similar to RSV. We have been optimizing nanomolar inhibitor leads against hMPV and are working toward selecting our first development candidate for this indication in 2023.</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and roll out vaccinations worldwide, as well as the cumulative economic impact of all of these factors. Additionally, as new, more infectious variants emerge, such as the Omicron variants, it is possible that the impact of the pandemic on our business may continue or change.</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continuing to assess and manage the potential impact of the COVID-19 pandemic on our business and operations, including our expenses, clinical trials and royalty revenue. While the majority of our employees were working from home during the first 18 months of the pandemic, as we prepare to transition back to working on site, the majority of our employees are now working hybrid schedules while our scientific personnel are working full-time in our laboratories.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9" w:name="page60"/>
    <w:bookmarkEnd w:id="59"/>
    <w:p>
      <w:pPr>
        <w:ind w:right="40"/>
        <w:spacing w:after="0" w:line="255" w:lineRule="auto"/>
        <w:rPr>
          <w:sz w:val="20"/>
          <w:szCs w:val="20"/>
          <w:color w:val="auto"/>
        </w:rPr>
      </w:pPr>
      <w:r>
        <w:rPr>
          <w:rFonts w:ascii="Times New Roman" w:cs="Times New Roman" w:eastAsia="Times New Roman" w:hAnsi="Times New Roman"/>
          <w:sz w:val="18"/>
          <w:szCs w:val="18"/>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In addition, the mitigation steps to manage the COVID-19 pandemic in the past two years have suppressed the global incidence of RSV and respiratory illnesses other than COVID-19, which has adversely affected enrollment in our RSV studies. We also continue to experience a variety of more minor interruptions and complications in our clinical trials, such as limitations in clinical trial supplies other than drug product, as well as local changes in COVID-19 impacts at individual trial sites. While our ongoing trials are proceeding, it is unclear what further impact, if any, the COVID-19 pandemic may have on the timeline for enrollment and/or completion of all or any of our clinical trials.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Regarding our royalty revenue, we continued to report lower royalty revenue during fiscal 2022 as compared to periods ending before March 2020 due to the worldwide impact of the COVID-19 pandemic. The pandemic resulted in a decline in patient volumes, HCV diagnoses, HCV prescriptions and sales of MAVYRET/MAVIRET.</w:t>
      </w:r>
    </w:p>
    <w:p>
      <w:pPr>
        <w:spacing w:after="0" w:line="6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While the evolving impact of COVID-19 will likely continue to affect aspects of our business, including those described above, we remain capable of funding our research and development programs into approximately the fourth quarter of fiscal 2024 with the current level of royalty revenue and our existing cash, cash equivalents and short-term and long-term marketable securities, which totaled $278.5 million at September 30, 2022.</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Please see Item 1A “Risk Factors” in this Form 10-K for additional discussion of risks and potential risks of the COVID-19 pandemic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with an emphasis on treatments for viral infections. As of November 2022, we are conducting three Phase 2 studies and one Phase 1 study in our RSV program and one Phase 2 study in our SARS-CoV-2 program. We are also progressing other compounds into preclinical development.</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fiscal 2022, our business has been impacted by the COVID-19 pandemic. Specifically, AbbVie continues to report lower HCV revenues as a result of lower treated patient volumes. In addition, the prevalence of RSV has not been following any normal seasonal pattern since the COVID-19 pandemic began, and we continued to experience slower enrollment in the clinical studies in our RSV program as a result of suppression of the incidence of respiratory illnesses globally (other than COVID-19) due to mitigation measures intended to suppress SARS-CoV-2.</w:t>
      </w:r>
    </w:p>
    <w:p>
      <w:pPr>
        <w:spacing w:after="0" w:line="72"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As a result of the timing of our clinical and preclinical development programs, we expect our research and development expenses to fluctuate from period to period. However, in the coming years, we expect our research and development expenses generally to increase as our wholly-owned programs advance.</w:t>
      </w:r>
    </w:p>
    <w:p>
      <w:pPr>
        <w:spacing w:after="0" w:line="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Absent a significant increase in the level of AbbVie’s MAVYRET/MAVIRET sales that generate our royalty revenue, and given the planned levels of our future expenditures for the advancement of our internally developed compounds, we expect to continue to have net losses in fiscal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revenue is derived from our collaboration agreement with AbbVie and AbbVie's sales of MAVYRET/MAVIRET, an 8-week treatment regimen for chronic HCV.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years ended September 30, 2022, 2021, and 2020:</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AbbVie agreement:</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2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Royalties</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currently receive annually tiered, double-digit royalties on our protease inhibitor product glecaprevir included in AbbVie’s net sales of MAVYRET/MAVIRET. Under the terms of our AbbVie agreement, as amended in October 2014, 50% of AbbVie’s net sales of MAVYRET/MAVIRET are allocated to glecaprevir. Beginning with each January 1, the cumulative net sales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0" w:name="page61"/>
    <w:bookmarkEnd w:id="60"/>
    <w:p>
      <w:pPr>
        <w:ind w:right="140"/>
        <w:spacing w:after="0" w:line="282" w:lineRule="auto"/>
        <w:rPr>
          <w:sz w:val="20"/>
          <w:szCs w:val="20"/>
          <w:color w:val="auto"/>
        </w:rPr>
      </w:pPr>
      <w:r>
        <w:rPr>
          <w:rFonts w:ascii="Times New Roman" w:cs="Times New Roman" w:eastAsia="Times New Roman" w:hAnsi="Times New Roman"/>
          <w:sz w:val="18"/>
          <w:szCs w:val="18"/>
          <w:color w:val="auto"/>
        </w:rPr>
        <w:t>MAVYRET/MAVIRET start at zero for purposes of calculating the tiered royalties. For detail regarding the royalty tiers under our AbbVie agreement, see Note 7 in Notes to Consolidated Financial Statements of this report, which is incorporated herein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Programs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years ended September 30, 2022, 2021, and 2020:</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169"/>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174,111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136,756</w:t>
            </w:r>
          </w:p>
        </w:tc>
        <w:tc>
          <w:tcPr>
            <w:tcW w:w="100" w:type="dxa"/>
            <w:vAlign w:val="bottom"/>
            <w:shd w:val="clear" w:color="auto" w:fill="CFF0F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Pr>
          <w:p>
            <w:pPr>
              <w:spacing w:after="0"/>
              <w:rPr>
                <w:sz w:val="21"/>
                <w:szCs w:val="21"/>
                <w:color w:val="auto"/>
              </w:rPr>
            </w:pPr>
          </w:p>
        </w:tc>
      </w:tr>
      <w:tr>
        <w:trPr>
          <w:trHeight w:val="277"/>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206,647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right="7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increase in the future as we advance our research and development programs. To date we have not identified any significant impact of inflation on spending in research and development, but it is uncertain whether there will be inflationary impacts in future periods.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development expenses, directors’ and officers’ liability insurance premiums, professional fees for auditing, tax, and legal services, and patent expenses.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general and administrative expenses will continue to increase in the future primarily due to the ongoing expansion of our operating activities in support of our own research and development programs, as well as our patent litigation seeking damages for infringement of one of our COVID-19 patents. To date we have not experienced a significant impact of inflation on spending in general and administrative, but we anticipate inflation may impact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and investment income, net and the change in fair value of our outstanding Series 1 nonconvertible preferred stock. Interest income consists of interest earned on our cash equivalents and short-term and long-term marketable securities balances and interest earned for any refunds received from tax authorities. Investment income consists of the amortization or accretion of any purchased premium or discount, respectively,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September 30, 2022 is the result of the release of a state tax reserve. Income tax benefit (expense) for the years ended September 30, 2021 and 2020 is the result of federal and state taxes generated from our domestic operations or the benefit of tax refunds due as a result of tax losses generated in the period which were able to be carried back to prior years under the Coronavirus Aid, Relief and Economic Security Act, or CARES Act. The tax refunds provided by the CARES Act are no longer available to us for periods after September 30, 2021.</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Income tax benefit (expense) is based on our best estimate of applicable income tax rates, net research and development tax credits, net operating loss carrybacks, changes in valuation allowance estimates and deferred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equity,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Pharmaceutical Drug Manufacturing Accruals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entered into various contracts with third parties to perform research and development and pharmaceutical drug manufacturing. These include contracts with contract research organizations, or CROs, clinical manufacturing organizations, or CMOs, testing laboratories, research hospitals and not-for-profit organizations and other entities to support our research and development activities. We expense the cost of each contract as the work is performed. When billing terms under these contracts do not coincide with the timing of when the work is performed, we are required to make estimates of our outstanding obligations to those third parties as of period-end. Our accrual estimates are based on a number of factors, including our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2"/>
        </w:trPr>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122,473</w:t>
            </w:r>
          </w:p>
        </w:tc>
        <w:tc>
          <w:tcPr>
            <w:tcW w:w="100" w:type="dxa"/>
            <w:vAlign w:val="bottom"/>
          </w:tcPr>
          <w:p>
            <w:pPr>
              <w:spacing w:after="0"/>
              <w:rPr>
                <w:sz w:val="20"/>
                <w:szCs w:val="20"/>
                <w:color w:val="auto"/>
              </w:rPr>
            </w:pPr>
          </w:p>
        </w:tc>
      </w:tr>
      <w:tr>
        <w:trPr>
          <w:trHeight w:val="25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174,111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136,756</w:t>
            </w:r>
          </w:p>
        </w:tc>
        <w:tc>
          <w:tcPr>
            <w:tcW w:w="100" w:type="dxa"/>
            <w:vAlign w:val="bottom"/>
            <w:shd w:val="clear" w:color="auto" w:fill="CFF0FC"/>
          </w:tcPr>
          <w:p>
            <w:pPr>
              <w:spacing w:after="0"/>
              <w:rPr>
                <w:sz w:val="21"/>
                <w:szCs w:val="2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Pr>
          <w:p>
            <w:pPr>
              <w:spacing w:after="0"/>
              <w:rPr>
                <w:sz w:val="20"/>
                <w:szCs w:val="20"/>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20"/>
                <w:szCs w:val="20"/>
                <w:color w:val="auto"/>
              </w:rPr>
            </w:pPr>
          </w:p>
        </w:tc>
      </w:tr>
      <w:tr>
        <w:trPr>
          <w:trHeight w:val="215"/>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Series 1 nonconvertible preferred</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(1,149 )</w:t>
            </w: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September 30, 2022 and 2021</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revenue of $86.2 million and $97.1 million during the years ended September 30, 2022 and 2021, respectively. The decrease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year-over-year was due to AbbVie’s lower reported HCV sales in 2022, as compared to 2021. Our weighted average royalty rate on the portion of AbbVie’s sales allocable to our protease inhibitor products was approximately 11% in both fiscal 2022 and 2021.</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 (See Note 7 to our consolidated financial statements for further details on our royalty rate tier.)</w:t>
      </w:r>
    </w:p>
    <w:p>
      <w:pPr>
        <w:sectPr>
          <w:pgSz w:w="11900" w:h="16838" w:orient="portrait"/>
          <w:cols w:equalWidth="0" w:num="1">
            <w:col w:w="11240"/>
          </w:cols>
          <w:pgMar w:left="320" w:top="54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R&amp;D programs:</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Virology</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Liver disease (non-viral)</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4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400" w:type="dxa"/>
            <w:vAlign w:val="bottom"/>
          </w:tcPr>
          <w:p>
            <w:pPr>
              <w:spacing w:after="0"/>
              <w:rPr>
                <w:sz w:val="15"/>
                <w:szCs w:val="15"/>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00" w:type="dxa"/>
            <w:vAlign w:val="bottom"/>
          </w:tcPr>
          <w:p>
            <w:pPr>
              <w:spacing w:after="0"/>
              <w:rPr>
                <w:sz w:val="15"/>
                <w:szCs w:val="15"/>
                <w:color w:val="auto"/>
              </w:rPr>
            </w:pPr>
          </w:p>
        </w:tc>
      </w:tr>
      <w:tr>
        <w:trPr>
          <w:trHeight w:val="458"/>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144,344</w:t>
            </w: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127,488</w:t>
            </w:r>
          </w:p>
        </w:tc>
      </w:tr>
      <w:tr>
        <w:trPr>
          <w:trHeight w:val="243"/>
        </w:trPr>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43,908</w:t>
            </w:r>
          </w:p>
        </w:tc>
      </w:tr>
      <w:tr>
        <w:trPr>
          <w:trHeight w:val="250"/>
        </w:trPr>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39"/>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3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-805180</wp:posOffset>
            </wp:positionV>
            <wp:extent cx="641223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-496570</wp:posOffset>
            </wp:positionV>
            <wp:extent cx="641223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-179070</wp:posOffset>
            </wp:positionV>
            <wp:extent cx="641223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160" w:space="720"/>
            <w:col w:w="4360"/>
          </w:cols>
          <w:pgMar w:left="320" w:top="549" w:right="339" w:bottom="1440" w:gutter="0" w:footer="0" w:header="0"/>
          <w:type w:val="continuous"/>
        </w:sectPr>
      </w:pPr>
    </w:p>
    <w:p>
      <w:pPr>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by $9.6 million for the year ended September 30, 2022, as compared to the same period in 2021. While we incurred increased costs of $16.9 million in our virology program, costs in our non-viral liver disease program decreased by $26.3 million from fiscal 2021 to fiscal 2022 as we wound down our non-alcoholic steatohepatitis, or NASH, program, which is now substantially complete. Increased costs in our virology program were primarily due to an increase in manufacturing and clinical trial costs due to the timing and scope of clinical trials. For our virology program, we had three Phase 2 studies of EDP-938 in RSV, one Phase 1 study of EDP-235 in our COVID-19 program, which was initiated during the second quarter of 2022, and a Phase 1a study of an HBV RNA destabilizer that was discontinued in November 2021. In the prior year, we had two Phase 1b studies of EDP-514 in chronic HBV, as well as three Phase 2 studies of EDP-938 in RSV, including the expanded RSVP study, which was ongoing in 2021, and the Phase 1a study of an HBV RNA destabilizer.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We expect our research and development expenses will increase in the future as we conduct more clinical development activities.</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to $45.5 million for the year ended September 30, 2022, as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$32.5 million for the same period in 2021. The increase was primarily due to increases in headcount and stock-based compensation expense to support our research and development operations.</w:t>
      </w:r>
    </w:p>
    <w:p>
      <w:pPr>
        <w:spacing w:after="0" w:line="67"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in the future as our operations grow to support further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Changes in components of other income (expense) were as follows:</w:t>
      </w:r>
    </w:p>
    <w:p>
      <w:pPr>
        <w:spacing w:after="0" w:line="1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Interest and investment income, net</w:t>
      </w:r>
      <w:r>
        <w:rPr>
          <w:rFonts w:ascii="Times New Roman" w:cs="Times New Roman" w:eastAsia="Times New Roman" w:hAnsi="Times New Roman"/>
          <w:sz w:val="18"/>
          <w:szCs w:val="18"/>
          <w:color w:val="auto"/>
        </w:rPr>
        <w:t>. Interest and investment income, net decreased by $0.4 million for the year ended September 30, 2022,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2021, primarily due to lower invested cash balances.</w:t>
      </w:r>
    </w:p>
    <w:p>
      <w:pPr>
        <w:spacing w:after="0" w:line="15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We recorded income tax benefits of $0.4 million and $28.6 million for the years ended September 30, 2022 and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effective tax rates used to calculate our income tax benefit for the years ended September 30, 2022 and 2021 were 0.4% and 26.6%, respectively. We recorded an income tax benefit in 2022 due to the release of a state tax reserve during the year. We recorded an income tax benefit in 2021 due to a federal net operating loss carryback available under the CARES Act for our fiscal year 2021, which is no longer available after September 30, 2021.</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2022 and 2021, we continue to record a valuation allowance against our deferred tax assets because it is more likely than not that we will not have sufficient taxable income in the future that would allow us to realize the majority of our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September 30, 2021 and 2020</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September 30, 2021, as compared to the year ended September 30, 2020, see Item 7. Management’s Discussion and Analysis of Financial Condition and Results of Operations—Results of Operations—Comparison of the Years Ended September 30, 2021 and 2020 included in our Annual Report on Form 10-K for the fiscal year ended September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royalty revenue and our existing financial resources. At September 30, 2022, our principal sources of liquidity were cash and cash equivalents and short-term and long-term marketable securities of $278.5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(84,782 )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(69,996 )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(9,852 )</w:t>
            </w:r>
          </w:p>
        </w:tc>
        <w:tc>
          <w:tcPr>
            <w:tcW w:w="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(29,925 )</w:t>
            </w:r>
          </w:p>
        </w:tc>
        <w:tc>
          <w:tcPr>
            <w:tcW w:w="3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360" w:type="dxa"/>
            <w:vAlign w:val="bottom"/>
            <w:gridSpan w:val="2"/>
            <w:vMerge w:val="continue"/>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$84.8 million for the year ended September 30, 2022 as compared to cash used in operating activities of $70.0 million for the same period in 2021. The increase in cash used in operating activities was primarily driven by a decrease in royalty payments received under our collaboration with AbbVie.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of $17.9 million in cash provided by investing activities for the year ended September 30, 2022, as compared to the same period in 2021, was driven primarily by the timing of purchases, sales and maturities of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increase in cash provided by financing activities of $17.0 million for the year ended September 30, 2022, as compared to 2021, was driven by an increase in proceeds from stock option exercises.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2021</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a discussion of our cash flows for the year ended September 30, 2021, see Item 7. Management’s Discussion and Analysis of Financial Condition and Results of Operations—Liquidity and Capital Resources—Cash Flows included in our Annual Report on Form 10-K for the fiscal year ended September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of September 30, 2022, we had $278.5 million in cash, cash equivalents and short-term and long-term marketable securities. We believe that our existing cash, cash equivalents and short-term and long-term marketable securities as of September 30, 2022, and cash flows from our continuing HCV royalties will be sufficient to meet our anticipated cash requirements into approximately the fourth quarter of fiscal 2024. However, our forecast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impact of the COVID-19 pandemic on the number of treated HCV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 in our clinical trials as a result of COVID-19;</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or unconsolidated entities, which include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We currently lease space in Watertown, Massachusetts, under two separate lease agreements with one landlord. We have entered into a third lease agreement with the same landlord to lease additional laboratory and office space at a to-be-constructed facility located at Arsenal on the Charles in Watertown, Massachusetts.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65" w:name="page66"/>
    <w:bookmarkEnd w:id="65"/>
    <w:p>
      <w:pPr>
        <w:ind w:right="100"/>
        <w:spacing w:after="0" w:line="261" w:lineRule="auto"/>
        <w:rPr>
          <w:sz w:val="20"/>
          <w:szCs w:val="20"/>
          <w:color w:val="auto"/>
        </w:rPr>
      </w:pPr>
      <w:r>
        <w:rPr>
          <w:rFonts w:ascii="Times New Roman" w:cs="Times New Roman" w:eastAsia="Times New Roman" w:hAnsi="Times New Roman"/>
          <w:sz w:val="18"/>
          <w:szCs w:val="18"/>
          <w:color w:val="auto"/>
        </w:rPr>
        <w:t>Our first lease for office and laboratory space at 500 Arsenal Street expires on September 1, 2027. In May 2022, we entered into a new ten-year lease for laboratory and office space in Watertown, Massachusetts, adjacent to our 400 Talcott Avenue premises at Arsenal on the Charles, at a to-be-constructed facility. We currently anticipate we will gain access to construct tenant improvements in October 2023. In connection with this lease, we amended our 500 Arsenal Street lease to shorten the expiration date from September 1, 2027, to the date the Arsenal on the Charles facility is ready for our occupancy.</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expect to spend approximately $7.6 million in capital expenditures for the additional space, which primarily relate to tenant improvements. We are eligible to receive a tenant improvement allowance from the landlord of up to $2.6 million.</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September 30, 2022, we had 1.9 million outstanding shares of Series 1 nonconvertible preferred stock, all of which we classified as a long-term liability on our consolidated balance sheet and recorded at fair value of $1.4 million. The fair value of the preferred stock was measured based on significant inputs not observable in the market, which represented a Level 3 measurement within the fair value hierarchy. The fair value of these instruments represents less than 10% of liabilities as of September 30, 2022. The Series 1 nonconvertible preferred stock issued would require the payment of $2.0 million in the event of a qualifying merger or sale of the company.</w:t>
      </w:r>
    </w:p>
    <w:p>
      <w:pPr>
        <w:spacing w:after="0" w:line="287" w:lineRule="exact"/>
        <w:rPr>
          <w:sz w:val="20"/>
          <w:szCs w:val="20"/>
          <w:color w:val="auto"/>
        </w:rPr>
      </w:pPr>
    </w:p>
    <w:p>
      <w:pPr>
        <w:ind w:right="36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b w:val="1"/>
          <w:bCs w:val="1"/>
          <w:i w:val="1"/>
          <w:iCs w:val="1"/>
          <w:color w:val="auto"/>
        </w:rPr>
        <w:t>Interest Rate Risk</w:t>
      </w:r>
    </w:p>
    <w:p>
      <w:pPr>
        <w:ind w:right="40"/>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and long-term marketable securities of $278.5 million and $352.4 million at September 30, 2022 and 2021, respectively, which consisted of cash, money market funds, corporate bonds, commercial paper and treasury notes.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 We had no debt outstanding as of September 30, 2022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we continue to progress our wholly-owned programs into clinical development, we will conduct clinical trials and clinical manufacturing outside of the U.S. and thus will face exposure to movements in foreign currency exchange rates, primarily the British Pound and Euro, against the U.S. Dollar, arising from our accounts payable and accrued expenses. During fiscal 2022 and 2021,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our independent registered public accounting firm, appear on pages F-1 through F-25 of this Annual Report on Form 10-K.</w:t>
      </w:r>
    </w:p>
    <w:p>
      <w:pPr>
        <w:spacing w:after="0" w:line="266" w:lineRule="exact"/>
        <w:rPr>
          <w:sz w:val="20"/>
          <w:szCs w:val="20"/>
          <w:color w:val="auto"/>
        </w:rPr>
      </w:pPr>
    </w:p>
    <w:p>
      <w:pPr>
        <w:ind w:right="1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Company’s reports under the Securities Exchange Act of 1934, as amended, or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Companies are designed to do, and management necessarily was required to apply its judgment in evaluating the risk related to controls and procedures.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6" w:name="page67"/>
    <w:bookmarkEnd w:id="66"/>
    <w:p>
      <w:pPr>
        <w:ind w:right="60"/>
        <w:spacing w:after="0" w:line="281" w:lineRule="auto"/>
        <w:rPr>
          <w:sz w:val="20"/>
          <w:szCs w:val="20"/>
          <w:color w:val="auto"/>
        </w:rPr>
      </w:pPr>
      <w:r>
        <w:rPr>
          <w:rFonts w:ascii="Times New Roman" w:cs="Times New Roman" w:eastAsia="Times New Roman" w:hAnsi="Times New Roman"/>
          <w:sz w:val="17"/>
          <w:szCs w:val="17"/>
          <w:color w:val="auto"/>
        </w:rPr>
        <w:t>In connection with the preparation of this Form 10-K, as of September 30, 2022,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CEO and CFO concluded that our disclosure controls and procedures were effective at a reasonable assurance level as of September 30, 2022. These conclusions were communicated to the 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management has assessed the effectiveness of our internal control over financial reporting as of September 30, 2022.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Based on this assessment, our management has concluded that as of September 30, 2022,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is effective.</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September 30, 2022, has been audited by PricewaterhouseCoopers LLP, an independent registered public accounting firm, as stated in their attestation report, which appears in Item 8 above.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Portions of the response to this item are incorporated herein by reference from the discussion responsive thereto in the Company’s Definitive Proxy Statement relating to the 2023 Annual Meeting of Stockholders, also referred to as the 2023 Proxy Statement, which will be filed within 120 days after September 30, 2022.</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employees, officers and directors.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 on our website or on a Form 8-K.</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2023 Proxy Statement, which will be filed within 120 days after September 30, 2022.</w:t>
      </w:r>
    </w:p>
    <w:p>
      <w:pPr>
        <w:spacing w:after="0" w:line="266" w:lineRule="exact"/>
        <w:rPr>
          <w:sz w:val="20"/>
          <w:szCs w:val="20"/>
          <w:color w:val="auto"/>
        </w:rPr>
      </w:pPr>
    </w:p>
    <w:p>
      <w:pPr>
        <w:ind w:left="1080" w:right="280" w:hanging="115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in part from the discussion responsive thereto in the 2023 Proxy Statement, which will be filed within 120 days after September 30, 2022.</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the Company’s equity compensation plans as of September 30, 2022:</w:t>
      </w:r>
    </w:p>
    <w:p>
      <w:pPr>
        <w:spacing w:after="0" w:line="3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ectPr>
          <w:pgSz w:w="11900" w:h="16838" w:orient="portrait"/>
          <w:cols w:equalWidth="0" w:num="1">
            <w:col w:w="11240"/>
          </w:cols>
          <w:pgMar w:left="320" w:top="333" w:right="339" w:bottom="1440" w:gutter="0" w:footer="0" w:header="0"/>
        </w:sect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vMerge w:val="restart"/>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18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jc w:val="center"/>
              <w:ind w:left="31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jc w:val="center"/>
              <w:ind w:left="31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 w:type="dxa"/>
            <w:vAlign w:val="bottom"/>
          </w:tcPr>
          <w:p>
            <w:pPr>
              <w:spacing w:after="0"/>
              <w:rPr>
                <w:sz w:val="12"/>
                <w:szCs w:val="12"/>
                <w:color w:val="auto"/>
              </w:rPr>
            </w:pPr>
          </w:p>
        </w:tc>
        <w:tc>
          <w:tcPr>
            <w:tcW w:w="1700" w:type="dxa"/>
            <w:vAlign w:val="bottom"/>
          </w:tcPr>
          <w:p>
            <w:pPr>
              <w:jc w:val="center"/>
              <w:ind w:left="31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7"/>
        </w:trPr>
        <w:tc>
          <w:tcPr>
            <w:tcW w:w="298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6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0" w:type="dxa"/>
            <w:vAlign w:val="bottom"/>
          </w:tcPr>
          <w:p>
            <w:pPr>
              <w:spacing w:after="0"/>
              <w:rPr>
                <w:sz w:val="13"/>
                <w:szCs w:val="13"/>
                <w:color w:val="auto"/>
              </w:rPr>
            </w:pPr>
          </w:p>
        </w:tc>
        <w:tc>
          <w:tcPr>
            <w:tcW w:w="1700" w:type="dxa"/>
            <w:vAlign w:val="bottom"/>
          </w:tcPr>
          <w:p>
            <w:pPr>
              <w:jc w:val="center"/>
              <w:ind w:left="350"/>
              <w:spacing w:after="0"/>
              <w:rPr>
                <w:sz w:val="20"/>
                <w:szCs w:val="20"/>
                <w:color w:val="auto"/>
              </w:rPr>
            </w:pPr>
            <w:r>
              <w:rPr>
                <w:rFonts w:ascii="Times New Roman" w:cs="Times New Roman" w:eastAsia="Times New Roman" w:hAnsi="Times New Roman"/>
                <w:sz w:val="13"/>
                <w:szCs w:val="13"/>
                <w:b w:val="1"/>
                <w:bCs w:val="1"/>
                <w:color w:val="auto"/>
              </w:rPr>
              <w:t>(a)</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98"/>
        </w:trPr>
        <w:tc>
          <w:tcPr>
            <w:tcW w:w="2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980" w:type="dxa"/>
            <w:vAlign w:val="bottom"/>
          </w:tcPr>
          <w:p>
            <w:pPr>
              <w:spacing w:after="0" w:line="251" w:lineRule="exact"/>
              <w:rPr>
                <w:sz w:val="20"/>
                <w:szCs w:val="20"/>
                <w:color w:val="auto"/>
              </w:rPr>
            </w:pPr>
            <w:r>
              <w:rPr>
                <w:rFonts w:ascii="Times New Roman" w:cs="Times New Roman" w:eastAsia="Times New Roman" w:hAnsi="Times New Roman"/>
                <w:sz w:val="18"/>
                <w:szCs w:val="18"/>
                <w:color w:val="auto"/>
              </w:rPr>
              <w:t xml:space="preserve">security holders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4,414</w:t>
            </w:r>
          </w:p>
        </w:tc>
        <w:tc>
          <w:tcPr>
            <w:tcW w:w="540" w:type="dxa"/>
            <w:vAlign w:val="bottom"/>
            <w:gridSpan w:val="2"/>
          </w:tcPr>
          <w:p>
            <w:pPr>
              <w:ind w:left="120"/>
              <w:spacing w:after="0" w:line="25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9"/>
                <w:szCs w:val="29"/>
                <w:color w:val="auto"/>
                <w:vertAlign w:val="subscript"/>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by security holders</w:t>
            </w:r>
          </w:p>
        </w:tc>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-730885</wp:posOffset>
            </wp:positionV>
            <wp:extent cx="641223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973" w:lineRule="exact"/>
        <w:rPr>
          <w:sz w:val="20"/>
          <w:szCs w:val="20"/>
          <w:color w:val="auto"/>
        </w:rPr>
      </w:pPr>
    </w:p>
    <w:p>
      <w:pPr>
        <w:sectPr>
          <w:pgSz w:w="11900" w:h="16838" w:orient="portrait"/>
          <w:cols w:equalWidth="0" w:num="2">
            <w:col w:w="10460" w:space="100"/>
            <w:col w:w="680"/>
          </w:cols>
          <w:pgMar w:left="320" w:top="333" w:right="339" w:bottom="1440" w:gutter="0" w:footer="0" w:header="0"/>
          <w:type w:val="continuous"/>
        </w:sectPr>
      </w:pPr>
    </w:p>
    <w:p>
      <w:pPr>
        <w:spacing w:after="0" w:line="33" w:lineRule="exact"/>
        <w:rPr>
          <w:sz w:val="20"/>
          <w:szCs w:val="20"/>
          <w:color w:val="auto"/>
        </w:rPr>
      </w:pPr>
    </w:p>
    <w:p>
      <w:pPr>
        <w:ind w:left="520" w:right="440" w:hanging="512"/>
        <w:spacing w:after="0" w:line="223" w:lineRule="auto"/>
        <w:tabs>
          <w:tab w:leader="none" w:pos="5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the Company’s 2019 Equity Incentive Plan, the Company’s 2012 Equity Incentive Plan, as amended, the Company’s Amended and Restated 1995 Equity Incentive Plan, as amended, and the Company’s Employee Stock Purchase Plan.</w:t>
      </w:r>
    </w:p>
    <w:p>
      <w:pPr>
        <w:spacing w:after="0" w:line="1" w:lineRule="exact"/>
        <w:rPr>
          <w:rFonts w:ascii="Times New Roman" w:cs="Times New Roman" w:eastAsia="Times New Roman" w:hAnsi="Times New Roman"/>
          <w:sz w:val="24"/>
          <w:szCs w:val="24"/>
          <w:color w:val="auto"/>
          <w:vertAlign w:val="superscript"/>
        </w:rPr>
      </w:pPr>
    </w:p>
    <w:p>
      <w:pPr>
        <w:jc w:val="both"/>
        <w:ind w:left="520" w:right="680" w:hanging="512"/>
        <w:spacing w:after="0" w:line="225" w:lineRule="auto"/>
        <w:tabs>
          <w:tab w:leader="none" w:pos="5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shares of the Company’s common stock issuable upon exercise of outstanding options issued under the Company’s 2019 Equity Incentive Plan, the Company’s Amended and Restated 2012 Equity Incentive Plan and the Company’s Amended and Restated 1995 Equity Incentive Plan.</w:t>
      </w:r>
    </w:p>
    <w:p>
      <w:pPr>
        <w:spacing w:after="0" w:line="1" w:lineRule="exact"/>
        <w:rPr>
          <w:rFonts w:ascii="Times New Roman" w:cs="Times New Roman" w:eastAsia="Times New Roman" w:hAnsi="Times New Roman"/>
          <w:sz w:val="24"/>
          <w:szCs w:val="24"/>
          <w:color w:val="auto"/>
          <w:vertAlign w:val="superscript"/>
        </w:rPr>
      </w:pPr>
    </w:p>
    <w:p>
      <w:pPr>
        <w:ind w:left="520" w:right="800" w:hanging="512"/>
        <w:spacing w:after="0" w:line="214" w:lineRule="auto"/>
        <w:tabs>
          <w:tab w:leader="none" w:pos="5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shares of the Company’s common stock reserved for future issuance under the Company’s 2019 Equity Incentive Plan and the Company’s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1714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8" w:name="page69"/>
    <w:bookmarkEnd w:id="6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2023 Proxy Statement, which will be filed within 120 days after September 30, 2022.</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2023 Proxy Statement, which will be filed within 120 days after September 30,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9" w:name="page70"/>
    <w:bookmarkEnd w:id="69"/>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STATEMENTS SCHEDULE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consolidated financial statements and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exhibits are listed below under Part IV, Item 15(b)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gridSpan w:val="20"/>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1"/>
                <w:szCs w:val="11"/>
                <w:color w:val="auto"/>
              </w:rPr>
            </w:pPr>
          </w:p>
        </w:tc>
        <w:tc>
          <w:tcPr>
            <w:tcW w:w="86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w w:val="99"/>
              </w:rPr>
            </w:pPr>
            <w:hyperlink r:id="rId114">
              <w:r>
                <w:rPr>
                  <w:rFonts w:ascii="Times New Roman" w:cs="Times New Roman" w:eastAsia="Times New Roman" w:hAnsi="Times New Roman"/>
                  <w:sz w:val="18"/>
                  <w:szCs w:val="18"/>
                  <w:color w:val="auto"/>
                  <w:w w:val="99"/>
                </w:rPr>
                <w:t>Restated Certificate of Incorporation of Enanta Pharmaceuticals, Inc.</w:t>
              </w:r>
            </w:hyperlink>
          </w:p>
        </w:tc>
        <w:tc>
          <w:tcPr>
            <w:tcW w:w="54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Amended and Restated Bylaws of Enanta Pharmaceuticals, Inc. (as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amended and restated in August 2015).</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Specimen certificate evidencing shares of common stock.</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Specimen certificate evidencing shares of Series 1 Non-Convertible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12/11/2017</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Preferred Stock</w:t>
              </w:r>
            </w:hyperlink>
          </w:p>
        </w:tc>
        <w:tc>
          <w:tcPr>
            <w:tcW w:w="434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Description of securities registered pursuant to Section 12 of the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11/27/2019</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18">
              <w:r>
                <w:rPr>
                  <w:rFonts w:ascii="Times New Roman" w:cs="Times New Roman" w:eastAsia="Times New Roman" w:hAnsi="Times New Roman"/>
                  <w:sz w:val="18"/>
                  <w:szCs w:val="18"/>
                  <w:color w:val="auto"/>
                  <w:w w:val="99"/>
                </w:rPr>
                <w:t>Securities Exchange Act of 1934</w:t>
              </w:r>
            </w:hyperlink>
          </w:p>
        </w:tc>
        <w:tc>
          <w:tcPr>
            <w:tcW w:w="314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Form of Indemnification Agreement for directors and officers.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Amended and Restated Employment Agreement between the Company</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and Jay R. Luly, Ph.D., dated as of March 4, 2013.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Form of Amended and Restated Employment Agreement for Executive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3460" w:type="dxa"/>
            <w:vAlign w:val="bottom"/>
            <w:tcBorders>
              <w:top w:val="single" w:sz="8" w:color="0000EE"/>
              <w:bottom w:val="single" w:sz="8" w:color="0000EE"/>
            </w:tcBorders>
            <w:gridSpan w:val="5"/>
          </w:tcPr>
          <w:p>
            <w:pPr>
              <w:spacing w:after="0" w:line="223" w:lineRule="exact"/>
              <w:rPr>
                <w:rFonts w:ascii="Times New Roman" w:cs="Times New Roman" w:eastAsia="Times New Roman" w:hAnsi="Times New Roman"/>
                <w:sz w:val="18"/>
                <w:szCs w:val="18"/>
                <w:color w:val="auto"/>
                <w:w w:val="99"/>
              </w:rPr>
            </w:pPr>
            <w:hyperlink r:id="rId121">
              <w:r>
                <w:rPr>
                  <w:rFonts w:ascii="Times New Roman" w:cs="Times New Roman" w:eastAsia="Times New Roman" w:hAnsi="Times New Roman"/>
                  <w:sz w:val="18"/>
                  <w:szCs w:val="18"/>
                  <w:color w:val="auto"/>
                  <w:w w:val="99"/>
                </w:rPr>
                <w:t>Officers other than t</w:t>
              </w:r>
              <w:r>
                <w:rPr>
                  <w:rFonts w:ascii="Times New Roman" w:cs="Times New Roman" w:eastAsia="Times New Roman" w:hAnsi="Times New Roman"/>
                  <w:sz w:val="21"/>
                  <w:szCs w:val="21"/>
                  <w:color w:val="auto"/>
                  <w:w w:val="99"/>
                </w:rPr>
                <w:t>he</w:t>
              </w:r>
              <w:r>
                <w:rPr>
                  <w:rFonts w:ascii="Times New Roman" w:cs="Times New Roman" w:eastAsia="Times New Roman" w:hAnsi="Times New Roman"/>
                  <w:sz w:val="18"/>
                  <w:szCs w:val="18"/>
                  <w:color w:val="auto"/>
                  <w:w w:val="99"/>
                </w:rPr>
                <w:t xml:space="preserve"> Chief Executive Officer.</w:t>
              </w:r>
            </w:hyperlink>
          </w:p>
        </w:tc>
        <w:tc>
          <w:tcPr>
            <w:tcW w:w="1720" w:type="dxa"/>
            <w:vAlign w:val="bottom"/>
            <w:tcBorders>
              <w:top w:val="single" w:sz="8" w:color="0000EE"/>
            </w:tcBorders>
            <w:gridSpan w:val="13"/>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Collaborative Development and License Agreement between the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02/05/2021</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Company and Abbott Laboratories, dated November 27, 2006; as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amended by a First Amendment to Collaborative Development and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License Agreement dated January 27, 2009 and a Second Amendment to</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Collaborative Development and License Agreement dated December 9,</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2009 (assigned to AbbVie Inc. as of January 1, 2013).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Third Amendment to Collaborative Development and License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02/05/2021</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between the Company and AbbVie dated October 20, 2014.</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Fourth Amendment to Collaborative Development and License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05/08/2015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w w:val="99"/>
              </w:rPr>
            </w:pPr>
            <w:hyperlink r:id="rId124">
              <w:r>
                <w:rPr>
                  <w:rFonts w:ascii="Times New Roman" w:cs="Times New Roman" w:eastAsia="Times New Roman" w:hAnsi="Times New Roman"/>
                  <w:sz w:val="18"/>
                  <w:szCs w:val="18"/>
                  <w:color w:val="auto"/>
                  <w:w w:val="99"/>
                </w:rPr>
                <w:t>Agreement between the Company and AbbVie dated as of March 3, 2015.</w:t>
              </w:r>
            </w:hyperlink>
          </w:p>
        </w:tc>
        <w:tc>
          <w:tcPr>
            <w:tcW w:w="1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Lease Agreement between Company and ARE-500 Arsenal Street LLC,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11/06/2012</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720" w:type="dxa"/>
            <w:vAlign w:val="bottom"/>
            <w:gridSpan w:val="1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dated as of April 15, 2011.</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60" w:type="dxa"/>
            <w:vAlign w:val="bottom"/>
            <w:gridSpan w:val="1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First Amendment to Lease Agreement made as of March 5, 2015 between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05/08/2015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1860" w:type="dxa"/>
            <w:vAlign w:val="bottom"/>
            <w:gridSpan w:val="1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the Company and ARE-500 Arsenal Street LLC.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500" w:type="dxa"/>
            <w:vAlign w:val="bottom"/>
            <w:tcBorders>
              <w:top w:val="single" w:sz="8" w:color="0000EE"/>
            </w:tcBorders>
            <w:gridSpan w:val="6"/>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5460" w:type="dxa"/>
            <w:vAlign w:val="bottom"/>
            <w:gridSpan w:val="2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Amendment to Lease made as of May 12, 2022 by and between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05/17/2022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ARE-500 Arsenal Street, LLC and the Company.</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Lease Agreement between Company and Athena Arsenal, LLC, dated as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11/29/2018</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8"/>
              </w:rPr>
            </w:pPr>
            <w:hyperlink r:id="rId130">
              <w:r>
                <w:rPr>
                  <w:rFonts w:ascii="Times New Roman" w:cs="Times New Roman" w:eastAsia="Times New Roman" w:hAnsi="Times New Roman"/>
                  <w:sz w:val="18"/>
                  <w:szCs w:val="18"/>
                  <w:color w:val="auto"/>
                  <w:w w:val="98"/>
                </w:rPr>
                <w:t>of September 27, 2018.</w:t>
              </w:r>
            </w:hyperlink>
          </w:p>
        </w:tc>
        <w:tc>
          <w:tcPr>
            <w:tcW w:w="3780" w:type="dxa"/>
            <w:vAlign w:val="bottom"/>
            <w:gridSpan w:val="20"/>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5460" w:type="dxa"/>
            <w:vAlign w:val="bottom"/>
            <w:gridSpan w:val="2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First Amendment to Lease Agreement made as of May 12, 2022 by and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05/17/2022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between ARE-MA Region No. 75, LLC and the Company.</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6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5460" w:type="dxa"/>
            <w:vAlign w:val="bottom"/>
            <w:gridSpan w:val="2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Lease Agreement made as of May 12, 2022 by and between ARE-MA</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05/17/2022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Region No. 75, LLC and the Company</w:t>
              </w:r>
              <w:r>
                <w:rPr>
                  <w:rFonts w:ascii="Times New Roman" w:cs="Times New Roman" w:eastAsia="Times New Roman" w:hAnsi="Times New Roman"/>
                  <w:sz w:val="18"/>
                  <w:szCs w:val="18"/>
                  <w:color w:val="000000"/>
                </w:rPr>
                <w:t>.</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6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3720" w:type="dxa"/>
            <w:vAlign w:val="bottom"/>
            <w:tcBorders>
              <w:bottom w:val="single" w:sz="8" w:color="0000EE"/>
            </w:tcBorders>
            <w:gridSpan w:val="14"/>
          </w:tcPr>
          <w:p>
            <w:pPr>
              <w:spacing w:after="0"/>
              <w:rPr>
                <w:rFonts w:ascii="Times New Roman" w:cs="Times New Roman" w:eastAsia="Times New Roman" w:hAnsi="Times New Roman"/>
                <w:sz w:val="18"/>
                <w:szCs w:val="18"/>
                <w:color w:val="auto"/>
                <w:w w:val="99"/>
              </w:rPr>
            </w:pPr>
            <w:hyperlink r:id="rId133">
              <w:r>
                <w:rPr>
                  <w:rFonts w:ascii="Times New Roman" w:cs="Times New Roman" w:eastAsia="Times New Roman" w:hAnsi="Times New Roman"/>
                  <w:sz w:val="18"/>
                  <w:szCs w:val="18"/>
                  <w:color w:val="auto"/>
                  <w:w w:val="99"/>
                </w:rPr>
                <w:t>Amended and Restated 1995 Equity Incentive Plan.</w:t>
              </w:r>
            </w:hyperlink>
          </w:p>
        </w:tc>
        <w:tc>
          <w:tcPr>
            <w:tcW w:w="174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Form of Incentive Stock Option Certificate under Amended and Restated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8"/>
              </w:rPr>
            </w:pPr>
            <w:hyperlink r:id="rId134">
              <w:r>
                <w:rPr>
                  <w:rFonts w:ascii="Times New Roman" w:cs="Times New Roman" w:eastAsia="Times New Roman" w:hAnsi="Times New Roman"/>
                  <w:sz w:val="18"/>
                  <w:szCs w:val="18"/>
                  <w:color w:val="auto"/>
                  <w:w w:val="98"/>
                </w:rPr>
                <w:t>1995 Equity Incentive Plan.</w:t>
              </w:r>
            </w:hyperlink>
          </w:p>
        </w:tc>
        <w:tc>
          <w:tcPr>
            <w:tcW w:w="346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Form of Non-Statutory Stock Option Certificate under Amended and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Restated 1995 Equity Incentive Plan.</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Form of Non-Statutory Stock Option Certificate for directors under</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3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136">
              <w:r>
                <w:rPr>
                  <w:rFonts w:ascii="Times New Roman" w:cs="Times New Roman" w:eastAsia="Times New Roman" w:hAnsi="Times New Roman"/>
                  <w:sz w:val="18"/>
                  <w:szCs w:val="18"/>
                  <w:color w:val="auto"/>
                  <w:w w:val="99"/>
                </w:rPr>
                <w:t>Amended and Restated 1995 Equity Incentive Plan.</w:t>
              </w:r>
            </w:hyperlink>
          </w:p>
        </w:tc>
        <w:tc>
          <w:tcPr>
            <w:tcW w:w="174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5360" w:type="dxa"/>
            <w:vAlign w:val="bottom"/>
            <w:tcBorders>
              <w:bottom w:val="single" w:sz="8" w:color="0000EE"/>
            </w:tcBorders>
            <w:gridSpan w:val="25"/>
          </w:tcPr>
          <w:p>
            <w:pPr>
              <w:spacing w:after="0"/>
              <w:rPr>
                <w:rFonts w:ascii="Times New Roman" w:cs="Times New Roman" w:eastAsia="Times New Roman" w:hAnsi="Times New Roman"/>
                <w:sz w:val="18"/>
                <w:szCs w:val="18"/>
                <w:color w:val="auto"/>
                <w:w w:val="99"/>
              </w:rPr>
            </w:pPr>
            <w:hyperlink r:id="rId137">
              <w:r>
                <w:rPr>
                  <w:rFonts w:ascii="Times New Roman" w:cs="Times New Roman" w:eastAsia="Times New Roman" w:hAnsi="Times New Roman"/>
                  <w:sz w:val="18"/>
                  <w:szCs w:val="18"/>
                  <w:color w:val="auto"/>
                  <w:w w:val="99"/>
                </w:rPr>
                <w:t>2012 Equity Incentive Plan (As adjusted to reflect the application of the 1-</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01/06/2017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for-4.31 reverse stock split of the Company’s common stock effected on</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March 1, 2013).</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Form of Incentive Stock Option Agreement under 2012 Equity Incentive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38">
              <w:r>
                <w:rPr>
                  <w:rFonts w:ascii="Times New Roman" w:cs="Times New Roman" w:eastAsia="Times New Roman" w:hAnsi="Times New Roman"/>
                  <w:sz w:val="18"/>
                  <w:szCs w:val="18"/>
                  <w:color w:val="auto"/>
                  <w:w w:val="92"/>
                </w:rPr>
                <w:t>Plan.</w:t>
              </w:r>
            </w:hyperlink>
          </w:p>
        </w:tc>
        <w:tc>
          <w:tcPr>
            <w:tcW w:w="5100" w:type="dxa"/>
            <w:vAlign w:val="bottom"/>
            <w:gridSpan w:val="2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Form of Non-Statutory Stock Option Agreement under 2012 Equity</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Incentive Plan.</w:t>
              </w:r>
            </w:hyperlink>
          </w:p>
        </w:tc>
        <w:tc>
          <w:tcPr>
            <w:tcW w:w="432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Form of Non-Statutory Stock Option Certificate for directors under 2012</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0">
              <w:r>
                <w:rPr>
                  <w:rFonts w:ascii="Times New Roman" w:cs="Times New Roman" w:eastAsia="Times New Roman" w:hAnsi="Times New Roman"/>
                  <w:sz w:val="18"/>
                  <w:szCs w:val="18"/>
                  <w:color w:val="auto"/>
                  <w:w w:val="98"/>
                </w:rPr>
                <w:t>Equity Incentive Plan.</w:t>
              </w:r>
            </w:hyperlink>
          </w:p>
        </w:tc>
        <w:tc>
          <w:tcPr>
            <w:tcW w:w="386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Form of Performance Share Unit Certificate under 2012 Equity Incentive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12/11/2017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41">
              <w:r>
                <w:rPr>
                  <w:rFonts w:ascii="Times New Roman" w:cs="Times New Roman" w:eastAsia="Times New Roman" w:hAnsi="Times New Roman"/>
                  <w:sz w:val="18"/>
                  <w:szCs w:val="18"/>
                  <w:color w:val="auto"/>
                  <w:w w:val="92"/>
                </w:rPr>
                <w:t>Plan.</w:t>
              </w:r>
            </w:hyperlink>
          </w:p>
        </w:tc>
        <w:tc>
          <w:tcPr>
            <w:tcW w:w="5100" w:type="dxa"/>
            <w:vAlign w:val="bottom"/>
            <w:gridSpan w:val="2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52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42">
              <w:r>
                <w:rPr>
                  <w:rFonts w:ascii="Times New Roman" w:cs="Times New Roman" w:eastAsia="Times New Roman" w:hAnsi="Times New Roman"/>
                  <w:sz w:val="18"/>
                  <w:szCs w:val="18"/>
                  <w:color w:val="auto"/>
                </w:rPr>
                <w:t>Form of Relative Total Stockholder Return Unit Certificate under 2012</w:t>
              </w:r>
            </w:hyperlink>
          </w:p>
        </w:tc>
        <w:tc>
          <w:tcPr>
            <w:tcW w:w="26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12/11/2017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196"/>
        </w:trPr>
        <w:tc>
          <w:tcPr>
            <w:tcW w:w="10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2">
              <w:r>
                <w:rPr>
                  <w:rFonts w:ascii="Times New Roman" w:cs="Times New Roman" w:eastAsia="Times New Roman" w:hAnsi="Times New Roman"/>
                  <w:sz w:val="18"/>
                  <w:szCs w:val="18"/>
                  <w:color w:val="auto"/>
                  <w:w w:val="98"/>
                </w:rPr>
                <w:t>Equity Incentive Plan.</w:t>
              </w:r>
            </w:hyperlink>
          </w:p>
        </w:tc>
        <w:tc>
          <w:tcPr>
            <w:tcW w:w="386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2280" w:type="dxa"/>
            <w:vAlign w:val="bottom"/>
            <w:tcBorders>
              <w:bottom w:val="single" w:sz="8" w:color="0000EE"/>
            </w:tcBorders>
            <w:gridSpan w:val="9"/>
          </w:tcPr>
          <w:p>
            <w:pPr>
              <w:spacing w:after="0"/>
              <w:rPr>
                <w:rFonts w:ascii="Times New Roman" w:cs="Times New Roman" w:eastAsia="Times New Roman" w:hAnsi="Times New Roman"/>
                <w:sz w:val="18"/>
                <w:szCs w:val="18"/>
                <w:color w:val="auto"/>
                <w:w w:val="98"/>
              </w:rPr>
            </w:pPr>
            <w:hyperlink r:id="rId143">
              <w:r>
                <w:rPr>
                  <w:rFonts w:ascii="Times New Roman" w:cs="Times New Roman" w:eastAsia="Times New Roman" w:hAnsi="Times New Roman"/>
                  <w:sz w:val="18"/>
                  <w:szCs w:val="18"/>
                  <w:color w:val="auto"/>
                  <w:w w:val="98"/>
                </w:rPr>
                <w:t>Employee Stock Purchase Plan.</w:t>
              </w:r>
            </w:hyperlink>
          </w:p>
        </w:tc>
        <w:tc>
          <w:tcPr>
            <w:tcW w:w="318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5460" w:type="dxa"/>
            <w:vAlign w:val="bottom"/>
            <w:gridSpan w:val="2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2019 Equity Incentive Plan (As amended March 2022)</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03/08/2022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Form of Notice of Grant of Non-Statutory Stock Option under 2019</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5">
              <w:r>
                <w:rPr>
                  <w:rFonts w:ascii="Times New Roman" w:cs="Times New Roman" w:eastAsia="Times New Roman" w:hAnsi="Times New Roman"/>
                  <w:sz w:val="18"/>
                  <w:szCs w:val="18"/>
                  <w:color w:val="auto"/>
                  <w:w w:val="98"/>
                </w:rPr>
                <w:t>Equity Incentive Plan.</w:t>
              </w:r>
            </w:hyperlink>
          </w:p>
        </w:tc>
        <w:tc>
          <w:tcPr>
            <w:tcW w:w="386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10.25#</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Form of Notice of Grant of Non-Statutory Stock Option for Directors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8"/>
              </w:rPr>
            </w:pPr>
            <w:hyperlink r:id="rId146">
              <w:r>
                <w:rPr>
                  <w:rFonts w:ascii="Times New Roman" w:cs="Times New Roman" w:eastAsia="Times New Roman" w:hAnsi="Times New Roman"/>
                  <w:sz w:val="18"/>
                  <w:szCs w:val="18"/>
                  <w:color w:val="auto"/>
                  <w:w w:val="98"/>
                </w:rPr>
                <w:t>under 2019 Equity Incentive Plan.</w:t>
              </w:r>
            </w:hyperlink>
          </w:p>
        </w:tc>
        <w:tc>
          <w:tcPr>
            <w:tcW w:w="300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10.26#</w:t>
            </w:r>
          </w:p>
        </w:tc>
        <w:tc>
          <w:tcPr>
            <w:tcW w:w="52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Form of Relative Total Stockholder Return Unit Certificate under 2019</w:t>
              </w:r>
            </w:hyperlink>
          </w:p>
        </w:tc>
        <w:tc>
          <w:tcPr>
            <w:tcW w:w="26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196"/>
        </w:trPr>
        <w:tc>
          <w:tcPr>
            <w:tcW w:w="10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47">
              <w:r>
                <w:rPr>
                  <w:rFonts w:ascii="Times New Roman" w:cs="Times New Roman" w:eastAsia="Times New Roman" w:hAnsi="Times New Roman"/>
                  <w:sz w:val="18"/>
                  <w:szCs w:val="18"/>
                  <w:color w:val="auto"/>
                  <w:w w:val="98"/>
                </w:rPr>
                <w:t>Equity Incentive Plan.</w:t>
              </w:r>
            </w:hyperlink>
          </w:p>
        </w:tc>
        <w:tc>
          <w:tcPr>
            <w:tcW w:w="386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Form of Performance Share Unit Certificate under 2019 Equity Incentive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460" w:type="dxa"/>
            <w:vAlign w:val="bottom"/>
            <w:tcBorders>
              <w:left w:val="single" w:sz="8" w:color="0000EE"/>
            </w:tcBorders>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48">
              <w:r>
                <w:rPr>
                  <w:rFonts w:ascii="Times New Roman" w:cs="Times New Roman" w:eastAsia="Times New Roman" w:hAnsi="Times New Roman"/>
                  <w:sz w:val="18"/>
                  <w:szCs w:val="18"/>
                  <w:color w:val="auto"/>
                  <w:w w:val="92"/>
                </w:rPr>
                <w:t>Plan.</w:t>
              </w:r>
            </w:hyperlink>
          </w:p>
        </w:tc>
        <w:tc>
          <w:tcPr>
            <w:tcW w:w="5100" w:type="dxa"/>
            <w:vAlign w:val="bottom"/>
            <w:gridSpan w:val="2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p>
        </w:tc>
        <w:tc>
          <w:tcPr>
            <w:tcW w:w="5460" w:type="dxa"/>
            <w:vAlign w:val="bottom"/>
            <w:gridSpan w:val="26"/>
          </w:tcPr>
          <w:p>
            <w:pPr>
              <w:spacing w:after="0"/>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Form of Notice of Restricted Stock Unit Award under 2019 Equity</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11/25/2020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2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20"/>
        </w:trPr>
        <w:tc>
          <w:tcPr>
            <w:tcW w:w="10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Incentive Plan.</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200" w:type="dxa"/>
            <w:vAlign w:val="bottom"/>
            <w:gridSpan w:val="1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5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200" w:type="dxa"/>
            <w:vAlign w:val="bottom"/>
            <w:gridSpan w:val="1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5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40" w:type="dxa"/>
            <w:vAlign w:val="bottom"/>
            <w:gridSpan w:val="2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Accounting Firm.</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15"/>
        </w:trPr>
        <w:tc>
          <w:tcPr>
            <w:tcW w:w="1060" w:type="dxa"/>
            <w:vAlign w:val="bottom"/>
          </w:tcPr>
          <w:p>
            <w:pPr>
              <w:spacing w:after="0"/>
              <w:rPr>
                <w:sz w:val="24"/>
                <w:szCs w:val="24"/>
                <w:color w:val="auto"/>
              </w:rPr>
            </w:pPr>
          </w:p>
        </w:tc>
        <w:tc>
          <w:tcPr>
            <w:tcW w:w="1260" w:type="dxa"/>
            <w:vAlign w:val="bottom"/>
            <w:tcBorders>
              <w:top w:val="single" w:sz="8" w:color="0000EE"/>
            </w:tcBorders>
            <w:gridSpan w:val="4"/>
          </w:tcPr>
          <w:p>
            <w:pPr>
              <w:spacing w:after="0"/>
              <w:rPr>
                <w:sz w:val="24"/>
                <w:szCs w:val="24"/>
                <w:color w:val="auto"/>
              </w:rPr>
            </w:pPr>
          </w:p>
        </w:tc>
        <w:tc>
          <w:tcPr>
            <w:tcW w:w="3580" w:type="dxa"/>
            <w:vAlign w:val="bottom"/>
            <w:gridSpan w:val="13"/>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5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 or</w:t>
            </w:r>
          </w:p>
        </w:tc>
        <w:tc>
          <w:tcPr>
            <w:tcW w:w="20" w:type="dxa"/>
            <w:vAlign w:val="bottom"/>
          </w:tcPr>
          <w:p>
            <w:pPr>
              <w:spacing w:after="0"/>
              <w:rPr>
                <w:sz w:val="17"/>
                <w:szCs w:val="17"/>
                <w:color w:val="auto"/>
              </w:rPr>
            </w:pPr>
          </w:p>
        </w:tc>
        <w:tc>
          <w:tcPr>
            <w:tcW w:w="450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3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15d-14(a) of the Securities Exchange Act of 1934.</w:t>
            </w:r>
          </w:p>
        </w:tc>
        <w:tc>
          <w:tcPr>
            <w:tcW w:w="1740" w:type="dxa"/>
            <w:vAlign w:val="bottom"/>
            <w:gridSpan w:val="3"/>
          </w:tcPr>
          <w:p>
            <w:pPr>
              <w:spacing w:after="0"/>
              <w:rPr>
                <w:sz w:val="17"/>
                <w:szCs w:val="17"/>
                <w:color w:val="auto"/>
              </w:rPr>
            </w:pPr>
          </w:p>
        </w:tc>
        <w:tc>
          <w:tcPr>
            <w:tcW w:w="4500" w:type="dxa"/>
            <w:vAlign w:val="bottom"/>
          </w:tcPr>
          <w:p>
            <w:pPr>
              <w:spacing w:after="0"/>
              <w:rPr>
                <w:sz w:val="17"/>
                <w:szCs w:val="17"/>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5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Rule 13a-14(a) or 15d-</w:t>
            </w:r>
          </w:p>
        </w:tc>
        <w:tc>
          <w:tcPr>
            <w:tcW w:w="450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5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14(a) of the Securities Exchange Act of 1934.</w:t>
            </w:r>
          </w:p>
        </w:tc>
        <w:tc>
          <w:tcPr>
            <w:tcW w:w="45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c>
          <w:tcPr>
            <w:tcW w:w="160" w:type="dxa"/>
            <w:vAlign w:val="bottom"/>
            <w:gridSpan w:val="2"/>
          </w:tcPr>
          <w:p>
            <w:pPr>
              <w:spacing w:after="0"/>
              <w:rPr>
                <w:sz w:val="24"/>
                <w:szCs w:val="24"/>
                <w:color w:val="auto"/>
              </w:rPr>
            </w:pPr>
          </w:p>
        </w:tc>
        <w:tc>
          <w:tcPr>
            <w:tcW w:w="450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5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pursuant to 18 U.S.C. Section 1350, as adopted pursuant to Section 906 of</w:t>
            </w:r>
          </w:p>
        </w:tc>
        <w:tc>
          <w:tcPr>
            <w:tcW w:w="45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the Sarbanes-Oxley Act of 2002.</w:t>
            </w:r>
          </w:p>
        </w:tc>
        <w:tc>
          <w:tcPr>
            <w:tcW w:w="3000" w:type="dxa"/>
            <w:vAlign w:val="bottom"/>
            <w:gridSpan w:val="5"/>
          </w:tcPr>
          <w:p>
            <w:pPr>
              <w:spacing w:after="0"/>
              <w:rPr>
                <w:sz w:val="17"/>
                <w:szCs w:val="17"/>
                <w:color w:val="auto"/>
              </w:rPr>
            </w:pPr>
          </w:p>
        </w:tc>
        <w:tc>
          <w:tcPr>
            <w:tcW w:w="4500" w:type="dxa"/>
            <w:vAlign w:val="bottom"/>
          </w:tcPr>
          <w:p>
            <w:pPr>
              <w:spacing w:after="0"/>
              <w:rPr>
                <w:sz w:val="17"/>
                <w:szCs w:val="17"/>
                <w:color w:val="auto"/>
              </w:rPr>
            </w:pPr>
          </w:p>
        </w:tc>
      </w:tr>
      <w:tr>
        <w:trPr>
          <w:trHeight w:val="39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450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20" w:type="dxa"/>
            <w:vAlign w:val="bottom"/>
          </w:tcPr>
          <w:p>
            <w:pPr>
              <w:spacing w:after="0"/>
              <w:rPr>
                <w:sz w:val="18"/>
                <w:szCs w:val="18"/>
                <w:color w:val="auto"/>
              </w:rPr>
            </w:pP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c>
          <w:tcPr>
            <w:tcW w:w="45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4500" w:type="dxa"/>
            <w:vAlign w:val="bottom"/>
          </w:tcPr>
          <w:p>
            <w:pPr>
              <w:spacing w:after="0"/>
              <w:rPr>
                <w:sz w:val="20"/>
                <w:szCs w:val="20"/>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500" w:type="dxa"/>
            <w:vAlign w:val="bottom"/>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500" w:type="dxa"/>
            <w:vAlign w:val="bottom"/>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500" w:type="dxa"/>
            <w:vAlign w:val="bottom"/>
          </w:tcPr>
          <w:p>
            <w:pPr>
              <w:spacing w:after="0"/>
              <w:rPr>
                <w:sz w:val="24"/>
                <w:szCs w:val="24"/>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500" w:type="dxa"/>
            <w:vAlign w:val="bottom"/>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500" w:type="dxa"/>
            <w:vAlign w:val="bottom"/>
          </w:tcPr>
          <w:p>
            <w:pPr>
              <w:spacing w:after="0"/>
              <w:rPr>
                <w:sz w:val="24"/>
                <w:szCs w:val="24"/>
                <w:color w:val="auto"/>
              </w:rPr>
            </w:pPr>
          </w:p>
        </w:tc>
      </w:tr>
    </w:tbl>
    <w:p>
      <w:pPr>
        <w:spacing w:after="0" w:line="157" w:lineRule="exact"/>
        <w:rPr>
          <w:sz w:val="20"/>
          <w:szCs w:val="20"/>
          <w:color w:val="auto"/>
        </w:rPr>
      </w:pPr>
    </w:p>
    <w:p>
      <w:pPr>
        <w:ind w:left="1040" w:right="5100" w:hanging="10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14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firstLine="8"/>
        <w:spacing w:after="0" w:line="250"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portions of this Exhibit. The confidential portions of this Exhibit have been omitted and are marked by asterisks. †† This Exhibit has been filed separately with the commission pursuant to an application for confidentiality treatment. The confidential portions of this</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have been omitted and are marked by asterisks.</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8" w:right="4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 this 23th day of November, 2022.</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83" w:lineRule="exact"/>
        <w:rPr>
          <w:sz w:val="20"/>
          <w:szCs w:val="20"/>
          <w:color w:val="auto"/>
        </w:rPr>
      </w:pPr>
    </w:p>
    <w:p>
      <w:pPr>
        <w:ind w:left="5660"/>
        <w:spacing w:after="0"/>
        <w:tabs>
          <w:tab w:leader="none" w:pos="7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Jay R. Luly, Ph.D.</w:t>
      </w:r>
    </w:p>
    <w:p>
      <w:pPr>
        <w:spacing w:after="0" w:line="3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in the capacities and on the dates indicated.</w:t>
      </w:r>
    </w:p>
    <w:p>
      <w:pPr>
        <w:ind w:left="2260"/>
        <w:spacing w:after="0"/>
        <w:tabs>
          <w:tab w:leader="none" w:pos="6920" w:val="left"/>
          <w:tab w:leader="none" w:pos="10000" w:val="left"/>
        </w:tabs>
        <w:rPr>
          <w:sz w:val="20"/>
          <w:szCs w:val="20"/>
          <w:color w:val="auto"/>
        </w:rPr>
      </w:pPr>
      <w:r>
        <w:rPr>
          <w:rFonts w:ascii="Times New Roman" w:cs="Times New Roman" w:eastAsia="Times New Roman" w:hAnsi="Times New Roman"/>
          <w:sz w:val="14"/>
          <w:szCs w:val="14"/>
          <w:u w:val="single" w:color="auto"/>
          <w:color w:val="auto"/>
        </w:rPr>
        <w:t>Signature</w:t>
      </w:r>
      <w:r>
        <w:rPr>
          <w:sz w:val="20"/>
          <w:szCs w:val="20"/>
          <w:color w:val="auto"/>
        </w:rPr>
        <w:tab/>
      </w:r>
      <w:r>
        <w:rPr>
          <w:rFonts w:ascii="Times New Roman" w:cs="Times New Roman" w:eastAsia="Times New Roman" w:hAnsi="Times New Roman"/>
          <w:sz w:val="14"/>
          <w:szCs w:val="14"/>
          <w:u w:val="single" w:color="auto"/>
          <w:color w:val="auto"/>
        </w:rPr>
        <w:t>Title</w:t>
      </w:r>
      <w:r>
        <w:rPr>
          <w:sz w:val="20"/>
          <w:szCs w:val="20"/>
          <w:color w:val="auto"/>
        </w:rPr>
        <w:tab/>
      </w:r>
      <w:r>
        <w:rPr>
          <w:rFonts w:ascii="Times New Roman" w:cs="Times New Roman" w:eastAsia="Times New Roman" w:hAnsi="Times New Roman"/>
          <w:sz w:val="14"/>
          <w:szCs w:val="14"/>
          <w:u w:val="single" w:color="auto"/>
          <w:color w:val="auto"/>
        </w:rPr>
        <w:t>Date</w:t>
      </w:r>
    </w:p>
    <w:p>
      <w:pPr>
        <w:sectPr>
          <w:pgSz w:w="11900" w:h="16838" w:orient="portrait"/>
          <w:cols w:equalWidth="0" w:num="1">
            <w:col w:w="11200"/>
          </w:cols>
          <w:pgMar w:left="320" w:top="333" w:right="379" w:bottom="1440" w:gutter="0" w:footer="0" w:header="0"/>
        </w:sectPr>
      </w:pPr>
    </w:p>
    <w:p>
      <w:pPr>
        <w:spacing w:after="0" w:line="158"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4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0"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43" w:lineRule="exact"/>
        <w:rPr>
          <w:sz w:val="20"/>
          <w:szCs w:val="20"/>
          <w:color w:val="auto"/>
        </w:rPr>
      </w:pPr>
    </w:p>
    <w:p>
      <w:pPr>
        <w:jc w:val="right"/>
        <w:ind w:right="21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0" w:lineRule="exact"/>
        <w:rPr>
          <w:sz w:val="20"/>
          <w:szCs w:val="20"/>
          <w:color w:val="auto"/>
        </w:rPr>
      </w:pPr>
    </w:p>
    <w:p>
      <w:pPr>
        <w:spacing w:after="0" w:line="30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/s/ Bruce L.A. Carter,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Bruce L.A. Carter, Ph.D.</w:t>
      </w:r>
    </w:p>
    <w:p>
      <w:pPr>
        <w:spacing w:after="0" w:line="293"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18"/>
          <w:szCs w:val="18"/>
          <w:color w:val="auto"/>
        </w:rPr>
        <w:t>/s/ Mark G. Foletta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0"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color w:val="auto"/>
        </w:rPr>
        <w:t>Mark G. Foletta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Officer and Director</w:t>
            </w:r>
          </w:p>
        </w:tc>
        <w:tc>
          <w:tcPr>
            <w:tcW w:w="2180" w:type="dxa"/>
            <w:vAlign w:val="bottom"/>
          </w:tcPr>
          <w:p>
            <w:pPr>
              <w:spacing w:after="0"/>
              <w:rPr>
                <w:sz w:val="18"/>
                <w:szCs w:val="18"/>
                <w:color w:val="auto"/>
              </w:rPr>
            </w:pPr>
          </w:p>
        </w:tc>
      </w:tr>
      <w:tr>
        <w:trPr>
          <w:trHeight w:val="234"/>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180" w:type="dxa"/>
            <w:vAlign w:val="bottom"/>
          </w:tcPr>
          <w:p>
            <w:pPr>
              <w:spacing w:after="0"/>
              <w:rPr>
                <w:sz w:val="20"/>
                <w:szCs w:val="20"/>
                <w:color w:val="auto"/>
              </w:rPr>
            </w:pPr>
          </w:p>
        </w:tc>
      </w:tr>
      <w:tr>
        <w:trPr>
          <w:trHeight w:val="387"/>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(Principal Financial and</w:t>
            </w:r>
          </w:p>
        </w:tc>
        <w:tc>
          <w:tcPr>
            <w:tcW w:w="2180" w:type="dxa"/>
            <w:vAlign w:val="bottom"/>
          </w:tcPr>
          <w:p>
            <w:pPr>
              <w:spacing w:after="0"/>
              <w:rPr>
                <w:sz w:val="18"/>
                <w:szCs w:val="18"/>
                <w:color w:val="auto"/>
              </w:rPr>
            </w:pPr>
          </w:p>
        </w:tc>
      </w:tr>
      <w:tr>
        <w:trPr>
          <w:trHeight w:val="234"/>
        </w:trPr>
        <w:tc>
          <w:tcPr>
            <w:tcW w:w="29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180" w:type="dxa"/>
            <w:vAlign w:val="bottom"/>
          </w:tcPr>
          <w:p>
            <w:pPr>
              <w:spacing w:after="0"/>
              <w:rPr>
                <w:sz w:val="20"/>
                <w:szCs w:val="20"/>
                <w:color w:val="auto"/>
              </w:rPr>
            </w:pPr>
          </w:p>
        </w:tc>
      </w:tr>
      <w:tr>
        <w:trPr>
          <w:trHeight w:val="553"/>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797"/>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23, 2022</w:t>
            </w:r>
          </w:p>
        </w:tc>
      </w:tr>
    </w:tbl>
    <w:p>
      <w:pPr>
        <w:spacing w:after="0" w:line="454" w:lineRule="exact"/>
        <w:rPr>
          <w:sz w:val="20"/>
          <w:szCs w:val="20"/>
          <w:color w:val="auto"/>
        </w:rPr>
      </w:pPr>
    </w:p>
    <w:p>
      <w:pPr>
        <w:sectPr>
          <w:pgSz w:w="11900" w:h="16838" w:orient="portrait"/>
          <w:cols w:equalWidth="0" w:num="2">
            <w:col w:w="5200" w:space="720"/>
            <w:col w:w="5280"/>
          </w:cols>
          <w:pgMar w:left="320" w:top="333" w:right="37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5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/s/ Yujiro S. Hata</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Yujiro S. Hata</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50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5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/s/ Lesley Russell, MB. Ch.B., MRCP</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Lesley Russell, MB. Ch.B., MRCP</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5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 Terry Vance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23, 2022</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Terry Vance</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554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auto"/>
                <w:w w:val="99"/>
              </w:rPr>
              <w:t>Report of Independent Registered Public Accounting Firm (PCAOB ID 238)</w:t>
            </w:r>
          </w:p>
        </w:tc>
        <w:tc>
          <w:tcPr>
            <w:tcW w:w="5040" w:type="dxa"/>
            <w:vAlign w:val="bottom"/>
          </w:tcPr>
          <w:p>
            <w:pPr>
              <w:spacing w:after="0"/>
              <w:rPr>
                <w:sz w:val="15"/>
                <w:szCs w:val="15"/>
                <w:color w:val="auto"/>
              </w:rPr>
            </w:pPr>
          </w:p>
        </w:tc>
        <w:tc>
          <w:tcPr>
            <w:tcW w:w="6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20" w:type="dxa"/>
            <w:vAlign w:val="bottom"/>
          </w:tcPr>
          <w:p>
            <w:pPr>
              <w:spacing w:after="0"/>
              <w:rPr>
                <w:sz w:val="19"/>
                <w:szCs w:val="19"/>
                <w:color w:val="auto"/>
              </w:rPr>
            </w:pPr>
          </w:p>
        </w:tc>
        <w:tc>
          <w:tcPr>
            <w:tcW w:w="2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8480" w:type="dxa"/>
            <w:vAlign w:val="bottom"/>
            <w:gridSpan w:val="7"/>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20" w:type="dxa"/>
            <w:vAlign w:val="bottom"/>
          </w:tcPr>
          <w:p>
            <w:pPr>
              <w:spacing w:after="0"/>
              <w:rPr>
                <w:sz w:val="19"/>
                <w:szCs w:val="19"/>
                <w:color w:val="auto"/>
              </w:rPr>
            </w:pPr>
          </w:p>
        </w:tc>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7760" w:type="dxa"/>
            <w:vAlign w:val="bottom"/>
            <w:gridSpan w:val="6"/>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7040" w:type="dxa"/>
            <w:vAlign w:val="bottom"/>
            <w:gridSpan w:val="3"/>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0" w:type="dxa"/>
            <w:vAlign w:val="bottom"/>
          </w:tcPr>
          <w:p>
            <w:pPr>
              <w:spacing w:after="0"/>
              <w:rPr>
                <w:sz w:val="19"/>
                <w:szCs w:val="19"/>
                <w:color w:val="auto"/>
              </w:rPr>
            </w:pPr>
          </w:p>
        </w:tc>
        <w:tc>
          <w:tcPr>
            <w:tcW w:w="3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980" w:type="dxa"/>
            <w:vAlign w:val="bottom"/>
            <w:gridSpan w:val="2"/>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20" w:type="dxa"/>
            <w:vAlign w:val="bottom"/>
          </w:tcPr>
          <w:p>
            <w:pPr>
              <w:spacing w:after="0"/>
              <w:rPr>
                <w:sz w:val="19"/>
                <w:szCs w:val="19"/>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7700" w:type="dxa"/>
            <w:vAlign w:val="bottom"/>
            <w:gridSpan w:val="5"/>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F-8</w:t>
            </w:r>
          </w:p>
        </w:tc>
      </w:tr>
      <w:tr>
        <w:trPr>
          <w:trHeight w:val="223"/>
        </w:trPr>
        <w:tc>
          <w:tcPr>
            <w:tcW w:w="20" w:type="dxa"/>
            <w:vAlign w:val="bottom"/>
          </w:tcPr>
          <w:p>
            <w:pPr>
              <w:spacing w:after="0"/>
              <w:rPr>
                <w:sz w:val="19"/>
                <w:szCs w:val="19"/>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F-9</w:t>
            </w:r>
          </w:p>
        </w:tc>
      </w:tr>
      <w:tr>
        <w:trPr>
          <w:trHeight w:val="898"/>
        </w:trPr>
        <w:tc>
          <w:tcPr>
            <w:tcW w:w="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F-1</w:t>
            </w: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Enanta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Enanta Pharmaceuticals, Inc. and its subsidiary (the “Company”) as of September 30, 2022 and 2021, and the related consolidated statements of operations, of comprehensive loss, of stockholders’ equity and of cash flows for each of the three years in the period ended September 30, 2022, including the related notes (collectively referred to as the “consolidated financial statements”). We also have audited the Company's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September 30, 2022 and 2021, and the results of its operations and its cash flows for each of the three years in the period ended September 30, 2022 in conformity with accounting principles generally accepted in the United States of America. Also in our opinion, the Company maintained, in all material respects, effective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and Pharmaceutical Drug Manufacturing Accruals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has entered into various contracts with third parties to perform research and development and pharmaceutical drug manufacturing. When billing terms under these contracts do not coincide with the timing of when the work is performed, management is required to make estimates of outstanding obligations to those third parties as of period end. Within accrued expenses and other current liabilities, total accrued research and development expenses and accrued pharmaceutical drug manufacturing amounted to $5.5 million and $6.9 million as of September 30, 2022, respectively. The accrual estimates are based on a number of factors, including management’s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research and development and pharmaceutical drug manufacturing accruals is a critical audit matter are the significant judgment by management in developing the accrual estimates, as the estimates are based on a number of factors, including management’s knowledge of the research and development programs and pharmaceutical drug manufacturing activities and associated timelines, invoicing to date, and the provisions in the contracts, which in turn led to a high degree of auditor judgment, subjectivity and effort in performing procedures and evaluating management’s significant assumptions related to progress towards completion of the research and development programs and pharmaceutical drug manufacturing activities.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accrued research and development expenses and accrued pharmaceutical drug manufacturing, including controls over the review of contracts and assessment of progress of the accrued research and development programs and accrued pharmaceutical drug manufacturing activities. These procedures also included, among others (i) testing management’s process for developing estimates based upon the progress of the research and development programs and pharmaceutical drug manufacturing activities; (ii) evaluating the appropriateness of the method used by management to develop the estimates; (iii) reading research and development and pharmaceutical drug manufacturing contracts on a test basis; (iv) evaluating the completeness and accuracy of data used by management; and (v) evaluating the reasonableness of significant assumptions related to the progress towards completion. Evaluating management’s assumptions related to progress towards completion of the research and development programs and pharmaceutical drug manufacturing activities included evaluating whether the assumptions were reasonable considering the associated timelines, invoicing to date and the provisions in the contracts.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6" w:name="page77"/>
    <w:bookmarkEnd w:id="7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57,206</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186,796</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319,021</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108,416</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375,410</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438,791</w:t>
            </w:r>
          </w:p>
        </w:tc>
        <w:tc>
          <w:tcPr>
            <w:tcW w:w="10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39,362</w:t>
            </w:r>
          </w:p>
        </w:tc>
        <w:tc>
          <w:tcPr>
            <w:tcW w:w="100" w:type="dxa"/>
            <w:vAlign w:val="bottom"/>
          </w:tcPr>
          <w:p>
            <w:pPr>
              <w:spacing w:after="0"/>
              <w:rPr>
                <w:sz w:val="20"/>
                <w:szCs w:val="20"/>
                <w:color w:val="auto"/>
              </w:rPr>
            </w:pPr>
          </w:p>
        </w:tc>
      </w:tr>
      <w:tr>
        <w:trPr>
          <w:trHeight w:val="23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20,791 and 20,238 shares issued and outstanding at September 30, 2022</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September 30, 2021, respectively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351,033</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(3,724 )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(382 )</w:t>
            </w:r>
          </w:p>
        </w:tc>
      </w:tr>
      <w:tr>
        <w:trPr>
          <w:trHeight w:val="243"/>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(73,179 )</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100" w:type="dxa"/>
            <w:vAlign w:val="bottom"/>
          </w:tcPr>
          <w:p>
            <w:pPr>
              <w:spacing w:after="0"/>
              <w:rPr>
                <w:sz w:val="21"/>
                <w:szCs w:val="21"/>
                <w:color w:val="auto"/>
              </w:rPr>
            </w:pPr>
          </w:p>
        </w:tc>
      </w:tr>
      <w:tr>
        <w:trPr>
          <w:trHeight w:val="237"/>
        </w:trPr>
        <w:tc>
          <w:tcPr>
            <w:tcW w:w="6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321,334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375,410</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438,791</w:t>
            </w:r>
          </w:p>
        </w:tc>
        <w:tc>
          <w:tcPr>
            <w:tcW w:w="10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-4242435</wp:posOffset>
            </wp:positionV>
            <wp:extent cx="6032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-4242435</wp:posOffset>
            </wp:positionV>
            <wp:extent cx="60325"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-3308350</wp:posOffset>
            </wp:positionV>
            <wp:extent cx="603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-3308350</wp:posOffset>
            </wp:positionV>
            <wp:extent cx="603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-2348230</wp:posOffset>
            </wp:positionV>
            <wp:extent cx="6032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-2348230</wp:posOffset>
            </wp:positionV>
            <wp:extent cx="6032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-1722120</wp:posOffset>
            </wp:positionV>
            <wp:extent cx="6032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-1722120</wp:posOffset>
            </wp:positionV>
            <wp:extent cx="6032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-187960</wp:posOffset>
            </wp:positionV>
            <wp:extent cx="603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77" w:name="page78"/>
    <w:bookmarkEnd w:id="77"/>
    <w:p>
      <w:pPr>
        <w:ind w:left="34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122,473</w:t>
            </w:r>
          </w:p>
        </w:tc>
        <w:tc>
          <w:tcPr>
            <w:tcW w:w="100" w:type="dxa"/>
            <w:vAlign w:val="bottom"/>
          </w:tcPr>
          <w:p>
            <w:pPr>
              <w:spacing w:after="0"/>
              <w:rPr>
                <w:sz w:val="20"/>
                <w:szCs w:val="20"/>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136,756</w:t>
            </w:r>
          </w:p>
        </w:tc>
        <w:tc>
          <w:tcPr>
            <w:tcW w:w="100" w:type="dxa"/>
            <w:vAlign w:val="bottom"/>
          </w:tcPr>
          <w:p>
            <w:pPr>
              <w:spacing w:after="0"/>
              <w:rPr>
                <w:sz w:val="20"/>
                <w:szCs w:val="20"/>
                <w:color w:val="auto"/>
              </w:rPr>
            </w:pPr>
          </w:p>
        </w:tc>
      </w:tr>
      <w:tr>
        <w:trPr>
          <w:trHeight w:val="247"/>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206,647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164,112</w:t>
            </w:r>
          </w:p>
        </w:tc>
        <w:tc>
          <w:tcPr>
            <w:tcW w:w="100" w:type="dxa"/>
            <w:vAlign w:val="bottom"/>
          </w:tcPr>
          <w:p>
            <w:pPr>
              <w:spacing w:after="0"/>
              <w:rPr>
                <w:sz w:val="20"/>
                <w:szCs w:val="20"/>
                <w:color w:val="auto"/>
              </w:rPr>
            </w:pPr>
          </w:p>
        </w:tc>
      </w:tr>
      <w:tr>
        <w:trPr>
          <w:trHeight w:val="237"/>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(123,844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FF0FC"/>
          </w:tcPr>
          <w:p>
            <w:pPr>
              <w:spacing w:after="0"/>
              <w:rPr>
                <w:sz w:val="21"/>
                <w:szCs w:val="21"/>
                <w:color w:val="auto"/>
              </w:rPr>
            </w:pPr>
          </w:p>
        </w:tc>
      </w:tr>
      <w:tr>
        <w:trPr>
          <w:trHeight w:val="24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Series 1 nonconvertible preferred stock</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r>
      <w:tr>
        <w:trPr>
          <w:trHeight w:val="237"/>
        </w:trPr>
        <w:tc>
          <w:tcPr>
            <w:tcW w:w="5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(122,188 )</w:t>
            </w:r>
          </w:p>
        </w:tc>
        <w:tc>
          <w:tcPr>
            <w:tcW w:w="28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(107,579 )</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(35,019 )</w:t>
            </w:r>
          </w:p>
        </w:tc>
      </w:tr>
      <w:tr>
        <w:trPr>
          <w:trHeight w:val="247"/>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(1,149 )</w:t>
            </w: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(121,755 )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(78,996 )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(36,168 )</w:t>
            </w: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-1824990</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-1824990</wp:posOffset>
            </wp:positionV>
            <wp:extent cx="5969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-1824990</wp:posOffset>
            </wp:positionV>
            <wp:extent cx="603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-1499235</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-1499235</wp:posOffset>
            </wp:positionV>
            <wp:extent cx="5969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-1499235</wp:posOffset>
            </wp:positionV>
            <wp:extent cx="60325"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-864870</wp:posOffset>
            </wp:positionV>
            <wp:extent cx="6858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-864870</wp:posOffset>
            </wp:positionV>
            <wp:extent cx="5969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-864870</wp:posOffset>
            </wp:positionV>
            <wp:extent cx="6032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-548005</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-548005</wp:posOffset>
            </wp:positionV>
            <wp:extent cx="5969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-548005</wp:posOffset>
            </wp:positionV>
            <wp:extent cx="603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-205105</wp:posOffset>
            </wp:positionV>
            <wp:extent cx="186880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186880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78" w:name="page79"/>
    <w:bookmarkEnd w:id="78"/>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gains (losses) on marketable securities, net of tax</w:t>
            </w:r>
          </w:p>
        </w:tc>
        <w:tc>
          <w:tcPr>
            <w:tcW w:w="26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(3,342 )</w:t>
            </w:r>
          </w:p>
        </w:tc>
        <w:tc>
          <w:tcPr>
            <w:tcW w:w="26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(1,226 )</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expense of $0, $0, and $388</w:t>
            </w:r>
          </w:p>
        </w:tc>
        <w:tc>
          <w:tcPr>
            <w:tcW w:w="26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(3,342 )</w:t>
            </w:r>
          </w:p>
        </w:tc>
        <w:tc>
          <w:tcPr>
            <w:tcW w:w="26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(1,226 )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(125,097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-350520</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-350520</wp:posOffset>
            </wp:positionV>
            <wp:extent cx="603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-350520</wp:posOffset>
            </wp:positionV>
            <wp:extent cx="6032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79" w:name="page80"/>
    <w:bookmarkEnd w:id="79"/>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8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44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88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440" w:type="dxa"/>
            <w:vAlign w:val="bottom"/>
            <w:gridSpan w:val="2"/>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(Accumulat</w:t>
            </w: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188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1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144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4"/>
                <w:szCs w:val="14"/>
                <w:color w:val="auto"/>
              </w:rPr>
            </w:pPr>
          </w:p>
        </w:tc>
        <w:tc>
          <w:tcPr>
            <w:tcW w:w="84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298,409</w:t>
            </w:r>
          </w:p>
        </w:tc>
        <w:tc>
          <w:tcPr>
            <w:tcW w:w="1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163,740</w:t>
            </w: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(1,498 )</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(1,498 )</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(36,168 )</w:t>
            </w: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(36,168 )</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20,077</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326,963</w:t>
            </w:r>
          </w:p>
        </w:tc>
        <w:tc>
          <w:tcPr>
            <w:tcW w:w="1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127,572</w:t>
            </w: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(534 )</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(534 )</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(1,226 )</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(1,226 )</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(78,996 )</w:t>
            </w: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(78,996 )</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2021</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351,033</w:t>
            </w:r>
          </w:p>
        </w:tc>
        <w:tc>
          <w:tcPr>
            <w:tcW w:w="1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(1,229 )</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(1,229 )</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(3,342 )</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(3,342 )</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(121,755 )</w:t>
            </w: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(121,755 )</w:t>
            </w:r>
          </w:p>
        </w:tc>
        <w:tc>
          <w:tcPr>
            <w:tcW w:w="0" w:type="dxa"/>
            <w:vAlign w:val="bottom"/>
          </w:tcPr>
          <w:p>
            <w:pPr>
              <w:spacing w:after="0"/>
              <w:rPr>
                <w:sz w:val="1"/>
                <w:szCs w:val="1"/>
                <w:color w:val="auto"/>
              </w:rPr>
            </w:pPr>
          </w:p>
        </w:tc>
      </w:tr>
      <w:tr>
        <w:trPr>
          <w:trHeight w:val="263"/>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2022</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20,791</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398,029</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(73,179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321,334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-24765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-7620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80" w:name="page81"/>
    <w:bookmarkEnd w:id="80"/>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(121,755 )</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(78,996 )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(36,168 )</w:t>
            </w:r>
          </w:p>
        </w:tc>
      </w:tr>
      <w:tr>
        <w:trPr>
          <w:trHeight w:val="198"/>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19,575</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3,644</w:t>
            </w: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10,608</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(846 )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(4,028 )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(3,575 )</w:t>
            </w: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Amortization of premium on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Change in fair value of Series 1 nonconvertible preferred stock</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(83 )</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(149 )</w:t>
            </w: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non-cash items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(97 )</w:t>
            </w: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(51 )</w:t>
            </w: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(84 )</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27,821</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(533 )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(7,270 )</w:t>
            </w: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(24,214 )</w:t>
            </w: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(4,127 )</w:t>
            </w: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5,418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long-term assets</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(604 )</w:t>
            </w:r>
          </w:p>
        </w:tc>
        <w:tc>
          <w:tcPr>
            <w:tcW w:w="260" w:type="dxa"/>
            <w:vAlign w:val="bottom"/>
          </w:tcPr>
          <w:p>
            <w:pPr>
              <w:spacing w:after="0"/>
              <w:rPr>
                <w:sz w:val="19"/>
                <w:szCs w:val="19"/>
                <w:color w:val="auto"/>
              </w:rPr>
            </w:pPr>
          </w:p>
        </w:tc>
        <w:tc>
          <w:tcPr>
            <w:tcW w:w="114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(4,634 )</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(883 )</w:t>
            </w: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(1,477 )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(1,368 )</w:t>
            </w: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(3,706 )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(5,879 )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(3,535 )</w:t>
            </w:r>
          </w:p>
        </w:tc>
      </w:tr>
      <w:tr>
        <w:trPr>
          <w:trHeight w:val="228"/>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(104 )</w:t>
            </w:r>
          </w:p>
        </w:tc>
        <w:tc>
          <w:tcPr>
            <w:tcW w:w="260" w:type="dxa"/>
            <w:vAlign w:val="bottom"/>
          </w:tcPr>
          <w:p>
            <w:pPr>
              <w:spacing w:after="0"/>
              <w:rPr>
                <w:sz w:val="19"/>
                <w:szCs w:val="19"/>
                <w:color w:val="auto"/>
              </w:rPr>
            </w:pPr>
          </w:p>
        </w:tc>
        <w:tc>
          <w:tcPr>
            <w:tcW w:w="11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(520 )</w:t>
            </w: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(922 )</w:t>
            </w:r>
          </w:p>
        </w:tc>
      </w:tr>
      <w:tr>
        <w:trPr>
          <w:trHeight w:val="224"/>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(84,782</w:t>
            </w:r>
          </w:p>
        </w:tc>
        <w:tc>
          <w:tcPr>
            <w:tcW w:w="2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(69,996</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7,088</w:t>
            </w:r>
          </w:p>
        </w:tc>
        <w:tc>
          <w:tcPr>
            <w:tcW w:w="100" w:type="dxa"/>
            <w:vAlign w:val="bottom"/>
            <w:shd w:val="clear" w:color="auto" w:fill="CFF0FC"/>
          </w:tcPr>
          <w:p>
            <w:pPr>
              <w:spacing w:after="0"/>
              <w:rPr>
                <w:sz w:val="19"/>
                <w:szCs w:val="19"/>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(171,446 )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(307,348 )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(338,553 )</w:t>
            </w: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359,828</w:t>
            </w:r>
          </w:p>
        </w:tc>
        <w:tc>
          <w:tcPr>
            <w:tcW w:w="100" w:type="dxa"/>
            <w:vAlign w:val="bottom"/>
          </w:tcPr>
          <w:p>
            <w:pPr>
              <w:spacing w:after="0"/>
              <w:rPr>
                <w:sz w:val="19"/>
                <w:szCs w:val="19"/>
                <w:color w:val="auto"/>
              </w:rPr>
            </w:pPr>
          </w:p>
        </w:tc>
      </w:tr>
      <w:tr>
        <w:trPr>
          <w:trHeight w:val="232"/>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(2,125 )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(750 )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(1,445 )</w:t>
            </w:r>
          </w:p>
        </w:tc>
      </w:tr>
      <w:tr>
        <w:trPr>
          <w:trHeight w:val="220"/>
        </w:trPr>
        <w:tc>
          <w:tcPr>
            <w:tcW w:w="59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54,897</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36,991</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19,830</w:t>
            </w:r>
          </w:p>
        </w:tc>
        <w:tc>
          <w:tcPr>
            <w:tcW w:w="100" w:type="dxa"/>
            <w:vAlign w:val="bottom"/>
            <w:tcBorders>
              <w:top w:val="single" w:sz="8" w:color="CFF0FC"/>
            </w:tcBorders>
          </w:tcPr>
          <w:p>
            <w:pPr>
              <w:spacing w:after="0"/>
              <w:rPr>
                <w:sz w:val="19"/>
                <w:szCs w:val="19"/>
                <w:color w:val="auto"/>
              </w:rPr>
            </w:pPr>
          </w:p>
        </w:tc>
      </w:tr>
      <w:tr>
        <w:trPr>
          <w:trHeight w:val="23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00" w:type="dxa"/>
            <w:vAlign w:val="bottom"/>
          </w:tcPr>
          <w:p>
            <w:pPr>
              <w:spacing w:after="0"/>
              <w:rPr>
                <w:sz w:val="19"/>
                <w:szCs w:val="19"/>
                <w:color w:val="auto"/>
              </w:rPr>
            </w:pPr>
          </w:p>
        </w:tc>
      </w:tr>
      <w:tr>
        <w:trPr>
          <w:trHeight w:val="232"/>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(1,229 )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(534 )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(1,498 )</w:t>
            </w:r>
          </w:p>
        </w:tc>
      </w:tr>
      <w:tr>
        <w:trPr>
          <w:trHeight w:val="223"/>
        </w:trPr>
        <w:tc>
          <w:tcPr>
            <w:tcW w:w="59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20,033</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00" w:type="dxa"/>
            <w:vAlign w:val="bottom"/>
            <w:tcBorders>
              <w:top w:val="single" w:sz="8" w:color="CFF0FC"/>
            </w:tcBorders>
          </w:tcPr>
          <w:p>
            <w:pPr>
              <w:spacing w:after="0"/>
              <w:rPr>
                <w:sz w:val="19"/>
                <w:szCs w:val="19"/>
                <w:color w:val="auto"/>
              </w:rPr>
            </w:pPr>
          </w:p>
        </w:tc>
      </w:tr>
      <w:tr>
        <w:trPr>
          <w:trHeight w:val="224"/>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(9,852</w:t>
            </w:r>
          </w:p>
        </w:tc>
        <w:tc>
          <w:tcPr>
            <w:tcW w:w="2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(29,925</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35,901</w:t>
            </w:r>
          </w:p>
        </w:tc>
        <w:tc>
          <w:tcPr>
            <w:tcW w:w="100" w:type="dxa"/>
            <w:vAlign w:val="bottom"/>
            <w:shd w:val="clear" w:color="auto" w:fill="CFF0FC"/>
          </w:tcPr>
          <w:p>
            <w:pPr>
              <w:spacing w:after="0"/>
              <w:rPr>
                <w:sz w:val="19"/>
                <w:szCs w:val="19"/>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57,814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51,838</w:t>
            </w:r>
          </w:p>
        </w:tc>
        <w:tc>
          <w:tcPr>
            <w:tcW w:w="100" w:type="dxa"/>
            <w:vAlign w:val="bottom"/>
          </w:tcPr>
          <w:p>
            <w:pPr>
              <w:spacing w:after="0"/>
              <w:rPr>
                <w:sz w:val="19"/>
                <w:szCs w:val="19"/>
                <w:color w:val="auto"/>
              </w:rPr>
            </w:pPr>
          </w:p>
        </w:tc>
      </w:tr>
      <w:tr>
        <w:trPr>
          <w:trHeight w:val="264"/>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57,814</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paid for taxes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FF0FC"/>
          </w:tcPr>
          <w:p>
            <w:pPr>
              <w:spacing w:after="0"/>
              <w:rPr>
                <w:sz w:val="20"/>
                <w:szCs w:val="20"/>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Purchases of fixed assets included in accounts payable and accrued</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59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FF0FC"/>
          </w:tcPr>
          <w:p>
            <w:pPr>
              <w:spacing w:after="0"/>
              <w:rPr>
                <w:sz w:val="20"/>
                <w:szCs w:val="20"/>
                <w:color w:val="auto"/>
              </w:rPr>
            </w:pPr>
          </w:p>
        </w:tc>
      </w:tr>
      <w:tr>
        <w:trPr>
          <w:trHeight w:val="222"/>
        </w:trPr>
        <w:tc>
          <w:tcPr>
            <w:tcW w:w="5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23,910</w:t>
            </w:r>
          </w:p>
        </w:tc>
        <w:tc>
          <w:tcPr>
            <w:tcW w:w="26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24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-2077720</wp:posOffset>
            </wp:positionV>
            <wp:extent cx="6858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-2077720</wp:posOffset>
            </wp:positionV>
            <wp:extent cx="6032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-2077720</wp:posOffset>
            </wp:positionV>
            <wp:extent cx="6032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-1486535</wp:posOffset>
            </wp:positionV>
            <wp:extent cx="685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-1486535</wp:posOffset>
            </wp:positionV>
            <wp:extent cx="6032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-1486535</wp:posOffset>
            </wp:positionV>
            <wp:extent cx="6032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-877570</wp:posOffset>
            </wp:positionV>
            <wp:extent cx="187769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1877695" cy="171450"/>
                    </a:xfrm>
                    <a:prstGeom prst="rect">
                      <a:avLst/>
                    </a:prstGeom>
                    <a:noFill/>
                  </pic:spPr>
                </pic:pic>
              </a:graphicData>
            </a:graphic>
          </wp:anchor>
        </w:drawing>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81" w:name="page82"/>
    <w:bookmarkEnd w:id="81"/>
    <w:p>
      <w:pPr>
        <w:ind w:left="40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Enanta Pharmaceuticals, Inc. (the “Company”), incorporated in Delaware in 1995, is a biotechnology company that uses its robust, chemistry-driven approach and drug discovery capabilities to become a leader in the discovery and development of small molecule drugs, with an emphasis on treatments for viral infections.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hepatitis B virus (“HBV”) and human metapneumovirus (“hMPV”).</w:t>
      </w:r>
    </w:p>
    <w:p>
      <w:pPr>
        <w:spacing w:after="0" w:line="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and countries worldwide implemented various measures to contain the spread of the SARS-CoV-2 virus.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In addition, AbbVie experienced a decline in HCV sales compared to periods prior to March 2020 as a result of a reduction in patients accessing AbbVie’s HCV regimens due to the COVID-19 pandemic.</w:t>
      </w:r>
    </w:p>
    <w:p>
      <w:pPr>
        <w:spacing w:after="0" w:line="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its variants and public health actions taken to contain it, as well as the cumulative economic impact of both of those factors.</w:t>
      </w:r>
    </w:p>
    <w:p>
      <w:pPr>
        <w:spacing w:after="0" w:line="172" w:lineRule="exact"/>
        <w:rPr>
          <w:sz w:val="20"/>
          <w:szCs w:val="20"/>
          <w:color w:val="auto"/>
        </w:rPr>
      </w:pPr>
    </w:p>
    <w:p>
      <w:pPr>
        <w:ind w:right="7660" w:firstLine="8"/>
        <w:spacing w:after="0" w:line="378" w:lineRule="auto"/>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September 30, 2022. Actual results could differ from the Company’s estimates.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classifies all of its marketable securities as available-for-sale. The Company continually evaluates the credit ratings of its investment portfolio and underlying securities. The Company invests in accordance with its investment policy and invests at the date of purchase in securities with a rating of A3/A- or higher according to Moody’s or S&amp;P or A- by Fitch.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within the consolidated statements of operations. When the fair value is below the amortized cost of a marketable security, an estimate of expected credit losses is made. The credit-related impairment amount is recognized in the consolidated statements of operations. Credit losses are recognized through the use of an allowance for credit losses account in the consolidated balance sheet and subsequent improvements in expected credit losses are recognized as a reversal of an amount in the allowance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consolidated statements of operations. There were no credit losses recorded during the years ended September 30, 2022, 2021, and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the Company had outstanding letters of credit collateralized by a money market account of $3,968 and $608, respectively, to the benefit of the landlord of the Company’s building leases. These amounts were classified as long-term restricted cash as of September 30,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Customers and Suppliers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short-term and long-term marketable securities and accounts receivable. The Company has all cash and investment balances at one accredited financial institution, including cash in amounts that exceed federally insured limits. The Company does not believe it is subject to unusual credit risk beyond the normal credit risk associated with commercial banking relationships.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the majority of its revenue from its collaborative research and license agreements. As of September 30, 2022 and 2021, accounts receivable consisted of amounts due from the Company’s principal collaborator (see Note 7).</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completely dependent on third-party manufacturers for product supply for preclinical and clinical research activities. The Company relies and expects to continue to rely exclusively on several manufacturers to supply the Company with its drug supply requirements related to these activities. These research programs would be adversely affected by a significant interruption in the supply from these third-party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that are used to measure fair value, of which the first two levels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3" w:name="page84"/>
    <w:bookmarkEnd w:id="83"/>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instruments that are carried at fair value are cash equivalents, short-term and long-term marketable securities and the Series 1 nonconvertible preferred stock. The carrying values of accounts receivable, prepaid and other assets, accounts payable and accrued expenses approximate their fair value due to the short-term nature of these assets and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following estimated useful lives: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Shorter of life of lease or estimated useful life</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7 years</w:t>
            </w:r>
          </w:p>
        </w:tc>
      </w:tr>
    </w:tbl>
    <w:p>
      <w:pPr>
        <w:spacing w:after="0" w:line="21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of assets disposed are removed from the accounts and any resulting gain or loss is included in income from operations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accounts for a contract as a lease when it has the right to control the asset for a period of time while obtaining substantially all of the asset’s economic benefits. The Company determines if an arrangement is a lease or contains an embedded lease at inception. For arrangements that meet the definition of a lease, the Company determines the initial classification and measurement of its right-of-use asset and lease liability at the lease commencement date and thereafter if modified. The lease term includes any renewal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Company’s policy is to not record leases with an original term of 12 months or less on its consolidated balance sheets and recognizes those lease payments in the consolidated statements of operations on a straight-line basis over the lease term.</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rent, the leases may require the Company to pay additional costs, such as utilities, maintenance and other operating costs, which are generally referred to as non-lease components. The Company has elected to not separate lease and non-lease components. Only the fixed costs for lease components and their associated non-lease components are accounted for as a single lease component and recognized as part of a right-of-use asset and lease liability. Rent expense for operating leases is recognized on a straight-line basis over the reasonably assured lease term based on the total lease payments and is included in operating expense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reviews long-lived assets, primarily property and equipment and right-of-use assets,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Company expects to be entitled in exchange for those goods or services. The Company receives sales-based</w:t>
      </w: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4" w:name="page85"/>
    <w:bookmarkEnd w:id="84"/>
    <w:p>
      <w:pPr>
        <w:ind w:right="60"/>
        <w:spacing w:after="0" w:line="282" w:lineRule="auto"/>
        <w:rPr>
          <w:sz w:val="20"/>
          <w:szCs w:val="20"/>
          <w:color w:val="auto"/>
        </w:rPr>
      </w:pPr>
      <w:r>
        <w:rPr>
          <w:rFonts w:ascii="Times New Roman" w:cs="Times New Roman" w:eastAsia="Times New Roman" w:hAnsi="Times New Roman"/>
          <w:sz w:val="18"/>
          <w:szCs w:val="18"/>
          <w:color w:val="auto"/>
        </w:rPr>
        <w:t>royalties for which the license is deemed to be the predominant item to which the royalties relate and thus the Company recognizes sales-based royalties as the underlying sales are earned.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Included in research and development costs are wages, stock-based compensation and benefits of employees performing research and development,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expenses the cost of each contract as the work is performed.</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Pharmaceutical Drug Manufacturing Accruals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contracts with third parties to perform research and development and pharmaceutical drug manufacturing. This includes contracts with contract research organizations (“CROs”), clinical manufacturing organizations (“CMOs”), testing laboratories, research hospitals and not for profit organizations and other entities to support our research and development activities. When billing terms under these contracts do not coincide with the timing of when the work is performed, the Company is required to make estimates of outstanding obligations to those third parties as of period end. The accrual estimates are based on a number of factors, including the Company’s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at fair value on the date of grant. The Company uses the Black-Scholes option-pricing model in the valuation of its stock options. The fair value of restricted stock units with service-based and performance-based vesting is based on the fair value of the stock on the date of grant. The Company uses the Monte-Carlo model to calculate the fair value on the date of grant of market-based awards. The fair value of service-based awards is recognized as stock-based compensation expense over the requisite service period, which is generally the vesting period of the respective award. For awards with graded vesting, the straight-line method of expense recognition is applied to all awards with service-only based conditions. The Company uses the graded-vesting method to record the expense of awards with both service-based and performance-based vesting conditions, commencing once achievement of the performance condition becomes probable. The Company classifies stock-based compensation expense in the consolidated statements of operations in the same manner in which the award recipient’s payroll costs are classified. The Company accounts for stock-based compensation expense related to forfeitures as the forfeitures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The realization of deferred tax assets is dependent upon the Company’s ability to generate future taxable income during the periods in which those temporary differences become deductible. Potential for recovery of deferred tax assets is evaluated by estimating the future taxable profits expected and considering prudent and feasible tax planning strategies.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to be</w:t>
      </w: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ind w:right="260"/>
        <w:spacing w:after="0" w:line="258" w:lineRule="auto"/>
        <w:rPr>
          <w:sz w:val="20"/>
          <w:szCs w:val="20"/>
          <w:color w:val="auto"/>
        </w:rPr>
      </w:pPr>
      <w:r>
        <w:rPr>
          <w:rFonts w:ascii="Times New Roman" w:cs="Times New Roman" w:eastAsia="Times New Roman" w:hAnsi="Times New Roman"/>
          <w:sz w:val="18"/>
          <w:szCs w:val="18"/>
          <w:color w:val="auto"/>
        </w:rPr>
        <w:t>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common shares outstanding for the period, including potential dilutive common shares assuming the dilutive effect of outstanding stock options and unvested restricted stock units. For periods in which the Company reported a net loss, diluted net loss per common share is the same as basic net loss per common share, since dilutive common shares are not assumed to have been issued if their effect is anti-dilutive.</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reported net losses for each of the years ended September 30, 2022, 2021 and 2020.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4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16510</wp:posOffset>
            </wp:positionV>
            <wp:extent cx="31032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00" w:type="dxa"/>
            <w:vAlign w:val="bottom"/>
            <w:gridSpan w:val="2"/>
          </w:tcPr>
          <w:p>
            <w:pPr>
              <w:ind w:left="57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6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50"/>
        </w:trPr>
        <w:tc>
          <w:tcPr>
            <w:tcW w:w="51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FF0FC"/>
          </w:tcPr>
          <w:p>
            <w:pPr>
              <w:spacing w:after="0"/>
              <w:rPr>
                <w:sz w:val="21"/>
                <w:szCs w:val="21"/>
                <w:color w:val="auto"/>
              </w:rPr>
            </w:pPr>
          </w:p>
        </w:tc>
      </w:tr>
      <w:tr>
        <w:trPr>
          <w:trHeight w:val="23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rTSRUs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47"/>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a biotechnology company focused on discovering and developing small molecule drugs, with an emphasis on treatments for viral infections. Revenue is generated exclusively from transactions occurring with partners located in the United States, and all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that result from transactions and economic events other than those with stockholders. The Company’s only element of other comprehensive income (loss) is unrealized gains and losses on available-for-sale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Presentation of Financial Statements - Going Concern (Subtopic 205-40)</w:t>
      </w:r>
      <w:r>
        <w:rPr>
          <w:rFonts w:ascii="Times New Roman" w:cs="Times New Roman" w:eastAsia="Times New Roman" w:hAnsi="Times New Roman"/>
          <w:sz w:val="18"/>
          <w:szCs w:val="18"/>
          <w:color w:val="auto"/>
        </w:rPr>
        <w:t xml:space="preserve"> (“ASU 2014-15”). The Company adopted this standard as of September 30, 2017. The standard requires the Company to assess its ability 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its current cash, cash equivalents and short-term and long-term marketable securities on hand at September 30, 2022 is sufficient to fund operations for at least the next twelve months beyond the date of issuance of these consolidated financial statements. The amount of capital available will depend on the Company’s management of its existing cash, cash equivalents and short-term and long-term marketable securities, as well as the level of future royalties the Company earns under its agreement with AbbVie. If the Company should require financing beyond these resources to fund its research and development efforts, it may not be able to obtain financing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 (Topic 740)</w:t>
      </w:r>
      <w:r>
        <w:rPr>
          <w:rFonts w:ascii="Times New Roman" w:cs="Times New Roman" w:eastAsia="Times New Roman" w:hAnsi="Times New Roman"/>
          <w:sz w:val="18"/>
          <w:szCs w:val="18"/>
          <w:color w:val="auto"/>
        </w:rPr>
        <w:t>, which removes certain exceptions to the general principles in Topic 740 – Income Taxes and improves consistent application of and simplifies GAAP for other areas of Topic 740 by clarifying and amending existing guidance. This ASU became effective for the Company beginning October 1, 2021 and interim periods within that year. The adoption of the standard did not have a material impact on the Company's financial position or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121"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September 30, 2022 and 2021 and indicate the fair value hierarchy of the valuation inputs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 Using:</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7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105,233</w:t>
            </w:r>
          </w:p>
        </w:tc>
        <w:tc>
          <w:tcPr>
            <w:tcW w:w="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143,195</w:t>
            </w:r>
          </w:p>
        </w:tc>
        <w:tc>
          <w:tcPr>
            <w:tcW w:w="1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248,428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2021 Using:</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54,819</w:t>
            </w: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124,703</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87,471</w:t>
            </w: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7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137,857</w:t>
            </w:r>
          </w:p>
        </w:tc>
        <w:tc>
          <w:tcPr>
            <w:tcW w:w="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212,174</w:t>
            </w:r>
          </w:p>
        </w:tc>
        <w:tc>
          <w:tcPr>
            <w:tcW w:w="1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350,031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-2776855</wp:posOffset>
            </wp:positionV>
            <wp:extent cx="311150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3111500" cy="1797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-2442845</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-2442845</wp:posOffset>
            </wp:positionV>
            <wp:extent cx="5969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-2442845</wp:posOffset>
            </wp:positionV>
            <wp:extent cx="5969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-2442845</wp:posOffset>
            </wp:positionV>
            <wp:extent cx="603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-521970</wp:posOffset>
            </wp:positionV>
            <wp:extent cx="311150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3111500" cy="1797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5969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5969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Cash equivalents at September 30, 2022 and 2021 consist of money market funds that are readily convertible to cash and with less than 90 days until maturity.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September 30, 2022, 2021, and 2020, there were no transfers between Level 1, Level 2 and Level 3.</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September 30, 2022 and 2021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7" w:name="page88"/>
    <w:bookmarkEnd w:id="87"/>
    <w:p>
      <w:pPr>
        <w:ind w:right="6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1 nonconvertible preferred stock</w:t>
            </w:r>
          </w:p>
        </w:tc>
        <w:tc>
          <w:tcPr>
            <w:tcW w:w="1640" w:type="dxa"/>
            <w:vAlign w:val="bottom"/>
          </w:tcPr>
          <w:p>
            <w:pPr>
              <w:spacing w:after="0"/>
              <w:rPr>
                <w:sz w:val="20"/>
                <w:szCs w:val="20"/>
                <w:color w:val="auto"/>
              </w:rPr>
            </w:pPr>
          </w:p>
        </w:tc>
        <w:tc>
          <w:tcPr>
            <w:tcW w:w="2940" w:type="dxa"/>
            <w:vAlign w:val="bottom"/>
            <w:gridSpan w:val="3"/>
          </w:tcPr>
          <w:p>
            <w:pPr>
              <w:jc w:val="center"/>
              <w:ind w:right="155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87"/>
        </w:trPr>
        <w:tc>
          <w:tcPr>
            <w:tcW w:w="552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520" w:type="dxa"/>
            <w:vAlign w:val="bottom"/>
            <w:gridSpan w:val="2"/>
            <w:vMerge w:val="continue"/>
          </w:tcPr>
          <w:p>
            <w:pPr>
              <w:spacing w:after="0"/>
              <w:rPr>
                <w:sz w:val="14"/>
                <w:szCs w:val="14"/>
                <w:color w:val="auto"/>
              </w:rPr>
            </w:pPr>
          </w:p>
        </w:tc>
        <w:tc>
          <w:tcPr>
            <w:tcW w:w="1640" w:type="dxa"/>
            <w:vAlign w:val="bottom"/>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94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0"/>
        </w:trPr>
        <w:tc>
          <w:tcPr>
            <w:tcW w:w="542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CFF0FC"/>
            </w:tcBorders>
            <w:shd w:val="clear" w:color="auto" w:fill="CFF0FC"/>
          </w:tcPr>
          <w:p>
            <w:pPr>
              <w:jc w:val="center"/>
              <w:ind w:left="516"/>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8"/>
              </w:rPr>
              <w:t>7.25%</w:t>
            </w:r>
          </w:p>
        </w:tc>
        <w:tc>
          <w:tcPr>
            <w:tcW w:w="2940" w:type="dxa"/>
            <w:vAlign w:val="bottom"/>
            <w:gridSpan w:val="3"/>
          </w:tcPr>
          <w:p>
            <w:pPr>
              <w:jc w:val="center"/>
              <w:ind w:left="604"/>
              <w:spacing w:after="0"/>
              <w:rPr>
                <w:sz w:val="20"/>
                <w:szCs w:val="20"/>
                <w:color w:val="auto"/>
              </w:rPr>
            </w:pPr>
            <w:r>
              <w:rPr>
                <w:rFonts w:ascii="Times New Roman" w:cs="Times New Roman" w:eastAsia="Times New Roman" w:hAnsi="Times New Roman"/>
                <w:sz w:val="18"/>
                <w:szCs w:val="18"/>
                <w:color w:val="auto"/>
                <w:w w:val="98"/>
              </w:rPr>
              <w:t>4.25%</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Company’s outstanding Series 1 nonconvertible preferred stock for which fair value is determined by Level 3 inputs: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Series 1</w:t>
            </w:r>
          </w:p>
        </w:tc>
      </w:tr>
      <w:tr>
        <w:trPr>
          <w:trHeight w:val="148"/>
        </w:trPr>
        <w:tc>
          <w:tcPr>
            <w:tcW w:w="6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Nonconvertible</w:t>
            </w:r>
          </w:p>
        </w:tc>
      </w:tr>
      <w:tr>
        <w:trPr>
          <w:trHeight w:val="148"/>
        </w:trPr>
        <w:tc>
          <w:tcPr>
            <w:tcW w:w="6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r>
      <w:tr>
        <w:trPr>
          <w:trHeight w:val="187"/>
        </w:trPr>
        <w:tc>
          <w:tcPr>
            <w:tcW w:w="66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r>
      <w:tr>
        <w:trPr>
          <w:trHeight w:val="236"/>
        </w:trPr>
        <w:tc>
          <w:tcPr>
            <w:tcW w:w="6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2019</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fair value</w:t>
            </w:r>
          </w:p>
        </w:tc>
        <w:tc>
          <w:tcPr>
            <w:tcW w:w="640" w:type="dxa"/>
            <w:vAlign w:val="bottom"/>
          </w:tcPr>
          <w:p>
            <w:pPr>
              <w:spacing w:after="0"/>
              <w:rPr>
                <w:sz w:val="21"/>
                <w:szCs w:val="21"/>
                <w:color w:val="auto"/>
              </w:rPr>
            </w:pP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(149 )</w:t>
            </w:r>
          </w:p>
        </w:tc>
      </w:tr>
      <w:tr>
        <w:trPr>
          <w:trHeight w:val="23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2020</w:t>
            </w:r>
          </w:p>
        </w:tc>
        <w:tc>
          <w:tcPr>
            <w:tcW w:w="640" w:type="dxa"/>
            <w:vAlign w:val="bottom"/>
            <w:tcBorders>
              <w:top w:val="single" w:sz="8" w:color="auto"/>
            </w:tcBorders>
            <w:shd w:val="clear" w:color="auto" w:fill="CFF0FC"/>
          </w:tcPr>
          <w:p>
            <w:pPr>
              <w:spacing w:after="0"/>
              <w:rPr>
                <w:sz w:val="20"/>
                <w:szCs w:val="20"/>
                <w:color w:val="auto"/>
              </w:rPr>
            </w:pPr>
          </w:p>
        </w:tc>
        <w:tc>
          <w:tcPr>
            <w:tcW w:w="2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fair value</w:t>
            </w:r>
          </w:p>
        </w:tc>
        <w:tc>
          <w:tcPr>
            <w:tcW w:w="6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r>
      <w:tr>
        <w:trPr>
          <w:trHeight w:val="23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640" w:type="dxa"/>
            <w:vAlign w:val="bottom"/>
            <w:shd w:val="clear" w:color="auto" w:fill="CFF0FC"/>
          </w:tcPr>
          <w:p>
            <w:pPr>
              <w:spacing w:after="0"/>
              <w:rPr>
                <w:sz w:val="20"/>
                <w:szCs w:val="20"/>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fair value</w:t>
            </w:r>
          </w:p>
        </w:tc>
        <w:tc>
          <w:tcPr>
            <w:tcW w:w="640" w:type="dxa"/>
            <w:vAlign w:val="bottom"/>
          </w:tcPr>
          <w:p>
            <w:pPr>
              <w:spacing w:after="0"/>
              <w:rPr>
                <w:sz w:val="21"/>
                <w:szCs w:val="21"/>
                <w:color w:val="auto"/>
              </w:rPr>
            </w:pP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(83 )</w:t>
            </w:r>
          </w:p>
        </w:tc>
      </w:tr>
      <w:tr>
        <w:trPr>
          <w:trHeight w:val="277"/>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-25400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-8255</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2021, the fair value of available-for-sale marketable securities, by type of security, was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(2,252 )</w:t>
            </w: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(1,088 )</w:t>
            </w: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(3,340 )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124,678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(68 )</w:t>
            </w: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(26 )</w:t>
            </w: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(94 )</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-1696720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-1696720</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-1696720</wp:posOffset>
            </wp:positionV>
            <wp:extent cx="6032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-1696720</wp:posOffset>
            </wp:positionV>
            <wp:extent cx="603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-1696720</wp:posOffset>
            </wp:positionV>
            <wp:extent cx="6032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-187960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032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03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As of September 30, 2022 and 2021, marketable securities consisted of investments that mature within one year, with the exception of certain corporate bonds and U.S. Treasury notes, which have maturities between one and three years and an aggregate fair value of $29,285 and $108,416, respectively.</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2022 and 2021:</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4"/>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2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tcPr>
          <w:p>
            <w:pPr>
              <w:spacing w:after="0"/>
              <w:rPr>
                <w:sz w:val="20"/>
                <w:szCs w:val="20"/>
                <w:color w:val="auto"/>
              </w:rPr>
            </w:pPr>
          </w:p>
        </w:tc>
      </w:tr>
      <w:tr>
        <w:trPr>
          <w:trHeight w:val="25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0"/>
                <w:szCs w:val="20"/>
                <w:color w:val="auto"/>
              </w:rPr>
            </w:pPr>
          </w:p>
        </w:tc>
      </w:tr>
      <w:tr>
        <w:trPr>
          <w:trHeight w:val="247"/>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(21,858 )</w:t>
            </w:r>
          </w:p>
        </w:tc>
        <w:tc>
          <w:tcPr>
            <w:tcW w:w="4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(18,926 )</w:t>
            </w:r>
          </w:p>
        </w:tc>
      </w:tr>
      <w:tr>
        <w:trPr>
          <w:trHeight w:val="237"/>
        </w:trPr>
        <w:tc>
          <w:tcPr>
            <w:tcW w:w="69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-505460</wp:posOffset>
            </wp:positionV>
            <wp:extent cx="6032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2022, construction in progress related primarily to leasehold improvements. Depreciation and amortization expense for property and equipment, was $2,973, $3,334 and $3,644 for the years ended September 30,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2022 and 2021:</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FF0FC"/>
          </w:tcPr>
          <w:p>
            <w:pPr>
              <w:spacing w:after="0"/>
              <w:rPr>
                <w:sz w:val="21"/>
                <w:szCs w:val="21"/>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r>
      <w:tr>
        <w:trPr>
          <w:trHeight w:val="272"/>
        </w:trPr>
        <w:tc>
          <w:tcPr>
            <w:tcW w:w="69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right="9020" w:firstLine="8"/>
        <w:spacing w:after="0" w:line="378"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AbbVie Collaboration</w:t>
      </w: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$1,207,000 through September 30, 2022.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1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Calendar Year Net Sales</w:t>
            </w:r>
          </w:p>
        </w:tc>
        <w:tc>
          <w:tcPr>
            <w:tcW w:w="12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2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Royalty Tier</w:t>
            </w:r>
          </w:p>
        </w:tc>
        <w:tc>
          <w:tcPr>
            <w:tcW w:w="560" w:type="dxa"/>
            <w:vAlign w:val="bottom"/>
          </w:tcPr>
          <w:p>
            <w:pPr>
              <w:spacing w:after="0"/>
              <w:rPr>
                <w:sz w:val="16"/>
                <w:szCs w:val="16"/>
                <w:color w:val="auto"/>
              </w:rPr>
            </w:pPr>
          </w:p>
        </w:tc>
      </w:tr>
      <w:tr>
        <w:trPr>
          <w:trHeight w:val="178"/>
        </w:trPr>
        <w:tc>
          <w:tcPr>
            <w:tcW w:w="580" w:type="dxa"/>
            <w:vAlign w:val="bottom"/>
          </w:tcPr>
          <w:p>
            <w:pPr>
              <w:spacing w:after="0"/>
              <w:rPr>
                <w:sz w:val="15"/>
                <w:szCs w:val="15"/>
                <w:color w:val="auto"/>
              </w:rPr>
            </w:pPr>
          </w:p>
        </w:tc>
        <w:tc>
          <w:tcPr>
            <w:tcW w:w="41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r>
      <w:tr>
        <w:trPr>
          <w:trHeight w:val="241"/>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up to $500,000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$500,000 up to $750,000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from $750,000 up to $1,000,000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$1,000,000 up to $2,500,000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$2,500,000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21"/>
                <w:szCs w:val="21"/>
                <w:color w:val="auto"/>
              </w:rPr>
            </w:pPr>
          </w:p>
        </w:tc>
      </w:tr>
      <w:tr>
        <w:trPr>
          <w:trHeight w:val="445"/>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F-16</w:t>
            </w: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9" w:name="page90"/>
    <w:bookmarkEnd w:id="89"/>
    <w:p>
      <w:pPr>
        <w:spacing w:after="0" w:line="258" w:lineRule="auto"/>
        <w:rPr>
          <w:sz w:val="20"/>
          <w:szCs w:val="20"/>
          <w:color w:val="auto"/>
        </w:rPr>
      </w:pPr>
      <w:r>
        <w:rPr>
          <w:rFonts w:ascii="Times New Roman" w:cs="Times New Roman" w:eastAsia="Times New Roman" w:hAnsi="Times New Roman"/>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68"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 shares of common stock at a par value of $0.01 per share. Each share of common stock entitles the holder to one vote on all matters submitted to a vote of the Company’s stockholders. Common stockholders are entitled to receive such dividends as may be declared by the board of directors, if any.</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is authorized to issue 5,000 shares of preferred stock at a par value of $0.01 per share, of which 2,000 shares are designated as Series 1 Nonconvertible preferred stock and 3,000 shares are undesignated and unissued.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Series 1 Nonconvertible Preferred Stock</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2022 and 2021, 1,930 shares of Series 1 nonconvertible preferred stock were issued and outstanding. For the years ended September 30, 2022, 2021, and 2020, the remeasurement of the Series 1 nonconvertible preferred stock resulted in income (expense) of $83, $(27), and $149, respectively, which was recorded in other income (expense) in the consolidated statements of operations. The total fair value of the Series 1 nonconvertible preferred stock was $1,423 and $1,506 as of September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Awards</w:t>
      </w:r>
    </w:p>
    <w:p>
      <w:pPr>
        <w:spacing w:after="0" w:line="121"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and March 2022. The Company also has outstanding stock option awards under its 2012 Equity Incentive Plan (the “2012 Plan”) and 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ind w:right="20"/>
        <w:spacing w:after="0" w:line="256" w:lineRule="auto"/>
        <w:rPr>
          <w:sz w:val="20"/>
          <w:szCs w:val="20"/>
          <w:color w:val="auto"/>
        </w:rPr>
      </w:pPr>
      <w:r>
        <w:rPr>
          <w:rFonts w:ascii="Times New Roman" w:cs="Times New Roman" w:eastAsia="Times New Roman" w:hAnsi="Times New Roman"/>
          <w:sz w:val="18"/>
          <w:szCs w:val="18"/>
          <w:color w:val="auto"/>
        </w:rPr>
        <w:t>amended and restated 1995 Equity Incentive Plan (the “1995 Plan”), but is no longer granting awards under these plans. The Company’s 2019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2019 Plan is subject to increase by the number of shares forfeited under any options forfeited and not exercised under the 2019 Plan or any predecessor plans such as the 2012 Plan or the 1995 Plan. As of September 30, 2022, 1,363 shares remained available for future awards under the 2019 Plan.</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Under the Company’s Employee Stock Purchase Plan (“ESPP”) a total of 186 shares of common stock are reserved for issuance. As of September 30, 2022, the Company had not commenced any offering under the ESPP and no ESPP shares have been issued.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2019 Plan to employees generally vest over four years and to non-employee directors over one year, and expire after ten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under the equity plans, the exercise price for awards granted is not to be less than the fair value of common shares on the date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with service-based vesting conditions generally vest over four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2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determined on the date of grant using the Black-Scholes option-pricing model. The volatility has been determined using the Company’s traded stock price to estimate expected volatility.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due to the fact that the Company has never paid cash dividends and does not expect to pay any cash dividends in the foreseeable future. The relevant data used to determine the value of the stock option awards are as follows, presented on a weighted average basis: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Pr>
          <w:p>
            <w:pPr>
              <w:spacing w:after="0"/>
              <w:rPr>
                <w:sz w:val="21"/>
                <w:szCs w:val="21"/>
                <w:color w:val="auto"/>
              </w:rPr>
            </w:pPr>
          </w:p>
        </w:tc>
        <w:tc>
          <w:tcPr>
            <w:tcW w:w="7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5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40" w:type="dxa"/>
            <w:vAlign w:val="bottom"/>
          </w:tcPr>
          <w:p>
            <w:pPr>
              <w:spacing w:after="0"/>
              <w:rPr>
                <w:sz w:val="21"/>
                <w:szCs w:val="21"/>
                <w:color w:val="auto"/>
              </w:rPr>
            </w:pPr>
          </w:p>
        </w:tc>
        <w:tc>
          <w:tcPr>
            <w:tcW w:w="7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0 %</w:t>
            </w:r>
          </w:p>
        </w:tc>
        <w:tc>
          <w:tcPr>
            <w:tcW w:w="34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3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aggregate intrinsic value for the year ended September 30,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11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6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6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11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2021</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(517 )</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2022</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Options vested and expected to vest as of</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September 30, 2022</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-496570</wp:posOffset>
            </wp:positionV>
            <wp:extent cx="68580" cy="317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 of stock options exercised</w:t>
            </w:r>
          </w:p>
        </w:tc>
        <w:tc>
          <w:tcPr>
            <w:tcW w:w="18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Proceeds to Company from stock options exercised</w:t>
            </w:r>
          </w:p>
        </w:tc>
        <w:tc>
          <w:tcPr>
            <w:tcW w:w="180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F-18</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awards both performance share units (“PSUs”) and relative total stockholder return units (“rTSRUs”) to its executive officers.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PSUs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two years. The fair value of PSUs is based on the fair value of the stock on the date of grant, which is determined to be the closing price of the Company's common stock. Stock-based compensation expense for PSUs is recorded in the statements of operations over the service period, commencing when it is probable that the specified research and development milestone is achieved.</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rTSRUs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two specified periods that are two years apart,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150% of the target number, depending on the award agreement and the year of the award. The Company used a Monte Carlo model to estimate the grant-date fair value of the rTSRUs. Stock-based compensation expense for rTSRUs is recorded in the statements of operations over the service period regardless of whether the market condition is achieved.</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8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0.94 %</w:t>
            </w:r>
          </w:p>
        </w:tc>
        <w:tc>
          <w:tcPr>
            <w:tcW w:w="10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5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0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6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80 %</w:t>
            </w:r>
          </w:p>
        </w:tc>
        <w:tc>
          <w:tcPr>
            <w:tcW w:w="10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63"/>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period (years)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-488315</wp:posOffset>
            </wp:positionV>
            <wp:extent cx="641223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and rTSRU activity (at target) for the year ended September 30, 2022:</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ind w:left="304"/>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per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40" w:type="dxa"/>
            <w:vAlign w:val="bottom"/>
            <w:gridSpan w:val="2"/>
            <w:vMerge w:val="continue"/>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49.31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76.84</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61.59</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9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59.01</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2022</w:t>
            </w:r>
          </w:p>
        </w:tc>
        <w:tc>
          <w:tcPr>
            <w:tcW w:w="9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760" w:type="dxa"/>
            <w:vAlign w:val="bottom"/>
            <w:tcBorders>
              <w:top w:val="single" w:sz="8" w:color="CFF0FC"/>
            </w:tcBorders>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8"/>
              </w:rPr>
              <w:t>54.50</w:t>
            </w:r>
          </w:p>
        </w:tc>
        <w:tc>
          <w:tcPr>
            <w:tcW w:w="20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-187960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5969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78" w:lineRule="exact"/>
        <w:rPr>
          <w:sz w:val="20"/>
          <w:szCs w:val="20"/>
          <w:color w:val="auto"/>
        </w:rPr>
      </w:pPr>
    </w:p>
    <w:p>
      <w:pPr>
        <w:jc w:val="center"/>
        <w:ind w:right="300"/>
        <w:spacing w:after="0" w:line="282" w:lineRule="auto"/>
        <w:rPr>
          <w:sz w:val="20"/>
          <w:szCs w:val="20"/>
          <w:color w:val="auto"/>
        </w:rPr>
      </w:pPr>
      <w:r>
        <w:rPr>
          <w:rFonts w:ascii="Times New Roman" w:cs="Times New Roman" w:eastAsia="Times New Roman" w:hAnsi="Times New Roman"/>
          <w:sz w:val="18"/>
          <w:szCs w:val="18"/>
          <w:color w:val="auto"/>
        </w:rPr>
        <w:t>The total fair value of PSUs and rTSRUs vested during the years ended September 30, 2022, 2021, and 2020 were $1,414, $0 and $1,227, respectively.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 ending September 30,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5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ind w:left="403"/>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ind w:left="383"/>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5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ind w:left="423"/>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per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52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40" w:type="dxa"/>
            <w:vAlign w:val="bottom"/>
          </w:tcPr>
          <w:p>
            <w:pPr>
              <w:spacing w:after="0"/>
              <w:rPr>
                <w:sz w:val="13"/>
                <w:szCs w:val="13"/>
                <w:color w:val="auto"/>
              </w:rPr>
            </w:pPr>
          </w:p>
        </w:tc>
        <w:tc>
          <w:tcPr>
            <w:tcW w:w="366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1560" w:type="dxa"/>
            <w:vAlign w:val="bottom"/>
          </w:tcPr>
          <w:p>
            <w:pPr>
              <w:jc w:val="right"/>
              <w:ind w:right="136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1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5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2022</w:t>
            </w:r>
          </w:p>
        </w:tc>
        <w:tc>
          <w:tcPr>
            <w:tcW w:w="15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top w:val="single" w:sz="8" w:color="CFF0FC"/>
            </w:tcBorders>
          </w:tcPr>
          <w:p>
            <w:pPr>
              <w:spacing w:after="0"/>
              <w:rPr>
                <w:sz w:val="20"/>
                <w:szCs w:val="20"/>
                <w:color w:val="auto"/>
              </w:rPr>
            </w:pPr>
          </w:p>
        </w:tc>
        <w:tc>
          <w:tcPr>
            <w:tcW w:w="1560" w:type="dxa"/>
            <w:vAlign w:val="bottom"/>
            <w:tcBorders>
              <w:top w:val="single" w:sz="8" w:color="CFF0FC"/>
            </w:tcBorders>
          </w:tcPr>
          <w:p>
            <w:pPr>
              <w:jc w:val="right"/>
              <w:ind w:right="136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-187960</wp:posOffset>
            </wp:positionV>
            <wp:extent cx="60325" cy="351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0325" cy="3511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years ended September 30, 2022, 2021, and 2020 were $2,427, $1,897 and $3,149,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for the years ended September 30, 2022, 2021, and 2020:</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Pr>
          <w:p>
            <w:pPr>
              <w:spacing w:after="0"/>
              <w:rPr>
                <w:sz w:val="21"/>
                <w:szCs w:val="21"/>
                <w:color w:val="auto"/>
              </w:rPr>
            </w:pPr>
          </w:p>
        </w:tc>
      </w:tr>
      <w:tr>
        <w:trPr>
          <w:trHeight w:val="272"/>
        </w:trPr>
        <w:tc>
          <w:tcPr>
            <w:tcW w:w="522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6"/>
        </w:trPr>
        <w:tc>
          <w:tcPr>
            <w:tcW w:w="5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4"/>
        </w:trPr>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00" w:type="dxa"/>
            <w:vAlign w:val="bottom"/>
          </w:tcPr>
          <w:p>
            <w:pPr>
              <w:spacing w:after="0"/>
              <w:rPr>
                <w:sz w:val="20"/>
                <w:szCs w:val="20"/>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rTSRUs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r>
      <w:tr>
        <w:trPr>
          <w:trHeight w:val="24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2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-1319530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-1302385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-1319530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-1302385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-1319530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5969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an aggregate of $55,346 of unrecognized stock-based compensation cost, which is expected to be recognized over a weighted average period of 2.4 years.</w:t>
      </w: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two real estate leases for properties located in Watertown, Massachusetts. The first lease, for office and laboratory space at 500 Arsenal Street, was effective in fiscal 2011 and was set to expire in September 2022 with an option to extend the lease term for an additional five years. On November 19, 2021, the Company exercised its option to extend the lease term for an additional five years through September 1, 2027. The option to extend the lease term was not included in the right-of-use asset and lease liabilities as it was not reasonably certain of being exercised. Therefore, the Company accounted for the extension as a modification and re-assessed the classification of the lease as an operating lease. The total remeasurement of the lease resulted in an increase in the right-of-use asset and lease liability of $15,076 during the year ended September 30, 2022.</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was effective September 2018 for a term of six years with two options to extend the lease term for an additional three years each. The options to extend the lease terms were not included in the right-of-use assets and lease liabilities as they were not reasonably certain of being exercised. In May 2022, the Company amended the lease to add additional office space and extend the lease term through June 1, 2034. The amended lease also includes a tenant improvement allowance from the landlord of up to $2,574. The Company accounted for the lease amendment as a modification and re-assessed the classification of the lease as an operating lease. The total remeasurement of the lease resulted in an increase in the right-of-use asset and liability of $8,174 during the year ended September 30, 2022.</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Lease payments for the Company's real estate leases include fixed lease payments that escalate over the terms of the leases and require the Company to pay certain operating expenses based on actual costs incurred. Operating expenses that are not fixed in nature are expensed in the period incurred and included in variable lease costs. The leases do not include any restrictions or covenants that had to be accounted for under the lease guidance.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the Company entered into a new ten-year lease agreement with its existing landlord for laboratory and office space in Watertown, Massachusetts, adjacent to its 400 Talcott Avenue premises to accommodate its growing headcount. The new lab and office space will be located at Arsenal on the Charles in Watertown, Massachusetts, at a to-be-constructed facility. The Company expects to gain access to the space to perform tenant improvements beginning in October 2023. The estimated minimum lease payments as a result of the new lease total $76,470 over the ten-year term. The lease also contains a tenant improvement allowance of $15,194. The Company will account for the lease as a right-of-use asset and lease liability upon the lease commencement date.</w:t>
      </w:r>
    </w:p>
    <w:p>
      <w:pPr>
        <w:spacing w:after="0" w:line="7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conjunction with the new lease agreement at Arsenal on the Charles, the Company amended its 500 Arsenal Street lease to shorten the term of the lease from September 2027 to the date when the Arsenal on the Charles facility is completed and ready for the Company's occupancy. The construction of the Arsenal on the Charles facility is being conducted by the landlord and it is expected that the facility will be ready for the Company's tenant improvement buildout in October 2023. As the construction of the facility and the timing of completion is not in the control of the Company, the Company will remeasure the term for the 500 Arsenal Street lease for financial accounting purposes at the time the contingency regarding occupancy lapses.</w:t>
      </w:r>
    </w:p>
    <w:p>
      <w:pPr>
        <w:spacing w:after="0" w:line="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leases units of equipment over eighteen-month lease periods commencing upon shipment of each unit. The lease agreements contain options to terminate the leases early or to extend the leases for successive six-month periods, however these options were not included in the right-of-use assets and lease liability as they were not reasonably certain of being exercised. The equipment leases require the Company to pay for certain consumable and peripheral equipment supplies based on actual costs incurred. As these costs are not fixed in nature, they are expensed in the period incurred and included in variable lease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Company’s real estate and equipment leases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r>
      <w:tr>
        <w:trPr>
          <w:trHeight w:val="169"/>
        </w:trPr>
        <w:tc>
          <w:tcPr>
            <w:tcW w:w="5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712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gridSpan w:val="2"/>
            <w:shd w:val="clear" w:color="auto" w:fill="CFF2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FF2FC"/>
          </w:tcPr>
          <w:p>
            <w:pPr>
              <w:spacing w:after="0"/>
              <w:rPr>
                <w:sz w:val="21"/>
                <w:szCs w:val="21"/>
                <w:color w:val="auto"/>
              </w:rPr>
            </w:pPr>
          </w:p>
        </w:tc>
        <w:tc>
          <w:tcPr>
            <w:tcW w:w="560" w:type="dxa"/>
            <w:vAlign w:val="bottom"/>
            <w:gridSpan w:val="2"/>
            <w:shd w:val="clear" w:color="auto" w:fill="CFF2FC"/>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shd w:val="clear" w:color="auto" w:fill="CFF2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7120" w:type="dxa"/>
            <w:vAlign w:val="bottom"/>
            <w:tcBorders>
              <w:bottom w:val="single" w:sz="8" w:color="CFF2FC"/>
            </w:tcBorders>
            <w:shd w:val="clear" w:color="auto" w:fill="CFF2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Borders>
              <w:bottom w:val="single" w:sz="8" w:color="CFF2FC"/>
            </w:tcBorders>
            <w:shd w:val="clear" w:color="auto" w:fill="CFF2FC"/>
          </w:tcPr>
          <w:p>
            <w:pPr>
              <w:spacing w:after="0"/>
              <w:rPr>
                <w:sz w:val="21"/>
                <w:szCs w:val="21"/>
                <w:color w:val="auto"/>
              </w:rPr>
            </w:pPr>
          </w:p>
        </w:tc>
        <w:tc>
          <w:tcPr>
            <w:tcW w:w="240" w:type="dxa"/>
            <w:vAlign w:val="bottom"/>
            <w:tcBorders>
              <w:bottom w:val="single" w:sz="8" w:color="auto"/>
            </w:tcBorders>
            <w:shd w:val="clear" w:color="auto" w:fill="CFF2FC"/>
          </w:tcPr>
          <w:p>
            <w:pPr>
              <w:spacing w:after="0"/>
              <w:rPr>
                <w:sz w:val="21"/>
                <w:szCs w:val="21"/>
                <w:color w:val="auto"/>
              </w:rPr>
            </w:pPr>
          </w:p>
        </w:tc>
        <w:tc>
          <w:tcPr>
            <w:tcW w:w="920" w:type="dxa"/>
            <w:vAlign w:val="bottom"/>
            <w:tcBorders>
              <w:bottom w:val="single" w:sz="8" w:color="auto"/>
            </w:tcBorders>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tcBorders>
              <w:bottom w:val="single" w:sz="8" w:color="CFF2FC"/>
            </w:tcBorders>
            <w:shd w:val="clear" w:color="auto" w:fill="CFF2FC"/>
          </w:tcPr>
          <w:p>
            <w:pPr>
              <w:spacing w:after="0"/>
              <w:rPr>
                <w:sz w:val="21"/>
                <w:szCs w:val="21"/>
                <w:color w:val="auto"/>
              </w:rPr>
            </w:pPr>
          </w:p>
        </w:tc>
        <w:tc>
          <w:tcPr>
            <w:tcW w:w="40" w:type="dxa"/>
            <w:vAlign w:val="bottom"/>
            <w:tcBorders>
              <w:bottom w:val="single" w:sz="8" w:color="CFF2FC"/>
            </w:tcBorders>
            <w:shd w:val="clear" w:color="auto" w:fill="CFF2FC"/>
          </w:tcPr>
          <w:p>
            <w:pPr>
              <w:spacing w:after="0"/>
              <w:rPr>
                <w:sz w:val="21"/>
                <w:szCs w:val="21"/>
                <w:color w:val="auto"/>
              </w:rPr>
            </w:pPr>
          </w:p>
        </w:tc>
        <w:tc>
          <w:tcPr>
            <w:tcW w:w="520" w:type="dxa"/>
            <w:vAlign w:val="bottom"/>
            <w:tcBorders>
              <w:bottom w:val="single" w:sz="8" w:color="auto"/>
            </w:tcBorders>
            <w:shd w:val="clear" w:color="auto" w:fill="CFF2FC"/>
          </w:tcPr>
          <w:p>
            <w:pPr>
              <w:spacing w:after="0"/>
              <w:rPr>
                <w:sz w:val="21"/>
                <w:szCs w:val="21"/>
                <w:color w:val="auto"/>
              </w:rPr>
            </w:pPr>
          </w:p>
        </w:tc>
        <w:tc>
          <w:tcPr>
            <w:tcW w:w="9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Borders>
              <w:bottom w:val="single" w:sz="8" w:color="CFF2FC"/>
            </w:tcBorders>
            <w:shd w:val="clear" w:color="auto" w:fill="CFF2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592"/>
        </w:trPr>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r>
      <w:tr>
        <w:trPr>
          <w:trHeight w:val="169"/>
        </w:trPr>
        <w:tc>
          <w:tcPr>
            <w:tcW w:w="5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712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20" w:type="dxa"/>
            <w:vAlign w:val="bottom"/>
            <w:gridSpan w:val="2"/>
            <w:shd w:val="clear" w:color="auto" w:fill="CFF2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0" w:type="dxa"/>
            <w:vAlign w:val="bottom"/>
            <w:shd w:val="clear" w:color="auto" w:fill="CFF2FC"/>
          </w:tcPr>
          <w:p>
            <w:pPr>
              <w:spacing w:after="0"/>
              <w:rPr>
                <w:sz w:val="21"/>
                <w:szCs w:val="21"/>
                <w:color w:val="auto"/>
              </w:rPr>
            </w:pPr>
          </w:p>
        </w:tc>
        <w:tc>
          <w:tcPr>
            <w:tcW w:w="160" w:type="dxa"/>
            <w:vAlign w:val="bottom"/>
            <w:shd w:val="clear" w:color="auto" w:fill="CFF2FC"/>
          </w:tcPr>
          <w:p>
            <w:pPr>
              <w:spacing w:after="0"/>
              <w:rPr>
                <w:sz w:val="21"/>
                <w:szCs w:val="21"/>
                <w:color w:val="auto"/>
              </w:rPr>
            </w:pPr>
          </w:p>
        </w:tc>
        <w:tc>
          <w:tcPr>
            <w:tcW w:w="560" w:type="dxa"/>
            <w:vAlign w:val="bottom"/>
            <w:gridSpan w:val="2"/>
            <w:shd w:val="clear" w:color="auto" w:fill="CFF2FC"/>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FF2FC"/>
          </w:tcPr>
          <w:p>
            <w:pPr>
              <w:spacing w:after="0"/>
              <w:rPr>
                <w:sz w:val="21"/>
                <w:szCs w:val="21"/>
                <w:color w:val="auto"/>
              </w:rPr>
            </w:pPr>
          </w:p>
        </w:tc>
        <w:tc>
          <w:tcPr>
            <w:tcW w:w="5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81"/>
        </w:trPr>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7120" w:type="dxa"/>
            <w:vAlign w:val="bottom"/>
            <w:shd w:val="clear" w:color="auto" w:fill="CFF2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80" w:type="dxa"/>
            <w:vAlign w:val="bottom"/>
            <w:shd w:val="clear" w:color="auto" w:fill="CFF2FC"/>
          </w:tcPr>
          <w:p>
            <w:pPr>
              <w:spacing w:after="0"/>
              <w:rPr>
                <w:sz w:val="20"/>
                <w:szCs w:val="20"/>
                <w:color w:val="auto"/>
              </w:rPr>
            </w:pPr>
          </w:p>
        </w:tc>
        <w:tc>
          <w:tcPr>
            <w:tcW w:w="240" w:type="dxa"/>
            <w:vAlign w:val="bottom"/>
            <w:shd w:val="clear" w:color="auto" w:fill="CFF2FC"/>
          </w:tcPr>
          <w:p>
            <w:pPr>
              <w:spacing w:after="0"/>
              <w:rPr>
                <w:sz w:val="20"/>
                <w:szCs w:val="20"/>
                <w:color w:val="auto"/>
              </w:rPr>
            </w:pP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 w:type="dxa"/>
            <w:vAlign w:val="bottom"/>
            <w:shd w:val="clear" w:color="auto" w:fill="CFF2FC"/>
          </w:tcPr>
          <w:p>
            <w:pPr>
              <w:spacing w:after="0"/>
              <w:rPr>
                <w:sz w:val="20"/>
                <w:szCs w:val="20"/>
                <w:color w:val="auto"/>
              </w:rPr>
            </w:pPr>
          </w:p>
        </w:tc>
        <w:tc>
          <w:tcPr>
            <w:tcW w:w="160" w:type="dxa"/>
            <w:vAlign w:val="bottom"/>
            <w:shd w:val="clear" w:color="auto" w:fill="CFF2FC"/>
          </w:tcPr>
          <w:p>
            <w:pPr>
              <w:spacing w:after="0"/>
              <w:rPr>
                <w:sz w:val="20"/>
                <w:szCs w:val="20"/>
                <w:color w:val="auto"/>
              </w:rPr>
            </w:pPr>
          </w:p>
        </w:tc>
        <w:tc>
          <w:tcPr>
            <w:tcW w:w="40" w:type="dxa"/>
            <w:vAlign w:val="bottom"/>
            <w:shd w:val="clear" w:color="auto" w:fill="CFF2FC"/>
          </w:tcPr>
          <w:p>
            <w:pPr>
              <w:spacing w:after="0"/>
              <w:rPr>
                <w:sz w:val="20"/>
                <w:szCs w:val="20"/>
                <w:color w:val="auto"/>
              </w:rPr>
            </w:pPr>
          </w:p>
        </w:tc>
        <w:tc>
          <w:tcPr>
            <w:tcW w:w="520" w:type="dxa"/>
            <w:vAlign w:val="bottom"/>
            <w:shd w:val="clear" w:color="auto" w:fill="CFF2FC"/>
          </w:tcPr>
          <w:p>
            <w:pPr>
              <w:spacing w:after="0"/>
              <w:rPr>
                <w:sz w:val="20"/>
                <w:szCs w:val="20"/>
                <w:color w:val="auto"/>
              </w:rPr>
            </w:pP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2FC"/>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6.08 %</w:t>
            </w:r>
          </w:p>
        </w:tc>
      </w:tr>
      <w:tr>
        <w:trPr>
          <w:trHeight w:val="441"/>
        </w:trPr>
        <w:tc>
          <w:tcPr>
            <w:tcW w:w="580" w:type="dxa"/>
            <w:vAlign w:val="bottom"/>
          </w:tcPr>
          <w:p>
            <w:pPr>
              <w:spacing w:after="0"/>
              <w:rPr>
                <w:sz w:val="24"/>
                <w:szCs w:val="24"/>
                <w:color w:val="auto"/>
              </w:rPr>
            </w:pPr>
          </w:p>
        </w:tc>
        <w:tc>
          <w:tcPr>
            <w:tcW w:w="712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F-21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-2219325</wp:posOffset>
            </wp:positionV>
            <wp:extent cx="6032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-2219325</wp:posOffset>
            </wp:positionV>
            <wp:extent cx="6032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ind w:right="200"/>
        <w:spacing w:after="0" w:line="266"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utilized its incremental borrowing rate based on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minimum lease payments relating to the Company's lease liabilities as of September 30, 2022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7"/>
        </w:trPr>
        <w:tc>
          <w:tcPr>
            <w:tcW w:w="1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5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FF0FC"/>
          </w:tcPr>
          <w:p>
            <w:pPr>
              <w:spacing w:after="0"/>
              <w:rPr>
                <w:sz w:val="22"/>
                <w:szCs w:val="22"/>
                <w:color w:val="auto"/>
              </w:rPr>
            </w:pPr>
          </w:p>
        </w:tc>
      </w:tr>
      <w:tr>
        <w:trPr>
          <w:trHeight w:val="2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20"/>
                <w:szCs w:val="20"/>
                <w:color w:val="auto"/>
              </w:rPr>
            </w:pPr>
          </w:p>
        </w:tc>
      </w:tr>
      <w:tr>
        <w:trPr>
          <w:trHeight w:val="247"/>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FF0FC"/>
          </w:tcPr>
          <w:p>
            <w:pPr>
              <w:spacing w:after="0"/>
              <w:rPr>
                <w:sz w:val="21"/>
                <w:szCs w:val="21"/>
                <w:color w:val="auto"/>
              </w:rPr>
            </w:pPr>
          </w:p>
        </w:tc>
      </w:tr>
      <w:tr>
        <w:trPr>
          <w:trHeight w:val="2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20"/>
                <w:szCs w:val="20"/>
                <w:color w:val="auto"/>
              </w:rPr>
            </w:pPr>
          </w:p>
        </w:tc>
      </w:tr>
      <w:tr>
        <w:trPr>
          <w:trHeight w:val="247"/>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0"/>
                <w:szCs w:val="20"/>
                <w:color w:val="auto"/>
              </w:rPr>
            </w:pPr>
          </w:p>
        </w:tc>
      </w:tr>
      <w:tr>
        <w:trPr>
          <w:trHeight w:val="241"/>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100" w:type="dxa"/>
            <w:vAlign w:val="bottom"/>
            <w:shd w:val="clear" w:color="auto" w:fill="CFF0FC"/>
          </w:tcPr>
          <w:p>
            <w:pPr>
              <w:spacing w:after="0"/>
              <w:rPr>
                <w:sz w:val="20"/>
                <w:szCs w:val="20"/>
                <w:color w:val="auto"/>
              </w:rPr>
            </w:pPr>
          </w:p>
        </w:tc>
      </w:tr>
      <w:tr>
        <w:trPr>
          <w:trHeight w:val="23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(9,786 )</w:t>
            </w:r>
          </w:p>
        </w:tc>
      </w:tr>
      <w:tr>
        <w:trPr>
          <w:trHeight w:val="276"/>
        </w:trPr>
        <w:tc>
          <w:tcPr>
            <w:tcW w:w="7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4"/>
        </w:trPr>
        <w:tc>
          <w:tcPr>
            <w:tcW w:w="16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Included in the balance sheet: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16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00" w:type="dxa"/>
            <w:vAlign w:val="bottom"/>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720" w:type="dxa"/>
            <w:vAlign w:val="bottom"/>
            <w:gridSpan w:val="2"/>
            <w:shd w:val="clear" w:color="auto" w:fill="CFF2FC"/>
          </w:tcPr>
          <w:p>
            <w:pPr>
              <w:jc w:val="center"/>
              <w:ind w:right="1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FF2FC"/>
          </w:tcPr>
          <w:p>
            <w:pPr>
              <w:spacing w:after="0"/>
              <w:rPr>
                <w:sz w:val="21"/>
                <w:szCs w:val="21"/>
                <w:color w:val="auto"/>
              </w:rPr>
            </w:pPr>
          </w:p>
        </w:tc>
      </w:tr>
      <w:tr>
        <w:trPr>
          <w:trHeight w:val="23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0"/>
                <w:szCs w:val="20"/>
                <w:color w:val="auto"/>
              </w:rPr>
            </w:pPr>
          </w:p>
        </w:tc>
      </w:tr>
      <w:tr>
        <w:trPr>
          <w:trHeight w:val="277"/>
        </w:trPr>
        <w:tc>
          <w:tcPr>
            <w:tcW w:w="7200" w:type="dxa"/>
            <w:vAlign w:val="bottom"/>
            <w:tcBorders>
              <w:bottom w:val="single" w:sz="8" w:color="CFF2FC"/>
            </w:tcBorders>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200" w:type="dxa"/>
            <w:vAlign w:val="bottom"/>
            <w:tcBorders>
              <w:bottom w:val="single" w:sz="8" w:color="CFF2FC"/>
            </w:tcBorders>
            <w:shd w:val="clear" w:color="auto" w:fill="CFF2FC"/>
          </w:tcPr>
          <w:p>
            <w:pPr>
              <w:spacing w:after="0"/>
              <w:rPr>
                <w:sz w:val="24"/>
                <w:szCs w:val="24"/>
                <w:color w:val="auto"/>
              </w:rPr>
            </w:pPr>
          </w:p>
        </w:tc>
        <w:tc>
          <w:tcPr>
            <w:tcW w:w="520" w:type="dxa"/>
            <w:vAlign w:val="bottom"/>
            <w:tcBorders>
              <w:bottom w:val="single" w:sz="8" w:color="auto"/>
            </w:tcBorders>
            <w:shd w:val="clear" w:color="auto" w:fill="CFF2FC"/>
          </w:tcPr>
          <w:p>
            <w:pPr>
              <w:jc w:val="center"/>
              <w:ind w:right="3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Borders>
              <w:bottom w:val="single" w:sz="8" w:color="CFF2FC"/>
            </w:tcBorders>
            <w:shd w:val="clear" w:color="auto" w:fill="CFF2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-1036320</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tables above do not include lease payments related to the Company’s Arsenal on the Charles facility because as of September 30, 2022, the lease commencement date had not occurred. Additionally, the tables above do not include the impact of shortening the term for the 500 Arsenal Street Lease as the term date is contingent upon events not in the Company's control.</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security deposits of $652 in connection with various of its real estate leases, which amounts are included in other long-term assets on the Company's consolidated balance sheets. In addition, the Company is required to maintain letters of credit for certain of its leases, collateralized by money market accounts of $3,968, which amounts are classified as long-term restricted cash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6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consolidated statements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is not a party to any other litigation.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w:t>
      </w: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95" w:name="page96"/>
    <w:bookmarkEnd w:id="95"/>
    <w:p>
      <w:pPr>
        <w:ind w:right="40"/>
        <w:spacing w:after="0" w:line="254" w:lineRule="auto"/>
        <w:rPr>
          <w:sz w:val="20"/>
          <w:szCs w:val="20"/>
          <w:color w:val="auto"/>
        </w:rPr>
      </w:pPr>
      <w:r>
        <w:rPr>
          <w:rFonts w:ascii="Times New Roman" w:cs="Times New Roman" w:eastAsia="Times New Roman" w:hAnsi="Times New Roman"/>
          <w:sz w:val="18"/>
          <w:szCs w:val="18"/>
          <w:color w:val="auto"/>
        </w:rPr>
        <w:t>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September 30,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for all periods presented is from domestic operations, which are the Company’s only operations.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2021, and 2020, the Company recorded income tax benefit (expense) as follows: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(343 )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(8,916 )</w:t>
            </w: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(1,665 )</w:t>
            </w:r>
          </w:p>
        </w:tc>
      </w:tr>
      <w:tr>
        <w:trPr>
          <w:trHeight w:val="277"/>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p>
      <w:pPr>
        <w:spacing w:after="0" w:line="23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 %</w:t>
            </w:r>
          </w:p>
        </w:tc>
      </w:tr>
      <w:tr>
        <w:trPr>
          <w:trHeight w:val="239"/>
        </w:trPr>
        <w:tc>
          <w:tcPr>
            <w:tcW w:w="6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2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(2.9 )</w:t>
            </w:r>
          </w:p>
        </w:tc>
        <w:tc>
          <w:tcPr>
            <w:tcW w:w="760" w:type="dxa"/>
            <w:vAlign w:val="bottom"/>
          </w:tcPr>
          <w:p>
            <w:pPr>
              <w:spacing w:after="0"/>
              <w:rPr>
                <w:sz w:val="20"/>
                <w:szCs w:val="20"/>
                <w:color w:val="auto"/>
              </w:rPr>
            </w:pP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(2.8 )</w:t>
            </w:r>
          </w:p>
        </w:tc>
      </w:tr>
      <w:tr>
        <w:trPr>
          <w:trHeight w:val="247"/>
        </w:trPr>
        <w:tc>
          <w:tcPr>
            <w:tcW w:w="6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60" w:type="dxa"/>
            <w:vAlign w:val="bottom"/>
            <w:shd w:val="clear" w:color="auto" w:fill="CFF0FC"/>
          </w:tcPr>
          <w:p>
            <w:pPr>
              <w:spacing w:after="0"/>
              <w:rPr>
                <w:sz w:val="21"/>
                <w:szCs w:val="21"/>
                <w:color w:val="auto"/>
              </w:rPr>
            </w:pPr>
          </w:p>
        </w:tc>
      </w:tr>
      <w:tr>
        <w:trPr>
          <w:trHeight w:val="239"/>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research and development tax credit</w:t>
            </w:r>
          </w:p>
        </w:tc>
        <w:tc>
          <w:tcPr>
            <w:tcW w:w="72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(4.6 )</w:t>
            </w:r>
          </w:p>
        </w:tc>
        <w:tc>
          <w:tcPr>
            <w:tcW w:w="760" w:type="dxa"/>
            <w:vAlign w:val="bottom"/>
          </w:tcPr>
          <w:p>
            <w:pPr>
              <w:spacing w:after="0"/>
              <w:rPr>
                <w:sz w:val="20"/>
                <w:szCs w:val="20"/>
                <w:color w:val="auto"/>
              </w:rPr>
            </w:pP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(5.3 )</w:t>
            </w:r>
          </w:p>
        </w:tc>
        <w:tc>
          <w:tcPr>
            <w:tcW w:w="22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(13.3 )</w:t>
            </w:r>
          </w:p>
        </w:tc>
      </w:tr>
      <w:tr>
        <w:trPr>
          <w:trHeight w:val="247"/>
        </w:trPr>
        <w:tc>
          <w:tcPr>
            <w:tcW w:w="6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(0.8 )</w:t>
            </w:r>
          </w:p>
        </w:tc>
        <w:tc>
          <w:tcPr>
            <w:tcW w:w="7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21"/>
                <w:szCs w:val="21"/>
                <w:color w:val="auto"/>
              </w:rPr>
            </w:pPr>
          </w:p>
        </w:tc>
      </w:tr>
      <w:tr>
        <w:trPr>
          <w:trHeight w:val="239"/>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research and development tax credit</w:t>
            </w:r>
          </w:p>
        </w:tc>
        <w:tc>
          <w:tcPr>
            <w:tcW w:w="72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(1.5 )</w:t>
            </w:r>
          </w:p>
        </w:tc>
        <w:tc>
          <w:tcPr>
            <w:tcW w:w="760" w:type="dxa"/>
            <w:vAlign w:val="bottom"/>
          </w:tcPr>
          <w:p>
            <w:pPr>
              <w:spacing w:after="0"/>
              <w:rPr>
                <w:sz w:val="20"/>
                <w:szCs w:val="20"/>
                <w:color w:val="auto"/>
              </w:rPr>
            </w:pP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(0.8 )</w:t>
            </w:r>
          </w:p>
        </w:tc>
        <w:tc>
          <w:tcPr>
            <w:tcW w:w="22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(2.6 )</w:t>
            </w:r>
          </w:p>
        </w:tc>
      </w:tr>
      <w:tr>
        <w:trPr>
          <w:trHeight w:val="247"/>
        </w:trPr>
        <w:tc>
          <w:tcPr>
            <w:tcW w:w="6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deferred tax rate</w:t>
            </w:r>
          </w:p>
        </w:tc>
        <w:tc>
          <w:tcPr>
            <w:tcW w:w="72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(0.1 )</w:t>
            </w:r>
          </w:p>
        </w:tc>
        <w:tc>
          <w:tcPr>
            <w:tcW w:w="7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(9.5 )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(10.2 )</w:t>
            </w:r>
          </w:p>
        </w:tc>
      </w:tr>
      <w:tr>
        <w:trPr>
          <w:trHeight w:val="239"/>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(0.3 )</w:t>
            </w:r>
          </w:p>
        </w:tc>
        <w:tc>
          <w:tcPr>
            <w:tcW w:w="760" w:type="dxa"/>
            <w:vAlign w:val="bottom"/>
          </w:tcPr>
          <w:p>
            <w:pPr>
              <w:spacing w:after="0"/>
              <w:rPr>
                <w:sz w:val="20"/>
                <w:szCs w:val="20"/>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(1.7 )</w:t>
            </w:r>
          </w:p>
        </w:tc>
      </w:tr>
      <w:tr>
        <w:trPr>
          <w:trHeight w:val="281"/>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8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CFF0FC"/>
            </w:tcBorders>
            <w:shd w:val="clear" w:color="auto" w:fill="CFF0FC"/>
          </w:tcPr>
          <w:p>
            <w:pPr>
              <w:jc w:val="right"/>
              <w:spacing w:after="0" w:line="24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76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Borders>
              <w:bottom w:val="single" w:sz="8" w:color="CFF0FC"/>
            </w:tcBorders>
            <w:shd w:val="clear" w:color="auto" w:fill="CFF0FC"/>
          </w:tcPr>
          <w:p>
            <w:pPr>
              <w:jc w:val="right"/>
              <w:spacing w:after="0" w:line="24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59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effective tax rate during the year ended September 30, 2022 differs from the U.S. federal statutory rate primarily due to the full valuation allowance maintained on the Company’s net deferred tax assets. The negative effective income tax rate during the year ended September 30, 2021 reflects an income tax benefit due to the Company’s ability to carryback the pre-tax loss for the year under the Coronavirus Aid, Relief and Economic Security Act (“CARES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September 30, 2022, 2021, and 2020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Valuation allowance, beginning of year</w:t>
            </w: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960" w:type="dxa"/>
            <w:vAlign w:val="bottom"/>
            <w:vMerge w:val="continue"/>
          </w:tcPr>
          <w:p>
            <w:pPr>
              <w:spacing w:after="0"/>
              <w:rPr>
                <w:sz w:val="20"/>
                <w:szCs w:val="20"/>
                <w:color w:val="auto"/>
              </w:rPr>
            </w:pPr>
          </w:p>
        </w:tc>
        <w:tc>
          <w:tcPr>
            <w:tcW w:w="2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(29,298 )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(18,259 )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recorded to valuation allowance</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(38,428 )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(11,039 )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recording of valuation allowance</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(18,259 )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end of year</w:t>
            </w:r>
          </w:p>
        </w:tc>
        <w:tc>
          <w:tcPr>
            <w:tcW w:w="19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F-23</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-659130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-642620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-659130</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-642620</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-642620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Net deferred tax assets as of September 30, 2022 and 2021 consisted of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2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r>
      <w:tr>
        <w:trPr>
          <w:trHeight w:val="241"/>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72,906</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0"/>
                <w:szCs w:val="20"/>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(67,726 )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(29,298 )</w:t>
            </w:r>
          </w:p>
        </w:tc>
      </w:tr>
      <w:tr>
        <w:trPr>
          <w:trHeight w:val="241"/>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FF0FC"/>
          </w:tcPr>
          <w:p>
            <w:pPr>
              <w:spacing w:after="0"/>
              <w:rPr>
                <w:sz w:val="20"/>
                <w:szCs w:val="20"/>
                <w:color w:val="auto"/>
              </w:rPr>
            </w:pPr>
          </w:p>
        </w:tc>
      </w:tr>
      <w:tr>
        <w:trPr>
          <w:trHeight w:val="243"/>
        </w:trPr>
        <w:tc>
          <w:tcPr>
            <w:tcW w:w="6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0"/>
                <w:szCs w:val="20"/>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(5,606 )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(1,110 )</w:t>
            </w:r>
          </w:p>
        </w:tc>
      </w:tr>
      <w:tr>
        <w:trPr>
          <w:trHeight w:val="247"/>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(88 )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(684 )</w:t>
            </w:r>
          </w:p>
        </w:tc>
      </w:tr>
      <w:tr>
        <w:trPr>
          <w:trHeight w:val="23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0"/>
                <w:szCs w:val="20"/>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(280 )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(275 )</w:t>
            </w:r>
          </w:p>
        </w:tc>
      </w:tr>
      <w:tr>
        <w:trPr>
          <w:trHeight w:val="243"/>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Unrealized loss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69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Pr>
          <w:p>
            <w:pPr>
              <w:spacing w:after="0"/>
              <w:rPr>
                <w:sz w:val="20"/>
                <w:szCs w:val="20"/>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(5,180 )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(2,070 )</w:t>
            </w:r>
          </w:p>
        </w:tc>
      </w:tr>
      <w:tr>
        <w:trPr>
          <w:trHeight w:val="27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-350520</wp:posOffset>
            </wp:positionV>
            <wp:extent cx="60325"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had federal net operating loss carryforwards of $109,363, which may be available to offset future taxable income and do not expire but are limited in their usage to an annual deduction equal to 80% of annual taxable income. As of September 30, 2022, the Company had state net operating loss carryforwards of $97,128, which may be available to offset future taxable income and expire at various dates beginning in 2040. As of September 30, 2022, the Company also had federal and state research and development tax credit carryforwards of $16,870 and $4,986, respectively, which may be available to reduce future tax liabilities and expire at various dates beginning in 2039 and 2034, respectively.</w:t>
      </w:r>
    </w:p>
    <w:p>
      <w:pPr>
        <w:spacing w:after="0" w:line="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Utilization of the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may have occurred previously or that could occur in the future. These ownership changes may limit the amount of net operating loss and research and development tax credit carryforwards that can be utilized annually to offset future tax liabilities.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which are comprised primarily of net operating loss carryforwards, research and development tax credit carryforwards and stock compensation expense. The Company considers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 As a result, the Company continued to record a valuation allowance as of September 30, 2022 against its deferred tax assets to reduce a portion of the Company’s deferred tax assets for which the Company does not believe it is more likely than not these will be realized.</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in the U.S. are still open under statute from 2018 to the present. Earlier years may be examined to the extent that tax credit or net operating loss carryforwards are used in future periods. The Company has not received notice of examination by any jurisdiction for any tax year open under statute.</w:t>
      </w:r>
    </w:p>
    <w:p>
      <w:pPr>
        <w:spacing w:after="0" w:line="7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in March 2020. The CARES Act lifted certain deduction limitations originally imposed by the Tax Cuts and Jobs Act of 2017 (the “Tax Act”). Under the CARES Act, the Company was permitted to carryback net operating losses for up to five years for losses generated in fiscal 2018 through fiscal 2021. Net operating loss carrybacks were previously prohibited under the Tax Act. The CARES Act also eliminated the 80% of taxable income limitations by allowing corporate entities to fully utilize net operating loss carryforwards to offset taxable income in fiscal years 2018, 2019 or 2020. In addition, the CARES Act made qualified improvement property eligible for 15-year cost-recovery and 100% bonus depreciation. The enactment of the CARES Act resulted in a $28,721 and $8,581 income tax benefit related to a federal net operating loss carryback at the previously enacted 35% rate in the Company’s consolidated financial statements during the years ended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right="400"/>
        <w:spacing w:after="0" w:line="282" w:lineRule="auto"/>
        <w:rPr>
          <w:sz w:val="20"/>
          <w:szCs w:val="20"/>
          <w:color w:val="auto"/>
        </w:rPr>
      </w:pPr>
      <w:r>
        <w:rPr>
          <w:rFonts w:ascii="Times New Roman" w:cs="Times New Roman" w:eastAsia="Times New Roman" w:hAnsi="Times New Roman"/>
          <w:sz w:val="18"/>
          <w:szCs w:val="18"/>
          <w:color w:val="auto"/>
        </w:rPr>
        <w:t>September 30, 2021 and 2020, respectively. As of September 30, 2022 and 2021, the Company had an income tax receivable of $28,718 and $37,255, respectively.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Company’s policy is to record interest and penalties related to uncertain tax positions as part of income tax expense. Total interest related to uncertain tax positions recorded as a liability on the Company’s consolidated balance sheets were $44 and $105 as of September 30, 2022 and 2021, respectively. A reconciliation of the beginning and ending amount of uncertain tax positions is summarized as follows:</w:t>
      </w:r>
    </w:p>
    <w:p>
      <w:pPr>
        <w:spacing w:after="0" w:line="200" w:lineRule="exact"/>
        <w:rPr>
          <w:sz w:val="20"/>
          <w:szCs w:val="20"/>
          <w:color w:val="auto"/>
        </w:rPr>
      </w:pP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for the current period</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due to lapse of statute of limitations</w:t>
            </w:r>
          </w:p>
        </w:tc>
        <w:tc>
          <w:tcPr>
            <w:tcW w:w="8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(367 )</w:t>
            </w:r>
          </w:p>
        </w:tc>
        <w:tc>
          <w:tcPr>
            <w:tcW w:w="4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(134 )</w:t>
            </w:r>
          </w:p>
        </w:tc>
      </w:tr>
      <w:tr>
        <w:trPr>
          <w:trHeight w:val="23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880" w:type="dxa"/>
            <w:vAlign w:val="bottom"/>
          </w:tcPr>
          <w:p>
            <w:pPr>
              <w:spacing w:after="0"/>
              <w:rPr>
                <w:sz w:val="20"/>
                <w:szCs w:val="20"/>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(39 )</w:t>
            </w:r>
          </w:p>
        </w:tc>
        <w:tc>
          <w:tcPr>
            <w:tcW w:w="4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r>
      <w:tr>
        <w:trPr>
          <w:trHeight w:val="279"/>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that its uncertain tax position will materially change within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401(k) Plan</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 has a 401(k) plan. This plan covers substantially all employees who meet minimum age and service requirements. During the years ended September 30, 2022, 2021, and 2020, the Company recognized $1,596, $1,353, and $1,190, respectively, of expense related to its contributions to this plan.</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2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Subsidiaries of the Company</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24"/>
                <w:szCs w:val="24"/>
                <w:color w:val="auto"/>
              </w:rPr>
            </w:pPr>
          </w:p>
        </w:tc>
        <w:tc>
          <w:tcPr>
            <w:tcW w:w="37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24"/>
                <w:szCs w:val="24"/>
                <w:color w:val="auto"/>
              </w:rPr>
            </w:pPr>
          </w:p>
        </w:tc>
        <w:tc>
          <w:tcPr>
            <w:tcW w:w="3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STATE OR COUNTRY OF INCORPORATION</w:t>
            </w:r>
          </w:p>
        </w:tc>
      </w:tr>
      <w:tr>
        <w:trPr>
          <w:trHeight w:val="37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Enanta Pharmaceuticals Security Corporation</w:t>
            </w:r>
          </w:p>
        </w:tc>
        <w:tc>
          <w:tcPr>
            <w:tcW w:w="30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28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776"/>
        </w:trPr>
        <w:tc>
          <w:tcPr>
            <w:tcW w:w="3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333-189217, 333-192935, 333-202257, 333-209542, 333-215011, 333-221988, 333-231375, 333-231384, 333-255957 and 333-264794) and Form S-3 (No. 333-258632) of Enanta Pharmaceuticals, Inc. of our report dated November 23, 2022 relating to the financial statements and the effectiveness of internal control over financial reporting,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0" w:name="page101"/>
    <w:bookmarkEnd w:id="10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certify that:</w:t>
      </w:r>
    </w:p>
    <w:p>
      <w:pPr>
        <w:spacing w:after="0" w:line="117"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0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1" w:name="page102"/>
    <w:bookmarkEnd w:id="10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0" w:hanging="479"/>
        <w:spacing w:after="0" w:line="282" w:lineRule="auto"/>
        <w:tabs>
          <w:tab w:leader="none" w:pos="8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3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00" w:hanging="479"/>
        <w:spacing w:after="0" w:line="282" w:lineRule="auto"/>
        <w:tabs>
          <w:tab w:leader="none" w:pos="8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Financial Office</w:t>
      </w:r>
      <w:r>
        <w:rPr>
          <w:rFonts w:ascii="Times New Roman" w:cs="Times New Roman" w:eastAsia="Times New Roman" w:hAnsi="Times New Roman"/>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2" w:name="page103"/>
    <w:bookmarkEnd w:id="10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2022 complies with the requirements of Section 13(a) or 15(d) of the Securities Exchange Act of 1934 and that information contained in the Form 10-K fairly presents, in all material respects, the financial condition and results of operations of Enanta.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23, 2022</w:t>
      </w:r>
    </w:p>
    <w:p>
      <w:pPr>
        <w:spacing w:after="0" w:line="26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23, 2022</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
      <w:numFmt w:val="bullet"/>
      <w:start w:val="1"/>
    </w:lvl>
  </w:abstractNum>
  <w:abstractNum w:abstractNumId="3">
    <w:nsid w:val="1E7FF521"/>
    <w:multiLevelType w:val="hybridMultilevel"/>
    <w:lvl w:ilvl="0">
      <w:lvlJc w:val="left"/>
      <w:lvlText w:val="•"/>
      <w:numFmt w:val="bullet"/>
      <w:start w:val="1"/>
    </w:lvl>
    <w:lvl w:ilvl="1">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8">
    <w:nsid w:val="4516DDE9"/>
    <w:multiLevelType w:val="hybridMultilevel"/>
    <w:lvl w:ilvl="0">
      <w:lvlJc w:val="left"/>
      <w:lvlText w:val="•"/>
      <w:numFmt w:val="bullet"/>
      <w:start w:val="1"/>
    </w:lvl>
    <w:lvl w:ilvl="1">
      <w:lvlJc w:val="left"/>
      <w:lvlText w:val="o"/>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6">
    <w:nsid w:val="75C6C33A"/>
    <w:multiLevelType w:val="hybridMultilevel"/>
    <w:lvl w:ilvl="0">
      <w:lvlJc w:val="left"/>
      <w:lvlText w:val="•"/>
      <w:numFmt w:val="bullet"/>
      <w:start w:val="1"/>
    </w:lvl>
    <w:lvl w:ilvl="1">
      <w:lvlJc w:val="left"/>
      <w:lvlText w:val="o"/>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
      <w:numFmt w:val="bullet"/>
      <w:start w:val="1"/>
    </w:lvl>
    <w:lvl w:ilvl="1">
      <w:lvlJc w:val="left"/>
      <w:lvlText w:val="%2"/>
      <w:numFmt w:val="decimal"/>
      <w:start w:val="104"/>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2"/>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7"/>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114" Type="http://schemas.openxmlformats.org/officeDocument/2006/relationships/hyperlink" Target="https://www.sec.gov/Archives/edgar/data/1177648/000119312513132679/d511662dex31.htm" TargetMode="External"/><Relationship Id="rId115" Type="http://schemas.openxmlformats.org/officeDocument/2006/relationships/hyperlink" Target="https://www.sec.gov/Archives/edgar/data/1177648/000119312515294582/d95810dex32.htm" TargetMode="External"/><Relationship Id="rId116" Type="http://schemas.openxmlformats.org/officeDocument/2006/relationships/hyperlink" Target="https://www.sec.gov/Archives/edgar/data/1177648/000119312513038960/d401292dex41.htm" TargetMode="External"/><Relationship Id="rId117" Type="http://schemas.openxmlformats.org/officeDocument/2006/relationships/hyperlink" Target="https://www.sec.gov/Archives/edgar/data/1177648/000156459017024794/enta-ex43_1302.htm" TargetMode="External"/><Relationship Id="rId118" Type="http://schemas.openxmlformats.org/officeDocument/2006/relationships/hyperlink" Target="https://www.sec.gov/Archives/edgar/data/1177648/000156459019044729/enta-ex43_411.htm" TargetMode="External"/><Relationship Id="rId119" Type="http://schemas.openxmlformats.org/officeDocument/2006/relationships/hyperlink" Target="https://www.sec.gov/Archives/edgar/data/1177648/000119312513038960/d401292dex107.htm" TargetMode="External"/><Relationship Id="rId120" Type="http://schemas.openxmlformats.org/officeDocument/2006/relationships/hyperlink" Target="https://www.sec.gov/Archives/edgar/data/1177648/000119312513091763/d401292dex105.htm" TargetMode="External"/><Relationship Id="rId121" Type="http://schemas.openxmlformats.org/officeDocument/2006/relationships/hyperlink" Target="https://www.sec.gov/Archives/edgar/data/1177648/000119312513091763/d401292dex1017.htm" TargetMode="External"/><Relationship Id="rId122" Type="http://schemas.openxmlformats.org/officeDocument/2006/relationships/hyperlink" Target="https://www.sec.gov/Archives/edgar/data/1177648/000156459021004518/enta-ex101_25.htm" TargetMode="External"/><Relationship Id="rId123" Type="http://schemas.openxmlformats.org/officeDocument/2006/relationships/hyperlink" Target="https://www.sec.gov/Archives/edgar/data/1177648/000156459021004518/enta-ex102_24.htm" TargetMode="External"/><Relationship Id="rId124" Type="http://schemas.openxmlformats.org/officeDocument/2006/relationships/hyperlink" Target="https://www.sec.gov/Archives/edgar/data/1177648/000119312515179595/d873137dex101.htm" TargetMode="External"/><Relationship Id="rId125" Type="http://schemas.openxmlformats.org/officeDocument/2006/relationships/hyperlink" Target="https://www.sec.gov/Archives/edgar/data/1177648/000119312512454422/d401292dex106.htm" TargetMode="External"/><Relationship Id="rId126" Type="http://schemas.openxmlformats.org/officeDocument/2006/relationships/hyperlink" Target="https://www.sec.gov/Archives/edgar/data/1177648/000119312515179595/d873137dex102.htm" TargetMode="External"/><Relationship Id="rId129" Type="http://schemas.openxmlformats.org/officeDocument/2006/relationships/hyperlink" Target="https://www.sec.gov/Archives/edgar/data/1177648/000119312522153071/d349963dex101.htm" TargetMode="External"/><Relationship Id="rId130" Type="http://schemas.openxmlformats.org/officeDocument/2006/relationships/hyperlink" Target="https://www.sec.gov/Archives/edgar/data/1177648/000156459018030275/enta-ex1010_399.htm" TargetMode="External"/><Relationship Id="rId131" Type="http://schemas.openxmlformats.org/officeDocument/2006/relationships/hyperlink" Target="https://www.sec.gov/Archives/edgar/data/1177648/000119312522153071/d349963dex102.htm" TargetMode="External"/><Relationship Id="rId132" Type="http://schemas.openxmlformats.org/officeDocument/2006/relationships/hyperlink" Target="https://www.sec.gov/Archives/edgar/data/1177648/000119312522153071/d349963dex103.htm" TargetMode="External"/><Relationship Id="rId133" Type="http://schemas.openxmlformats.org/officeDocument/2006/relationships/hyperlink" Target="https://www.sec.gov/Archives/edgar/data/1177648/000119312513091763/d401292dex108.htm" TargetMode="External"/><Relationship Id="rId134" Type="http://schemas.openxmlformats.org/officeDocument/2006/relationships/hyperlink" Target="https://www.sec.gov/Archives/edgar/data/1177648/000119312513091763/d401292dex109.htm" TargetMode="External"/><Relationship Id="rId135" Type="http://schemas.openxmlformats.org/officeDocument/2006/relationships/hyperlink" Target="https://www.sec.gov/Archives/edgar/data/1177648/000119312513091763/d401292dex1010.htm" TargetMode="External"/><Relationship Id="rId136" Type="http://schemas.openxmlformats.org/officeDocument/2006/relationships/hyperlink" Target="https://www.sec.gov/Archives/edgar/data/1177648/000119312513091763/d401292dex1011.htm" TargetMode="External"/><Relationship Id="rId137" Type="http://schemas.openxmlformats.org/officeDocument/2006/relationships/hyperlink" Target="https://www.sec.gov/Archives/edgar/data/1177648/000119312517004530/d325877dex1014.htm" TargetMode="External"/><Relationship Id="rId138" Type="http://schemas.openxmlformats.org/officeDocument/2006/relationships/hyperlink" Target="https://www.sec.gov/Archives/edgar/data/1177648/000119312513091763/d401292dex1013.htm" TargetMode="External"/><Relationship Id="rId139" Type="http://schemas.openxmlformats.org/officeDocument/2006/relationships/hyperlink" Target="https://www.sec.gov/Archives/edgar/data/1177648/000119312513091763/d401292dex1014.htm" TargetMode="External"/><Relationship Id="rId140" Type="http://schemas.openxmlformats.org/officeDocument/2006/relationships/hyperlink" Target="https://www.sec.gov/Archives/edgar/data/1177648/000119312513091763/d401292dex1015.htm" TargetMode="External"/><Relationship Id="rId141" Type="http://schemas.openxmlformats.org/officeDocument/2006/relationships/hyperlink" Target="https://www.sec.gov/Archives/edgar/data/1177648/000156459017024794/enta-ex1018_1136.htm" TargetMode="External"/><Relationship Id="rId142" Type="http://schemas.openxmlformats.org/officeDocument/2006/relationships/hyperlink" Target="https://www.sec.gov/Archives/edgar/data/1177648/000156459017024794/enta-ex1019_1137.htm" TargetMode="External"/><Relationship Id="rId143" Type="http://schemas.openxmlformats.org/officeDocument/2006/relationships/hyperlink" Target="https://www.sec.gov/Archives/edgar/data/1177648/000119312513038960/d401292dex1016.htm" TargetMode="External"/><Relationship Id="rId144" Type="http://schemas.openxmlformats.org/officeDocument/2006/relationships/hyperlink" Target="https://www.sec.gov/Archives/edgar/data/1177648/000156459021011253/enta-ex101_37.htm" TargetMode="External"/><Relationship Id="rId145" Type="http://schemas.openxmlformats.org/officeDocument/2006/relationships/hyperlink" Target="https://www.sec.gov/Archives/edgar/data/1177648/000156459019018517/enta-ex102_12.htm" TargetMode="External"/><Relationship Id="rId146" Type="http://schemas.openxmlformats.org/officeDocument/2006/relationships/hyperlink" Target="https://www.sec.gov/Archives/edgar/data/1177648/000156459019018517/enta-ex103_11.htm" TargetMode="External"/><Relationship Id="rId147" Type="http://schemas.openxmlformats.org/officeDocument/2006/relationships/hyperlink" Target="https://www.sec.gov/Archives/edgar/data/1177648/000156459019018517/enta-ex104_166.htm" TargetMode="External"/><Relationship Id="rId148" Type="http://schemas.openxmlformats.org/officeDocument/2006/relationships/hyperlink" Target="https://www.sec.gov/Archives/edgar/data/1177648/000156459019018517/enta-ex105_165.htm" TargetMode="External"/><Relationship Id="rId149" Type="http://schemas.openxmlformats.org/officeDocument/2006/relationships/hyperlink" Target="https://www.sec.gov/Archives/edgar/data/1177648/000156459020055233/enta-ex1027_4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2022-11-23T15:42:14Z</dcterms:created>
  <dcterms:modified xsi:type="dcterms:W3CDTF">2022-11-23T15:42:14Z</dcterms:modified>
</cp:coreProperties>
</file>