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4">
            <w:col w:w="8640" w:space="180"/>
            <w:col w:w="260" w:space="100"/>
            <w:col w:w="160" w:space="180"/>
            <w:col w:w="190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$0.01 par value, outstanding as of July 31, 2015, was 18,713,976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2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00" w:type="dxa"/>
            <w:vAlign w:val="bottom"/>
          </w:tcPr>
          <w:p>
            <w:pPr>
              <w:spacing w:after="0"/>
              <w:rPr>
                <w:sz w:val="22"/>
                <w:szCs w:val="22"/>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June 30, 2015 and September 30,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for the three and nine months ended June 30, 2015 and 2014</w:t>
              </w:r>
            </w:hyperlink>
          </w:p>
        </w:tc>
        <w:tc>
          <w:tcPr>
            <w:tcW w:w="20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for the three and nine months ended June 30, 2015 and 2014</w:t>
              </w:r>
            </w:hyperlink>
          </w:p>
        </w:tc>
        <w:tc>
          <w:tcPr>
            <w:tcW w:w="1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 for the nine months ended June 30, 2015 and 2014</w:t>
              </w:r>
            </w:hyperlink>
          </w:p>
        </w:tc>
        <w:tc>
          <w:tcPr>
            <w:tcW w:w="27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Notes to Consolidated Financial Statements</w:t>
              </w:r>
            </w:hyperlink>
          </w:p>
        </w:tc>
        <w:tc>
          <w:tcPr>
            <w:tcW w:w="618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68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83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102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II—OTHER INFORMATION</w:t>
              </w:r>
            </w:hyperlink>
          </w:p>
        </w:tc>
        <w:tc>
          <w:tcPr>
            <w:tcW w:w="300" w:type="dxa"/>
            <w:vAlign w:val="bottom"/>
          </w:tcPr>
          <w:p>
            <w:pPr>
              <w:spacing w:after="0"/>
              <w:rPr>
                <w:sz w:val="24"/>
                <w:szCs w:val="24"/>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1060" w:type="dxa"/>
            <w:vAlign w:val="bottom"/>
            <w:tcBorders>
              <w:top w:val="single" w:sz="8" w:color="0000EE"/>
            </w:tcBorders>
            <w:gridSpan w:val="2"/>
          </w:tcPr>
          <w:p>
            <w:pPr>
              <w:spacing w:after="0"/>
              <w:rPr>
                <w:sz w:val="24"/>
                <w:szCs w:val="24"/>
                <w:color w:val="auto"/>
              </w:rPr>
            </w:pPr>
          </w:p>
        </w:tc>
        <w:tc>
          <w:tcPr>
            <w:tcW w:w="81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57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Signatures</w:t>
              </w:r>
            </w:hyperlink>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2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Exhibit Index</w:t>
              </w:r>
            </w:hyperlink>
          </w:p>
        </w:tc>
        <w:tc>
          <w:tcPr>
            <w:tcW w:w="100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85"/>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20" w:type="dxa"/>
            <w:vAlign w:val="bottom"/>
            <w:gridSpan w:val="11"/>
          </w:tcPr>
          <w:p>
            <w:pPr>
              <w:ind w:left="47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44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rPr>
              <w:t>ENANTA PHARMACEUTICALS, INC.</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0" w:type="dxa"/>
            <w:vAlign w:val="bottom"/>
          </w:tcPr>
          <w:p>
            <w:pPr>
              <w:spacing w:after="0"/>
              <w:rPr>
                <w:sz w:val="7"/>
                <w:szCs w:val="7"/>
                <w:color w:val="auto"/>
              </w:rPr>
            </w:pPr>
          </w:p>
        </w:tc>
        <w:tc>
          <w:tcPr>
            <w:tcW w:w="8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19,844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134,442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Unbilled receivables</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172,640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4,287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237,774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$0.01 par value; 100,000,000 shares authorized at June 30, 2015 and September 30, 2014; 18,916,750</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18,803,390 shares issued, and 18,707,934 and 18,594,574 shares outstanding, at June 30, 2015 and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September 30, 2014, respectively</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228,001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par value; 208,816 shares at June 30, 2015 and September 30, 2014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228,282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237,774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45,104</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4,553</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16,140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13,538</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2,603</w:t>
            </w:r>
          </w:p>
        </w:tc>
        <w:tc>
          <w:tcPr>
            <w:tcW w:w="8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7,255</w:t>
            </w: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7,156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25,990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20,793</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34,895</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120,474</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02"/>
        </w:trPr>
        <w:tc>
          <w:tcPr>
            <w:tcW w:w="5640" w:type="dxa"/>
            <w:vAlign w:val="bottom"/>
          </w:tcPr>
          <w:p>
            <w:pPr>
              <w:ind w:left="360"/>
              <w:spacing w:after="0" w:line="201" w:lineRule="exact"/>
              <w:rPr>
                <w:sz w:val="20"/>
                <w:szCs w:val="20"/>
                <w:color w:val="auto"/>
              </w:rPr>
            </w:pPr>
            <w:r>
              <w:rPr>
                <w:rFonts w:ascii="Arial" w:cs="Arial" w:eastAsia="Arial" w:hAnsi="Arial"/>
                <w:sz w:val="18"/>
                <w:szCs w:val="18"/>
                <w:color w:val="auto"/>
                <w:w w:val="98"/>
              </w:rPr>
              <w:t>Change in fair value of warrant liability and Series 1 nonconvertible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40" w:type="dxa"/>
            <w:vAlign w:val="bottom"/>
          </w:tcPr>
          <w:p>
            <w:pPr>
              <w:ind w:left="54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2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r>
        <w:trPr>
          <w:trHeight w:val="27"/>
        </w:trPr>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34,931</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121,272</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24,358</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15,122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(48,092)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15,122</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50,053</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73,180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39,480</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rPr>
              <w:t>3.92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8"/>
              </w:rPr>
              <w:t>18,697,104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18,528,833</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8"/>
              </w:rPr>
              <w:t>18,659,742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18,275,831</w:t>
            </w: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w w:val="88"/>
              </w:rPr>
              <w:t>19,277,966</w:t>
            </w: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19,203,270</w:t>
            </w:r>
          </w:p>
        </w:tc>
        <w:tc>
          <w:tcPr>
            <w:tcW w:w="80" w:type="dxa"/>
            <w:vAlign w:val="bottom"/>
          </w:tcPr>
          <w:p>
            <w:pPr>
              <w:spacing w:after="0"/>
              <w:rPr>
                <w:sz w:val="20"/>
                <w:szCs w:val="20"/>
                <w:color w:val="auto"/>
              </w:rPr>
            </w:pPr>
          </w:p>
        </w:tc>
        <w:tc>
          <w:tcPr>
            <w:tcW w:w="1380" w:type="dxa"/>
            <w:vAlign w:val="bottom"/>
            <w:gridSpan w:val="2"/>
          </w:tcPr>
          <w:p>
            <w:pPr>
              <w:jc w:val="right"/>
              <w:ind w:right="488"/>
              <w:spacing w:after="0"/>
              <w:rPr>
                <w:sz w:val="20"/>
                <w:szCs w:val="20"/>
                <w:color w:val="auto"/>
              </w:rPr>
            </w:pPr>
            <w:r>
              <w:rPr>
                <w:rFonts w:ascii="Arial" w:cs="Arial" w:eastAsia="Arial" w:hAnsi="Arial"/>
                <w:sz w:val="18"/>
                <w:szCs w:val="18"/>
                <w:color w:val="auto"/>
                <w:w w:val="88"/>
              </w:rPr>
              <w:t>19,276,767</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19,168,368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2,418</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$ 50,053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73,180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39,480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Net unrealized gains (losses) on marketable securities, net of tax of $40, $0, $18 and $0</w:t>
            </w:r>
          </w:p>
        </w:tc>
        <w:tc>
          <w:tcPr>
            <w:tcW w:w="6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720"/>
              <w:spacing w:after="0"/>
              <w:rPr>
                <w:sz w:val="20"/>
                <w:szCs w:val="20"/>
                <w:color w:val="auto"/>
              </w:rPr>
            </w:pPr>
            <w:r>
              <w:rPr>
                <w:rFonts w:ascii="Arial" w:cs="Arial" w:eastAsia="Arial" w:hAnsi="Arial"/>
                <w:sz w:val="18"/>
                <w:szCs w:val="18"/>
                <w:color w:val="auto"/>
              </w:rPr>
              <w:t>Total other comprehensive income (loss)</w:t>
            </w:r>
          </w:p>
        </w:tc>
        <w:tc>
          <w:tcPr>
            <w:tcW w:w="6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$ 49,988</w:t>
            </w:r>
          </w:p>
        </w:tc>
        <w:tc>
          <w:tcPr>
            <w:tcW w:w="8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73,206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39,478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8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73,180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39,480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Gain on sale of fixed assets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Gain on sale of marketable securities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Premium on marketable securities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premium on marketable securities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11,076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(15,228)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benefit from exercise of stock options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12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8120" w:type="dxa"/>
            <w:vAlign w:val="bottom"/>
          </w:tcPr>
          <w:p>
            <w:pPr>
              <w:ind w:left="1080"/>
              <w:spacing w:after="0"/>
              <w:rPr>
                <w:sz w:val="20"/>
                <w:szCs w:val="20"/>
                <w:color w:val="auto"/>
              </w:rPr>
            </w:pPr>
            <w:r>
              <w:rPr>
                <w:rFonts w:ascii="Arial" w:cs="Arial" w:eastAsia="Arial" w:hAnsi="Arial"/>
                <w:sz w:val="18"/>
                <w:szCs w:val="18"/>
                <w:color w:val="auto"/>
              </w:rPr>
              <w:t>Unbilled receivables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812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120" w:type="dxa"/>
            <w:vAlign w:val="bottom"/>
          </w:tcPr>
          <w:p>
            <w:pPr>
              <w:ind w:left="1080"/>
              <w:spacing w:after="0"/>
              <w:rPr>
                <w:sz w:val="20"/>
                <w:szCs w:val="20"/>
                <w:color w:val="auto"/>
              </w:rPr>
            </w:pPr>
            <w:r>
              <w:rPr>
                <w:rFonts w:ascii="Arial" w:cs="Arial" w:eastAsia="Arial" w:hAnsi="Arial"/>
                <w:sz w:val="18"/>
                <w:szCs w:val="18"/>
                <w:color w:val="auto"/>
              </w:rPr>
              <w:t>Income taxes payable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2,229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120" w:type="dxa"/>
            <w:vAlign w:val="bottom"/>
          </w:tcPr>
          <w:p>
            <w:pPr>
              <w:ind w:left="1080"/>
              <w:spacing w:after="0"/>
              <w:rPr>
                <w:sz w:val="20"/>
                <w:szCs w:val="20"/>
                <w:color w:val="auto"/>
              </w:rPr>
            </w:pPr>
            <w:r>
              <w:rPr>
                <w:rFonts w:ascii="Arial" w:cs="Arial" w:eastAsia="Arial" w:hAnsi="Arial"/>
                <w:sz w:val="18"/>
                <w:szCs w:val="18"/>
                <w:color w:val="auto"/>
              </w:rPr>
              <w:t>Other long-term liabilities</w:t>
            </w:r>
          </w:p>
        </w:tc>
        <w:tc>
          <w:tcPr>
            <w:tcW w:w="1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79,048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rPr>
              <w:t>Increase in restricted cash</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(155,583)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(85,750)</w:t>
            </w: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Sales of marketable securities</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94"/>
        </w:trPr>
        <w:tc>
          <w:tcPr>
            <w:tcW w:w="8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marketable securities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62,017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70,164</w:t>
            </w:r>
          </w:p>
        </w:tc>
        <w:tc>
          <w:tcPr>
            <w:tcW w:w="0" w:type="dxa"/>
            <w:vAlign w:val="bottom"/>
          </w:tcPr>
          <w:p>
            <w:pPr>
              <w:spacing w:after="0"/>
              <w:rPr>
                <w:sz w:val="1"/>
                <w:szCs w:val="1"/>
                <w:color w:val="auto"/>
              </w:rPr>
            </w:pPr>
          </w:p>
        </w:tc>
      </w:tr>
      <w:tr>
        <w:trPr>
          <w:trHeight w:val="210"/>
        </w:trPr>
        <w:tc>
          <w:tcPr>
            <w:tcW w:w="812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(92,284)</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from exercise of stock options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812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17,515</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30,699</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39,566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Non-cash items: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assets purchased through capital lease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Enanta Pharmaceuticals, Inc. (the “Company”), incorporated in Delaware in 1995, is a research and development-focused biotechnology company that uses its chemistry-driven approach and drug discovery capabilities to create small molecule drugs for the treatment of viral infections and liver diseases. The Company has developed novel protease and NS5A inhibitors for treatment of hepatitis C virus (“HCV”) infection. The Company also has programs to develop cyclophilin and nucleotide polymerase inhibitors targeted against HCV and also recently announced a new focus area in non-alcoholic steatohepatitis (“NASH”). Additionally, the Company has programs to discover new chemical entities for the treatment of other diseases.</w:t>
      </w:r>
    </w:p>
    <w:p>
      <w:pPr>
        <w:spacing w:after="0" w:line="17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for financial resources to fund research and development activities.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consolidated balance sheet at September 30, 2014 was derived from the audited financial statements, but does not include all disclosures required by accounting principles generally accepted in the United States of America (“GAAP”). The accompanying unaudited consolidated financial statements as of June 30, 2015 and for the three and nine months ended June 30, 2015 and 2014 have been prepared by the Company, pursuant to the rules and regulations of the Securities and Exchange Commission (“SEC”) for interim financial statements. Certain information and 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for the fiscal year ended September 30, 2014 included in the Company’s Annual Report on Form 10-K for that fiscal year.</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financial position as of June 30, 2015 and results of operations for the three and nine months ended June 30, 2015 and 2014 and cash flows for the nine months ended June 30, 2015 and 2014 have been made. The results of operations for the three and nine months ended June 30, 2015 are not necessarily indicative of the results of operations that may be expected for subsequent quarters or the year ending September 30, 2015.</w:t>
      </w:r>
    </w:p>
    <w:p>
      <w:pPr>
        <w:spacing w:after="0" w:line="171" w:lineRule="exact"/>
        <w:rPr>
          <w:sz w:val="20"/>
          <w:szCs w:val="20"/>
          <w:color w:val="auto"/>
        </w:rPr>
      </w:pPr>
    </w:p>
    <w:p>
      <w:pPr>
        <w:jc w:val="both"/>
        <w:ind w:right="66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245" w:lineRule="exact"/>
        <w:rPr>
          <w:sz w:val="20"/>
          <w:szCs w:val="20"/>
          <w:color w:val="auto"/>
        </w:rPr>
      </w:pPr>
    </w:p>
    <w:p>
      <w:pPr>
        <w:ind w:right="7540" w:firstLine="8"/>
        <w:spacing w:after="0" w:line="378" w:lineRule="auto"/>
        <w:tabs>
          <w:tab w:leader="none" w:pos="44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22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fair value of investments, valuation of warrants, Series 1 nonconvertible preferred stock and stock-based awards; the useful lives of property and equipment; and the accounting for income taxes, including uncertain tax positions. Estimates are periodically reviewed in light of changes in circumstances, facts and experience. Actual results could differ from the Company’s estimates.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revenue has been generated primarily through collaborative research and license agreements. The terms of these agreements contain multiple deliverables, which may include (i) licenses, (ii) research and development activities,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8"/>
        <w:spacing w:after="0" w:line="25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agreements entered into prior to October 1, 2011, the Company evaluated license agreements with multiple deliverables to determine if the deliverable elements could be recognized separately by considering (i) if the delivered elements (typically the license) had standalone value to the customer, (ii) if the fair value of any undelivered elements (typically the research and development services and the steering committee activities) could be determined based on vendor-specific objective evidence (“VSOE”) or vendor objective evidence (“VOE”), and (iii) if the arrangement included a general right of return relative to the delivered item, the delivery or performance of the undelivered item was considered probable and substantially within the control of the Company. VSOE of fair value was based on the consistent price of a deliverable when the Company regularly sold it on a standalone basis. Alternatively, VOE was based upon third-party objective evidence of fair value. If the delivered elements had value on a standalone basis and the fair value of the undelivered elements could be determined based on VSOE or VOE, revenues of such elements were then accounted for separately as delivered with arrangement consideration allocated to the delivered elements based on the residual value method. If either (i) the delivered elements were considered to not have standalone value or (ii) VSOE or VOE of fair value for any of the undelivered elements could not be determined, the arrangement was accounted for as a single unit of accounting and all payments received were recognized as revenue over the estimated period of performance of the entire arrangement.</w:t>
      </w:r>
    </w:p>
    <w:p>
      <w:pPr>
        <w:spacing w:after="0" w:line="17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On October 1, 2011, the Company adopted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This guidance, which applies to multiple-element arrangements entered into or materially modified on or after October 1, 2011, amends the criteria for separating and allocating consideration in a multiple-element arrangement by modifying the fair value requirements for revenue recognition and eliminating the use of the residual value method. The selling prices of deliverables under the arrangement may be derived using third-party evidence (“TPE”) or a best estimate of selling price (“BESP”), if VSOE is not available. The objective of BESP is to determine the price at which the Company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the Company’s BESP, the Company considers whether changes in key assumptions used to determine the BESP will have a significant effect on the allocation of the arrangement consideration between the multiple deliverables. Deliverables under the arrangement are separate units of accounting if (i) the delivered item has value to the customer on a standalone basis, and (ii) if the arrangement includes a general right of return relative to the delivered item, delivery or performance of the undelivered item is considered probable and substantially within the control of the Company.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 The Company may exercise significant judgment in determining whether a deliverable is a separate unit of accounting. The Company elected to adopt ASU 2009-13 prospectively as of October 1, 2011.</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determining the separate units of accounting, the Company evaluates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the Company considers whether or not (i) the collaborator can use the license for its intended purpose without the receipt of the remaining deliverables, (ii) the value of the license is dependent on the undelivered items, and (iii) the collaborator or other vendors can provide the undelivered items.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all periods presented, whenever the Company determines that an element is delivered over a period of time, revenue is recognized using either a proportional performance model or a straight-line model over the period of performance, which is typically the research and development term. Full-time equivalents (“FTEs”) are typically used as the measure of performance. At each reporting period, the Company reassesses its cumulative measure of performance and makes appropriate adjustments, if necessary. The Company recognizes revenue using the proportional performance model whenever the Company can make reasonably reliable estimates of the level of effort required to complete its performance obligations under an arrangement. Revenue recognized under the proportional performance model at each reporting period is determined by multiplying the total expected payments under the contract (excluding royalties and payments contingent upon achievement of milestones) by the ratio of the level of effort incurred to date to the estimated total level of effort required to complete the performance obligations under the arrangement. Revenue is limited to the lesser of the cumulative amount of payments received or the cumulative amount of revenue earned, as determined using the proportional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performance model as of each reporting period. Alternatively, if the Company cannot make reasonably reliable estimates of the level of effort required to complete its performance obligations under an arrangement, then revenue under the arrangement is recognized on a straight-line basis over the period expected to complete the Company’s performance obligations. If and when a contingent milestone payment is earned, the additional consideration to be received is allocated to the separate units of accounting in the arrangement based on their relative selling prices at the inception of the arrangement. Revenue is limited to the lesser of the cumulative amount of payments received or the cumulative amount of revenue earned, as determined on a straight-line basis as of the period end date. If the Company cannot reasonably estimate when its performance obligation period ends, then revenue is deferred until the Company can reasonably estimate when the performance obligation period ends.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collectibility is reasonably assured, provided that there are no performance obligations then remaining.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and nine months ended June 30, 2015 and 2014, the Company also generated revenue from a government contract, under which the Company is reimbursed for certain allowable costs for the funded project. Revenue from the government contract is recognized when the related service is performed. The related costs incurred by the Company under the government contract are included in research and development expenses in the statements of operations.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May, 2014, the Financial Accounting Standards Board (the “FASB”) issued Accounting Standard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(Topic 606), which supersedes all existing revenue recognition requirements, including most industry-specific guidance.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 company to recognize revenue when it transfers goods or services to customers in an amount that reflects the consideration that the company expects to receive for those goods or services. In July 2015, the FASB decided to delay the effective date of the new revenue standard by one year. The new standard will be effective for the Company on October 1, 2018. The Company is currently evaluating the potential impact that Topic 606 may have on its financial position and results of operations.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June 30, 2015 and September 30, 2014 and indicate the fair value hierarchy of the valuation inputs utilized to determine such fair value: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gridSpan w:val="19"/>
          </w:tcPr>
          <w:p>
            <w:pPr>
              <w:ind w:left="200"/>
              <w:spacing w:after="0"/>
              <w:rPr>
                <w:sz w:val="20"/>
                <w:szCs w:val="20"/>
                <w:color w:val="auto"/>
              </w:rPr>
            </w:pPr>
            <w:r>
              <w:rPr>
                <w:rFonts w:ascii="Arial" w:cs="Arial" w:eastAsia="Arial" w:hAnsi="Arial"/>
                <w:sz w:val="14"/>
                <w:szCs w:val="14"/>
                <w:b w:val="1"/>
                <w:bCs w:val="1"/>
                <w:color w:val="auto"/>
              </w:rPr>
              <w:t>Fair Value Measurements as of June 30, 2015 Using:</w:t>
            </w:r>
          </w:p>
        </w:tc>
      </w:tr>
      <w:tr>
        <w:trPr>
          <w:trHeight w:val="142"/>
        </w:trPr>
        <w:tc>
          <w:tcPr>
            <w:tcW w:w="65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Level 2</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Money market fund</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16,472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16,472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144,958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144,958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34,646</w:t>
            </w:r>
          </w:p>
        </w:tc>
      </w:tr>
      <w:tr>
        <w:trPr>
          <w:trHeight w:val="210"/>
        </w:trPr>
        <w:tc>
          <w:tcPr>
            <w:tcW w:w="65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w w:val="87"/>
              </w:rPr>
              <w:t>16,472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192,099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208,571</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Warrant liability</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w w:val="84"/>
              </w:rPr>
              <w:t>1,457</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Series 1 nonconvertible 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3"/>
              </w:rPr>
              <w:t>185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10"/>
        </w:trPr>
        <w:tc>
          <w:tcPr>
            <w:tcW w:w="65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w w:val="84"/>
              </w:rPr>
              <w:t>1,642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9"/>
          </w:tcPr>
          <w:p>
            <w:pPr>
              <w:ind w:left="40"/>
              <w:spacing w:after="0"/>
              <w:rPr>
                <w:sz w:val="20"/>
                <w:szCs w:val="20"/>
                <w:color w:val="auto"/>
              </w:rPr>
            </w:pPr>
            <w:r>
              <w:rPr>
                <w:rFonts w:ascii="Arial" w:cs="Arial" w:eastAsia="Arial" w:hAnsi="Arial"/>
                <w:sz w:val="14"/>
                <w:szCs w:val="14"/>
                <w:b w:val="1"/>
                <w:bCs w:val="1"/>
                <w:color w:val="auto"/>
                <w:w w:val="97"/>
              </w:rPr>
              <w:t>Fair Value Measurements as of September 30, 2014 Using:</w:t>
            </w: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Level 2</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Money market fund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30,239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30,239</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88,056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88,056</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w:t>
            </w:r>
          </w:p>
        </w:tc>
      </w:tr>
      <w:tr>
        <w:trPr>
          <w:trHeight w:val="210"/>
        </w:trPr>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7"/>
              </w:rPr>
              <w:t>30,239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101,068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131,307</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Warrant liability</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1,584</w:t>
            </w: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Series 1 nonconvertible preferred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0"/>
        </w:trPr>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1,786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June 30, 2015 and 2014, there were no transfers between Level 1, Level 2 and Level 3.</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June 30, 2015 and September 30, 2014, the warrant liability was comprised of the values of warrants for the purchase of Series 1 nonconvertible preferred stock measured at fair value. The outstanding Series 1 nonconvertible preferred stock was also measured at fair value. The fair value of both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The fair value of warrants to purchase our Series 1 nonconvertible preferred stock was $1,457 and $1,584, at June 30, 2015 and September 30, 2014, respectively. The fair value of Series 1 nonconvertible preferred stock was $185 and $202 as of June 30, 2015 and September 30, 2014, respectively. Changes in the fair value of the warrant liability and Series 1 nonconvertible preferred stock are recognized in the consolidated statements of operations.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6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Unobservable Input</w:t>
            </w: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Warrant liability and Series 1</w:t>
            </w:r>
          </w:p>
        </w:tc>
        <w:tc>
          <w:tcPr>
            <w:tcW w:w="24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Probabilities of payout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0% - 88%</w:t>
            </w:r>
          </w:p>
        </w:tc>
        <w:tc>
          <w:tcPr>
            <w:tcW w:w="0" w:type="dxa"/>
            <w:vAlign w:val="bottom"/>
          </w:tcPr>
          <w:p>
            <w:pPr>
              <w:spacing w:after="0"/>
              <w:rPr>
                <w:sz w:val="1"/>
                <w:szCs w:val="1"/>
                <w:color w:val="auto"/>
              </w:rPr>
            </w:pPr>
          </w:p>
        </w:tc>
      </w:tr>
      <w:tr>
        <w:trPr>
          <w:trHeight w:val="244"/>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nonconvertible preferred stock</w:t>
            </w:r>
          </w:p>
        </w:tc>
        <w:tc>
          <w:tcPr>
            <w:tcW w:w="240" w:type="dxa"/>
            <w:vAlign w:val="bottom"/>
            <w:shd w:val="clear" w:color="auto" w:fill="CCEEFF"/>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Periods in which payout is expected to occur</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4.25%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0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Warrant</w:t>
            </w:r>
          </w:p>
        </w:tc>
        <w:tc>
          <w:tcPr>
            <w:tcW w:w="1380" w:type="dxa"/>
            <w:vAlign w:val="bottom"/>
            <w:gridSpan w:val="4"/>
          </w:tcPr>
          <w:p>
            <w:pPr>
              <w:jc w:val="center"/>
              <w:ind w:left="139"/>
              <w:spacing w:after="0" w:line="149" w:lineRule="exact"/>
              <w:rPr>
                <w:sz w:val="20"/>
                <w:szCs w:val="20"/>
                <w:color w:val="auto"/>
              </w:rPr>
            </w:pPr>
            <w:r>
              <w:rPr>
                <w:rFonts w:ascii="Arial" w:cs="Arial" w:eastAsia="Arial" w:hAnsi="Arial"/>
                <w:sz w:val="14"/>
                <w:szCs w:val="14"/>
                <w:b w:val="1"/>
                <w:bCs w:val="1"/>
                <w:color w:val="auto"/>
                <w:w w:val="91"/>
              </w:rPr>
              <w:t>nonconvertible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0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preferred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liability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2014</w:t>
            </w:r>
          </w:p>
        </w:tc>
        <w:tc>
          <w:tcPr>
            <w:tcW w:w="2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$ 1,584</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Decrease in fair value</w:t>
            </w:r>
          </w:p>
        </w:tc>
        <w:tc>
          <w:tcPr>
            <w:tcW w:w="2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2015</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$ 1,457</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and September 30, 2014, the fair value of available-for-sale marketable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2015</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145,029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7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(118)</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144,958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34,646</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(124)</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2014</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w w:val="78"/>
              </w:rPr>
              <w:t>Losses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88,156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(114)</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88,056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101,168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(114)</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2015, marketable securities consisted of investments that mature within one year, with the exception of certain corporate bonds, which have maturities within two years and an aggregate fair value of $57,657.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2014, marketable securities consisted of investments that mature within one year, with the exception of certain corporate bonds and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Agency bonds, which have maturities within three years and an aggregate fair value of $41,003.</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(current) and other long-term liabilities consisted of the following as of June 30, 2015 and September 30,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300" w:type="dxa"/>
            <w:vAlign w:val="bottom"/>
            <w:gridSpan w:val="3"/>
          </w:tcPr>
          <w:p>
            <w:pPr>
              <w:ind w:left="1780"/>
              <w:spacing w:after="0"/>
              <w:rPr>
                <w:sz w:val="20"/>
                <w:szCs w:val="20"/>
                <w:color w:val="auto"/>
              </w:rPr>
            </w:pPr>
            <w:r>
              <w:rPr>
                <w:rFonts w:ascii="Arial" w:cs="Arial" w:eastAsia="Arial" w:hAnsi="Arial"/>
                <w:sz w:val="14"/>
                <w:szCs w:val="14"/>
                <w:b w:val="1"/>
                <w:bCs w:val="1"/>
                <w:color w:val="auto"/>
                <w:w w:val="89"/>
              </w:rPr>
              <w:t>June 30,</w:t>
            </w:r>
          </w:p>
        </w:tc>
        <w:tc>
          <w:tcPr>
            <w:tcW w:w="162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7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Accrued expenses: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preclinical and clinical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vendor manufacturing expenses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license fees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r>
      <w:tr>
        <w:trPr>
          <w:trHeight w:val="210"/>
        </w:trPr>
        <w:tc>
          <w:tcPr>
            <w:tcW w:w="4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3,469</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long-term liabilities: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Accrued rent expense</w:t>
            </w:r>
          </w:p>
        </w:tc>
        <w:tc>
          <w:tcPr>
            <w:tcW w:w="1880" w:type="dxa"/>
            <w:vAlign w:val="bottom"/>
            <w:gridSpan w:val="2"/>
          </w:tcPr>
          <w:p>
            <w:pPr>
              <w:ind w:left="17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liability</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r>
      <w:tr>
        <w:trPr>
          <w:trHeight w:val="210"/>
        </w:trPr>
        <w:tc>
          <w:tcPr>
            <w:tcW w:w="4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940" w:firstLine="8"/>
        <w:spacing w:after="0" w:line="425" w:lineRule="auto"/>
        <w:tabs>
          <w:tab w:leader="none" w:pos="44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AbbVie Collaboration</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27, 2006, the Company entered into a Collaborative Development and License Agreement (the “AbbVie Agreement”) with Abbott Laboratories to identify, develop and commercialize HCV NS3 and NS3/4A protease inhibitor compounds, including paritaprevir (previously known as ABT-450). The agreement, which was amended in January and December 2009, was assigned by Abbott to AbbVie Inc. on January 1, 2013 in connection with Abbott’s transfer of its research-based pharmaceuticals business to AbbVie. The agreement was subsequently amended further in October 2014 and March 2015.</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Under the terms of the AbbVie Agreement, as amended, AbbVie paid to the Company upfront license payments and FTE reimbursements to fund research activities. The Company is also eligible to receive milestone payments for the successful development by AbbVie of one or more HCV compounds as well as annually tiered royalties per product ranging from the low double digits up to twenty percent, or on a blended basis from the low double digits up to the high teens, on net sales by AbbVie allocated to the collaboration’s protease inhibitors. Under the terms of the agreement, as amended in October 2014, 30% of net sales of a 3-DAA regimen containing paritaprevir will be allocated to paritaprevir, and 45% of net sales of a 2-DAA regimen containing paritaprevir will be allocated to paritaprevir. For ABT-493, 50% of net sales of a 2-DAA regimen containing ABT-493 will be allocated to ABT-493, and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 of net sales of a 3-DAA regimen containing ABT-493 will be allocated to ABT-493. If there is any active ingredient other than DAA’s in any ABT-493-containing regimen sold by AbbVie, there will be a further adjustment to net sales based on the relative value of the non-DAA ingredient.</w:t>
      </w:r>
    </w:p>
    <w:p>
      <w:pPr>
        <w:spacing w:after="0" w:line="18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Deliverables under the AbbVie Agreement included a license, research services and participation on a steering committee. The Company concluded that all deliverables under the AbbVie Agreement should be treated as a single unit of accounting. Accordingly, revenue was recognized using the proportional performance model over the period during which the Company performed research services. The Company completed all remaining service obligations under the agreement as of June 2011. All milestone payments received after June 2011 are recognized as revenue when the respective milestone is achieved by AbbVie.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Through September 30, 2014, the Company had received upfront license payments, proceeds from a sale of preferred stock, research funding payment, and milestone payments totaling $160,000 from AbbVie.</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December 2014, the Company earned and recognized as revenue a $75,000 milestone amount due from AbbVie as a result of U.S. regulatory approval by the FDA for AbbVie’s first treatment regimen containing a collaboration compound. In January 2015, the Company earned and recognized as revenue a $50,000 milestone payment from AbbVie upon commercialization regulatory approval of VIEKIRAX in Europe.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result, during the three and nine months ended June 30, 2015, the Company recognized milestone revenue of $0 and $125,000, respectively. The Company’s first product, paritaprevir, was a part of AbbVie’s new treatment regimen for HCV approved by the FDA on December 19, 2014. During the three and nine months ended June 30, 2015, the Company recognized royalty revenue of $11,390 and $19,743, respectively.</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2015, the Company was eligible to receive additional milestone payments totaling up to $30,000 upon AbbVie’s achievement of commercialization regulatory approval of a paritaprevir-containing regimen in Japan. The Company is also eligible to receive additional milestone payments totaling up to $80,000 upon AbbVie’s achievement of similar commercialization regulatory approval milestones in the U.S. and other selected world markets for each additional protease inhibitor commercialized by AbbVie.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Collaboration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February 16, 2012, the Company entered into a license and collaboration agreement with Novartis (the “Novartis Agreement”) for the development, manufacture and commercialization of its lead development candidate, EDP-239, from its NS5A HCV inhibitor program.</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September 30, 2014 the Company entered into an amendment to its 2012 collaboration and license agreement with Novartis to return to the Company full rights to its NS5A inhibitor program, including EDP-239, and to transition the proof-of-concept study to the Company. The Company owes no future payments to Novartis in connection with this transfer except for any unused drug product or ingredients that the Company may choose to buy from Novartis.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NIAID Contract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30, 2011, the Company entered into a contract with the National Institute of Allergy and Infectious Diseases (“NIAID”), a division of the National Institutes of Health (“NIH”), which contract provided for up to $42,700 in potential development funding to the Company over a five-year period. Under this contract NIAID has funded the preclinical and clinical development of a bridged bicyclic antibiotic to be used as a medical countermeasure against multiple biodefense Category A and B bacteria.</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December 2014, the company communicated to NIAID its strategic decision not to continue commercial development of the antibiotic candidate for non-biodefense indications. In February 2015, NIAID and the Company amended the contract to decrease the total committed funding to $21,000, of which the Company has received $18,268 through June 30, 2015. The contract is expected to be completed in August 2015 upon the Company’s delivery of the study report for the Phase 1 clinical study.</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recognizes revenue under this contract as development services are performed in accordance with its terms. During the three months ended June 30, 2015 and 2014, revenue of $209 and $2,051, respectively, was recognized under this contract. During the nine months ended June 30, 2015 and 2014, the Company recognized revenue of $1,721 and $5,104, respectively.</w:t>
      </w:r>
    </w:p>
    <w:p>
      <w:pPr>
        <w:spacing w:after="0" w:line="32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October and November 2010, the Company issued warrants to purchase up to a total of 1,999,989 shares of Series 1 nonconvertible preferred stock, which expire on October 4, 2017. As these warrants are free-standing financial instruments that may require the Company to transfer assets upon exercise, these warrants are classified as liabilities. The Company is required to remeasure the fair value of these preferred stock warrants at each reporting date, with any adjustments recorded within the change in fair value of warrant liability included in other income (expense) in the consolidated statement of operations. On February 5, 2014, 225,408 warrants were exercised resulting in the net issuance of 223,153 shares of Series 1 nonconvertible preferred stock. As of June 30, 2015 and September 30, 2014, the total fair value of the Series 1 nonconvertible preferred stock was $185 and $202, respectively. As of June 30, 2015 and September 30, 2014, the total fair value of the Series 1 nonconvertible preferred stock warrants was $1,457 and $1,584, respectively.</w:t>
      </w:r>
    </w:p>
    <w:p>
      <w:pPr>
        <w:spacing w:after="0" w:line="31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2012 Equity Incentive Plan</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2012 Equity Incentive Plan (the “2012 Plan”) permits the Company to sell or issue common stock or restricted common stock or to grant incentive stock options or nonqualified stock options for the purchase of common stock, restricted stock units, stock appreciation rights or other cash incentive awards, to employees, members of the board of directors and consultants of the Company. The number of shares of common stock that may be issued under the 2012 Plan is subject to increase by the number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forfeited under any options terminated and not exercised under the 2012 Plan or the previous plan, known as the 1995 Equity Incentive Plan, as well as by a number of additional shares automatically on the first day of each fiscal year equal to the lowest amount among the following: (i) 3% of the Company’s outstanding shares of common stock as of that date, (ii) 2,088,167 shares of common stock, or (iii) a lower amount determined by the board of directors. On October 1, 2014, the number of shares of common stock that may be issued under the 2012 Plan was increased by 557,863. As of June 30, 2015, 455,136 shares remained available for future grant.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To date the Company lacks sufficient company-specific historical volatility information. Therefore, it estimates its expected stock volatility based on the historical volatility of a selected group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relevant data used to determine the value of the stock option grants is as follows, presented on a weighted average basis: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1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Three Months Ended June 30,</w:t>
            </w:r>
          </w:p>
        </w:tc>
        <w:tc>
          <w:tcPr>
            <w:tcW w:w="2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49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1.84%</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1.93%</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40" w:type="dxa"/>
            <w:vAlign w:val="bottom"/>
            <w:gridSpan w:val="2"/>
          </w:tcPr>
          <w:p>
            <w:pPr>
              <w:jc w:val="right"/>
              <w:ind w:right="940"/>
              <w:spacing w:after="0"/>
              <w:rPr>
                <w:sz w:val="20"/>
                <w:szCs w:val="20"/>
                <w:color w:val="auto"/>
              </w:rPr>
            </w:pPr>
            <w:r>
              <w:rPr>
                <w:rFonts w:ascii="Arial" w:cs="Arial" w:eastAsia="Arial" w:hAnsi="Arial"/>
                <w:sz w:val="18"/>
                <w:szCs w:val="18"/>
                <w:color w:val="auto"/>
              </w:rPr>
              <w:t>6.10</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6.10</w:t>
            </w: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6.03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70%</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required by the 2012 Plan, the exercise price for awards granted is not to be less than the fair value of common shares as estimated by the Company as of the date of grant. The Company bases fair value of its common stock on the quoted market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nine months ended June 30,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Issuable</w:t>
            </w: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Under</w:t>
            </w: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3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3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1,389,437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15.39</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w:t>
            </w:r>
          </w:p>
        </w:tc>
        <w:tc>
          <w:tcPr>
            <w:tcW w:w="11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88"/>
              </w:rPr>
              <w:t>$ 33,573</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513,355</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42.33</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(113,360)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4.88</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(39,485)</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32.47</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2015</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1,749,947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23.59</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w:t>
            </w:r>
          </w:p>
        </w:tc>
        <w:tc>
          <w:tcPr>
            <w:tcW w:w="110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88"/>
              </w:rPr>
              <w:t>$ 37,517</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June 30, 2015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24.22</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7"/>
              </w:rPr>
              <w:t>7.4</w:t>
            </w:r>
          </w:p>
        </w:tc>
        <w:tc>
          <w:tcPr>
            <w:tcW w:w="110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88"/>
              </w:rPr>
              <w:t>$ 32,250</w:t>
            </w: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1,566,662</w:t>
            </w:r>
          </w:p>
        </w:tc>
        <w:tc>
          <w:tcPr>
            <w:tcW w:w="5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Options exercisable as of June 30, 2015</w:t>
            </w:r>
          </w:p>
        </w:tc>
        <w:tc>
          <w:tcPr>
            <w:tcW w:w="128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794,816</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13.17</w:t>
            </w:r>
          </w:p>
        </w:tc>
        <w:tc>
          <w:tcPr>
            <w:tcW w:w="7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5.7</w:t>
            </w:r>
          </w:p>
        </w:tc>
        <w:tc>
          <w:tcPr>
            <w:tcW w:w="1100" w:type="dxa"/>
            <w:vAlign w:val="bottom"/>
            <w:gridSpan w:val="3"/>
            <w:shd w:val="clear" w:color="auto" w:fill="CCEEFF"/>
          </w:tcPr>
          <w:p>
            <w:pPr>
              <w:jc w:val="center"/>
              <w:ind w:left="190"/>
              <w:spacing w:after="0" w:line="196" w:lineRule="exact"/>
              <w:rPr>
                <w:sz w:val="20"/>
                <w:szCs w:val="20"/>
                <w:color w:val="auto"/>
              </w:rPr>
            </w:pPr>
            <w:r>
              <w:rPr>
                <w:rFonts w:ascii="Arial" w:cs="Arial" w:eastAsia="Arial" w:hAnsi="Arial"/>
                <w:sz w:val="18"/>
                <w:szCs w:val="18"/>
                <w:color w:val="auto"/>
                <w:w w:val="88"/>
              </w:rPr>
              <w:t>$ 25,288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March 2013, the Company granted certain executives a total of 167,052 options that vest upon the achievement of certain performance-based targets. The grant date fair value of these options was $2,479. During the three and nine months ended June 30, 2015, the Company recorded no compensation expense related to these options as none of the remaining performance-based targets were considered probable of being achieved during these periods. During the nine months ended June 30, 2014, one performance-based target was achieved and the Company recorded compensation expense of $206 related to that target.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February 2015, the Company awarded certain executive officers a total of 41,800 share units consisting of 20,900 performance share units, or PSUs, and 20,900 relative total shareholder return units, or rTSRUs. The number of units represents the target number of shares of common stock that may be earned; however, the actual number of shares that may be earned ranges from 0% to 200% of the target number.</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PSUs will vest and result in issuance, or settlement, of common shares, based upon continued employment and achievement of specified research and development milestones on or before December 31, 2016. The aggregate grant date fair value of the 20,900 PSUs ranges between $0 and $1,501. During the three months ended June 30, 2015, the Company recorded no compensation expense related to the PSU awards as none of the performance-based targets were probable of being achieved during this period.</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December 2014 and December 2016.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used a Monte Carlo simulation model to estimate that the grant-date fair value of the rTSRUs was $554.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Dividend yield</w:t>
            </w:r>
          </w:p>
        </w:tc>
        <w:tc>
          <w:tcPr>
            <w:tcW w:w="2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1.86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$26.51</w:t>
            </w: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2016 regardless of whether the target relative total shareholder returns are reached.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expense for the three and nine months ended June 30, 2015 and 2014 in the following expense categories: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5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2,935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1,325</w:t>
            </w:r>
          </w:p>
        </w:tc>
      </w:tr>
      <w:tr>
        <w:trPr>
          <w:trHeight w:val="20"/>
        </w:trPr>
        <w:tc>
          <w:tcPr>
            <w:tcW w:w="7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1,887</w:t>
            </w: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2015, the Company had an aggregate of $19,557 of unrecognized stock-based compensation cost, which is expected to be recognized over a weighted average period of 3.0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Under the Employee Stock Purchase Plan (the “ESPP”), a total of 185,614 shares of common stock were reserved for issuance. As of June 30, 2015, the Company has not commenced any offering under the ESPP and no shares have been issued.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Basic and diluted net income per share attributable to common stockholders was calculated as follows for the three and nine months ended June 30, 2015 and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share: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73,180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Weighted average common shares outstanding—basic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18,697,104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18,528,833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18,659,742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18,275,831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8"/>
                <w:szCs w:val="18"/>
                <w:color w:val="auto"/>
              </w:rPr>
              <w:t>Net income per share—basic</w:t>
            </w:r>
          </w:p>
        </w:tc>
        <w:tc>
          <w:tcPr>
            <w:tcW w:w="2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3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3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73,180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Weighted average common shares outstanding—basic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18,697,104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18,528,833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18,659,742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18,275,831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700"/>
              <w:spacing w:after="0"/>
              <w:rPr>
                <w:sz w:val="20"/>
                <w:szCs w:val="20"/>
                <w:color w:val="auto"/>
              </w:rPr>
            </w:pPr>
            <w:r>
              <w:rPr>
                <w:rFonts w:ascii="Arial" w:cs="Arial" w:eastAsia="Arial" w:hAnsi="Arial"/>
                <w:sz w:val="18"/>
                <w:szCs w:val="18"/>
                <w:color w:val="auto"/>
              </w:rPr>
              <w:t>Dilutive effect of common stock equivalents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580,862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674,437</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617,025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892,537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Weighted average common shares outstanding—diluted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19,277,966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19,203,270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19,276,767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19,168,368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8"/>
                <w:szCs w:val="18"/>
                <w:color w:val="auto"/>
              </w:rPr>
              <w:t>Net income per share—diluted</w:t>
            </w:r>
          </w:p>
        </w:tc>
        <w:tc>
          <w:tcPr>
            <w:tcW w:w="2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w:t>
            </w:r>
          </w:p>
        </w:tc>
        <w:tc>
          <w:tcPr>
            <w:tcW w:w="3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w:t>
            </w:r>
          </w:p>
        </w:tc>
        <w:tc>
          <w:tcPr>
            <w:tcW w:w="3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 options for the purchase of 700,679 and 433,535 weighted average shares were excluded from the computation of diluted net income per share for the three months ended June 30, 2015 and 2014, respectively, because those options had an anti-dilutive impact due to either the net loss attributable to common stockholders incurred for the period or to the assumed proceeds per share using the treasury stock method being greater than the average fair value of the Company’s common shares for those periods.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Stock options for the purchase of 559,384 and 300,428 weighted average shares were excluded from the computation of diluted net income per share for the nine months ended June 30, 2015 and 2014, respectively, because those options had an anti-dilutive impact due to either the net loss attributable to common stockholders incurred for the period or to the assumed proceeds per share using the treasury stock method being greater than the average fair value of the Company’s common shares for those periods.</w:t>
      </w:r>
    </w:p>
    <w:p>
      <w:pPr>
        <w:spacing w:after="0" w:line="3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June 30, 2015 and 2014, the Company recorded income tax benefits of $428 and $15,122, respectively. The income tax benefit for the three months ended June 30, 2015 was attributable to research and development credits offset by federal and state taxes on the earnings of the Company’s operations, all of which are domestic. During the quarter ended June 30, 2015, the Company performed a research and development tax credit study and recognized the incremental benefit upon its completion in June 2015. During the three months ended June 30, 2015, the gross deferred tax assets increased by $726 primarily as a result of the research and development credits recognized during the period. During the three months ended June 30, 2014, the net income tax benefit resulted in an increase in the gross deferred tax assets of $15,228 due to the release by the Company of a valuation allowance against its deferred tax assets.</w:t>
      </w:r>
    </w:p>
    <w:p>
      <w:pPr>
        <w:spacing w:after="0" w:line="18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For the nine months ended June 30, 2015 and 2014, the Company recorded an income tax provision of $48,092 and a tax benefit of $15,122, respectively. During the nine months ended June 30, 2015, the gross deferred tax assets decreased by $9,277 primarily as a result of the utilization of net operating loss carryforwards to offset income before income taxes generated during the period. No provision for income tax was recorded for the nine months ended June 30, 2014, as the Company used net operating loss carryforwards to offset its income before income taxes. The net income tax benefit during the 2014 period was due to the Company’s release of its valuation allowance against its deferred tax assets during the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2007 to the present. Earlier years may be examined to the extent that tax credit or net operating loss carryforwards are used in future periods.</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recognizes and measures uncertain tax positions using a two-step approach.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at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laws, effectively settled issues under audit and new audit activity. Any changes in these factors could result in the recognition of a tax benefit or an additional charge to the tax provision. When applicable, the Company accrues for the effects of uncertain tax positions and the related potential penalties and interest through income tax expense.</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Unrecognized tax benefits represent tax positions for which reserves have been established. The Company’s policy is to record interest and penalties related to uncertain tax positions as part of its income tax provision. As of June 30, 2015, the Company had unrecognized tax benefits of $0.1 million. As of September 30, 2014, the Company had no unrecognized tax benefits.</w:t>
      </w:r>
    </w:p>
    <w:p>
      <w:pPr>
        <w:spacing w:after="0" w:line="326" w:lineRule="exact"/>
        <w:rPr>
          <w:sz w:val="20"/>
          <w:szCs w:val="20"/>
          <w:color w:val="auto"/>
        </w:rPr>
      </w:pPr>
    </w:p>
    <w:p>
      <w:pPr>
        <w:ind w:right="8420" w:firstLine="8"/>
        <w:spacing w:after="0" w:line="378" w:lineRule="auto"/>
        <w:tabs>
          <w:tab w:leader="none" w:pos="44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140"/>
        <w:spacing w:after="0" w:line="279" w:lineRule="auto"/>
        <w:rPr>
          <w:sz w:val="20"/>
          <w:szCs w:val="20"/>
          <w:color w:val="auto"/>
        </w:rPr>
      </w:pPr>
      <w:r>
        <w:rPr>
          <w:rFonts w:ascii="Arial" w:cs="Arial" w:eastAsia="Arial" w:hAnsi="Arial"/>
          <w:sz w:val="17"/>
          <w:szCs w:val="17"/>
          <w:color w:val="auto"/>
        </w:rPr>
        <w:t>In March 2015 the Company amended its lease for office and laboratory space to expand the rented space and extend the lease term beginning in the fourth fiscal quarter of 2015. As amended, the lease expires in September 2022. Payment escalation as specified in the lease agreement is accrued such that rent expense is recognized on a straight-line basis over the term of occupancy. The Company recorded rent expense of $341 and $237 for the three months ended June 30, 2015 and 2014, respectively, and $821 and $711 for the nine months ended June 30, 2015 and 2014,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operating leases as of June 30, 2015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September 30,</w:t>
            </w:r>
          </w:p>
        </w:tc>
        <w:tc>
          <w:tcPr>
            <w:tcW w:w="53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96"/>
        </w:trPr>
        <w:tc>
          <w:tcPr>
            <w:tcW w:w="1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5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2016</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2018</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5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18"/>
                <w:szCs w:val="18"/>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15,023</w:t>
            </w:r>
          </w:p>
        </w:tc>
        <w:tc>
          <w:tcPr>
            <w:tcW w:w="10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connection with the amended lease, the Company has outstanding a $608 and $436 letter of credit, collateralized by a money market account, as of June 30, 2015 and September 30, 2014, respectively. The Company classified such amounts as restricted cash.</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Additionally the amended lease included approximately $600 in a tenant improvement allowance from the landlord, which allowance will be accounted for as a capital lease obligation.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$200 in fiscal 2015 and (1) annual maintenance fees of $105 for each year that the agreement remains in effect, commencing on the first anniversary of the agreement, in order to maintain the right to use the license, and (2) a one-time fee of $50 in each circumstance in which the Company provides the licensed intellectual property to one of its collaborators with the prior consent of the licensor.</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also has a non-exclusive license with respect to patents it uses in its HCV research. Under the license, the Company is obligated to pay milestones totaling up to $5,000, plus low single digit royalties, for the development and regulatory approval of each HCV product outside of the Company’s collaboration with AbbVie and any other collaboration it may enter into in the future with a partner that has already licensed these patents.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could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2014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a research and development-focused biotechnology company that uses its robust chemistry-driven approach and drug discovery capabilities to create small molecule drugs for the treatment of viral infections and liver diseases. Through our collaboration with AbbVie (formerly Abbott Laboratories), we have discovered protease inhibitors designed for use against the hepatitis C virus, referred to as HCV, including:</w:t>
      </w:r>
    </w:p>
    <w:p>
      <w:pPr>
        <w:spacing w:after="0" w:line="71" w:lineRule="exact"/>
        <w:rPr>
          <w:sz w:val="20"/>
          <w:szCs w:val="20"/>
          <w:color w:val="auto"/>
        </w:rPr>
      </w:pPr>
    </w:p>
    <w:p>
      <w:pPr>
        <w:ind w:left="900" w:right="20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Paritaprevir, the protease inhibitor contained in AbbVie’s all-oral, interferon-free VIEKIRA PAK™ HCV treatment regimen, which was approved and first sold in the U.S. in December 2014 for genotype 1 HCV. VIEKIRAX™, another paritaprevir-containing HCV treatment, was approved in the EU in January 2015.</w:t>
      </w:r>
    </w:p>
    <w:p>
      <w:pPr>
        <w:spacing w:after="0" w:line="86"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ABT-493, our next-generation protease inhibitor, which is being developed by AbbVie in combination with its next-generation NS5A inhibitor, ABT-530, as a pan-genotypic, once daily oral treatment regimen for HCV. This combination of two direct-acting antivirals, or DAAs, is completing Phase 2 clinical trials in 2015. AbbVie plans to initiate Phase 3 trials before the end of 2015 and has a target date for approval in the U.S. in 2017.</w:t>
      </w:r>
    </w:p>
    <w:p>
      <w:pPr>
        <w:spacing w:after="0" w:line="18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In our fiscal 2015 through June 30, 2015, we have received $125 million in milestone payments for paritaprevir, and earned $20 million in royalties. We have $212 million in cash and marketable securities at June 30, 2015. With these resources, we are continuing to invest in research into inhibitors that attack other mechanisms necessary for replication and survival of HCV, particularly mechanisms such as cyclophilin inhibitors and nucleotide polymerase inhibitors that we expect will have high barriers to resistance and may be able to overcome emerging HCV resistance to the current approved therapies.</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reported worldwide sales of the new oral therapies for HCV totaled approximately $15 billion in 2014. We believe that aggregate annual worldwide sales of HCV therapies could increase during the next few years, and that the share of those sales represented by VIEKIRA PAK and other paritaprevir-containing regimens should increase our royalties as AbbVie’s HCV regimens continue to be introduced in more markets and for treatment of other HCV subpopulations.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also using our financial resources to build our internal research capabilities to advance several early stage programs to discover new chemical entities for the treatment of other diseases with significant unmet medical need, including our recently announced new focus area in non-alcoholic steatohepatitis, or NASH. We have utilized our internal chemistry and drug discovery capabilities and our collaborations to generate all of our development-stage programs, and we have active research efforts to broaden our drug pipeline. Our internal and external research expenses are increasing, as we expand our research effort.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HCV antivirals and liver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6157595" cy="4699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7595" cy="469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HCV portfolio includes inhibitors of four fundamental, validated HCV targets. Our first product, paritaprevir, previously known as ABT-450, is a protease inhibitor that was discovered through our collaboration with AbbVie. During the nine months ended June 30, 2015, we earned and recognized as revenue milestone payments from AbbVie totaling $125.0 million as a result of regulatory approvals in the U.S. and EU for the first regimens containing paritaprevir. On July 24, 2015 the FDA approved a paritaprevir-containing regimen for genotype 4 HCV patients. Additional regulatory reviews for paritaprevir-containing regimens are ongoing, including a priority review in Japan for a ribavirin-free regimen for genotype 1 HCV patients in that country. To date AbbVie has funded all research and development of our protease inhibitors since we entered into the collaboration in November 2006, and is responsible for obtaining regulatory approvals and commercializing paritaprevir, ABT-493 and any other follow-on products worldwide.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independent HCV research activities are focused on our cyclophilin inhibitor program, which is in preclinical development, as well as our NS5A inhibitor assets and our small-molecule drug discovery effort underway for nucleotide polymerase inhibitors. We are currently funding all research and development for our cyclophilin inhibitor, NS5A inhibitor and nucleotide polymerase inhibitor programs. We have prioritized our cyclophilin and nucleotide polymerase inhibitor-driven programs because we believe that high-barrier-to-resistance mechanisms are going to be increasingly important for the treatment of HCV patients, including those who have failed on current DAA therapies. We expect to incur substantially greater expenses if we advance any of these programs into clinical development.</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our HCV and NASH programs, we used our internal research capabilities to discover a new class of antibiotics called Bicyclolides, which we were developing for the treatment of multi-drug resistant bacteria. For the periods included in this report this program has been funded under a September 2011 contract with the National Institute of Allergy and Infectious Diseases, or NIAID, a division of the National Institutes of Health, an agency of the United States Department of Health and Human Services, to develop our lead bicyclolide for biodefense purposes. After we communicated to NIAID our strategic decision to discontinue commercial development of this antibiotic candidate for non-biodefense indications, we and NIAID amended our contract in February 2015 to change its completion date to August 2015 upon our delivery of the study report for our Phase 1 study. Accordingly we do not expect to earn any significant additional revenue under this contract.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commencing our operations in 1995, we have devoted substantially all of our resources to the discovery and development of novel inhibitors for the treatment of infectious diseases. For the periods included in this report we have funded our operations primarily through payments received under our collaborations and a government contract, as well as net proceeds of approximately $59.9 million that we received from our March 2013 IPO, after deducting underwriting discounts and commissions.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we had $211.9 million in cash, cash equivalents and short-term and long-term marketable securities.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revenue from our collaboration agreements has resulted in our reporting net income in each of our past five fiscal years and in the nine months ended June 30, 2015. We expect that our revenue in the near term will continue to be dependent on our collaboration with AbbVie, including its commercialization of paritaprevir-containing regimens and its continued advancement of the related development programs for paritaprevir and ABT-493. Given the schedule of potential milestone payments and the uncertainties due to the nature and timing of clinical development and regulatory approval and market acceptance of AbbVie’s regimen, we cannot be certain as to the extent of royalty payments related to paritaprevir or when or whether we will receive further milestone payments under this collaboration or whether we will report continuing net income in future years.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periods included in this report, our revenue has been derived from two primary sources: collaboration agreements with pharmaceutical companies and one government research and development contract. For the nine months ended June 30, 2015, we generated royalty revenue from AbbVie’s net sales allocable to paritaprevir, which is part of AbbVie’s new treatment regimens for HCV launched in the United States after its approval by the FDA in December 2014 and the EMA in January 2015. We have entered into three significant collaboration agreements since 2006 when we entered into our collaboration agreement with AbbVie. Our second collaboration was with Novartis, from February 2012 through September 2014, and since September 2011, we have had a contract with NIAID, which has funded the preclinical and early clinical development of our bicyclolide antibiotic product candidate since that time.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agreements and government contract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5"/>
              </w:rPr>
              <w:t>Three Months Ended</w:t>
            </w: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$40,000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$125,000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19,743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NIAID contract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2,051</w:t>
            </w:r>
          </w:p>
        </w:tc>
        <w:tc>
          <w:tcPr>
            <w:tcW w:w="4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1,721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5,104</w:t>
            </w:r>
          </w:p>
        </w:tc>
      </w:tr>
      <w:tr>
        <w:trPr>
          <w:trHeight w:val="20"/>
        </w:trPr>
        <w:tc>
          <w:tcPr>
            <w:tcW w:w="4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11,599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42,051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146,464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45,104</w:t>
            </w:r>
          </w:p>
        </w:tc>
      </w:tr>
      <w:tr>
        <w:trPr>
          <w:trHeight w:val="20"/>
        </w:trPr>
        <w:tc>
          <w:tcPr>
            <w:tcW w:w="4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Each milestone payment received after we concluded our research obligations under the AbbVie agreement in June 30, 2011 has been recognized as revenue upon achievement of the milestone by AbbVie. During the year ended September 30, 2014, we earned and recognized as revenue a total of $40.0 million in milestone payments as a result of U.S. and EU regulatory filings by AbbVie for the first protease inhibitor product resulting from our collaboration with AbbVie. During the nine months ended June 30, 2015, we earned and recognized as revenue a total of $125.0 million of milestone payments related to AbbVie’s U.S. and EU regulatory approvals of combination treatment regimens containing paritaprevir. Under the terms of the AbbVie agreement, we are eligible to receive an additional future milestone payment of $30.0 million if AbbVie achieves commercialization regulatory approval in Japan of the first HCV treatment regimen incorporating one of our collaboration’s protease inhibitors. We expect to earn this payment in the quarter ending December 31, 2016. We are also eligible to receive annually tiered, double-digit royalties per product on AbbVie’s net sales, if any, allocable to any one of our collaboration’s protease inhibitors. Under the terms of our agreement, as amended in October 2014, 30% of net sales of a 3-DAA regimen containing paritaprevir and 45% of net sales of a 2-DAA regimen containing paritaprevir will be allocated to paritaprevir. For ABT-493, 50% of net sales of a 2-DAA regimen containing ABT-493 and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net sales of a 3-DAA regimen containing ABT-493 will be allocated to ABT-493. If there is any active ingredient other than DAA’s in any ABT-493-containing regimen sold by AbbVie, there will be a further adjustment to net sales based on the relative value of the non-DAA ingredient.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2014, we communicated to NIAID our strategic decision not to continue commercial development of the antibiotic candidate for non-biodefense indications. In February 2015 we and NIAID amended our contract to decrease the total committed funding to a total of $21.0 million, of which we have received $18.3 million through June 30, 2015. We expect the contract to be completed in August 2015 upon our delivery of the study report for the Phase 1 clinical study.</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recognize revenue under this contract as research and development services are performed. We recognized revenue of $0.2 million and $2.1 million under this contract during the three months ended June 30, 2015 and 2014, respectively, and $1.7 million and $5.1 million during the nine months ended June 30, 2015 and 2014,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nine months ended June 30, 2015 and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$ 6,253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4,553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$16,140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2,603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9,848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$ 9,894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7,156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25,988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20,793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260" w:type="dxa"/>
            <w:vAlign w:val="bottom"/>
            <w:vMerge w:val="restart"/>
          </w:tcPr>
          <w:p>
            <w:pPr>
              <w:jc w:val="right"/>
              <w:ind w:right="1490"/>
              <w:spacing w:after="0"/>
              <w:rPr>
                <w:sz w:val="20"/>
                <w:szCs w:val="20"/>
                <w:color w:val="auto"/>
              </w:rPr>
            </w:pPr>
            <w:r>
              <w:rPr>
                <w:rFonts w:ascii="Arial" w:cs="Arial" w:eastAsia="Arial" w:hAnsi="Arial"/>
                <w:sz w:val="18"/>
                <w:szCs w:val="18"/>
                <w:color w:val="auto"/>
              </w:rPr>
              <w:t>21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76" w:lineRule="exact"/>
        <w:rPr>
          <w:sz w:val="20"/>
          <w:szCs w:val="20"/>
          <w:color w:val="auto"/>
        </w:rPr>
      </w:pPr>
    </w:p>
    <w:p>
      <w:pPr>
        <w:ind w:left="1460" w:right="500" w:hanging="547"/>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expect that our research and development expenses will increase in the future as we advance our research and development efforts in HCV, NASH and other areas.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an early stage;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and professional fees for auditing, tax and legal services, including legal expenses to pursue patent protection of our intellectual property.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our cash equivalents and marketable securities balances.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of non-cash interest expense which is being accreted to the value of accrued third-party license fees over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obligation.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we believe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and we record the changes in the fair value of the warrants and Series 1 nonconvertible preferred stock as a component of other income (expense).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based on our best estimate of applicable rates applied to pre-tax profit reported during the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to our consolidated financial statements included elsewhere in this Quarterly Report on Form 10-Q and our Annual Report on Form 10-K for the fiscal year ended September 30, 2014 (referred to as our 2014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87"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Fair value of warrants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2014. For further information, please see the discussion of critical accounting policies included in our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2015 and 2014</w:t>
      </w:r>
    </w:p>
    <w:p>
      <w:pPr>
        <w:spacing w:after="0" w:line="24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5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6,253</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preferred stock</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 benefit</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15,122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480" w:type="dxa"/>
            <w:vAlign w:val="bottom"/>
            <w:gridSpan w:val="2"/>
          </w:tcPr>
          <w:p>
            <w:pPr>
              <w:jc w:val="right"/>
              <w:ind w:right="6690"/>
              <w:spacing w:after="0"/>
              <w:rPr>
                <w:sz w:val="20"/>
                <w:szCs w:val="20"/>
                <w:color w:val="auto"/>
              </w:rPr>
            </w:pPr>
            <w:r>
              <w:rPr>
                <w:rFonts w:ascii="Arial" w:cs="Arial" w:eastAsia="Arial" w:hAnsi="Arial"/>
                <w:sz w:val="18"/>
                <w:szCs w:val="18"/>
                <w:b w:val="1"/>
                <w:bCs w:val="1"/>
                <w:i w:val="1"/>
                <w:iCs w:val="1"/>
                <w:color w:val="auto"/>
                <w:w w:val="84"/>
              </w:rPr>
              <w:t>Revenue.</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NIAID contract</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11,599</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590"/>
              <w:spacing w:after="0"/>
              <w:rPr>
                <w:sz w:val="20"/>
                <w:szCs w:val="20"/>
                <w:color w:val="auto"/>
              </w:rPr>
            </w:pPr>
            <w:r>
              <w:rPr>
                <w:rFonts w:ascii="Arial" w:cs="Arial" w:eastAsia="Arial" w:hAnsi="Arial"/>
                <w:sz w:val="18"/>
                <w:szCs w:val="18"/>
                <w:color w:val="auto"/>
              </w:rPr>
              <w:t>23</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recognized revenue of $11.6 million during the three months ended June 30, 2015, as compared to $42.1 million during the three months ended June 30, 2014. In December 2014, the FDA approved AbbVie’s new treatment regimen for HCV, containing our first product paritaprevir. During the three months ended June 30, 2015, revenue primarily consisted of royalties of $11.4 million on the portion of AbbVie’s net sales of its HCV treatment regimen allocable to paritaprevir. During the three month ended June 30, 2014, we received and recognized as revenue a total of $40.0 million in milestone payments from AbbVie as a result of its U.S. and European Union regulatory filings for the first regimen containing a collaboration compound. During the three months ended</w:t>
      </w:r>
    </w:p>
    <w:p>
      <w:pPr>
        <w:spacing w:after="0" w:line="2"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June 30, 2015, revenue related to our performance of services under our contract with NIAID was $0.2 million, compared to $2.1 million in the comparable quarter in 2014. The decrease in revenue from NIAID was due to our nearing completion of the contract, which we expect to complete in August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Development programs: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Antibiotic</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drug discovery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6,096</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3,085</w:t>
            </w:r>
          </w:p>
        </w:tc>
        <w:tc>
          <w:tcPr>
            <w:tcW w:w="100" w:type="dxa"/>
            <w:vAlign w:val="bottom"/>
            <w:shd w:val="clear" w:color="auto" w:fill="CCEEFF"/>
          </w:tcPr>
          <w:p>
            <w:pPr>
              <w:spacing w:after="0"/>
              <w:rPr>
                <w:sz w:val="18"/>
                <w:szCs w:val="18"/>
                <w:color w:val="auto"/>
              </w:rPr>
            </w:pPr>
          </w:p>
        </w:tc>
      </w:tr>
      <w:tr>
        <w:trPr>
          <w:trHeight w:val="210"/>
        </w:trPr>
        <w:tc>
          <w:tcPr>
            <w:tcW w:w="704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6,253</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4,553</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were $6.3 million in the three months ended June 30, 2015, as compared to $4.6 million for the same period in 2014. The $1.7 million increase was due primarily to a $3.0 million increase in expenses related to our early stage drug discovery programs, partially offset by a decrease in our NIAID antibiotic program of $1.3 million. We incurred increased research expenses in the second quarter of fiscal 2015 as compared to the 2014 quarter in our early stage drug discovery programs due to an increase in internal spending related to these programs, primarily due to increased headcount related to these programs.</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$1.0 million from $2.6 million in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to $3.6 million for the same period in 2015. The increase was primarily due to increased stock-based compensation expense related to additional employee stock options and a higher value of our common stock, as well as additional expense to support our expanding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were as follows: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three months ended June 30, 2015, as compared to the three months ended June 30, 2014,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investment balances in the third fiscal quarter of 2015 as compared to 2014 primarily due to the receipt of a total of $125.0 million of milestone payments from AbbVie in the second fiscal quarter of 2015.</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During the three months ended June 30, 2015, we recorded an</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expense due to an increase in the fair value of our warrant liability and Series 1 nonconvertible preferred stock as a result of the remeasurement of our warrant liability and Series 1 nonconvertible preferred stock.</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Income tax benefit (expense). </w:t>
      </w:r>
      <w:r>
        <w:rPr>
          <w:rFonts w:ascii="Arial" w:cs="Arial" w:eastAsia="Arial" w:hAnsi="Arial"/>
          <w:sz w:val="18"/>
          <w:szCs w:val="18"/>
          <w:color w:val="auto"/>
        </w:rPr>
        <w:t>For the three months ended June 30, 2015 and 2014, we recorded an income tax benefit of $0.4 million and $15.1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income tax benefit for the three months ended June 30, 2015 was primarily attributable to the research and development credits recognized during the period. During the quarter ended June 30, 2015, we performed a research and development tax credit study and recognized the incremental benefit upon completion in June 2015. During the three months ended June 30, 2015, the gross deferred tax assets increased by $0.7 million primarily as a result of the research and development credits recorded during the period. For the three months ended June 30, 2014, we used net operating loss carryforwards to offset our income before income taxes. The net income tax benefit during the 2014 period was due to our release of our valuation allowance which we maintained against our deferred tax assets.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June 30,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1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86"/>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$146,464</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$45,104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16,140</w:t>
            </w: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900" w:type="dxa"/>
            <w:vAlign w:val="bottom"/>
            <w:gridSpan w:val="4"/>
          </w:tcPr>
          <w:p>
            <w:pPr>
              <w:jc w:val="right"/>
              <w:ind w:right="360"/>
              <w:spacing w:after="0"/>
              <w:rPr>
                <w:sz w:val="20"/>
                <w:szCs w:val="20"/>
                <w:color w:val="auto"/>
              </w:rPr>
            </w:pPr>
            <w:r>
              <w:rPr>
                <w:rFonts w:ascii="Arial" w:cs="Arial" w:eastAsia="Arial" w:hAnsi="Arial"/>
                <w:sz w:val="18"/>
                <w:szCs w:val="18"/>
                <w:color w:val="auto"/>
              </w:rPr>
              <w:t>(6)</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preferred stock</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r>
      <w:tr>
        <w:trPr>
          <w:trHeight w:val="230"/>
        </w:trPr>
        <w:tc>
          <w:tcPr>
            <w:tcW w:w="13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900" w:type="dxa"/>
            <w:vAlign w:val="bottom"/>
            <w:gridSpan w:val="4"/>
          </w:tcPr>
          <w:p>
            <w:pPr>
              <w:jc w:val="right"/>
              <w:ind w:right="360"/>
              <w:spacing w:after="0"/>
              <w:rPr>
                <w:sz w:val="20"/>
                <w:szCs w:val="20"/>
                <w:color w:val="auto"/>
              </w:rPr>
            </w:pPr>
            <w:r>
              <w:rPr>
                <w:rFonts w:ascii="Arial" w:cs="Arial" w:eastAsia="Arial" w:hAnsi="Arial"/>
                <w:sz w:val="18"/>
                <w:szCs w:val="18"/>
                <w:color w:val="auto"/>
              </w:rPr>
              <w:t>(48,092)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15,122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6"/>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1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1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68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$40,000</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NIAID contract</w:t>
            </w:r>
          </w:p>
        </w:tc>
        <w:tc>
          <w:tcPr>
            <w:tcW w:w="820" w:type="dxa"/>
            <w:vAlign w:val="bottom"/>
            <w:gridSpan w:val="2"/>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146,464</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45,104</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recognized revenue of $146.5 million during the nine months ended June 30, 2015, as compared to $45.1 million during the nine months ended June 30, 2014. During the nine months ended June 30, 2015, we earned and recognized as revenue $125.0 million in milestone payments under our collaboration with AbbVie as a result of U.S. and EU regulatory approvals for AbbVie’s paritaprevir-containing regimens, as well as royalties of $19.7 million on the portion of AbbVie’s net sales of its HCV treatment regimen allocable to paritaprevir. During the nine months ended June 30, 2014, we received and recognized as revenue a total of $40.0 million in milestone payments from AbbVie as a result of its U.S. and European Union regulatory filings for the first regimen containing a collaboration compound. Our government contract revenue was $1.7 million and $5.1 million during the nine months ended June 30, 2015 and 2014, respectively, under our contract with NIAID. The decrease in revenue from NIAID was due to our nearing completion of the contract which is expected in August 2015.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Nine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29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Development programs: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Antibiotic</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drug discovery</w:t>
            </w:r>
          </w:p>
        </w:tc>
        <w:tc>
          <w:tcPr>
            <w:tcW w:w="3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14,849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3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16,140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160" w:type="dxa"/>
            <w:vAlign w:val="bottom"/>
            <w:vMerge w:val="restart"/>
          </w:tcPr>
          <w:p>
            <w:pPr>
              <w:jc w:val="right"/>
              <w:ind w:right="245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Research and development expenses were $16.1 million in the nine months ended June 30, 2015, as compared to $13.5 million for the same period in 2014. The increase of $2.6 million from 2014 to 2015 was due primarily to a $5.2 million increase in preclinical expenses for our early stage drug discovery programs partially offset by a decrease of $2.5 million in our expenses for our NIAID program. We incurred increased research expenses in our early stage drug discovery programs due to an increase in internal spending related to these programs primarily due to increased headcount related to these programs.</w:t>
      </w:r>
    </w:p>
    <w:p>
      <w:pPr>
        <w:spacing w:after="0" w:line="15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$9.8 million during the nine months ended June 30, 2015 and $7.3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months ended June 30, 2014. The increase of $2.5 million during the nine months ended June 30, 2015 was related primarily to an increase in stock-based compensation expense related to amortization of additional stock option grants to employees and a higher Black-Scholes value for these options granted in the later period due to the higher value of our common stock, as well as to an increase in insurance expense and additional expense to support our expanding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were as follows: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nine months ended June 30, 2015, as compared to the nine months ended June 30, 2014,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investment balances in the third fiscal quarter of 2015 as compared to 2014 primarily due to the receipt of $125.0 million in milestone payments from AbbVie in the second fiscal quarter of 2015.</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Change in fair value of warrant liability and Series 1 nonconvertible preferred stock</w:t>
      </w:r>
      <w:r>
        <w:rPr>
          <w:rFonts w:ascii="Arial" w:cs="Arial" w:eastAsia="Arial" w:hAnsi="Arial"/>
          <w:sz w:val="16"/>
          <w:szCs w:val="16"/>
          <w:color w:val="auto"/>
        </w:rPr>
        <w:t>. We account for our outstanding warrants for our Series 1 nonconvertible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Series 1 nonconvertible preferred stock as liabilities held at fair value, with changes in fair value recorded as a component of other income (expense). During the nine months ended June 30, 2014, we recorded income due to a decrease in the fair value of our warrant liability during the nine months ended June 30, 2014 as a result of the remeasurement of the fair value of warrants for Series 1 nonconvertible preferred stock. During the nine months ended June 30, 2015 we recorded an expense of $0.2 million due to an increase in the fair value of our warrant liability and Series 1 nonconvertible preferred stock. In February 2014, 225,408 warrants were exercised resulting in net issuance of 223,153 shares of Series 1 nonconvertible preferred stock.</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Income tax benefit (expense). </w:t>
      </w:r>
      <w:r>
        <w:rPr>
          <w:rFonts w:ascii="Arial" w:cs="Arial" w:eastAsia="Arial" w:hAnsi="Arial"/>
          <w:sz w:val="17"/>
          <w:szCs w:val="17"/>
          <w:color w:val="auto"/>
        </w:rPr>
        <w:t>For the nine months ended June 30, 2015, we recorded an income tax provision of $48.1 million and income tax benefit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$15.1 million in the 2014 period. The income tax provision for the nine months ended June 30, 2015 was primarily attributable to the tax provision on the earnings of our operations, all of which are domestic. During the nine months ended June 30, 2015, we performed a research and development tax credit study and recognized the incremental benefit upon completion in June 2015. During the nine months ended June 30, 2015, the gross deferred tax assets decreased by $9.3 million primarily as a result of their utilization against tax liability on income before income taxes generated during the period. For the nine months ended June 30, 2014, we used net operating loss carryforwards to offset our income before income taxes. The net income tax benefit during the 2014 period was due to our release of our valuation allowance which we had previously maintained against our deferred tax assets.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our principal sources of liquidity were cash, cash equivalents and marketable securities totaling $211.9 million.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nine months ended June 30, 2015, we generated $79.0 million in cash from our operating activities. The following table shows a summary of our cash flows for the nine months ended June 30, 2015 and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4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0"/>
              <w:spacing w:after="0"/>
              <w:rPr>
                <w:sz w:val="20"/>
                <w:szCs w:val="20"/>
                <w:color w:val="auto"/>
              </w:rPr>
            </w:pPr>
            <w:r>
              <w:rPr>
                <w:rFonts w:ascii="Arial" w:cs="Arial" w:eastAsia="Arial" w:hAnsi="Arial"/>
                <w:sz w:val="18"/>
                <w:szCs w:val="18"/>
                <w:color w:val="auto"/>
                <w:w w:val="98"/>
              </w:rPr>
              <w:t>79,048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25,111</w:t>
            </w:r>
          </w:p>
        </w:tc>
        <w:tc>
          <w:tcPr>
            <w:tcW w:w="120" w:type="dxa"/>
            <w:vAlign w:val="bottom"/>
          </w:tcPr>
          <w:p>
            <w:pPr>
              <w:spacing w:after="0"/>
              <w:rPr>
                <w:sz w:val="18"/>
                <w:szCs w:val="18"/>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w w:val="89"/>
              </w:rPr>
              <w:t>(92,284)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(8,716)</w:t>
            </w: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0"/>
              <w:spacing w:after="0"/>
              <w:rPr>
                <w:sz w:val="20"/>
                <w:szCs w:val="20"/>
                <w:color w:val="auto"/>
              </w:rPr>
            </w:pPr>
            <w:r>
              <w:rPr>
                <w:rFonts w:ascii="Arial" w:cs="Arial" w:eastAsia="Arial" w:hAnsi="Arial"/>
                <w:sz w:val="18"/>
                <w:szCs w:val="18"/>
                <w:color w:val="auto"/>
              </w:rPr>
              <w:t>2,381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nine months ended June 30, 2015, operating activities provided $79.0 million of cash. Cash provided by operating activities primarily resulted from our net income of $73.3 million and net non-cash charges of $13.2 million, partially offset by the net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change in operating assets and liabilities of $7.3 million. Our net income in the period was primarily due to normal operating expenses and revenue consisting of $125.0 million in milestone payments received and $19.7 million in royalties from AbbVie and $1.7 million of reimbursement under our NIAID contract. Our net non-cash charges in the period primarily consisted of change in deferred tax assets of $11.1 million, $4.0 million of stock-based compensation expense and $1.7 million related to amortization of the premium on our marketable securities, which were partially offset by $1.8 million income tax benefit from exercise of stock options and premium on marketable securities of $2.1 million. The $8.6 million increase in accounts receivable and unbilled receivables was due to timing of our billings under the NIAID contract and royalty payments from AbbVie. The $2.2 million increase in accrued taxes payable is a result of the current tax provision on pretax income during the period offset by the use of deferred tax assets.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nine months ended June 30, 2014, operating activities provided $25.1 million of cash primarily due to our net income of $39.5 million partially reduced by non-cash items of $13.0 million and changes in our operating assets and liabilities of $1.3 million. Our net income in the period was primarily due to the milestone payments we earned and received during the third quarter of fiscal 2014. Non-cash items affecting income from operations during the nine months ended June 30, 2014 consisted primarily of benefit from deferred income taxes of $15.2 million and premium on marketable securities of $1.8 million, partially offset by stock-based compensation of $1.9 million and amortization of premium on marketable securities of $1.6 million, depreciation expense of $0.2 million and change in fair value of warrant and preferred stock liability of $0.3 million. The changes in our operating assets and liabilities resulted from in an increase in accounts receivable and unbilled receivables of $1.1 million, decrease in prepaid expenses of $0.2 million and decrease in accounts payable and accrued expenses of $0.4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nine months ended June 30, 2015, net cash used in investing activities was $92.3 million. Net cash used in investing activities during the period consisted primarily of $155.6 million used to purchase marketable securities offset by cash received from sales of marketable securities of $2.2 million and from maturities of marketable securities of $62.0 million.</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the nine months ended June 30, 2014, net cash used in investing activities was $8.7 million. Net cash used in investing activities during the period consisted primarily of $85.8 million of cash used for purchases of marketable securities, partially offset by $70.2 million of maturities and $7.4 million of sales of marketable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provided by financing activities during the nine months ended June 30, 2015 was $2.4 million and consisted of income tax benefit from exercise of stock options of $1.8 million and proceeds from exercise of stock options of $0.6 million.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provided by financing activities during the nine months ended June 30, 2014 consisted of proceeds received from the exercise of stock options of $1.0 million and income tax benefit from the exercise of stock options of $0.1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June 30, 2015, we had $211.9 million in cash, cash equivalents and short-term and long-term marketable securities. We believe that our existing cash, cash equivalents and marketable securities as of June 30, 2015, will be sufficient to meet our anticipated cash requirements for the forseeable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and conducting preclinical research and clinical trials;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in-license or otherwise acquire additional assets for development;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existing collaboration generates significant royalties and potential milestone payments to us;</w:t>
      </w:r>
    </w:p>
    <w:p>
      <w:pPr>
        <w:spacing w:after="0" w:line="130" w:lineRule="exact"/>
        <w:rPr>
          <w:rFonts w:ascii="Arial" w:cs="Arial" w:eastAsia="Arial" w:hAnsi="Arial"/>
          <w:sz w:val="18"/>
          <w:szCs w:val="18"/>
          <w:color w:val="auto"/>
        </w:rPr>
      </w:pPr>
    </w:p>
    <w:p>
      <w:pPr>
        <w:ind w:left="5620" w:right="400" w:hanging="4707"/>
        <w:spacing w:after="0" w:line="449" w:lineRule="auto"/>
        <w:tabs>
          <w:tab w:leader="none" w:pos="14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 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32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paritaprevir, ABT-493 and our future product candidates, if 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our Annual Report on Form 10-K for the year ended September 30, 2014,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nine months ended June 30, 2015 except for those related to our amended lease agreement as disclosed in Note 11 to our consolidated financial statements included in this Quarterly Report on Form 10-Q.</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operating leases as of June 30, 2015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September 30,</w:t>
            </w:r>
          </w:p>
        </w:tc>
        <w:tc>
          <w:tcPr>
            <w:tcW w:w="53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96"/>
        </w:trPr>
        <w:tc>
          <w:tcPr>
            <w:tcW w:w="1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5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2016</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2018</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5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18"/>
                <w:szCs w:val="18"/>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15,023</w:t>
            </w:r>
          </w:p>
        </w:tc>
        <w:tc>
          <w:tcPr>
            <w:tcW w:w="10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May, 2014, the Financial Accounting Standards Board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In July 2015, the FASB decided to delay the effective date of the new revenue standard by one year. The new standard will be effective for us October 1, 2018. We are currently evaluating the potential impact that Topic 606 may have on our financial position and results of operations.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$211.9 million at June 30, 2015, which consisted of cash, money market funds, commercial paper, corporate bonds and government securities.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June 30, 2015.</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the protease inhibitors paritaprevir or ABT-493 for the treatment of HCV. AbbVie may act in its best interest rather than in our best interest, which could adversely affect our business.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rely on AbbVie to fund and conduct the clinical development and commercialization of paritaprevir, ABT-493 (our next-generation protease inhibitor in clinical development) and any other protease inhibitors we discover, over which AbbVie has complete control. Our ability to generate significant revenue in the near term will depend primarily on the successful development, regulatory approval, marketing and commercialization by AbbVie of combination therapies incorporating paritaprevir or ABT-493. Such success is subject to significant uncertainty, and we have no control over the resources, time and effort that AbbVie may devote to paritaprevir or ABT-493. Any of several events or factors could have a material adverse effect on our ability to generate revenue from AbbVie’s potential commercialization of paritaprevir or ABT-493 in combination therapies. For example, AbbVie:</w:t>
      </w:r>
    </w:p>
    <w:p>
      <w:pPr>
        <w:spacing w:after="0" w:line="84" w:lineRule="exact"/>
        <w:rPr>
          <w:sz w:val="20"/>
          <w:szCs w:val="20"/>
          <w:color w:val="auto"/>
        </w:rPr>
      </w:pPr>
    </w:p>
    <w:p>
      <w:pPr>
        <w:ind w:left="1460" w:right="340" w:hanging="547"/>
        <w:spacing w:after="0" w:line="264"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 product candidates in the various markets of the world where these therapies are being introduced and sold by AbbVie;</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compete successfully with any such combination therapies against alternative products and therapies for HCV;</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additional clinical trials for paritaprevir or ABT-493;</w:t>
      </w:r>
    </w:p>
    <w:p>
      <w:pPr>
        <w:spacing w:after="0" w:line="75"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necessary reimbursement approvals;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be unable to successfully complete the clinical development of an ABT-493-containing regimen;</w:t>
      </w:r>
    </w:p>
    <w:p>
      <w:pPr>
        <w:spacing w:after="0" w:line="130" w:lineRule="exact"/>
        <w:rPr>
          <w:rFonts w:ascii="Arial" w:cs="Arial" w:eastAsia="Arial" w:hAnsi="Arial"/>
          <w:sz w:val="18"/>
          <w:szCs w:val="18"/>
          <w:color w:val="auto"/>
        </w:rPr>
      </w:pPr>
    </w:p>
    <w:p>
      <w:pPr>
        <w:jc w:val="both"/>
        <w:ind w:left="1460" w:right="440" w:hanging="547"/>
        <w:spacing w:after="0" w:line="264"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commit sufficient resources to the development or regulatory approval of ABT-493 or to the marketing and distribution of regimens containing paritaprevir or ABT-493, whether for competitive or strategic reasons or otherwise due to a change in business priorities;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75"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not be able to manufacture our product candidates in compliance with requirements of the FDA and similar foreign regulatory agencies and in commercial quantities sufficient to meet market demand;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our products or product candidate in the treatment of HCV.</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will be limited by the degree to which AbbVie keeps us informed. If AbbVie does not perform in the manner we expect or fulfill its responsibilities in a timely manner, or at all, the further development and global commercialization of paritaprevir and the clinical development, regulatory approval and commercialization efforts related to ABT-493 could be delayed or terminated or be commercially unsuccessful. In addition, AbbVie has the right to make decisions regarding the development and commercialization of</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product candidates without consulting us, and may make decisions with which we do not agree. Conflicts between us and AbbVie may arise if there is a dispute about the progress of the clinical development of a product candidate, the achievement and payment of a milestone amount, the relative values allocated to the pharmaceutically active ingredients, or the ownership of intellectual property developed during the course of our collaboration agreement. If AbbVie acts in a manner that is not in our best interest, then it could adversely affect our business and prospects.</w:t>
      </w:r>
    </w:p>
    <w:p>
      <w:pPr>
        <w:spacing w:after="0" w:line="17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non-alcoholic steatohepatitis (“NASH”), as well as other liver and viral diseases, which may result in others discovering, developing or commercializing products before ours or doing so more successfully than we or our collaborators.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and other infectious diseases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some combination of these factors, in order to overcome price competition and to be commercially successful.</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expect our current and future product candidates to face intense and increasing competition as new products enter the HCV and antiviral markets and advanced technologies become available, particularly in the case of HCV in combinations with existing products and other new products. First generation protease inhibitors, Incivek™ (telaprevir) of Vertex and Victrelis™ (boceprevir) of Merck, were approved in 2011 by the FDA for the treatment of HCV in combination with interferon and ribavirin, which in combination were the previous standard of care. However, by January 2015 both Vertex and Merck had announced they would discontinue the sale of these products, noting competing treatments and diminishing market demand. A third protease inhibitor, simeprevir (Olysio™) from Janssen Therapeutics, was approved by the FDA in November 2013 for use in genotype 1 HCV patients only when used in combination with pegylated interferon and ribavirin. The evolving competitive landscape in HCV intensified in December 2013, when the FDA approved sofosbuvir (Sovaldi™), a nucleotide analogue inhibitor of the HCV NS5B polymerase enzyme from Gilead for patients with genotype 2 or 3 HCV and no requirement for interferon (also approved for patients with genotypes 1 or 4 when combined with pegylated interferon and ribavirin). On July 9, 2014, Bristol-Myers Squibb gained approval in Japan for the NS5A/protease inhibitor combination daclatasvir/asunaprevir. In October 2014 the FDA approved Gilead’s interferon-free Harvoni™, a combination of sofosbuvir and ledipasvir (a NS5A inhibitor) for patients with genotype 1 HCV. Also in November 2014 the FDA approved an interferon-free combination therapy of simeprevir and sofusbuvir for genotype 1 HCV patients. In December 2014, AbbVie’s Viekira Pak treatment regimen containing our collaboration’s paritaprevir was approved by the FDA. Other all-oral, next-generation treatment regimens are under development and may obtain regulatory approvals in other settings for the treatment of HCV. These other potential new treatment regimens may render AbbVie’s treatment regimens containing any of our HCV product candidates noncompetitive. In particular, regimens containing our HCV product candidates may not be able to compete successfully with other products and regimens in development involving multiple classes of inhibitors of HCV, including protease inhibitors, polymerase inhibitors (nucleoside and non-nucleoside), NS5A inhibitors, and others, under development by companies such as Achillion, Bristol-Myers Squibb, Gilead, Johnson &amp; Johnson, Medivir, Merck, Regulus and Roche, as well as by our collaborator AbbVie.</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others, as well as any future product candidates we may develop ourselves, obsolete or noncompetitive. Even if successfully developed and subsequently approved by the FDA, our product candidates will face competition based on their safety and effectiveness, the timing and scope of the regulatory approvals, the availability and cost of supply, marketing and sales capabilities, reimbursement coverage, price, patent position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2 or later stage clinical trials for NASH or related conditions. These companies include Alberio, Conatus, Galectin, Galmed, Genfit, Gilead, GSK, Intercept, NGM, Novo Nordisk, Raptor, Tobira and Shire. A significant number of other companies are conducting earlier clinical trials that may be applicable in NASH and other cholestatic diseases, including AstraZeneca, Boehringer Ingelheim, Cymabay, Durect, Islet, Medicnova, Nimbus, and Viking, and there are additional companies conducting preclinical studies in these disease areas.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future product candidates.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date, AbbVie has been and will continue to be responsible for all of the clinical development of our paritaprevir and ABT-493 protease inhibitor product candidates. We have not yet demonstrated an ability to successfully address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programs for any combinations of any of our cyclophilin inhibitors, NS5A inhibitors and nucleotide polymerase inhibitors for HCV, as well as for any of our research programs beyond HCV, we will need to successfully:</w:t>
      </w:r>
    </w:p>
    <w:p>
      <w:pPr>
        <w:spacing w:after="0" w:line="78" w:lineRule="exact"/>
        <w:rPr>
          <w:sz w:val="20"/>
          <w:szCs w:val="20"/>
          <w:color w:val="auto"/>
        </w:rPr>
      </w:pPr>
    </w:p>
    <w:p>
      <w:pPr>
        <w:ind w:left="1460" w:right="6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 clinical development of our future product candidates and demonstrate acceptable safety and efficacy for them alone and, at least in the case of HCV, in combination with other drugs or drug candidates;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future product candidates;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build and maintain robust sales, distribution and marketing capabilities, either independently or in collaboration with future collaborators;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 market acceptance for our future product candidates among physicians, payers and patients;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future product candidates and expand our business or continue our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and ABT-493, our ability to expand our business and achieve our strategic objectives will be impaired.</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92"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future product candidates less commercially viable or obsolete;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competitors may obtain intellectual property protection that effectively prevents us from developing a potential product candidate;</w:t>
      </w:r>
    </w:p>
    <w:p>
      <w:pPr>
        <w:spacing w:after="0" w:line="142" w:lineRule="exact"/>
        <w:rPr>
          <w:rFonts w:ascii="Arial" w:cs="Arial" w:eastAsia="Arial" w:hAnsi="Arial"/>
          <w:sz w:val="17"/>
          <w:szCs w:val="17"/>
          <w:color w:val="auto"/>
        </w:rPr>
      </w:pPr>
    </w:p>
    <w:p>
      <w:pPr>
        <w:ind w:left="1460" w:right="10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future product candidate may, on further study, be shown to have harmful side effects or other characteristics that indicate it is unlikely to be effective or otherwise does not meet applicable regulatory criteria;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future product candidate may not be capable of being produced in commercial quantities at an acceptable cost, or at 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services of any of these individuals or one or more of our other members of senior management could delay or prevent the successful development of our future product candidates.</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and our prior agreement with Novartis, and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each of our 2012, 2013 and 2014 fiscal years, our net income resulted primarily from license payments, including milestone payments we earned from AbbVie and/or Novartis. There is no assurance, however, that we will report net income in subsequent years. To date, we have not commercialized any products ourselves and we have not yet generated substantial revenue from product sales by AbbVie.</w:t>
      </w:r>
    </w:p>
    <w:p>
      <w:pPr>
        <w:spacing w:after="0" w:line="181"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Our principal source of revenue has been our collaboration agreements, including our current agreement with AbbVie. Future milestone payments are uncertain because AbbVie may choose not to continue research or development activities for our ABT-493 product candidate. For example, under our previous collaboration with Novartis for the development of our NS5A inhibitor, Novartis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we may not achieve the specified milestones, our product candidates may not be approved by the FDA or other regulatory authorities or, if they are approved, may not be accepted in the market. If we are unable to develop and commercialize any more of our product candidates, either alone or with our collaborators, or if any such product candidate or paritaprevir does not achieve market acceptance, we may never generate sufficient product royalties or product sales. In addition, for any of our product candidates other than paritaprevir or ABT-493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would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paritaprevir is delayed or curtailed or if the development of ABT-493 is terminated. A failure to obtain this necessary capital when needed could force us to delay, limit, reduce or terminate some or all of our product development efforts.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candidates paritaprevir and ABT-493.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1460" w:right="76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including conducting preclinical research and clinical trials;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42" w:lineRule="exact"/>
        <w:rPr>
          <w:rFonts w:ascii="Arial" w:cs="Arial" w:eastAsia="Arial" w:hAnsi="Arial"/>
          <w:sz w:val="17"/>
          <w:szCs w:val="17"/>
          <w:color w:val="auto"/>
        </w:rPr>
      </w:pPr>
    </w:p>
    <w:p>
      <w:pPr>
        <w:ind w:left="1460" w:right="32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 including manufacturing for clinical development;</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future sales of paritaprevir-containing regimens and the resulting levels of annually tiered royalties on paritaprevir, as well as the level of potential sales, if any, of ABT-493-containing regimens.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is being concluded in fiscal 2015, is subject to audit and adjustments that could affect our previously reported revenues.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contract with the National Institute of Allergy and Infectious Diseases, or NIAID, a division of the National Institutes of Health, an agency of the United States Department of Health and Human Services, to support our antibiotic program, is scheduled to be completed in fiscal 2015. Our contract related costs and fees, including allocated indirect costs, are subject to audits and adjustments by negotiation between us and the U.S. government. As part of the audit process, the government audit agency verifies that all charges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has yet advanced beyond Phase 2 clinical trials. Any future clinical trials of our other product candidates may fail to demonstrate sufficient safety and efficacy. Moreover, regulatory and administrative delays may adversely affect our or our collaborators’ clinical development plans and jeopardize our or our collaborators’ ability to attain product approval, commence product sales, compete successfully against other HCV therapies and generate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1460" w:right="200" w:hanging="547"/>
        <w:spacing w:after="0" w:line="308" w:lineRule="auto"/>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DAAs for the treatment of HCV;</w:t>
      </w:r>
    </w:p>
    <w:p>
      <w:pPr>
        <w:spacing w:after="0" w:line="75" w:lineRule="exact"/>
        <w:rPr>
          <w:rFonts w:ascii="Arial" w:cs="Arial" w:eastAsia="Arial" w:hAnsi="Arial"/>
          <w:sz w:val="18"/>
          <w:szCs w:val="18"/>
          <w:color w:val="auto"/>
        </w:rPr>
      </w:pPr>
    </w:p>
    <w:p>
      <w:pPr>
        <w:jc w:val="both"/>
        <w:ind w:left="1460" w:right="180" w:hanging="547"/>
        <w:spacing w:after="0" w:line="342" w:lineRule="auto"/>
        <w:tabs>
          <w:tab w:leader="none" w:pos="1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results of any Phase 3 clinical trial may not be adequate to support marketing approval for one of AbbVie’s regimens containing a protease inhibitor. These clinical trials are lengthy and usually involve from many hundreds to thousands of patients. In addition, if the FDA or the EMA disagrees with AbbVie’s choice of the key testing criteria, or primary endpoint, or the results for the primary endpoint are not robust or significant relative to the control group of patients not receiving the experimental therapy or are subject to confounding factors, or are not adequately supported by other study endpoints, the FDA or the EMA, or both, may refuse to approve AbbVie’s product candidate. The FDA or the EMA also may require additional clinical trials as a condition for approving any of these product candidates. AbbVie estimates that it will likely be 2017 before an NDA for one of AbbVie’s HCV treatment regimens containing one of our product candidates other than paritaprevir could be approved by the FDA or the EMA.</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Any product candidate in our current NASH program may have undesirable side effects which may delay or prevent marketing approval, or, if approval is received, require our product candidates to be taken off the market, require them to include safety warnings or otherwise limit their sales.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NASH program we are developing an agonist of the farnesoid X receptor, or FXR, that is designed to bind to that receptor and then trigger a response from it. With the exception of one drug approved to treat cholesterol gallstone dissolution and a rare lipid storage disease, there are no approved FXR agonists and the adverse effects from long-term exposure to this drug class are unknown. Unforeseen side effects from any of our product candidates could arise either during clinical development or, if approved, after the approved product has been marketed. The range and potential severity of possible side effects from systemic therapies like FXR agonists is significant.</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our drug candidates for NASH will be developed as a potential treatment for a severe disease that commonly occurs in patients with other serious conditions, including metabolic syndrome and diabetes. Any clinical trials in NASH will necessarily be conducted in patient population that will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54" w:lineRule="exact"/>
        <w:rPr>
          <w:sz w:val="20"/>
          <w:szCs w:val="20"/>
          <w:color w:val="auto"/>
        </w:rPr>
      </w:pPr>
    </w:p>
    <w:p>
      <w:pPr>
        <w:ind w:left="900" w:right="5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of these events could prevent us or our potential future collaborators from achieving or maintaining market acceptance of the affected product or could substantially increase commercialization costs and expenses, which in turn could delay or prevent us from generating significant revenues from the sale of any product we develop for NASH.</w:t>
      </w:r>
    </w:p>
    <w:p>
      <w:pPr>
        <w:spacing w:after="0" w:line="18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If we, or AbbVie in the case of our protease inhibitor product candidates, are required to suspend or discontinue clinical trials due to side effects or other safety risks associated with our product candidates, or if we or AbbVie are required to conduct studies on the long-term effects associated with the use of such product candidates, efforts to commercialize such product candidates could be delayed or halted.</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results of preclinical studies and early clinical trials of our product candidates, whether ABT-493, EDP-239 or any of our future product candidates, may not be predictive of the results of later-stage clinical trials.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18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Neither we nor our collaborator have obtained regulatory approval for any of our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460" w:right="46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42" w:lineRule="exact"/>
        <w:rPr>
          <w:rFonts w:ascii="Arial" w:cs="Arial" w:eastAsia="Arial" w:hAnsi="Arial"/>
          <w:sz w:val="17"/>
          <w:szCs w:val="17"/>
          <w:color w:val="auto"/>
        </w:rPr>
      </w:pPr>
    </w:p>
    <w:p>
      <w:pPr>
        <w:ind w:left="1460" w:right="20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75"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400" w:hanging="547"/>
        <w:spacing w:after="0" w:line="342" w:lineRule="auto"/>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29" w:lineRule="exact"/>
        <w:rPr>
          <w:rFonts w:ascii="Arial" w:cs="Arial" w:eastAsia="Arial" w:hAnsi="Arial"/>
          <w:sz w:val="16"/>
          <w:szCs w:val="16"/>
          <w:color w:val="auto"/>
        </w:rPr>
      </w:pPr>
    </w:p>
    <w:p>
      <w:pPr>
        <w:ind w:left="1460" w:right="10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1460" w:right="44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30" w:lineRule="exact"/>
        <w:rPr>
          <w:rFonts w:ascii="Arial" w:cs="Arial" w:eastAsia="Arial" w:hAnsi="Arial"/>
          <w:sz w:val="18"/>
          <w:szCs w:val="18"/>
          <w:color w:val="auto"/>
        </w:rPr>
      </w:pPr>
    </w:p>
    <w:p>
      <w:pPr>
        <w:ind w:left="1460" w:right="76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or only AbbVie in the case of paritaprevir or ABT-493, may delay or terminate the development of a product candidate at any time if we or AbbVie believe the perceived market or commercial opportunity does not justify further investment, which could materially harm our business and adversely affect our stock price.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Even though the results of preclinical studies and clinical trials that we or AbbVie have conducted or may conduct in the future may support further development of one or more of our product candidates, we, or only AbbVie in the case of paritaprevir or ABT-493, may delay, suspend or terminate the future development of a product candidate at any time for strategic, business, financial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ABT-493 without consulting us, and may make decisions with which we do not agree.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future product candidates.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future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1460" w:right="68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products;</w:t>
      </w:r>
    </w:p>
    <w:p>
      <w:pPr>
        <w:spacing w:after="0" w:line="75" w:lineRule="exact"/>
        <w:rPr>
          <w:rFonts w:ascii="Arial" w:cs="Arial" w:eastAsia="Arial" w:hAnsi="Arial"/>
          <w:sz w:val="18"/>
          <w:szCs w:val="18"/>
          <w:color w:val="auto"/>
        </w:rPr>
      </w:pPr>
    </w:p>
    <w:p>
      <w:pPr>
        <w:ind w:left="1460" w:right="72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any other protease inhibitor product candidates licensed to AbbVie, if approved, as well as similar market acceptance of any future product candidates we plan to develop independently or in collaboration with others.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Paritaprevir, as well as ABT-493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products for which we or any collaborator of ours receives approval for commercial sale depends on a number of factors, including:</w:t>
      </w:r>
    </w:p>
    <w:p>
      <w:pPr>
        <w:spacing w:after="0" w:line="60" w:lineRule="exact"/>
        <w:rPr>
          <w:sz w:val="20"/>
          <w:szCs w:val="20"/>
          <w:color w:val="auto"/>
        </w:rPr>
      </w:pPr>
    </w:p>
    <w:p>
      <w:pPr>
        <w:ind w:left="1460" w:right="160" w:hanging="547"/>
        <w:spacing w:after="0" w:line="308" w:lineRule="auto"/>
        <w:tabs>
          <w:tab w:leader="none" w:pos="1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alternative treatments;</w:t>
      </w:r>
    </w:p>
    <w:p>
      <w:pPr>
        <w:spacing w:after="0" w:line="130" w:lineRule="exact"/>
        <w:rPr>
          <w:rFonts w:ascii="Arial" w:cs="Arial" w:eastAsia="Arial" w:hAnsi="Arial"/>
          <w:sz w:val="18"/>
          <w:szCs w:val="18"/>
          <w:color w:val="auto"/>
        </w:rPr>
      </w:pPr>
    </w:p>
    <w:p>
      <w:pPr>
        <w:jc w:val="both"/>
        <w:ind w:left="1460" w:hanging="547"/>
        <w:spacing w:after="0" w:line="264"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our collaborator, as well as the impact of any agreements among any of the foregoing and one or more of our competitors limiting access to our product in favor of one or more competitive products;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levels of funding for HCV treatment provided by government;</w:t>
      </w:r>
    </w:p>
    <w:p>
      <w:pPr>
        <w:spacing w:after="0" w:line="130"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or our collaborators’ sales and marketing efforts.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Even if AbbVie successfully commercializes paritaprevir in its HCV treatment regimen, or even if we are, or AbbVie is in the case of ABT-493, able to commercialize any other treatment regimen containing one of our product candidates, the resulting products may become subject to unfavorable pricing regulations, third-party reimbursement practices or healthcare reform initiatives in the United States, which would harm our business.</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may significantly change the way healthcare is financed by both governmental and private insurers. While we cannot predict what impact on federal reimbursement policies this law will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some states have indicated that they intend not to implement certain sections of the ACA, and some members of the U.S. Congress are still working to repeal the ACA. We cannot predict whether these challenges will continue or other proposals will be made or adopted, or what impact these efforts may have on us or AbbVie. AbbVie or any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Increasingly, third-party payors are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requiring that drug companies provide them with predetermined discounts from list prices and are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future product candidates. If we are unsuccessful in maintaining or forming alliances on favorable terms, our business may not succeed.</w:t>
      </w:r>
    </w:p>
    <w:p>
      <w:pPr>
        <w:spacing w:after="0" w:line="10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future product candidates. We face significant competition in seeking appropriate collaborators and the negotiation process is time-consuming and complex. Moreover, we may not be successful in our efforts to establish other product collaborations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6" w:lineRule="exact"/>
        <w:rPr>
          <w:sz w:val="20"/>
          <w:szCs w:val="20"/>
          <w:color w:val="auto"/>
        </w:rPr>
      </w:pPr>
    </w:p>
    <w:p>
      <w:pPr>
        <w:ind w:left="5620" w:right="2700" w:hanging="4707"/>
        <w:spacing w:after="0" w:line="449" w:lineRule="auto"/>
        <w:tabs>
          <w:tab w:leader="none" w:pos="146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 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1460" w:right="64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clinical product candidate supplies and any commercial supplies of any approved future product candidates. Any failure by a third-party manufacturer to produce acceptable supplies for us may delay or impair our ability to initiate or complete our clinical trials or sell any resulting product.</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work with third-party contract manufacturers to produce sufficient quantities of any future product candidates for preclinical testing, clinical trials and commercialization. If we are unable to arrange for such a third-party manufacturing source, or fail to do so on commercially reasonable terms, we may not be able to successfully produce, develop and market our future product candidates, or we may be delayed in doing so.</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future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Because a portion of our manufacturing of certain key intermediates used in the manufacture of the active pharmaceutical ingredients for our future product candidates is expected to take place in China through third-party manufacturers, a significant disruption in the operation of those manufacturers or political unrest in China could materially adversely affect our business, financial condition and results of operations.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Although manufacturing for our lead product candidates paritaprevir and ABT-493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manufacturers for such intermediates for any future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future product candidates. Furthermore, since these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80"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We will rely on third parties to monitor, support, conduct and/or oversee clinical trials of our future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rely on academic institutions, CROs, hospitals, clinics and other third-party collaborators who are outside our control to monitor, support, conduct and/or oversee preclinical and clinical studies of our future product candidates. We will also rely on third parties to perform clinical trials on our future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future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delayed or terminated, or our data may be rejected by the FDA or regulatory agencies.</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future product candidates, our dependence on such relationships may adversely affect our business.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commercialization strategy for some of our future product candidates may depend on our ability to enter into collaboration agreements with other companies to obtain assistance and funding for the development and potential commercialization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our lead antibiotic candidate, which we are no longer planning to develop ourselves, for non-biodefense indications has been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26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26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1460" w:right="4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5" w:lineRule="exact"/>
        <w:rPr>
          <w:rFonts w:ascii="Arial" w:cs="Arial" w:eastAsia="Arial" w:hAnsi="Arial"/>
          <w:sz w:val="18"/>
          <w:szCs w:val="18"/>
          <w:color w:val="auto"/>
        </w:rPr>
      </w:pPr>
    </w:p>
    <w:p>
      <w:pPr>
        <w:ind w:left="1460" w:right="60" w:hanging="547"/>
        <w:spacing w:after="0" w:line="264"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6" w:lineRule="exact"/>
        <w:rPr>
          <w:rFonts w:ascii="Arial" w:cs="Arial" w:eastAsia="Arial" w:hAnsi="Arial"/>
          <w:sz w:val="18"/>
          <w:szCs w:val="18"/>
          <w:color w:val="auto"/>
        </w:rPr>
      </w:pPr>
    </w:p>
    <w:p>
      <w:pPr>
        <w:ind w:left="1460" w:right="66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75" w:lineRule="exact"/>
        <w:rPr>
          <w:rFonts w:ascii="Arial" w:cs="Arial" w:eastAsia="Arial" w:hAnsi="Arial"/>
          <w:sz w:val="18"/>
          <w:szCs w:val="18"/>
          <w:color w:val="auto"/>
        </w:rPr>
      </w:pPr>
    </w:p>
    <w:p>
      <w:pPr>
        <w:ind w:left="1460" w:right="160" w:hanging="547"/>
        <w:spacing w:after="0" w:line="302" w:lineRule="auto"/>
        <w:tabs>
          <w:tab w:leader="none" w:pos="1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59" w:lineRule="exact"/>
        <w:rPr>
          <w:rFonts w:ascii="Arial" w:cs="Arial" w:eastAsia="Arial" w:hAnsi="Arial"/>
          <w:sz w:val="16"/>
          <w:szCs w:val="16"/>
          <w:color w:val="auto"/>
        </w:rPr>
      </w:pPr>
    </w:p>
    <w:p>
      <w:pPr>
        <w:ind w:left="1460" w:right="70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460" w:right="20" w:hanging="547"/>
        <w:spacing w:after="0" w:line="279" w:lineRule="auto"/>
        <w:tabs>
          <w:tab w:leader="none" w:pos="1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6" w:lineRule="exact"/>
        <w:rPr>
          <w:rFonts w:ascii="Arial" w:cs="Arial" w:eastAsia="Arial" w:hAnsi="Arial"/>
          <w:sz w:val="17"/>
          <w:szCs w:val="17"/>
          <w:color w:val="auto"/>
        </w:rPr>
      </w:pPr>
    </w:p>
    <w:p>
      <w:pPr>
        <w:ind w:left="1460" w:right="460" w:hanging="547"/>
        <w:spacing w:after="0" w:line="308" w:lineRule="auto"/>
        <w:tabs>
          <w:tab w:leader="none" w:pos="1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30" w:lineRule="exact"/>
        <w:rPr>
          <w:rFonts w:ascii="Arial" w:cs="Arial" w:eastAsia="Arial" w:hAnsi="Arial"/>
          <w:sz w:val="18"/>
          <w:szCs w:val="18"/>
          <w:color w:val="auto"/>
        </w:rPr>
      </w:pPr>
    </w:p>
    <w:p>
      <w:pPr>
        <w:ind w:left="1460" w:right="60" w:hanging="547"/>
        <w:spacing w:after="0" w:line="308" w:lineRule="auto"/>
        <w:tabs>
          <w:tab w:leader="none" w:pos="1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1" w:lineRule="exact"/>
        <w:rPr>
          <w:rFonts w:ascii="Arial" w:cs="Arial" w:eastAsia="Arial" w:hAnsi="Arial"/>
          <w:sz w:val="17"/>
          <w:szCs w:val="17"/>
          <w:color w:val="auto"/>
        </w:rPr>
      </w:pPr>
    </w:p>
    <w:p>
      <w:pPr>
        <w:ind w:left="1460" w:right="560" w:hanging="547"/>
        <w:spacing w:after="0" w:line="277" w:lineRule="auto"/>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necessary debt or equity financing more difficult to secure, more costly and/or more dilutive.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w:t>
      </w:r>
    </w:p>
    <w:p>
      <w:pPr>
        <w:ind w:right="140"/>
        <w:spacing w:after="0" w:line="253" w:lineRule="auto"/>
        <w:rPr>
          <w:sz w:val="20"/>
          <w:szCs w:val="20"/>
          <w:color w:val="auto"/>
        </w:rPr>
      </w:pPr>
      <w:r>
        <w:rPr>
          <w:rFonts w:ascii="Arial" w:cs="Arial" w:eastAsia="Arial" w:hAnsi="Arial"/>
          <w:sz w:val="18"/>
          <w:szCs w:val="18"/>
          <w:color w:val="auto"/>
        </w:rPr>
        <w:t>$5.0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94" w:lineRule="exact"/>
        <w:rPr>
          <w:sz w:val="20"/>
          <w:szCs w:val="20"/>
          <w:color w:val="auto"/>
        </w:rPr>
      </w:pPr>
    </w:p>
    <w:p>
      <w:pPr>
        <w:ind w:left="1460" w:right="180" w:hanging="547"/>
        <w:spacing w:after="0" w:line="259"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92" w:lineRule="exact"/>
        <w:rPr>
          <w:rFonts w:ascii="Arial" w:cs="Arial" w:eastAsia="Arial" w:hAnsi="Arial"/>
          <w:sz w:val="18"/>
          <w:szCs w:val="18"/>
          <w:color w:val="auto"/>
        </w:rPr>
      </w:pPr>
    </w:p>
    <w:p>
      <w:pPr>
        <w:jc w:val="both"/>
        <w:ind w:left="1460" w:right="40" w:hanging="547"/>
        <w:spacing w:after="0" w:line="286" w:lineRule="auto"/>
        <w:tabs>
          <w:tab w:leader="none" w:pos="1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1460" w:right="20" w:hanging="547"/>
        <w:spacing w:after="0" w:line="259"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460" w:right="160" w:hanging="547"/>
        <w:spacing w:after="0" w:line="308" w:lineRule="auto"/>
        <w:tabs>
          <w:tab w:leader="none" w:pos="1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460" w:right="380" w:hanging="547"/>
        <w:spacing w:after="0" w:line="286" w:lineRule="auto"/>
        <w:tabs>
          <w:tab w:leader="none" w:pos="1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0" w:lineRule="exact"/>
        <w:rPr>
          <w:rFonts w:ascii="Arial" w:cs="Arial" w:eastAsia="Arial" w:hAnsi="Arial"/>
          <w:sz w:val="17"/>
          <w:szCs w:val="17"/>
          <w:color w:val="auto"/>
        </w:rPr>
      </w:pPr>
    </w:p>
    <w:p>
      <w:pPr>
        <w:ind w:left="1460" w:right="20" w:hanging="547"/>
        <w:spacing w:after="0" w:line="297" w:lineRule="auto"/>
        <w:tabs>
          <w:tab w:leader="none" w:pos="1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3" w:lineRule="exact"/>
        <w:rPr>
          <w:rFonts w:ascii="Arial" w:cs="Arial" w:eastAsia="Arial" w:hAnsi="Arial"/>
          <w:sz w:val="16"/>
          <w:szCs w:val="16"/>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$17.18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4" w:lineRule="exact"/>
        <w:rPr>
          <w:sz w:val="20"/>
          <w:szCs w:val="20"/>
          <w:color w:val="auto"/>
        </w:rPr>
      </w:pPr>
    </w:p>
    <w:p>
      <w:pPr>
        <w:ind w:left="1460" w:right="104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by AbbVie regarding HCV treatment regimens containing any of our product candidates it is developing, including announcements regarding clinical or regulatory developments or our collaboration;</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achieve commercial success;</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or our collaborator’s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or other countries;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commercialize our future product candidates we develop independently, if approved;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0"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80" w:hanging="547"/>
        <w:spacing w:after="0" w:line="277" w:lineRule="auto"/>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2" w:lineRule="exact"/>
        <w:rPr>
          <w:sz w:val="20"/>
          <w:szCs w:val="20"/>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1460" w:right="140" w:hanging="547"/>
        <w:spacing w:after="0" w:line="286" w:lineRule="auto"/>
        <w:tabs>
          <w:tab w:leader="none" w:pos="1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0" w:lineRule="exact"/>
        <w:rPr>
          <w:rFonts w:ascii="Arial" w:cs="Arial" w:eastAsia="Arial" w:hAnsi="Arial"/>
          <w:sz w:val="17"/>
          <w:szCs w:val="17"/>
          <w:color w:val="auto"/>
        </w:rPr>
      </w:pPr>
    </w:p>
    <w:p>
      <w:pPr>
        <w:ind w:left="1460" w:right="140" w:hanging="547"/>
        <w:spacing w:after="0" w:line="277" w:lineRule="auto"/>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named executive officers are parties to employment agreements that provide for aggregate cash payments of up to approximately $3.8 million for severance and other non-equity-based benefits in the event of a termination of employment in connection with a change of control of our company. In addition, based on the June 30, 2015 closing price of our common stock at $44.99 per share, the aggregate intrinsic value of unvested stock options and other equity awards subject to accelerated vesting upon these events was $10.8 million as of June 30, 2015. The accelerated vesting of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2015, we had outstanding 18,707,534 shares of common stock. In addition, 2,246,883 shares of common stock that are either subject to outstanding options or reserved for future issuance under our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Sale of Registered Securities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March 2013, we completed our IPO of 4,600,000 shares of our common stock at a public offering price of $14.00 per share. The offer and sale of the shares in the offering were registered pursuant to a registration statement on Form S-1 (File No. 333-184779), which was declared effective by the Securities and Exchange Commission on March 20, 2013.</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2015, we have used approximately $33.5 million of the net proceeds from the IPO to fund our programs for the development of a cyclophilin inhibitor candidate and the development of a nucleotide polymerase inhibitor candidate and to fund new research and development activities. None of the net proceeds has been paid directly or indirectly to any of our directors or officers (or their associates) or persons owning ten percent or more of any class of our equity securities or to any other affiliates. The balance of the net proceeds from the offering has been invested in cash and cash equivalents and in short-term and long-term marketable securities, consisting of investment grade, interest bearing instruments and U.S. government securities, with maturities of no longer than 38 months. These investments are reflected in cash and cash equivalents, short-term marketable securities and long-term marketable securities on our balance sheet at June 30, 2015. There has been no material change in the expected use of the net proceeds from our IPO as described in our registration statement on Form S-1.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240" w:type="dxa"/>
            <w:vAlign w:val="bottom"/>
            <w:gridSpan w:val="3"/>
          </w:tcPr>
          <w:p>
            <w:pPr>
              <w:ind w:left="400"/>
              <w:spacing w:after="0"/>
              <w:rPr>
                <w:sz w:val="20"/>
                <w:szCs w:val="20"/>
                <w:color w:val="auto"/>
              </w:rPr>
            </w:pPr>
            <w:r>
              <w:rPr>
                <w:rFonts w:ascii="Arial" w:cs="Arial" w:eastAsia="Arial" w:hAnsi="Arial"/>
                <w:sz w:val="18"/>
                <w:szCs w:val="18"/>
                <w:b w:val="1"/>
                <w:bCs w:val="1"/>
                <w:color w:val="auto"/>
              </w:rPr>
              <w:t>EXHIBITS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Incorporated by Reference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7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11"/>
                <w:szCs w:val="11"/>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380" w:type="dxa"/>
            <w:vAlign w:val="bottom"/>
          </w:tcPr>
          <w:p>
            <w:pPr>
              <w:spacing w:after="0"/>
              <w:rPr>
                <w:sz w:val="11"/>
                <w:szCs w:val="11"/>
                <w:color w:val="auto"/>
              </w:rPr>
            </w:pPr>
          </w:p>
        </w:tc>
        <w:tc>
          <w:tcPr>
            <w:tcW w:w="920" w:type="dxa"/>
            <w:vAlign w:val="bottom"/>
            <w:gridSpan w:val="3"/>
            <w:vMerge w:val="restart"/>
          </w:tcPr>
          <w:p>
            <w:pPr>
              <w:jc w:val="right"/>
              <w:ind w:right="510"/>
              <w:spacing w:after="0"/>
              <w:rPr>
                <w:sz w:val="20"/>
                <w:szCs w:val="20"/>
                <w:color w:val="auto"/>
              </w:rPr>
            </w:pPr>
            <w:r>
              <w:rPr>
                <w:rFonts w:ascii="Arial" w:cs="Arial" w:eastAsia="Arial" w:hAnsi="Arial"/>
                <w:sz w:val="14"/>
                <w:szCs w:val="14"/>
                <w:b w:val="1"/>
                <w:bCs w:val="1"/>
                <w:color w:val="auto"/>
                <w:w w:val="98"/>
              </w:rPr>
              <w:t>Date</w:t>
            </w: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 Number</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40" w:type="dxa"/>
            <w:vAlign w:val="bottom"/>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10"/>
              <w:spacing w:after="0"/>
              <w:rPr>
                <w:sz w:val="20"/>
                <w:szCs w:val="20"/>
                <w:color w:val="auto"/>
              </w:rPr>
            </w:pPr>
            <w:r>
              <w:rPr>
                <w:rFonts w:ascii="Arial" w:cs="Arial" w:eastAsia="Arial" w:hAnsi="Arial"/>
                <w:sz w:val="18"/>
                <w:szCs w:val="18"/>
                <w:color w:val="auto"/>
              </w:rPr>
              <w:t>03/28/2013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Amended and Restated Bylaws of Enanta Pharmaceuticals, Inc.</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10"/>
              <w:spacing w:after="0"/>
              <w:rPr>
                <w:sz w:val="20"/>
                <w:szCs w:val="20"/>
                <w:color w:val="auto"/>
              </w:rPr>
            </w:pPr>
            <w:r>
              <w:rPr>
                <w:rFonts w:ascii="Arial" w:cs="Arial" w:eastAsia="Arial" w:hAnsi="Arial"/>
                <w:sz w:val="18"/>
                <w:szCs w:val="18"/>
                <w:color w:val="auto"/>
              </w:rPr>
              <w:t>03/28/2013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w w:val="99"/>
              </w:rPr>
              <w:t>Form of Performance Share Unit Certificate under 2012 Equity Incentive Plan.</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Form of Relative Total Stockholder Return Unit Certificate under 2012 Equity</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Incentive Plan.</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Certification of the Chief Executive Officer pursuant to Rule 13a-14(a) or 15d-</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14(a) of the Securities Exchange Act of 1934.</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w w:val="96"/>
              </w:rPr>
              <w:t>Certification of Chief Financial Officer pursuant to Rule 13a-14(a) or 15d-14(a) of</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the Securities Exchange Act of 1934.</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w w:val="98"/>
              </w:rPr>
              <w:t>Certification of the Chief Executive Officer and Chief Financial Officer pursuant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w w:val="96"/>
              </w:rPr>
              <w:t>to 18 U.S.C. Section 1350, as adopted pursuant to Section 906 of the Sarbanes-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3"/>
          </w:tcPr>
          <w:p>
            <w:pPr>
              <w:ind w:left="60"/>
              <w:spacing w:after="0"/>
              <w:rPr>
                <w:sz w:val="20"/>
                <w:szCs w:val="20"/>
                <w:color w:val="auto"/>
              </w:rPr>
            </w:pPr>
            <w:r>
              <w:rPr>
                <w:rFonts w:ascii="Arial" w:cs="Arial" w:eastAsia="Arial" w:hAnsi="Arial"/>
                <w:sz w:val="18"/>
                <w:szCs w:val="18"/>
                <w:color w:val="auto"/>
              </w:rPr>
              <w:t>Oxley Act of 2002.</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0" w:right="4700" w:hanging="792"/>
        <w:spacing w:after="0" w:line="285"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June 30, 2015, formatted in XBRL (eXtensible Business Reporting Language): (i) Consolidated Balance Sheets as of June 30, 2015 and September 30, 2014 of Enanta Pharmaceuticals, Inc., (ii) Statements of Operations for the three and nine months ended June 30, 2015 and</w:t>
      </w:r>
    </w:p>
    <w:p>
      <w:pPr>
        <w:sectPr>
          <w:pgSz w:w="11900" w:h="16838" w:orient="portrait"/>
          <w:cols w:equalWidth="0" w:num="1">
            <w:col w:w="11380"/>
          </w:cols>
          <w:pgMar w:left="240" w:top="459" w:right="279" w:bottom="1440" w:gutter="0" w:footer="0" w:header="0"/>
        </w:sectPr>
      </w:pPr>
    </w:p>
    <w:p>
      <w:pPr>
        <w:spacing w:after="0" w:line="2" w:lineRule="exact"/>
        <w:rPr>
          <w:sz w:val="20"/>
          <w:szCs w:val="20"/>
          <w:color w:val="auto"/>
        </w:rPr>
      </w:pPr>
    </w:p>
    <w:p>
      <w:pPr>
        <w:ind w:left="800" w:right="3840"/>
        <w:spacing w:after="0" w:line="302" w:lineRule="auto"/>
        <w:rPr>
          <w:sz w:val="20"/>
          <w:szCs w:val="20"/>
          <w:color w:val="auto"/>
        </w:rPr>
      </w:pPr>
      <w:r>
        <w:rPr>
          <w:rFonts w:ascii="Arial" w:cs="Arial" w:eastAsia="Arial" w:hAnsi="Arial"/>
          <w:sz w:val="16"/>
          <w:szCs w:val="16"/>
          <w:color w:val="auto"/>
        </w:rPr>
        <w:t>2014 of Enanta Pharmaceuticals, Inc., (iii) Statements of Cash Flows for the nine months ended June 30, 2015 and 2014 of Enanta Pharmaceuticals, Inc., and (iv) Notes to Consolidated Financial Statements of Enanta Pharmaceuticals, Inc.</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ectPr>
          <w:pgSz w:w="11900" w:h="16838" w:orient="portrait"/>
          <w:cols w:equalWidth="0" w:num="2">
            <w:col w:w="10480" w:space="720"/>
            <w:col w:w="18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380"/>
          </w:cols>
          <w:pgMar w:left="240" w:top="459" w:right="2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ENANTA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2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Incorporated by Reference</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06"/>
        </w:trPr>
        <w:tc>
          <w:tcPr>
            <w:tcW w:w="52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266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Form</w:t>
            </w:r>
          </w:p>
        </w:tc>
        <w:tc>
          <w:tcPr>
            <w:tcW w:w="380" w:type="dxa"/>
            <w:vAlign w:val="bottom"/>
          </w:tcPr>
          <w:p>
            <w:pPr>
              <w:spacing w:after="0"/>
              <w:rPr>
                <w:sz w:val="16"/>
                <w:szCs w:val="16"/>
                <w:color w:val="auto"/>
              </w:rPr>
            </w:pPr>
          </w:p>
        </w:tc>
        <w:tc>
          <w:tcPr>
            <w:tcW w:w="92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w w:val="98"/>
              </w:rPr>
              <w:t>Date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10"/>
              <w:spacing w:after="0"/>
              <w:rPr>
                <w:sz w:val="20"/>
                <w:szCs w:val="20"/>
                <w:color w:val="auto"/>
              </w:rPr>
            </w:pPr>
            <w:r>
              <w:rPr>
                <w:rFonts w:ascii="Arial" w:cs="Arial" w:eastAsia="Arial" w:hAnsi="Arial"/>
                <w:sz w:val="18"/>
                <w:szCs w:val="18"/>
                <w:color w:val="auto"/>
              </w:rPr>
              <w:t>03/28/2013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Amended and Restated Bylaws of Enanta Pharmaceuticals, Inc.</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10"/>
              <w:spacing w:after="0"/>
              <w:rPr>
                <w:sz w:val="20"/>
                <w:szCs w:val="20"/>
                <w:color w:val="auto"/>
              </w:rPr>
            </w:pPr>
            <w:r>
              <w:rPr>
                <w:rFonts w:ascii="Arial" w:cs="Arial" w:eastAsia="Arial" w:hAnsi="Arial"/>
                <w:sz w:val="18"/>
                <w:szCs w:val="18"/>
                <w:color w:val="auto"/>
              </w:rPr>
              <w:t>03/28/2013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9"/>
              </w:rPr>
              <w:t>Form of Performance Share Unit Certificate under 2012 Equity Incentive Plan.</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Form of Relative Total Stockholder Return Unit Certificate under 2012 Equity</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Incentive Plan.</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Executive Officer pursuant to Rule 13a-14(a) or 15d-</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14(a) of the Securities Exchange Act of 1934.</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6"/>
              </w:rPr>
              <w:t>Certification of Chief Financial Officer pursuant to Rule 13a-14(a) or 15d-14(a) of</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the Securities Exchange Act of 1934.</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8"/>
              </w:rPr>
              <w:t>Certification of the Chief Executive Officer and Chief Financial Officer pursuant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w w:val="96"/>
              </w:rPr>
              <w:t>to 18 U.S.C. Section 1350, as adopted pursuant to Section 906 of the Sarbanes-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280"/>
              <w:spacing w:after="0"/>
              <w:rPr>
                <w:sz w:val="20"/>
                <w:szCs w:val="20"/>
                <w:color w:val="auto"/>
              </w:rPr>
            </w:pPr>
            <w:r>
              <w:rPr>
                <w:rFonts w:ascii="Arial" w:cs="Arial" w:eastAsia="Arial" w:hAnsi="Arial"/>
                <w:sz w:val="18"/>
                <w:szCs w:val="18"/>
                <w:color w:val="auto"/>
              </w:rPr>
              <w:t>Oxley Act of 2002.</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0" w:right="4640" w:hanging="792"/>
        <w:spacing w:after="0" w:line="285"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June 30, 2015, formatted in XBRL (eXtensible Business Reporting Language): (i) Consolidated Balance Sheets as of June 30, 2015 and September 30, 2014 of Enanta Pharmaceuticals, Inc., (ii) Statements of Operations for the three and nine months ended June 30, 2015 and</w:t>
      </w:r>
    </w:p>
    <w:p>
      <w:pPr>
        <w:sectPr>
          <w:pgSz w:w="11900" w:h="16838" w:orient="portrait"/>
          <w:cols w:equalWidth="0" w:num="1">
            <w:col w:w="11320"/>
          </w:cols>
          <w:pgMar w:left="240" w:top="459" w:right="339" w:bottom="1440" w:gutter="0" w:footer="0" w:header="0"/>
        </w:sectPr>
      </w:pPr>
    </w:p>
    <w:p>
      <w:pPr>
        <w:spacing w:after="0" w:line="2" w:lineRule="exact"/>
        <w:rPr>
          <w:sz w:val="20"/>
          <w:szCs w:val="20"/>
          <w:color w:val="auto"/>
        </w:rPr>
      </w:pPr>
    </w:p>
    <w:p>
      <w:pPr>
        <w:ind w:left="800" w:right="3840"/>
        <w:spacing w:after="0" w:line="302" w:lineRule="auto"/>
        <w:rPr>
          <w:sz w:val="20"/>
          <w:szCs w:val="20"/>
          <w:color w:val="auto"/>
        </w:rPr>
      </w:pPr>
      <w:r>
        <w:rPr>
          <w:rFonts w:ascii="Arial" w:cs="Arial" w:eastAsia="Arial" w:hAnsi="Arial"/>
          <w:sz w:val="16"/>
          <w:szCs w:val="16"/>
          <w:color w:val="auto"/>
        </w:rPr>
        <w:t>2014 of Enanta Pharmaceuticals, Inc., (iii) Statements of Cash Flows for the nine months ended June 30, 2015 and 2014 of Enanta Pharmaceuticals, Inc., and (iv) Notes to Consolidated Financial Statements of Enanta Pharmaceuticals, Inc.</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ectPr>
          <w:pgSz w:w="11900" w:h="16838" w:orient="portrait"/>
          <w:cols w:equalWidth="0" w:num="2">
            <w:col w:w="10480" w:space="720"/>
            <w:col w:w="120"/>
          </w:cols>
          <w:pgMar w:left="240" w:top="459"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20"/>
          </w:cols>
          <w:pgMar w:left="240" w:top="459" w:right="3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Share Unit Certificate</w:t>
      </w:r>
    </w:p>
    <w:p>
      <w:pPr>
        <w:spacing w:after="0" w:line="238" w:lineRule="exact"/>
        <w:rPr>
          <w:sz w:val="20"/>
          <w:szCs w:val="20"/>
          <w:color w:val="auto"/>
        </w:rPr>
      </w:pPr>
    </w:p>
    <w:p>
      <w:pPr>
        <w:spacing w:after="0"/>
        <w:tabs>
          <w:tab w:leader="none" w:pos="11000" w:val="left"/>
        </w:tabs>
        <w:rPr>
          <w:sz w:val="20"/>
          <w:szCs w:val="20"/>
          <w:color w:val="auto"/>
        </w:rPr>
      </w:pPr>
      <w:r>
        <w:rPr>
          <w:rFonts w:ascii="Arial" w:cs="Arial" w:eastAsia="Arial" w:hAnsi="Arial"/>
          <w:sz w:val="18"/>
          <w:szCs w:val="18"/>
          <w:color w:val="auto"/>
        </w:rPr>
        <w:t>PSU Certificate Number: PSU-</w:t>
      </w:r>
      <w:r>
        <w:rPr>
          <w:sz w:val="20"/>
          <w:szCs w:val="20"/>
          <w:color w:val="auto"/>
        </w:rPr>
        <w:tab/>
      </w:r>
      <w:r>
        <w:rPr>
          <w:rFonts w:ascii="Arial" w:cs="Arial" w:eastAsia="Arial" w:hAnsi="Arial"/>
          <w:sz w:val="15"/>
          <w:szCs w:val="15"/>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-10160</wp:posOffset>
            </wp:positionV>
            <wp:extent cx="5048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4825" cy="8890"/>
                    </a:xfrm>
                    <a:prstGeom prst="rect">
                      <a:avLst/>
                    </a:prstGeom>
                    <a:noFill/>
                  </pic:spPr>
                </pic:pic>
              </a:graphicData>
            </a:graphic>
          </wp:anchor>
        </w:drawing>
        <w:drawing>
          <wp:anchor simplePos="0" relativeHeight="251657728" behindDoc="1" locked="0" layoutInCell="0" allowOverlap="1">
            <wp:simplePos x="0" y="0"/>
            <wp:positionH relativeFrom="column">
              <wp:posOffset>6397625</wp:posOffset>
            </wp:positionH>
            <wp:positionV relativeFrom="paragraph">
              <wp:posOffset>-10160</wp:posOffset>
            </wp:positionV>
            <wp:extent cx="571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This Performance Share Unit Certificate confirms that Enanta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a Delaware corporation, has granted to the person named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award (the “</w:t>
      </w:r>
      <w:r>
        <w:rPr>
          <w:rFonts w:ascii="Arial" w:cs="Arial" w:eastAsia="Arial" w:hAnsi="Arial"/>
          <w:sz w:val="16"/>
          <w:szCs w:val="16"/>
          <w:u w:val="single" w:color="auto"/>
          <w:color w:val="auto"/>
        </w:rPr>
        <w:t>Award</w:t>
      </w:r>
      <w:r>
        <w:rPr>
          <w:rFonts w:ascii="Arial" w:cs="Arial" w:eastAsia="Arial" w:hAnsi="Arial"/>
          <w:sz w:val="16"/>
          <w:szCs w:val="16"/>
          <w:color w:val="auto"/>
        </w:rPr>
        <w:t>”) of the number of Performance Share Units (“</w:t>
      </w:r>
      <w:r>
        <w:rPr>
          <w:rFonts w:ascii="Arial" w:cs="Arial" w:eastAsia="Arial" w:hAnsi="Arial"/>
          <w:sz w:val="16"/>
          <w:szCs w:val="16"/>
          <w:u w:val="single" w:color="auto"/>
          <w:color w:val="auto"/>
        </w:rPr>
        <w:t>PSUs</w:t>
      </w:r>
      <w:r>
        <w:rPr>
          <w:rFonts w:ascii="Arial" w:cs="Arial" w:eastAsia="Arial" w:hAnsi="Arial"/>
          <w:sz w:val="16"/>
          <w:szCs w:val="16"/>
          <w:color w:val="auto"/>
        </w:rPr>
        <w:t>”) set forth above pursuant to the Company’s 2012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each PSU representing the right to receive one share of the Company’s Common Stock, $.01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subject to adjustment as provided below and subject to the definitions and terms and conditions referenced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-10160</wp:posOffset>
            </wp:positionV>
            <wp:extent cx="4657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57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-19050</wp:posOffset>
            </wp:positionV>
            <wp:extent cx="5200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006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Target Number of PSU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-19050</wp:posOffset>
            </wp:positionV>
            <wp:extent cx="40862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862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Schedule: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Arial" w:cs="Arial" w:eastAsia="Arial" w:hAnsi="Arial"/>
                <w:sz w:val="18"/>
                <w:szCs w:val="18"/>
                <w:color w:val="auto"/>
                <w:w w:val="91"/>
              </w:rPr>
              <w:t>Performance Period: On or before</w:t>
            </w:r>
          </w:p>
        </w:tc>
        <w:tc>
          <w:tcPr>
            <w:tcW w:w="252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7"/>
        </w:trPr>
        <w:tc>
          <w:tcPr>
            <w:tcW w:w="1380" w:type="dxa"/>
            <w:vAlign w:val="bottom"/>
          </w:tcPr>
          <w:p>
            <w:pPr>
              <w:spacing w:after="0"/>
              <w:rPr>
                <w:sz w:val="20"/>
                <w:szCs w:val="20"/>
                <w:color w:val="auto"/>
              </w:rPr>
            </w:pPr>
            <w:r>
              <w:rPr>
                <w:rFonts w:ascii="Arial" w:cs="Arial" w:eastAsia="Arial" w:hAnsi="Arial"/>
                <w:sz w:val="18"/>
                <w:szCs w:val="18"/>
                <w:color w:val="auto"/>
              </w:rPr>
              <w:t>R&amp;D Milestones:</w:t>
            </w:r>
          </w:p>
        </w:tc>
        <w:tc>
          <w:tcPr>
            <w:tcW w:w="1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45"/>
        </w:trPr>
        <w:tc>
          <w:tcPr>
            <w:tcW w:w="1380" w:type="dxa"/>
            <w:vAlign w:val="bottom"/>
          </w:tcPr>
          <w:p>
            <w:pPr>
              <w:spacing w:after="0"/>
              <w:rPr>
                <w:sz w:val="20"/>
                <w:szCs w:val="20"/>
                <w:color w:val="auto"/>
              </w:rPr>
            </w:pPr>
            <w:r>
              <w:rPr>
                <w:rFonts w:ascii="Arial" w:cs="Arial" w:eastAsia="Arial" w:hAnsi="Arial"/>
                <w:sz w:val="18"/>
                <w:szCs w:val="18"/>
                <w:color w:val="auto"/>
              </w:rPr>
              <w:t>Settlement:</w:t>
            </w:r>
          </w:p>
        </w:tc>
        <w:tc>
          <w:tcPr>
            <w:tcW w:w="9740" w:type="dxa"/>
            <w:vAlign w:val="bottom"/>
            <w:gridSpan w:val="7"/>
          </w:tcPr>
          <w:p>
            <w:pPr>
              <w:ind w:left="100"/>
              <w:spacing w:after="0"/>
              <w:rPr>
                <w:sz w:val="20"/>
                <w:szCs w:val="20"/>
                <w:color w:val="auto"/>
              </w:rPr>
            </w:pPr>
            <w:r>
              <w:rPr>
                <w:rFonts w:ascii="Arial" w:cs="Arial" w:eastAsia="Arial" w:hAnsi="Arial"/>
                <w:sz w:val="18"/>
                <w:szCs w:val="18"/>
                <w:color w:val="auto"/>
                <w:w w:val="92"/>
              </w:rPr>
              <w:t>All vested PSUs will settle, and the underlying shares of the Company’s Common Stock will be issued to the Participant, subject to</w:t>
            </w:r>
          </w:p>
        </w:tc>
      </w:tr>
      <w:tr>
        <w:trPr>
          <w:trHeight w:val="190"/>
        </w:trPr>
        <w:tc>
          <w:tcPr>
            <w:tcW w:w="1380" w:type="dxa"/>
            <w:vAlign w:val="bottom"/>
          </w:tcPr>
          <w:p>
            <w:pPr>
              <w:spacing w:after="0"/>
              <w:rPr>
                <w:sz w:val="16"/>
                <w:szCs w:val="16"/>
                <w:color w:val="auto"/>
              </w:rPr>
            </w:pPr>
          </w:p>
        </w:tc>
        <w:tc>
          <w:tcPr>
            <w:tcW w:w="9740" w:type="dxa"/>
            <w:vAlign w:val="bottom"/>
            <w:gridSpan w:val="7"/>
          </w:tcPr>
          <w:p>
            <w:pPr>
              <w:ind w:left="100"/>
              <w:spacing w:after="0" w:line="190" w:lineRule="exact"/>
              <w:rPr>
                <w:sz w:val="20"/>
                <w:szCs w:val="20"/>
                <w:color w:val="auto"/>
              </w:rPr>
            </w:pPr>
            <w:r>
              <w:rPr>
                <w:rFonts w:ascii="Arial" w:cs="Arial" w:eastAsia="Arial" w:hAnsi="Arial"/>
                <w:sz w:val="18"/>
                <w:szCs w:val="18"/>
                <w:color w:val="auto"/>
                <w:w w:val="91"/>
              </w:rPr>
              <w:t>Participant’s continued employment with the Company, on the following date (the “Settlement Date”) (except as provided below) and</w:t>
            </w:r>
          </w:p>
        </w:tc>
      </w:tr>
      <w:tr>
        <w:trPr>
          <w:trHeight w:val="196"/>
        </w:trPr>
        <w:tc>
          <w:tcPr>
            <w:tcW w:w="1380" w:type="dxa"/>
            <w:vAlign w:val="bottom"/>
          </w:tcPr>
          <w:p>
            <w:pPr>
              <w:spacing w:after="0"/>
              <w:rPr>
                <w:sz w:val="17"/>
                <w:szCs w:val="17"/>
                <w:color w:val="auto"/>
              </w:rPr>
            </w:pPr>
          </w:p>
        </w:tc>
        <w:tc>
          <w:tcPr>
            <w:tcW w:w="3640" w:type="dxa"/>
            <w:vAlign w:val="bottom"/>
            <w:gridSpan w:val="3"/>
          </w:tcPr>
          <w:p>
            <w:pPr>
              <w:ind w:left="100"/>
              <w:spacing w:after="0" w:line="196" w:lineRule="exact"/>
              <w:rPr>
                <w:sz w:val="20"/>
                <w:szCs w:val="20"/>
                <w:color w:val="auto"/>
              </w:rPr>
            </w:pPr>
            <w:r>
              <w:rPr>
                <w:rFonts w:ascii="Arial" w:cs="Arial" w:eastAsia="Arial" w:hAnsi="Arial"/>
                <w:sz w:val="18"/>
                <w:szCs w:val="18"/>
                <w:color w:val="auto"/>
                <w:w w:val="92"/>
              </w:rPr>
              <w:t>subject to tax withholding as provided below, on</w:t>
            </w:r>
          </w:p>
        </w:tc>
        <w:tc>
          <w:tcPr>
            <w:tcW w:w="1800" w:type="dxa"/>
            <w:vAlign w:val="bottom"/>
            <w:tcBorders>
              <w:bottom w:val="single" w:sz="8" w:color="auto"/>
            </w:tcBorders>
          </w:tcPr>
          <w:p>
            <w:pPr>
              <w:spacing w:after="0"/>
              <w:rPr>
                <w:sz w:val="17"/>
                <w:szCs w:val="17"/>
                <w:color w:val="auto"/>
              </w:rPr>
            </w:pPr>
          </w:p>
        </w:tc>
        <w:tc>
          <w:tcPr>
            <w:tcW w:w="700" w:type="dxa"/>
            <w:vAlign w:val="bottom"/>
          </w:tcPr>
          <w:p>
            <w:pPr>
              <w:jc w:val="right"/>
              <w:ind w:right="610"/>
              <w:spacing w:after="0"/>
              <w:rPr>
                <w:sz w:val="20"/>
                <w:szCs w:val="20"/>
                <w:color w:val="auto"/>
              </w:rPr>
            </w:pPr>
            <w:r>
              <w:rPr>
                <w:rFonts w:ascii="Arial" w:cs="Arial" w:eastAsia="Arial" w:hAnsi="Arial"/>
                <w:sz w:val="10"/>
                <w:szCs w:val="10"/>
                <w:color w:val="auto"/>
                <w:w w:val="70"/>
              </w:rPr>
              <w:t>.</w:t>
            </w:r>
          </w:p>
        </w:tc>
        <w:tc>
          <w:tcPr>
            <w:tcW w:w="1160" w:type="dxa"/>
            <w:vAlign w:val="bottom"/>
            <w:tcBorders>
              <w:top w:val="single" w:sz="8" w:color="auto"/>
            </w:tcBorders>
          </w:tcPr>
          <w:p>
            <w:pPr>
              <w:spacing w:after="0"/>
              <w:rPr>
                <w:sz w:val="17"/>
                <w:szCs w:val="17"/>
                <w:color w:val="auto"/>
              </w:rPr>
            </w:pPr>
          </w:p>
        </w:tc>
        <w:tc>
          <w:tcPr>
            <w:tcW w:w="2440" w:type="dxa"/>
            <w:vAlign w:val="bottom"/>
          </w:tcPr>
          <w:p>
            <w:pPr>
              <w:spacing w:after="0"/>
              <w:rPr>
                <w:sz w:val="17"/>
                <w:szCs w:val="17"/>
                <w:color w:val="auto"/>
              </w:rPr>
            </w:pPr>
          </w:p>
        </w:tc>
      </w:tr>
    </w:tbl>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By acceptance of this Award, Participant agrees to all the terms and conditions hereof, including, without limitation, those set forth in the Plan and in the accompanying Terms and Conditions of PSU Award.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ENANTA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ENANTA PHARACEUTICALS,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Terms and Conditions of PSU Award</w:t>
      </w:r>
    </w:p>
    <w:p>
      <w:pPr>
        <w:spacing w:after="0" w:line="229" w:lineRule="exact"/>
        <w:rPr>
          <w:sz w:val="20"/>
          <w:szCs w:val="20"/>
          <w:color w:val="auto"/>
        </w:rPr>
      </w:pPr>
    </w:p>
    <w:p>
      <w:pPr>
        <w:ind w:left="-8" w:right="40" w:firstLine="8"/>
        <w:spacing w:after="0" w:line="259"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The Plan</w:t>
      </w:r>
      <w:r>
        <w:rPr>
          <w:rFonts w:ascii="Arial" w:cs="Arial" w:eastAsia="Arial" w:hAnsi="Arial"/>
          <w:sz w:val="18"/>
          <w:szCs w:val="18"/>
          <w:color w:val="auto"/>
        </w:rPr>
        <w:t>. In the event of any conflict between the terms of the Plan and this Award, the terms of the Plan shall govern. The Committee administers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86" w:lineRule="exact"/>
        <w:rPr>
          <w:rFonts w:ascii="Arial" w:cs="Arial" w:eastAsia="Arial" w:hAnsi="Arial"/>
          <w:sz w:val="18"/>
          <w:szCs w:val="18"/>
          <w:color w:val="auto"/>
        </w:rPr>
      </w:pPr>
    </w:p>
    <w:p>
      <w:pPr>
        <w:jc w:val="both"/>
        <w:ind w:left="-8" w:firstLine="8"/>
        <w:spacing w:after="0" w:line="264"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 Rights as Stockholder or Employee</w:t>
      </w:r>
      <w:r>
        <w:rPr>
          <w:rFonts w:ascii="Arial" w:cs="Arial" w:eastAsia="Arial" w:hAnsi="Arial"/>
          <w:sz w:val="18"/>
          <w:szCs w:val="18"/>
          <w:color w:val="auto"/>
        </w:rPr>
        <w:t>. Participant shall not have any of the rights or privileges of a stockholder of the Company with respect to the PSUs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pursuant to this Award unless and until shares of Common Stock have been issued and delivered to Participant. Participant shall not have any rights to continued employment by the Company by virtue of the grant of this Award.</w:t>
      </w:r>
    </w:p>
    <w:p>
      <w:pPr>
        <w:spacing w:after="0" w:line="181" w:lineRule="exact"/>
        <w:rPr>
          <w:rFonts w:ascii="Arial" w:cs="Arial" w:eastAsia="Arial" w:hAnsi="Arial"/>
          <w:sz w:val="18"/>
          <w:szCs w:val="18"/>
          <w:color w:val="auto"/>
        </w:rPr>
      </w:pPr>
    </w:p>
    <w:p>
      <w:pPr>
        <w:ind w:left="-8" w:right="80" w:firstLine="8"/>
        <w:spacing w:after="0" w:line="273"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Settlement of PSUs: Issuance of Common Stock</w:t>
      </w:r>
      <w:r>
        <w:rPr>
          <w:rFonts w:ascii="Arial" w:cs="Arial" w:eastAsia="Arial" w:hAnsi="Arial"/>
          <w:sz w:val="17"/>
          <w:szCs w:val="17"/>
          <w:color w:val="auto"/>
        </w:rPr>
        <w:t>. No shares of Common Stock shall be issued to Participant prior to the Settlement Date after the PSUs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 in accordance with the Vesting Schedule. Subject to Section 9, the Company shall deliver to Participant, on or promptly after the Settlement Date, the shares of Common Stock represented by the whole PSUs that have vested as of such date. The value of any fractional PSU Shares shall be paid in cash at the time the certificate is delivered to Participant. The shares of Common Stock issued on settlement of vested PSUs shall be free of all restrictions on transferability and forfeiture under this Award. The rights of Participant with respect to the PSUs shall remain forfeitable at all times prior to the date on which such rights vest and settle in accordance with Sections 4, 5 and 6.</w:t>
      </w:r>
    </w:p>
    <w:p>
      <w:pPr>
        <w:spacing w:after="0" w:line="178" w:lineRule="exact"/>
        <w:rPr>
          <w:rFonts w:ascii="Arial" w:cs="Arial" w:eastAsia="Arial" w:hAnsi="Arial"/>
          <w:sz w:val="17"/>
          <w:szCs w:val="17"/>
          <w:color w:val="auto"/>
        </w:rPr>
      </w:pPr>
    </w:p>
    <w:p>
      <w:pPr>
        <w:ind w:left="-8" w:right="160" w:firstLine="8"/>
        <w:spacing w:after="0" w:line="308"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Vesting</w:t>
      </w:r>
      <w:r>
        <w:rPr>
          <w:rFonts w:ascii="Arial" w:cs="Arial" w:eastAsia="Arial" w:hAnsi="Arial"/>
          <w:sz w:val="17"/>
          <w:szCs w:val="17"/>
          <w:color w:val="auto"/>
        </w:rPr>
        <w:t>. Subject to the terms and conditions of this Award, the PSUs shall vest according to the Vesting Schedule for this Award, which is set forth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accompanying certificate for this Award, so long as Participant remains continuously employed by the Company until the Settlement Date.</w:t>
      </w:r>
    </w:p>
    <w:p>
      <w:pPr>
        <w:spacing w:after="0" w:line="146" w:lineRule="exact"/>
        <w:rPr>
          <w:rFonts w:ascii="Arial" w:cs="Arial" w:eastAsia="Arial" w:hAnsi="Arial"/>
          <w:sz w:val="17"/>
          <w:szCs w:val="17"/>
          <w:color w:val="auto"/>
        </w:rPr>
      </w:pPr>
    </w:p>
    <w:p>
      <w:pPr>
        <w:ind w:left="-8" w:right="100" w:firstLine="8"/>
        <w:spacing w:after="0" w:line="297" w:lineRule="auto"/>
        <w:tabs>
          <w:tab w:leader="none" w:pos="172"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due to Disability, or Death. </w:t>
      </w:r>
      <w:r>
        <w:rPr>
          <w:rFonts w:ascii="Arial" w:cs="Arial" w:eastAsia="Arial" w:hAnsi="Arial"/>
          <w:sz w:val="16"/>
          <w:szCs w:val="16"/>
          <w:color w:val="auto"/>
        </w:rPr>
        <w:t>In the event Participant’s employment is terminated by reason of disability or death, the vesting of the PSUs,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dividend equivalent PSUs, will be prorated based on the number of days during the Performance Period that the Participant spent on the active payroll of the Company. Payout for the award will be made at the same time as payment would have been made had Participant not had a termination of employment and will in all respects be subject to the Company’s actual R&amp;D Milestones achieved during the full Performance Period. “Disability” means a disability entitling Participant to benefits under the long-term disability policy sponsored by the Company that applies to Participant.</w:t>
      </w:r>
    </w:p>
    <w:p>
      <w:pPr>
        <w:spacing w:after="0" w:line="158" w:lineRule="exact"/>
        <w:rPr>
          <w:rFonts w:ascii="Arial" w:cs="Arial" w:eastAsia="Arial" w:hAnsi="Arial"/>
          <w:sz w:val="16"/>
          <w:szCs w:val="16"/>
          <w:color w:val="auto"/>
        </w:rPr>
      </w:pPr>
    </w:p>
    <w:p>
      <w:pPr>
        <w:jc w:val="both"/>
        <w:ind w:left="-8" w:right="460" w:firstLine="8"/>
        <w:spacing w:after="0" w:line="286"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Other Termination of Employment</w:t>
      </w:r>
      <w:r>
        <w:rPr>
          <w:rFonts w:ascii="Arial" w:cs="Arial" w:eastAsia="Arial" w:hAnsi="Arial"/>
          <w:sz w:val="17"/>
          <w:szCs w:val="17"/>
          <w:color w:val="auto"/>
        </w:rPr>
        <w:t>. If, prior to settlement of the PSUs pursuant to the Vesting Schedule, Participant ceases to be an employee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for any reason (voluntary or involuntary), then Participant’s rights to all of the unvested PSUs shall be immediately and irrevocably forfeited. Dividend-equivalent PSUs will be forfeited and canceled along with the PSUs with which they are associated.</w:t>
      </w:r>
    </w:p>
    <w:p>
      <w:pPr>
        <w:spacing w:after="0" w:line="165" w:lineRule="exact"/>
        <w:rPr>
          <w:rFonts w:ascii="Arial" w:cs="Arial" w:eastAsia="Arial" w:hAnsi="Arial"/>
          <w:sz w:val="17"/>
          <w:szCs w:val="17"/>
          <w:color w:val="auto"/>
        </w:rPr>
      </w:pPr>
    </w:p>
    <w:p>
      <w:pPr>
        <w:ind w:left="-8" w:right="40" w:firstLine="8"/>
        <w:spacing w:after="0" w:line="257"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In the event of a Change in Control (as such term is defined in the Participant’s employment agreement) affecting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Common Stock, the Committee (i) shall provide for the acceleration of any time period relating to the payment of the Award and shall issue the Target Number of PSU Shares subject to the Award immediately before the closing of the transaction resulting in the Change of Control, subject to applicable tax withholding, or (ii) provide for payment to the Participant of cash or other property with a fair market value equal to the Target Number of PSU Shares subject to the Award immediately before such closing.</w:t>
      </w:r>
    </w:p>
    <w:p>
      <w:pPr>
        <w:spacing w:after="0" w:line="188" w:lineRule="exact"/>
        <w:rPr>
          <w:rFonts w:ascii="Arial" w:cs="Arial" w:eastAsia="Arial" w:hAnsi="Arial"/>
          <w:sz w:val="18"/>
          <w:szCs w:val="18"/>
          <w:color w:val="auto"/>
        </w:rPr>
      </w:pPr>
    </w:p>
    <w:p>
      <w:pPr>
        <w:jc w:val="both"/>
        <w:ind w:left="-8" w:right="20" w:firstLine="8"/>
        <w:spacing w:after="0" w:line="264"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in Number of PSUs. </w:t>
      </w:r>
      <w:r>
        <w:rPr>
          <w:rFonts w:ascii="Arial" w:cs="Arial" w:eastAsia="Arial" w:hAnsi="Arial"/>
          <w:sz w:val="18"/>
          <w:szCs w:val="18"/>
          <w:color w:val="auto"/>
        </w:rPr>
        <w:t>The number of PSUs subject to the Award will be adjusted proportionately for any increase or decrease in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shares of Common Stock resulting from any stock split, combination or exchange of shares, consolidation, spin-off or recapitalization of shares, or any similar capital adjustment or the payment of any stock dividend.</w:t>
      </w:r>
    </w:p>
    <w:p>
      <w:pPr>
        <w:sectPr>
          <w:pgSz w:w="11900" w:h="16838" w:orient="portrait"/>
          <w:cols w:equalWidth="0" w:num="1">
            <w:col w:w="11392"/>
          </w:cols>
          <w:pgMar w:left="248" w:top="270" w:right="259" w:bottom="1440" w:gutter="0" w:footer="0" w:header="0"/>
        </w:sectPr>
      </w:pPr>
    </w:p>
    <w:bookmarkStart w:id="58" w:name="page59"/>
    <w:bookmarkEnd w:id="58"/>
    <w:p>
      <w:pPr>
        <w:ind w:right="480" w:firstLine="8"/>
        <w:spacing w:after="0" w:line="277"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 on Transfer</w:t>
      </w:r>
      <w:r>
        <w:rPr>
          <w:rFonts w:ascii="Arial" w:cs="Arial" w:eastAsia="Arial" w:hAnsi="Arial"/>
          <w:sz w:val="18"/>
          <w:szCs w:val="18"/>
          <w:color w:val="auto"/>
        </w:rPr>
        <w:t>. The PSUs are not transferable by Participant otherwise than by will or the laws of descent and distribution. The naming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Beneficiary does not constitute a transfer.</w:t>
      </w:r>
    </w:p>
    <w:p>
      <w:pPr>
        <w:spacing w:after="0" w:line="170" w:lineRule="exact"/>
        <w:rPr>
          <w:rFonts w:ascii="Arial" w:cs="Arial" w:eastAsia="Arial" w:hAnsi="Arial"/>
          <w:sz w:val="18"/>
          <w:szCs w:val="18"/>
          <w:color w:val="auto"/>
        </w:rPr>
      </w:pPr>
    </w:p>
    <w:p>
      <w:pPr>
        <w:ind w:right="40" w:firstLine="8"/>
        <w:spacing w:after="0" w:line="259"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Matters</w:t>
      </w:r>
      <w:r>
        <w:rPr>
          <w:rFonts w:ascii="Arial" w:cs="Arial" w:eastAsia="Arial" w:hAnsi="Arial"/>
          <w:sz w:val="18"/>
          <w:szCs w:val="18"/>
          <w:color w:val="auto"/>
        </w:rPr>
        <w:t>. In order to comply with all withholding requirements under applicable federal and state income tax laws and regulations,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withhold 30% of the PSU Shares otherwise to be delivered on the Settlement Date or such other portion of the PSU Shares, valued at their fair market value on the Settlement Date, to the extent the Company determines is required to be withhold in satisfaction of Participant’s withholding obligations consistent with such applicable tax laws and regulations.</w:t>
      </w:r>
    </w:p>
    <w:p>
      <w:pPr>
        <w:spacing w:after="0" w:line="186" w:lineRule="exact"/>
        <w:rPr>
          <w:rFonts w:ascii="Arial" w:cs="Arial" w:eastAsia="Arial" w:hAnsi="Arial"/>
          <w:sz w:val="18"/>
          <w:szCs w:val="18"/>
          <w:color w:val="auto"/>
        </w:rPr>
      </w:pPr>
    </w:p>
    <w:p>
      <w:pPr>
        <w:ind w:right="60" w:firstLine="8"/>
        <w:spacing w:after="0" w:line="293" w:lineRule="auto"/>
        <w:tabs>
          <w:tab w:leader="none" w:pos="263"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In the event that the Committee determines that any amounts will be immediately taxable to Participant under Section 409A of the Code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related Department of Treasury guidance (or subject Participant to a penalty tax thereunder) in connection with the grant, vesting or settlement of the PSUs or any provision of this Award or the Plan, the Company may (i) adopt such amendments to this Award (having prospective or retroactive effect), that the Committee determines to be necessary or appropriate to preserve the intended tax treatment of the PSUs and/or (ii) take such other actions as the Committee determines to be necessary or appropriate to comply with the requirements of Section 409A of the Code and related Department of Treasury guidance, including such Department of Treasury guidance and other interpretive materials as may be issued after the date on which such PSUs were granted.</w:t>
      </w:r>
    </w:p>
    <w:p>
      <w:pPr>
        <w:spacing w:after="0" w:line="164" w:lineRule="exact"/>
        <w:rPr>
          <w:rFonts w:ascii="Arial" w:cs="Arial" w:eastAsia="Arial" w:hAnsi="Arial"/>
          <w:sz w:val="16"/>
          <w:szCs w:val="16"/>
          <w:color w:val="auto"/>
        </w:rPr>
      </w:pPr>
    </w:p>
    <w:p>
      <w:pPr>
        <w:ind w:right="180" w:firstLine="8"/>
        <w:spacing w:after="0" w:line="271" w:lineRule="auto"/>
        <w:tabs>
          <w:tab w:leader="none" w:pos="27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Conditions for Issuance of Shares</w:t>
      </w:r>
      <w:r>
        <w:rPr>
          <w:rFonts w:ascii="Arial" w:cs="Arial" w:eastAsia="Arial" w:hAnsi="Arial"/>
          <w:sz w:val="17"/>
          <w:szCs w:val="17"/>
          <w:color w:val="auto"/>
        </w:rPr>
        <w:t>. The Company shall not be required to deliver any shares of Common Stock upon vesting of any PSUs until (i)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Common 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PSUs vest. Any certificates representing shares of Common Stock delivered under this Award may contain such legends as counsel for the Company shall consider necessary to comply with any applicable law.</w:t>
      </w:r>
    </w:p>
    <w:p>
      <w:pPr>
        <w:spacing w:after="0" w:line="178" w:lineRule="exact"/>
        <w:rPr>
          <w:rFonts w:ascii="Arial" w:cs="Arial" w:eastAsia="Arial" w:hAnsi="Arial"/>
          <w:sz w:val="17"/>
          <w:szCs w:val="17"/>
          <w:color w:val="auto"/>
        </w:rPr>
      </w:pPr>
    </w:p>
    <w:p>
      <w:pPr>
        <w:ind w:right="680" w:firstLine="8"/>
        <w:spacing w:after="0" w:line="277"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Clawback Policy. </w:t>
      </w:r>
      <w:r>
        <w:rPr>
          <w:rFonts w:ascii="Arial" w:cs="Arial" w:eastAsia="Arial" w:hAnsi="Arial"/>
          <w:sz w:val="18"/>
          <w:szCs w:val="18"/>
          <w:color w:val="auto"/>
        </w:rPr>
        <w:t>This Award and any Common Stock issued hereunder is subject to any so-called “clawback policy” that may be adopted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Board of Directors, as amended from time to time.</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written notices provided for in this Award that are sent by mail shall be deemed received three business days after mailing, but not later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actual receipt. Notices shall be directed, if to Participant, at the Participant’s address indicated by the Company’s records and, if to the Company, at the Company’s principal executive office.</w:t>
      </w:r>
    </w:p>
    <w:p>
      <w:pPr>
        <w:spacing w:after="0" w:line="181" w:lineRule="exact"/>
        <w:rPr>
          <w:rFonts w:ascii="Arial" w:cs="Arial" w:eastAsia="Arial" w:hAnsi="Arial"/>
          <w:sz w:val="18"/>
          <w:szCs w:val="18"/>
          <w:color w:val="auto"/>
        </w:rPr>
      </w:pPr>
    </w:p>
    <w:p>
      <w:pPr>
        <w:ind w:right="60" w:firstLine="8"/>
        <w:spacing w:after="0" w:line="259"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The right of Participant to receive shares of Common Stock pursuant to this Award is an unfunded and unsecured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Participant 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86" w:lineRule="exact"/>
        <w:rPr>
          <w:rFonts w:ascii="Arial" w:cs="Arial" w:eastAsia="Arial" w:hAnsi="Arial"/>
          <w:sz w:val="18"/>
          <w:szCs w:val="18"/>
          <w:color w:val="auto"/>
        </w:rPr>
      </w:pPr>
    </w:p>
    <w:p>
      <w:pPr>
        <w:ind w:right="60" w:firstLine="8"/>
        <w:spacing w:after="0" w:line="277"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Award shall be governed by and construed in accordance with the laws of the State of Delaware and applicable federal law,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 to applicable conflicts of laws.</w:t>
      </w:r>
    </w:p>
    <w:p>
      <w:pPr>
        <w:spacing w:after="0" w:line="170" w:lineRule="exact"/>
        <w:rPr>
          <w:rFonts w:ascii="Arial" w:cs="Arial" w:eastAsia="Arial" w:hAnsi="Arial"/>
          <w:sz w:val="18"/>
          <w:szCs w:val="18"/>
          <w:color w:val="auto"/>
        </w:rPr>
      </w:pPr>
    </w:p>
    <w:p>
      <w:pPr>
        <w:ind w:right="140" w:firstLine="8"/>
        <w:spacing w:after="0" w:line="279" w:lineRule="auto"/>
        <w:tabs>
          <w:tab w:leader="none" w:pos="27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If one or more of the provisions of this Award shall be held invalid, illegal or unenforceable in any respect, the validity, legality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Approved June 2015</w:t>
      </w:r>
    </w:p>
    <w:p>
      <w:pPr>
        <w:sectPr>
          <w:pgSz w:w="11900" w:h="16838" w:orient="portrait"/>
          <w:cols w:equalWidth="0" w:num="1">
            <w:col w:w="11420"/>
          </w:cols>
          <w:pgMar w:left="240" w:top="27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Relative Total Stockholder Return Unit Certificate</w:t>
      </w:r>
    </w:p>
    <w:p>
      <w:pPr>
        <w:spacing w:after="0" w:line="238"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color w:val="auto"/>
        </w:rPr>
        <w:t>rTSRU Certificate Number: rTSRU-</w:t>
      </w:r>
      <w:r>
        <w:rPr>
          <w:sz w:val="20"/>
          <w:szCs w:val="20"/>
          <w:color w:val="auto"/>
        </w:rPr>
        <w:tab/>
      </w:r>
      <w:r>
        <w:rPr>
          <w:rFonts w:ascii="Arial" w:cs="Arial" w:eastAsia="Arial" w:hAnsi="Arial"/>
          <w:sz w:val="16"/>
          <w:szCs w:val="16"/>
          <w:color w:val="auto"/>
        </w:rPr>
        <w:t>rTSRUs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-10160</wp:posOffset>
            </wp:positionV>
            <wp:extent cx="596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-10160</wp:posOffset>
            </wp:positionV>
            <wp:extent cx="4572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Relative Total Stockholder Return Unit Certificate confirms that Enanta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has granted to the person named below (“</w:t>
      </w:r>
      <w:r>
        <w:rPr>
          <w:rFonts w:ascii="Arial" w:cs="Arial" w:eastAsia="Arial" w:hAnsi="Arial"/>
          <w:sz w:val="18"/>
          <w:szCs w:val="18"/>
          <w:u w:val="single" w:color="auto"/>
          <w:color w:val="auto"/>
        </w:rPr>
        <w:t>Participant</w:t>
      </w:r>
      <w:r>
        <w:rPr>
          <w:rFonts w:ascii="Arial" w:cs="Arial" w:eastAsia="Arial" w:hAnsi="Arial"/>
          <w:sz w:val="18"/>
          <w:szCs w:val="18"/>
          <w:color w:val="auto"/>
        </w:rPr>
        <w:t>”) an award (the “</w:t>
      </w:r>
      <w:r>
        <w:rPr>
          <w:rFonts w:ascii="Arial" w:cs="Arial" w:eastAsia="Arial" w:hAnsi="Arial"/>
          <w:sz w:val="18"/>
          <w:szCs w:val="18"/>
          <w:u w:val="single" w:color="auto"/>
          <w:color w:val="auto"/>
        </w:rPr>
        <w:t>Award</w:t>
      </w:r>
      <w:r>
        <w:rPr>
          <w:rFonts w:ascii="Arial" w:cs="Arial" w:eastAsia="Arial" w:hAnsi="Arial"/>
          <w:sz w:val="18"/>
          <w:szCs w:val="18"/>
          <w:color w:val="auto"/>
        </w:rPr>
        <w:t>”) of the number of Relative Total Stockholder Return Units (“</w:t>
      </w:r>
      <w:r>
        <w:rPr>
          <w:rFonts w:ascii="Arial" w:cs="Arial" w:eastAsia="Arial" w:hAnsi="Arial"/>
          <w:sz w:val="18"/>
          <w:szCs w:val="18"/>
          <w:u w:val="single" w:color="auto"/>
          <w:color w:val="auto"/>
        </w:rPr>
        <w:t>rTSRUs</w:t>
      </w:r>
      <w:r>
        <w:rPr>
          <w:rFonts w:ascii="Arial" w:cs="Arial" w:eastAsia="Arial" w:hAnsi="Arial"/>
          <w:sz w:val="18"/>
          <w:szCs w:val="18"/>
          <w:color w:val="auto"/>
        </w:rPr>
        <w:t>”) set forth above pursuant to the Company’s 2012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each rTSRU representing the right to receive one share of the Company’s Common Stock, $.01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subject to adjustment as provided below and subject to the definitions and terms and conditions referenced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-10160</wp:posOffset>
            </wp:positionV>
            <wp:extent cx="43148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-19050</wp:posOffset>
            </wp:positionV>
            <wp:extent cx="4857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577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Target Number of rTSRU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1572895</wp:posOffset>
            </wp:positionH>
            <wp:positionV relativeFrom="paragraph">
              <wp:posOffset>-19050</wp:posOffset>
            </wp:positionV>
            <wp:extent cx="3686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Baseline Period:</w:t>
            </w:r>
          </w:p>
        </w:tc>
        <w:tc>
          <w:tcPr>
            <w:tcW w:w="720" w:type="dxa"/>
            <w:vAlign w:val="bottom"/>
          </w:tcPr>
          <w:p>
            <w:pPr>
              <w:ind w:left="400"/>
              <w:spacing w:after="0"/>
              <w:rPr>
                <w:sz w:val="20"/>
                <w:szCs w:val="20"/>
                <w:color w:val="auto"/>
              </w:rPr>
            </w:pPr>
            <w:r>
              <w:rPr>
                <w:rFonts w:ascii="Arial" w:cs="Arial" w:eastAsia="Arial" w:hAnsi="Arial"/>
                <w:sz w:val="18"/>
                <w:szCs w:val="18"/>
                <w:color w:val="auto"/>
                <w:w w:val="96"/>
              </w:rPr>
              <w:t>The</w:t>
            </w:r>
          </w:p>
        </w:tc>
        <w:tc>
          <w:tcPr>
            <w:tcW w:w="540" w:type="dxa"/>
            <w:vAlign w:val="bottom"/>
            <w:tcBorders>
              <w:bottom w:val="single" w:sz="8" w:color="auto"/>
            </w:tcBorders>
          </w:tcPr>
          <w:p>
            <w:pPr>
              <w:spacing w:after="0"/>
              <w:rPr>
                <w:sz w:val="17"/>
                <w:szCs w:val="17"/>
                <w:color w:val="auto"/>
              </w:rPr>
            </w:pPr>
          </w:p>
        </w:tc>
        <w:tc>
          <w:tcPr>
            <w:tcW w:w="2420" w:type="dxa"/>
            <w:vAlign w:val="bottom"/>
            <w:gridSpan w:val="2"/>
          </w:tcPr>
          <w:p>
            <w:pPr>
              <w:ind w:left="40"/>
              <w:spacing w:after="0"/>
              <w:rPr>
                <w:sz w:val="20"/>
                <w:szCs w:val="20"/>
                <w:color w:val="auto"/>
              </w:rPr>
            </w:pPr>
            <w:r>
              <w:rPr>
                <w:rFonts w:ascii="Arial" w:cs="Arial" w:eastAsia="Arial" w:hAnsi="Arial"/>
                <w:sz w:val="18"/>
                <w:szCs w:val="18"/>
                <w:color w:val="auto"/>
                <w:w w:val="92"/>
              </w:rPr>
              <w:t>trading days immediately before</w:t>
            </w:r>
          </w:p>
        </w:tc>
        <w:tc>
          <w:tcPr>
            <w:tcW w:w="540" w:type="dxa"/>
            <w:vAlign w:val="bottom"/>
            <w:tcBorders>
              <w:bottom w:val="single" w:sz="8" w:color="auto"/>
            </w:tcBorders>
          </w:tcPr>
          <w:p>
            <w:pPr>
              <w:spacing w:after="0"/>
              <w:rPr>
                <w:sz w:val="17"/>
                <w:szCs w:val="17"/>
                <w:color w:val="auto"/>
              </w:rPr>
            </w:pPr>
          </w:p>
        </w:tc>
        <w:tc>
          <w:tcPr>
            <w:tcW w:w="580" w:type="dxa"/>
            <w:vAlign w:val="bottom"/>
          </w:tcPr>
          <w:p>
            <w:pPr>
              <w:jc w:val="right"/>
              <w:ind w:right="430"/>
              <w:spacing w:after="0"/>
              <w:rPr>
                <w:sz w:val="20"/>
                <w:szCs w:val="20"/>
                <w:color w:val="auto"/>
              </w:rPr>
            </w:pPr>
            <w:r>
              <w:rPr>
                <w:rFonts w:ascii="Arial" w:cs="Arial" w:eastAsia="Arial" w:hAnsi="Arial"/>
                <w:sz w:val="18"/>
                <w:szCs w:val="18"/>
                <w:color w:val="auto"/>
                <w:w w:val="78"/>
              </w:rPr>
              <w:t>.</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18"/>
        </w:trPr>
        <w:tc>
          <w:tcPr>
            <w:tcW w:w="1540" w:type="dxa"/>
            <w:vAlign w:val="bottom"/>
          </w:tcPr>
          <w:p>
            <w:pPr>
              <w:spacing w:after="0"/>
              <w:rPr>
                <w:sz w:val="20"/>
                <w:szCs w:val="20"/>
                <w:color w:val="auto"/>
              </w:rPr>
            </w:pPr>
            <w:r>
              <w:rPr>
                <w:rFonts w:ascii="Arial" w:cs="Arial" w:eastAsia="Arial" w:hAnsi="Arial"/>
                <w:sz w:val="18"/>
                <w:szCs w:val="18"/>
                <w:color w:val="auto"/>
              </w:rPr>
              <w:t>Ending Period:</w:t>
            </w:r>
          </w:p>
        </w:tc>
        <w:tc>
          <w:tcPr>
            <w:tcW w:w="720" w:type="dxa"/>
            <w:vAlign w:val="bottom"/>
          </w:tcPr>
          <w:p>
            <w:pPr>
              <w:ind w:left="400"/>
              <w:spacing w:after="0"/>
              <w:rPr>
                <w:sz w:val="20"/>
                <w:szCs w:val="20"/>
                <w:color w:val="auto"/>
              </w:rPr>
            </w:pPr>
            <w:r>
              <w:rPr>
                <w:rFonts w:ascii="Arial" w:cs="Arial" w:eastAsia="Arial" w:hAnsi="Arial"/>
                <w:sz w:val="18"/>
                <w:szCs w:val="18"/>
                <w:color w:val="auto"/>
                <w:w w:val="96"/>
              </w:rPr>
              <w:t>The</w:t>
            </w:r>
          </w:p>
        </w:tc>
        <w:tc>
          <w:tcPr>
            <w:tcW w:w="540" w:type="dxa"/>
            <w:vAlign w:val="bottom"/>
            <w:tcBorders>
              <w:bottom w:val="single" w:sz="8" w:color="auto"/>
            </w:tcBorders>
          </w:tcPr>
          <w:p>
            <w:pPr>
              <w:spacing w:after="0"/>
              <w:rPr>
                <w:sz w:val="24"/>
                <w:szCs w:val="24"/>
                <w:color w:val="auto"/>
              </w:rPr>
            </w:pPr>
          </w:p>
        </w:tc>
        <w:tc>
          <w:tcPr>
            <w:tcW w:w="2420" w:type="dxa"/>
            <w:vAlign w:val="bottom"/>
            <w:gridSpan w:val="2"/>
          </w:tcPr>
          <w:p>
            <w:pPr>
              <w:ind w:left="40"/>
              <w:spacing w:after="0"/>
              <w:rPr>
                <w:sz w:val="20"/>
                <w:szCs w:val="20"/>
                <w:color w:val="auto"/>
              </w:rPr>
            </w:pPr>
            <w:r>
              <w:rPr>
                <w:rFonts w:ascii="Arial" w:cs="Arial" w:eastAsia="Arial" w:hAnsi="Arial"/>
                <w:sz w:val="18"/>
                <w:szCs w:val="18"/>
                <w:color w:val="auto"/>
                <w:w w:val="92"/>
              </w:rPr>
              <w:t>trading days immediately before</w:t>
            </w:r>
          </w:p>
        </w:tc>
        <w:tc>
          <w:tcPr>
            <w:tcW w:w="540" w:type="dxa"/>
            <w:vAlign w:val="bottom"/>
            <w:tcBorders>
              <w:bottom w:val="single" w:sz="8" w:color="auto"/>
            </w:tcBorders>
          </w:tcPr>
          <w:p>
            <w:pPr>
              <w:spacing w:after="0"/>
              <w:rPr>
                <w:sz w:val="24"/>
                <w:szCs w:val="24"/>
                <w:color w:val="auto"/>
              </w:rPr>
            </w:pPr>
          </w:p>
        </w:tc>
        <w:tc>
          <w:tcPr>
            <w:tcW w:w="580" w:type="dxa"/>
            <w:vAlign w:val="bottom"/>
          </w:tcPr>
          <w:p>
            <w:pPr>
              <w:jc w:val="right"/>
              <w:ind w:right="430"/>
              <w:spacing w:after="0"/>
              <w:rPr>
                <w:sz w:val="20"/>
                <w:szCs w:val="20"/>
                <w:color w:val="auto"/>
              </w:rPr>
            </w:pPr>
            <w:r>
              <w:rPr>
                <w:rFonts w:ascii="Arial" w:cs="Arial" w:eastAsia="Arial" w:hAnsi="Arial"/>
                <w:sz w:val="18"/>
                <w:szCs w:val="18"/>
                <w:color w:val="auto"/>
                <w:w w:val="78"/>
              </w:rPr>
              <w:t>.</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04"/>
        </w:trPr>
        <w:tc>
          <w:tcPr>
            <w:tcW w:w="1540" w:type="dxa"/>
            <w:vAlign w:val="bottom"/>
          </w:tcPr>
          <w:p>
            <w:pPr>
              <w:spacing w:after="0"/>
              <w:rPr>
                <w:sz w:val="20"/>
                <w:szCs w:val="20"/>
                <w:color w:val="auto"/>
              </w:rPr>
            </w:pPr>
            <w:r>
              <w:rPr>
                <w:rFonts w:ascii="Arial" w:cs="Arial" w:eastAsia="Arial" w:hAnsi="Arial"/>
                <w:sz w:val="18"/>
                <w:szCs w:val="18"/>
                <w:color w:val="auto"/>
                <w:w w:val="92"/>
              </w:rPr>
              <w:t>Performance Period:</w:t>
            </w:r>
          </w:p>
        </w:tc>
        <w:tc>
          <w:tcPr>
            <w:tcW w:w="7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spacing w:after="0"/>
              <w:rPr>
                <w:sz w:val="24"/>
                <w:szCs w:val="24"/>
                <w:color w:val="auto"/>
              </w:rPr>
            </w:pPr>
          </w:p>
        </w:tc>
        <w:tc>
          <w:tcPr>
            <w:tcW w:w="940" w:type="dxa"/>
            <w:vAlign w:val="bottom"/>
          </w:tcPr>
          <w:p>
            <w:pPr>
              <w:jc w:val="right"/>
              <w:ind w:right="850"/>
              <w:spacing w:after="0"/>
              <w:rPr>
                <w:sz w:val="20"/>
                <w:szCs w:val="20"/>
                <w:color w:val="auto"/>
              </w:rPr>
            </w:pPr>
            <w:r>
              <w:rPr>
                <w:rFonts w:ascii="Arial" w:cs="Arial" w:eastAsia="Arial" w:hAnsi="Arial"/>
                <w:sz w:val="10"/>
                <w:szCs w:val="10"/>
                <w:color w:val="auto"/>
                <w:w w:val="70"/>
              </w:rPr>
              <w:t>.</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65"/>
        </w:trPr>
        <w:tc>
          <w:tcPr>
            <w:tcW w:w="1540" w:type="dxa"/>
            <w:vAlign w:val="bottom"/>
          </w:tcPr>
          <w:p>
            <w:pPr>
              <w:spacing w:after="0"/>
              <w:rPr>
                <w:sz w:val="20"/>
                <w:szCs w:val="20"/>
                <w:color w:val="auto"/>
              </w:rPr>
            </w:pPr>
            <w:r>
              <w:rPr>
                <w:rFonts w:ascii="Arial" w:cs="Arial" w:eastAsia="Arial" w:hAnsi="Arial"/>
                <w:sz w:val="18"/>
                <w:szCs w:val="18"/>
                <w:color w:val="auto"/>
              </w:rPr>
              <w:t>Settlement:</w:t>
            </w:r>
          </w:p>
        </w:tc>
        <w:tc>
          <w:tcPr>
            <w:tcW w:w="9860" w:type="dxa"/>
            <w:vAlign w:val="bottom"/>
            <w:gridSpan w:val="10"/>
          </w:tcPr>
          <w:p>
            <w:pPr>
              <w:ind w:left="400"/>
              <w:spacing w:after="0"/>
              <w:rPr>
                <w:sz w:val="20"/>
                <w:szCs w:val="20"/>
                <w:color w:val="auto"/>
              </w:rPr>
            </w:pPr>
            <w:r>
              <w:rPr>
                <w:rFonts w:ascii="Arial" w:cs="Arial" w:eastAsia="Arial" w:hAnsi="Arial"/>
                <w:sz w:val="18"/>
                <w:szCs w:val="18"/>
                <w:color w:val="auto"/>
                <w:w w:val="91"/>
              </w:rPr>
              <w:t>All vested rTSRUs will settle, and the underlying shares of the Company’s Common Stock will be issued to the Participant, subject</w:t>
            </w:r>
          </w:p>
        </w:tc>
      </w:tr>
      <w:tr>
        <w:trPr>
          <w:trHeight w:val="190"/>
        </w:trPr>
        <w:tc>
          <w:tcPr>
            <w:tcW w:w="1540" w:type="dxa"/>
            <w:vAlign w:val="bottom"/>
          </w:tcPr>
          <w:p>
            <w:pPr>
              <w:spacing w:after="0"/>
              <w:rPr>
                <w:sz w:val="16"/>
                <w:szCs w:val="16"/>
                <w:color w:val="auto"/>
              </w:rPr>
            </w:pPr>
          </w:p>
        </w:tc>
        <w:tc>
          <w:tcPr>
            <w:tcW w:w="9860" w:type="dxa"/>
            <w:vAlign w:val="bottom"/>
            <w:gridSpan w:val="10"/>
          </w:tcPr>
          <w:p>
            <w:pPr>
              <w:ind w:left="400"/>
              <w:spacing w:after="0" w:line="190" w:lineRule="exact"/>
              <w:rPr>
                <w:sz w:val="20"/>
                <w:szCs w:val="20"/>
                <w:color w:val="auto"/>
              </w:rPr>
            </w:pPr>
            <w:r>
              <w:rPr>
                <w:rFonts w:ascii="Arial" w:cs="Arial" w:eastAsia="Arial" w:hAnsi="Arial"/>
                <w:sz w:val="18"/>
                <w:szCs w:val="18"/>
                <w:color w:val="auto"/>
                <w:w w:val="96"/>
              </w:rPr>
              <w:t>to Participant’s continued employment with the Company, on the following date (the “Settlement Date”) (except as provided</w:t>
            </w:r>
          </w:p>
        </w:tc>
      </w:tr>
      <w:tr>
        <w:trPr>
          <w:trHeight w:val="20"/>
        </w:trPr>
        <w:tc>
          <w:tcPr>
            <w:tcW w:w="1540" w:type="dxa"/>
            <w:vAlign w:val="bottom"/>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4800" w:type="dxa"/>
            <w:vAlign w:val="bottom"/>
            <w:gridSpan w:val="6"/>
          </w:tcPr>
          <w:p>
            <w:pPr>
              <w:ind w:left="400"/>
              <w:spacing w:after="0" w:line="196" w:lineRule="exact"/>
              <w:rPr>
                <w:sz w:val="20"/>
                <w:szCs w:val="20"/>
                <w:color w:val="auto"/>
              </w:rPr>
            </w:pPr>
            <w:r>
              <w:rPr>
                <w:rFonts w:ascii="Arial" w:cs="Arial" w:eastAsia="Arial" w:hAnsi="Arial"/>
                <w:sz w:val="18"/>
                <w:szCs w:val="18"/>
                <w:color w:val="auto"/>
                <w:w w:val="92"/>
              </w:rPr>
              <w:t>below) and subject to tax withholding as provided below, on</w:t>
            </w:r>
          </w:p>
        </w:tc>
        <w:tc>
          <w:tcPr>
            <w:tcW w:w="2980" w:type="dxa"/>
            <w:vAlign w:val="bottom"/>
            <w:gridSpan w:val="3"/>
          </w:tcPr>
          <w:p>
            <w:pPr>
              <w:jc w:val="right"/>
              <w:ind w:right="1140"/>
              <w:spacing w:after="0" w:line="196" w:lineRule="exact"/>
              <w:rPr>
                <w:sz w:val="20"/>
                <w:szCs w:val="20"/>
                <w:color w:val="auto"/>
              </w:rPr>
            </w:pPr>
            <w:r>
              <w:rPr>
                <w:rFonts w:ascii="Arial" w:cs="Arial" w:eastAsia="Arial" w:hAnsi="Arial"/>
                <w:sz w:val="18"/>
                <w:szCs w:val="18"/>
                <w:color w:val="auto"/>
              </w:rPr>
              <w:t>.</w:t>
            </w:r>
          </w:p>
        </w:tc>
        <w:tc>
          <w:tcPr>
            <w:tcW w:w="2080" w:type="dxa"/>
            <w:vAlign w:val="bottom"/>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By acceptance of this Award, Participant agrees to all the terms and conditions hereof, including, without limitation, those set forth in the Plan and in the accompanying </w:t>
      </w:r>
      <w:r>
        <w:rPr>
          <w:rFonts w:ascii="Arial" w:cs="Arial" w:eastAsia="Arial" w:hAnsi="Arial"/>
          <w:sz w:val="18"/>
          <w:szCs w:val="18"/>
          <w:u w:val="single" w:color="auto"/>
          <w:color w:val="auto"/>
        </w:rPr>
        <w:t>Terms and Conditions of rTSRU Award</w:t>
      </w:r>
      <w:r>
        <w:rPr>
          <w:rFonts w:ascii="Arial" w:cs="Arial" w:eastAsia="Arial" w:hAnsi="Arial"/>
          <w:sz w:val="18"/>
          <w:szCs w:val="18"/>
          <w:color w:val="auto"/>
        </w:rPr>
        <w:t>.</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ENANTA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5715</wp:posOffset>
            </wp:positionV>
            <wp:extent cx="26073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60" w:type="dxa"/>
            <w:vAlign w:val="bottom"/>
            <w:gridSpan w:val="2"/>
          </w:tcPr>
          <w:p>
            <w:pPr>
              <w:jc w:val="center"/>
              <w:ind w:right="3900"/>
              <w:spacing w:after="0"/>
              <w:rPr>
                <w:sz w:val="20"/>
                <w:szCs w:val="20"/>
                <w:color w:val="auto"/>
              </w:rPr>
            </w:pPr>
            <w:r>
              <w:rPr>
                <w:rFonts w:ascii="Arial" w:cs="Arial" w:eastAsia="Arial" w:hAnsi="Arial"/>
                <w:sz w:val="18"/>
                <w:szCs w:val="18"/>
                <w:b w:val="1"/>
                <w:bCs w:val="1"/>
                <w:color w:val="auto"/>
              </w:rPr>
              <w:t>ENANTA PHARMACEUTICALS, INC.</w:t>
            </w:r>
          </w:p>
        </w:tc>
      </w:tr>
      <w:tr>
        <w:trPr>
          <w:trHeight w:val="392"/>
        </w:trPr>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Appendix of rTSRU Definitions and Formulas</w:t>
            </w:r>
          </w:p>
        </w:tc>
        <w:tc>
          <w:tcPr>
            <w:tcW w:w="3900" w:type="dxa"/>
            <w:vAlign w:val="bottom"/>
          </w:tcPr>
          <w:p>
            <w:pPr>
              <w:spacing w:after="0"/>
              <w:rPr>
                <w:sz w:val="24"/>
                <w:szCs w:val="24"/>
                <w:color w:val="auto"/>
              </w:rPr>
            </w:pPr>
          </w:p>
        </w:tc>
      </w:tr>
      <w:tr>
        <w:trPr>
          <w:trHeight w:val="439"/>
        </w:trPr>
        <w:tc>
          <w:tcPr>
            <w:tcW w:w="1920" w:type="dxa"/>
            <w:vAlign w:val="bottom"/>
            <w:gridSpan w:val="5"/>
          </w:tcPr>
          <w:p>
            <w:pPr>
              <w:spacing w:after="0"/>
              <w:rPr>
                <w:sz w:val="20"/>
                <w:szCs w:val="20"/>
                <w:color w:val="auto"/>
              </w:rPr>
            </w:pPr>
            <w:r>
              <w:rPr>
                <w:rFonts w:ascii="Arial" w:cs="Arial" w:eastAsia="Arial" w:hAnsi="Arial"/>
                <w:sz w:val="18"/>
                <w:szCs w:val="18"/>
                <w:color w:val="auto"/>
              </w:rPr>
              <w:t>“Comparator Group”</w:t>
            </w: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w w:val="89"/>
              </w:rPr>
              <w:t>means the component companies that are in the Nasdaq Biotechnology Index, both at the beginning of the Baseline Period and</w:t>
            </w:r>
          </w:p>
        </w:tc>
      </w:tr>
      <w:tr>
        <w:trPr>
          <w:trHeight w:val="237"/>
        </w:trPr>
        <w:tc>
          <w:tcPr>
            <w:tcW w:w="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at the end of the Ending Period.</w:t>
            </w:r>
          </w:p>
        </w:tc>
      </w:tr>
      <w:tr>
        <w:trPr>
          <w:trHeight w:val="284"/>
        </w:trPr>
        <w:tc>
          <w:tcPr>
            <w:tcW w:w="1920" w:type="dxa"/>
            <w:vAlign w:val="bottom"/>
            <w:gridSpan w:val="5"/>
          </w:tcPr>
          <w:p>
            <w:pPr>
              <w:spacing w:after="0"/>
              <w:rPr>
                <w:sz w:val="20"/>
                <w:szCs w:val="20"/>
                <w:color w:val="auto"/>
              </w:rPr>
            </w:pPr>
            <w:r>
              <w:rPr>
                <w:rFonts w:ascii="Arial" w:cs="Arial" w:eastAsia="Arial" w:hAnsi="Arial"/>
                <w:sz w:val="18"/>
                <w:szCs w:val="18"/>
                <w:color w:val="auto"/>
              </w:rPr>
              <w:t>“Baseline Price”</w:t>
            </w: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w w:val="92"/>
              </w:rPr>
              <w:t>means, with respect to the Company or any other company in the Comparator Group, the average daily closing price of the</w:t>
            </w:r>
          </w:p>
        </w:tc>
      </w:tr>
      <w:tr>
        <w:trPr>
          <w:trHeight w:val="237"/>
        </w:trPr>
        <w:tc>
          <w:tcPr>
            <w:tcW w:w="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respective company’s common stock for the trading days in the Baseline Period.</w:t>
            </w:r>
          </w:p>
        </w:tc>
      </w:tr>
      <w:tr>
        <w:trPr>
          <w:trHeight w:val="284"/>
        </w:trPr>
        <w:tc>
          <w:tcPr>
            <w:tcW w:w="1920" w:type="dxa"/>
            <w:vAlign w:val="bottom"/>
            <w:gridSpan w:val="5"/>
          </w:tcPr>
          <w:p>
            <w:pPr>
              <w:spacing w:after="0"/>
              <w:rPr>
                <w:sz w:val="20"/>
                <w:szCs w:val="20"/>
                <w:color w:val="auto"/>
              </w:rPr>
            </w:pPr>
            <w:r>
              <w:rPr>
                <w:rFonts w:ascii="Arial" w:cs="Arial" w:eastAsia="Arial" w:hAnsi="Arial"/>
                <w:sz w:val="18"/>
                <w:szCs w:val="18"/>
                <w:color w:val="auto"/>
              </w:rPr>
              <w:t>“Ending Price”</w:t>
            </w: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w w:val="92"/>
              </w:rPr>
              <w:t>means, with respect to the Company or any other company in the Comparator Group, the average daily closing price of the</w:t>
            </w:r>
          </w:p>
        </w:tc>
      </w:tr>
      <w:tr>
        <w:trPr>
          <w:trHeight w:val="237"/>
        </w:trPr>
        <w:tc>
          <w:tcPr>
            <w:tcW w:w="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respective company’s common stock for the trading days in the Ending Period.</w:t>
            </w:r>
          </w:p>
        </w:tc>
      </w:tr>
      <w:tr>
        <w:trPr>
          <w:trHeight w:val="284"/>
        </w:trPr>
        <w:tc>
          <w:tcPr>
            <w:tcW w:w="1920" w:type="dxa"/>
            <w:vAlign w:val="bottom"/>
            <w:gridSpan w:val="5"/>
          </w:tcPr>
          <w:p>
            <w:pPr>
              <w:spacing w:after="0"/>
              <w:rPr>
                <w:sz w:val="20"/>
                <w:szCs w:val="20"/>
                <w:color w:val="auto"/>
              </w:rPr>
            </w:pPr>
            <w:r>
              <w:rPr>
                <w:rFonts w:ascii="Arial" w:cs="Arial" w:eastAsia="Arial" w:hAnsi="Arial"/>
                <w:sz w:val="18"/>
                <w:szCs w:val="18"/>
                <w:color w:val="auto"/>
              </w:rPr>
              <w:t>“rTSRU Shares”</w:t>
            </w: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means the number of shares of Common Stock issuable with respect to the rTSRUs subject to the Award.</w:t>
            </w:r>
          </w:p>
        </w:tc>
      </w:tr>
      <w:tr>
        <w:trPr>
          <w:trHeight w:val="20"/>
        </w:trPr>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Company’s TSR and the TSR of each company in the Comparator Group shall be determined by the following formula: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rPr>
              <w:t>TSR = (Ending Price – Baseline Price) + Reinvested Dividends</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Baseline Price</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w w:val="98"/>
              </w:rPr>
              <w:t>Provided, that, if the Company or any other company in the Comparator Group pays a cash dividend during the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w w:val="94"/>
              </w:rPr>
              <w:t>Performance Period, the dividend shall be deemed to be reinvested in the issuer’s common stock as of the dividend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rPr>
              <w:t>payment date.</w:t>
            </w:r>
          </w:p>
        </w:tc>
        <w:tc>
          <w:tcPr>
            <w:tcW w:w="0" w:type="dxa"/>
            <w:vAlign w:val="bottom"/>
          </w:tcPr>
          <w:p>
            <w:pPr>
              <w:spacing w:after="0"/>
              <w:rPr>
                <w:sz w:val="1"/>
                <w:szCs w:val="1"/>
                <w:color w:val="auto"/>
              </w:rPr>
            </w:pPr>
          </w:p>
        </w:tc>
      </w:tr>
      <w:tr>
        <w:trPr>
          <w:trHeight w:val="297"/>
        </w:trPr>
        <w:tc>
          <w:tcPr>
            <w:tcW w:w="1420" w:type="dxa"/>
            <w:vAlign w:val="bottom"/>
            <w:gridSpan w:val="3"/>
          </w:tcPr>
          <w:p>
            <w:pPr>
              <w:spacing w:after="0"/>
              <w:rPr>
                <w:sz w:val="20"/>
                <w:szCs w:val="20"/>
                <w:color w:val="auto"/>
              </w:rPr>
            </w:pPr>
            <w:r>
              <w:rPr>
                <w:rFonts w:ascii="Arial" w:cs="Arial" w:eastAsia="Arial" w:hAnsi="Arial"/>
                <w:sz w:val="18"/>
                <w:szCs w:val="18"/>
                <w:color w:val="auto"/>
              </w:rPr>
              <w:t>“rTSR”</w:t>
            </w:r>
          </w:p>
        </w:tc>
        <w:tc>
          <w:tcPr>
            <w:tcW w:w="10000" w:type="dxa"/>
            <w:vAlign w:val="bottom"/>
            <w:gridSpan w:val="5"/>
          </w:tcPr>
          <w:p>
            <w:pPr>
              <w:ind w:left="880"/>
              <w:spacing w:after="0"/>
              <w:rPr>
                <w:sz w:val="20"/>
                <w:szCs w:val="20"/>
                <w:color w:val="auto"/>
              </w:rPr>
            </w:pPr>
            <w:r>
              <w:rPr>
                <w:rFonts w:ascii="Arial" w:cs="Arial" w:eastAsia="Arial" w:hAnsi="Arial"/>
                <w:sz w:val="18"/>
                <w:szCs w:val="18"/>
                <w:color w:val="auto"/>
                <w:w w:val="98"/>
              </w:rPr>
              <w:t>means the Company’s TSR relative to the TSR of each of the companies in the Comparator Group. The rTSR will be</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0000" w:type="dxa"/>
            <w:vAlign w:val="bottom"/>
            <w:gridSpan w:val="5"/>
          </w:tcPr>
          <w:p>
            <w:pPr>
              <w:ind w:left="880"/>
              <w:spacing w:after="0"/>
              <w:rPr>
                <w:sz w:val="20"/>
                <w:szCs w:val="20"/>
                <w:color w:val="auto"/>
              </w:rPr>
            </w:pPr>
            <w:r>
              <w:rPr>
                <w:rFonts w:ascii="Arial" w:cs="Arial" w:eastAsia="Arial" w:hAnsi="Arial"/>
                <w:sz w:val="18"/>
                <w:szCs w:val="18"/>
                <w:color w:val="auto"/>
                <w:w w:val="92"/>
              </w:rPr>
              <w:t>determined by ranking the Company and the other companies in the Comparator Group from highest to lowest according to</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5"/>
          </w:tcPr>
          <w:p>
            <w:pPr>
              <w:ind w:left="880"/>
              <w:spacing w:after="0"/>
              <w:rPr>
                <w:sz w:val="20"/>
                <w:szCs w:val="20"/>
                <w:color w:val="auto"/>
              </w:rPr>
            </w:pPr>
            <w:r>
              <w:rPr>
                <w:rFonts w:ascii="Arial" w:cs="Arial" w:eastAsia="Arial" w:hAnsi="Arial"/>
                <w:sz w:val="18"/>
                <w:szCs w:val="18"/>
                <w:color w:val="auto"/>
                <w:w w:val="91"/>
              </w:rPr>
              <w:t>their respective TSRs. After this ranking, the percentile performance of the Company relative to the Comparator Group will be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5"/>
          </w:tcPr>
          <w:p>
            <w:pPr>
              <w:ind w:left="880"/>
              <w:spacing w:after="0"/>
              <w:rPr>
                <w:sz w:val="20"/>
                <w:szCs w:val="20"/>
                <w:color w:val="auto"/>
              </w:rPr>
            </w:pPr>
            <w:r>
              <w:rPr>
                <w:rFonts w:ascii="Arial" w:cs="Arial" w:eastAsia="Arial" w:hAnsi="Arial"/>
                <w:sz w:val="18"/>
                <w:szCs w:val="18"/>
                <w:color w:val="auto"/>
              </w:rPr>
              <w:t>determined as follows:</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vMerge w:val="restart"/>
          </w:tcPr>
          <w:p>
            <w:pPr>
              <w:ind w:left="480"/>
              <w:spacing w:after="0"/>
              <w:rPr>
                <w:sz w:val="20"/>
                <w:szCs w:val="20"/>
                <w:color w:val="auto"/>
              </w:rPr>
            </w:pPr>
            <w:r>
              <w:rPr>
                <w:rFonts w:ascii="Arial" w:cs="Arial" w:eastAsia="Arial" w:hAnsi="Arial"/>
                <w:sz w:val="18"/>
                <w:szCs w:val="18"/>
                <w:i w:val="1"/>
                <w:iCs w:val="1"/>
                <w:color w:val="auto"/>
              </w:rPr>
              <w:t xml:space="preserve">P </w:t>
            </w:r>
            <w:r>
              <w:rPr>
                <w:rFonts w:ascii="Arial" w:cs="Arial" w:eastAsia="Arial" w:hAnsi="Arial"/>
                <w:sz w:val="18"/>
                <w:szCs w:val="18"/>
                <w:color w:val="auto"/>
              </w:rPr>
              <w:t>= 1–</w:t>
            </w:r>
          </w:p>
        </w:tc>
        <w:tc>
          <w:tcPr>
            <w:tcW w:w="706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R</w:t>
            </w:r>
            <w:r>
              <w:rPr>
                <w:rFonts w:ascii="Arial" w:cs="Arial" w:eastAsia="Arial" w:hAnsi="Arial"/>
                <w:sz w:val="18"/>
                <w:szCs w:val="18"/>
                <w:color w:val="auto"/>
              </w:rPr>
              <w:t>–</w:t>
            </w:r>
            <w:r>
              <w:rPr>
                <w:rFonts w:ascii="Arial" w:cs="Arial" w:eastAsia="Arial" w:hAnsi="Arial"/>
                <w:sz w:val="18"/>
                <w:szCs w:val="18"/>
                <w:i w:val="1"/>
                <w:iCs w:val="1"/>
                <w:color w:val="auto"/>
              </w:rPr>
              <w:t>1</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w w:val="78"/>
              </w:rPr>
              <w:t>N</w:t>
            </w:r>
            <w:r>
              <w:rPr>
                <w:rFonts w:ascii="Arial" w:cs="Arial" w:eastAsia="Arial" w:hAnsi="Arial"/>
                <w:sz w:val="18"/>
                <w:szCs w:val="18"/>
                <w:color w:val="auto"/>
                <w:w w:val="78"/>
              </w:rPr>
              <w:t>–</w:t>
            </w:r>
            <w:r>
              <w:rPr>
                <w:rFonts w:ascii="Arial" w:cs="Arial" w:eastAsia="Arial" w:hAnsi="Arial"/>
                <w:sz w:val="18"/>
                <w:szCs w:val="18"/>
                <w:i w:val="1"/>
                <w:iCs w:val="1"/>
                <w:color w:val="auto"/>
                <w:w w:val="78"/>
              </w:rPr>
              <w:t>1</w:t>
            </w:r>
          </w:p>
        </w:tc>
        <w:tc>
          <w:tcPr>
            <w:tcW w:w="67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rPr>
              <w:t>where: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w w:val="96"/>
              </w:rPr>
              <w:t>“P” represents the percentile performance which will be rounded, if necessary, to the nearest whole percentile by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rPr>
              <w:t>application of regular rounding.</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rPr>
              <w:t>“N” represents the number of companies in the Comparator Group, including the Company.</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0" w:type="dxa"/>
            <w:vAlign w:val="bottom"/>
            <w:gridSpan w:val="5"/>
          </w:tcPr>
          <w:p>
            <w:pPr>
              <w:ind w:left="1320"/>
              <w:spacing w:after="0"/>
              <w:rPr>
                <w:sz w:val="20"/>
                <w:szCs w:val="20"/>
                <w:color w:val="auto"/>
              </w:rPr>
            </w:pPr>
            <w:r>
              <w:rPr>
                <w:rFonts w:ascii="Arial" w:cs="Arial" w:eastAsia="Arial" w:hAnsi="Arial"/>
                <w:sz w:val="18"/>
                <w:szCs w:val="18"/>
                <w:color w:val="auto"/>
              </w:rPr>
              <w:t>“R” represents Company’s ranking among the companies in the Comparator Group.</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Example: </w:t>
      </w:r>
      <w:r>
        <w:rPr>
          <w:rFonts w:ascii="Arial" w:cs="Arial" w:eastAsia="Arial" w:hAnsi="Arial"/>
          <w:sz w:val="18"/>
          <w:szCs w:val="18"/>
          <w:color w:val="auto"/>
        </w:rPr>
        <w:t>If there are 100 companies in the Comparator Group, and the Company ranked 25</w:t>
      </w:r>
      <w:r>
        <w:rPr>
          <w:rFonts w:ascii="Arial" w:cs="Arial" w:eastAsia="Arial" w:hAnsi="Arial"/>
          <w:sz w:val="15"/>
          <w:szCs w:val="15"/>
          <w:color w:val="auto"/>
        </w:rPr>
        <w:t>th</w:t>
      </w:r>
      <w:r>
        <w:rPr>
          <w:rFonts w:ascii="Arial" w:cs="Arial" w:eastAsia="Arial" w:hAnsi="Arial"/>
          <w:sz w:val="18"/>
          <w:szCs w:val="18"/>
          <w:color w:val="auto"/>
        </w:rPr>
        <w:t>, the performance would be at the 75</w:t>
      </w:r>
      <w:r>
        <w:rPr>
          <w:rFonts w:ascii="Arial" w:cs="Arial" w:eastAsia="Arial" w:hAnsi="Arial"/>
          <w:sz w:val="15"/>
          <w:szCs w:val="15"/>
          <w:color w:val="auto"/>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.75 = 1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((25-1)/(100-1)).</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rTSR will be calculated by the Compensation Committee of the Board of Directors of the Company based on the terms set forth in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and in the Compensation Committee’s sole and absolute discretion, provided that in no event shall the Compensation Committee take any action that would constitute “positive discretion” with respect to this Award, which is intended to qualify as “performance-based compensation” under Section 162(m) of the Internal Revenue Code.</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the event of a payout percentage level above 100%, Participant will be awarded additional rTSRU Shares so that the total number of rTSRU Shares that vest (excluding dividend equivalent rTSRU Shares) equals the Target Number of rTSRU Shares multiplied by the payout percentage level. In the event of a payout percentage level</w:t>
      </w:r>
    </w:p>
    <w:p>
      <w:pPr>
        <w:sectPr>
          <w:pgSz w:w="11900" w:h="16838" w:orient="portrait"/>
          <w:cols w:equalWidth="0" w:num="1">
            <w:col w:w="11420"/>
          </w:cols>
          <w:pgMar w:left="240" w:top="270" w:right="239" w:bottom="1440" w:gutter="0" w:footer="0" w:header="0"/>
        </w:sectPr>
      </w:pPr>
    </w:p>
    <w:bookmarkStart w:id="61" w:name="page62"/>
    <w:bookmarkEnd w:id="61"/>
    <w:p>
      <w:pPr>
        <w:ind w:right="7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100%, the Target Number of rTSRU Shares will be reduced to the extent necessary to provide that the total number of rTSRU Shares that vest (excluding dividend equivalent rTSRU Shares) equals the original Target Number of rTSRU Shares multiplied by the payout percentage level.</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no event shall the number of rTSRU Shares issued exceed 200% of the Target Number of rTSRU Shares; provided that any dividend equivalent rTSRU Shares issued with respect to Common Stock that are earned during the Performance Period will not count toward the 200% limit.</w:t>
      </w:r>
    </w:p>
    <w:p>
      <w:pPr>
        <w:sectPr>
          <w:pgSz w:w="11900" w:h="16838" w:orient="portrait"/>
          <w:cols w:equalWidth="0" w:num="1">
            <w:col w:w="11420"/>
          </w:cols>
          <w:pgMar w:left="240" w:top="274"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equivalent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rTSRUs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means additional rTSRUs that will be credited to Participant’s account in accordance with the following provisions if, and</w:t>
      </w:r>
    </w:p>
    <w:p>
      <w:pPr>
        <w:spacing w:after="0" w:line="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only if, any cash dividends are paid on the Company’s Common Stock during the period from through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-173990</wp:posOffset>
            </wp:positionV>
            <wp:extent cx="571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As of any dividend payment date for the Company’s Common Stock, the additional rTSRUs to be credited to Participant’s account will be equal in number to the number of shares of Common Stock that could be bought with the cash dividends that would be paid on the rTSRUs in Participant’s account if each rTSRU were a share of Common Stock. The number of shares of Common Stock that could be bought with the cash dividends will be calculated based on the fair market value of a share of Common Stock on the applicable dividend payment date, which for this purpose will be the average of the high and the low per share trading prices for the Common Stock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for the specific dividend payment date, or in such other source as the Company deems reliable. The number of rTSRUs that results from the calculation will be calculated to two decimal places.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Dividend equivalent rTSRUs will vest at the same time and in the same manner as the rTSRUs with which they are associated. Dividend equivalent rTSRUs will be adjusted in accordance with the payout level percentage determined under Section 3(a) in the same manner as the rTSRUs with which they are associated. Accumulated dividend equivalent rTSRUs will be multiplied by the same payout percentage level, as the Target Number of rTSRUs, and dividend equivalent rTSRUs will be added or forfeited, as necessary, so that the total dividend equivalent rTSRUs which vest as of the Vesting Date will equal the dividend equivalent rTSRUs which accumulate during the Performance Period multiplied by the payout percentage level, and any shares of Common Stock ultimately issued with respect to dividend equivalent rTSRUs will be “dividend equivalent rTSRU Shares”.</w:t>
      </w:r>
    </w:p>
    <w:p>
      <w:pPr>
        <w:sectPr>
          <w:pgSz w:w="11900" w:h="16838" w:orient="portrait"/>
          <w:cols w:equalWidth="0" w:num="2">
            <w:col w:w="1580" w:space="720"/>
            <w:col w:w="9120"/>
          </w:cols>
          <w:pgMar w:left="240" w:top="274" w:right="239" w:bottom="1440" w:gutter="0" w:footer="0" w:header="0"/>
          <w:type w:val="continuous"/>
        </w:sectPr>
      </w:pPr>
    </w:p>
    <w:bookmarkStart w:id="62" w:name="page63"/>
    <w:bookmarkEnd w:id="6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ENANTA PHARACEUTICALS, INC.</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Terms and Conditions of rTSRU Award</w:t>
      </w:r>
    </w:p>
    <w:p>
      <w:pPr>
        <w:spacing w:after="0" w:line="229" w:lineRule="exact"/>
        <w:rPr>
          <w:sz w:val="20"/>
          <w:szCs w:val="20"/>
          <w:color w:val="auto"/>
        </w:rPr>
      </w:pPr>
    </w:p>
    <w:p>
      <w:pPr>
        <w:ind w:left="-8" w:right="40" w:firstLine="8"/>
        <w:spacing w:after="0" w:line="259" w:lineRule="auto"/>
        <w:tabs>
          <w:tab w:leader="none" w:pos="17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The Plan</w:t>
      </w:r>
      <w:r>
        <w:rPr>
          <w:rFonts w:ascii="Arial" w:cs="Arial" w:eastAsia="Arial" w:hAnsi="Arial"/>
          <w:sz w:val="18"/>
          <w:szCs w:val="18"/>
          <w:color w:val="auto"/>
        </w:rPr>
        <w:t>. In the event of any conflict between the terms of the Plan and this Award, the terms of the Plan shall govern. The Committee administers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and its determinations regarding the operation of the Plan are final. Subject to the limitations set forth in the Plan, the Committee may amend the Plan or this Award. Capitalized terms used but not defined herein shall have the meaning set forth in the Plan. Copies of the Plan may be obtained upon written request without charge from the Secretary of the Company.</w:t>
      </w:r>
    </w:p>
    <w:p>
      <w:pPr>
        <w:spacing w:after="0" w:line="186" w:lineRule="exact"/>
        <w:rPr>
          <w:rFonts w:ascii="Arial" w:cs="Arial" w:eastAsia="Arial" w:hAnsi="Arial"/>
          <w:sz w:val="18"/>
          <w:szCs w:val="18"/>
          <w:color w:val="auto"/>
        </w:rPr>
      </w:pPr>
    </w:p>
    <w:p>
      <w:pPr>
        <w:ind w:left="-8" w:firstLine="8"/>
        <w:spacing w:after="0" w:line="279" w:lineRule="auto"/>
        <w:tabs>
          <w:tab w:leader="none" w:pos="172"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No Rights as Stockholder or Employee</w:t>
      </w:r>
      <w:r>
        <w:rPr>
          <w:rFonts w:ascii="Arial" w:cs="Arial" w:eastAsia="Arial" w:hAnsi="Arial"/>
          <w:sz w:val="17"/>
          <w:szCs w:val="17"/>
          <w:color w:val="auto"/>
        </w:rPr>
        <w:t>. Participant shall not have any of the rights or privileges of a stockholder of the Company with respect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rTSRUs granted pursuant to this Award unless and until shares of Common Stock have been issued and delivered to Participant. The rights of Participant with respect to the rTSRUs shall remain forfeitable at all times prior to the date on which such rights vest in accordance with Sections 4, 5 and 6. Participant shall not have any rights to continued employment by the Company by virtue of the grant of this Award.</w:t>
      </w:r>
    </w:p>
    <w:p>
      <w:pPr>
        <w:spacing w:after="0" w:line="171" w:lineRule="exact"/>
        <w:rPr>
          <w:rFonts w:ascii="Arial" w:cs="Arial" w:eastAsia="Arial" w:hAnsi="Arial"/>
          <w:sz w:val="17"/>
          <w:szCs w:val="17"/>
          <w:color w:val="auto"/>
        </w:rPr>
      </w:pPr>
    </w:p>
    <w:p>
      <w:pPr>
        <w:ind w:left="-8" w:firstLine="8"/>
        <w:spacing w:after="0" w:line="257" w:lineRule="auto"/>
        <w:tabs>
          <w:tab w:leader="none" w:pos="17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Settlement of rTSRUs: Issuance of Common Stock</w:t>
      </w:r>
      <w:r>
        <w:rPr>
          <w:rFonts w:ascii="Arial" w:cs="Arial" w:eastAsia="Arial" w:hAnsi="Arial"/>
          <w:sz w:val="18"/>
          <w:szCs w:val="18"/>
          <w:color w:val="auto"/>
        </w:rPr>
        <w:t>. No shares of Common Stock shall be issued to Participant prior to the Settlement Date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rTSRUs vest in accordance with the Vesting Schedule. Subject to Section 9, the Company shall deliver to Participant, on or promptly after the Settlement Date, the shares of Common Stock represented by the whole rTSRUs that have vested as of such date. The value of any fractional rTSRU Shares shall be paid in cash at the time the certificate is delivered to Participant. The shares of Common Stock issued on settlement of vested rTSRUs shall be free of all restrictions on transferability and forfeiture under this Award.</w:t>
      </w:r>
    </w:p>
    <w:p>
      <w:pPr>
        <w:spacing w:after="0" w:line="188" w:lineRule="exact"/>
        <w:rPr>
          <w:rFonts w:ascii="Arial" w:cs="Arial" w:eastAsia="Arial" w:hAnsi="Arial"/>
          <w:sz w:val="18"/>
          <w:szCs w:val="18"/>
          <w:color w:val="auto"/>
        </w:rPr>
      </w:pPr>
    </w:p>
    <w:p>
      <w:pPr>
        <w:ind w:left="-8" w:right="240" w:firstLine="8"/>
        <w:spacing w:after="0" w:line="342" w:lineRule="auto"/>
        <w:tabs>
          <w:tab w:leader="none" w:pos="172"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Vesting</w:t>
      </w:r>
      <w:r>
        <w:rPr>
          <w:rFonts w:ascii="Arial" w:cs="Arial" w:eastAsia="Arial" w:hAnsi="Arial"/>
          <w:sz w:val="16"/>
          <w:szCs w:val="16"/>
          <w:color w:val="auto"/>
        </w:rPr>
        <w:t>. Subject to the terms and conditions of this Award, the rTSRUs shall vest according to the Vesting Schedule for this Award, which is set forth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accompanying certificate for this Award, so long as Participant remains continuously employed by the Company until the Settlement Date.</w:t>
      </w:r>
    </w:p>
    <w:p>
      <w:pPr>
        <w:spacing w:after="0" w:line="123" w:lineRule="exact"/>
        <w:rPr>
          <w:rFonts w:ascii="Arial" w:cs="Arial" w:eastAsia="Arial" w:hAnsi="Arial"/>
          <w:sz w:val="16"/>
          <w:szCs w:val="16"/>
          <w:color w:val="auto"/>
        </w:rPr>
      </w:pPr>
    </w:p>
    <w:p>
      <w:pPr>
        <w:ind w:left="-8" w:right="100" w:firstLine="8"/>
        <w:spacing w:after="0" w:line="297" w:lineRule="auto"/>
        <w:tabs>
          <w:tab w:leader="none" w:pos="172"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Termination due to Disability, or Death. </w:t>
      </w:r>
      <w:r>
        <w:rPr>
          <w:rFonts w:ascii="Arial" w:cs="Arial" w:eastAsia="Arial" w:hAnsi="Arial"/>
          <w:sz w:val="16"/>
          <w:szCs w:val="16"/>
          <w:color w:val="auto"/>
        </w:rPr>
        <w:t>In the event Participant’s employment is terminated by reason of disability or death, the vesting of the rTSRUs,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dividend equivalent rTSRUs, will be prorated based on the number of days during the Performance Period that the Participant spent on the active payroll of the Company. Payout for the award will be made at the same time as payment would have been made had Participant not had a termination of employment and will in all respects be subject to the Company’s actual rTSR achieved during the full Performance Period. “Disability” means a disability entitling Participant to benefits under the long-term disability policy sponsored by the Company that applies to Participant.</w:t>
      </w:r>
    </w:p>
    <w:p>
      <w:pPr>
        <w:spacing w:after="0" w:line="158" w:lineRule="exact"/>
        <w:rPr>
          <w:rFonts w:ascii="Arial" w:cs="Arial" w:eastAsia="Arial" w:hAnsi="Arial"/>
          <w:sz w:val="16"/>
          <w:szCs w:val="16"/>
          <w:color w:val="auto"/>
        </w:rPr>
      </w:pPr>
    </w:p>
    <w:p>
      <w:pPr>
        <w:jc w:val="both"/>
        <w:ind w:left="-8" w:right="280" w:firstLine="8"/>
        <w:spacing w:after="0" w:line="286" w:lineRule="auto"/>
        <w:tabs>
          <w:tab w:leader="none" w:pos="172"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Other Termination of Employment</w:t>
      </w:r>
      <w:r>
        <w:rPr>
          <w:rFonts w:ascii="Arial" w:cs="Arial" w:eastAsia="Arial" w:hAnsi="Arial"/>
          <w:sz w:val="17"/>
          <w:szCs w:val="17"/>
          <w:color w:val="auto"/>
        </w:rPr>
        <w:t>. If, prior to settlement of the rTSRUs pursuant to the Vesting Schedule, Participant ceases to be an employee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for any reason (voluntary or involuntary), then Participant’s rights to all of the unvested rTSRUs shall be immediately and irrevocably forfeited. Dividend-equivalent rTSRUs will be forfeited and canceled along with the rTSRUs with which they are associated.</w:t>
      </w:r>
    </w:p>
    <w:p>
      <w:pPr>
        <w:spacing w:after="0" w:line="165" w:lineRule="exact"/>
        <w:rPr>
          <w:rFonts w:ascii="Arial" w:cs="Arial" w:eastAsia="Arial" w:hAnsi="Arial"/>
          <w:sz w:val="17"/>
          <w:szCs w:val="17"/>
          <w:color w:val="auto"/>
        </w:rPr>
      </w:pPr>
    </w:p>
    <w:p>
      <w:pPr>
        <w:ind w:left="-8" w:right="180" w:firstLine="8"/>
        <w:spacing w:after="0" w:line="257" w:lineRule="auto"/>
        <w:tabs>
          <w:tab w:leader="none" w:pos="17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In the event of a Change in Control (as such term is defined in the Participant’s employment agreement) affecting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Common Stock, the Committee (i) shall provide for the acceleration of any time period relating to the payment of the Award and shall issue the Target Number of rTSRU Shares subject to the Award immediately before the closing of the transaction resulting in the Change of Control, subject to applicable tax withholding, or (ii) provide for payment to the Participant of cash or other property with a fair market value equal to the Target Number of rTSRU Shares subject to the Award immediately before such closing.</w:t>
      </w:r>
    </w:p>
    <w:p>
      <w:pPr>
        <w:spacing w:after="0" w:line="188" w:lineRule="exact"/>
        <w:rPr>
          <w:rFonts w:ascii="Arial" w:cs="Arial" w:eastAsia="Arial" w:hAnsi="Arial"/>
          <w:sz w:val="18"/>
          <w:szCs w:val="18"/>
          <w:color w:val="auto"/>
        </w:rPr>
      </w:pPr>
    </w:p>
    <w:p>
      <w:pPr>
        <w:ind w:left="-8" w:right="280" w:firstLine="8"/>
        <w:spacing w:after="0" w:line="264" w:lineRule="auto"/>
        <w:tabs>
          <w:tab w:leader="none" w:pos="17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in Number of rTSRUs. </w:t>
      </w:r>
      <w:r>
        <w:rPr>
          <w:rFonts w:ascii="Arial" w:cs="Arial" w:eastAsia="Arial" w:hAnsi="Arial"/>
          <w:sz w:val="18"/>
          <w:szCs w:val="18"/>
          <w:color w:val="auto"/>
        </w:rPr>
        <w:t>The number of rTSRUs subject to the Award will be adjusted proportionately for any increase or decrease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issued shares of Common Stock resulting from any stock split, combination or exchange of shares, consolidation, spin-off or recapitalization of shares, or any similar capital adjustment or the payment of any stock dividend.</w:t>
      </w:r>
    </w:p>
    <w:p>
      <w:pPr>
        <w:sectPr>
          <w:pgSz w:w="11900" w:h="16838" w:orient="portrait"/>
          <w:cols w:equalWidth="0" w:num="1">
            <w:col w:w="11392"/>
          </w:cols>
          <w:pgMar w:left="248" w:top="270" w:right="259" w:bottom="1440" w:gutter="0" w:footer="0" w:header="0"/>
        </w:sectPr>
      </w:pPr>
    </w:p>
    <w:bookmarkStart w:id="63" w:name="page64"/>
    <w:bookmarkEnd w:id="63"/>
    <w:p>
      <w:pPr>
        <w:ind w:right="30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on Transfer</w:t>
      </w:r>
      <w:r>
        <w:rPr>
          <w:rFonts w:ascii="Arial" w:cs="Arial" w:eastAsia="Arial" w:hAnsi="Arial"/>
          <w:sz w:val="18"/>
          <w:szCs w:val="18"/>
          <w:color w:val="auto"/>
        </w:rPr>
        <w:t>. The rTSRUs are not transferable by Participant otherwise than by will or the laws of descent and distribution. The naming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Beneficiary does not constitute a transfer.</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Income Tax Matters</w:t>
      </w:r>
      <w:r>
        <w:rPr>
          <w:rFonts w:ascii="Arial" w:cs="Arial" w:eastAsia="Arial" w:hAnsi="Arial"/>
          <w:sz w:val="17"/>
          <w:szCs w:val="17"/>
          <w:color w:val="auto"/>
        </w:rPr>
        <w:t>. In order to comply with all withholding requirements under applicable federal and state income tax laws and regulations, the</w:t>
      </w:r>
    </w:p>
    <w:p>
      <w:pPr>
        <w:spacing w:after="0" w:line="34" w:lineRule="exact"/>
        <w:rPr>
          <w:rFonts w:ascii="Arial" w:cs="Arial" w:eastAsia="Arial" w:hAnsi="Arial"/>
          <w:sz w:val="17"/>
          <w:szCs w:val="17"/>
          <w:color w:val="auto"/>
        </w:rPr>
      </w:pPr>
    </w:p>
    <w:p>
      <w:pPr>
        <w:jc w:val="both"/>
        <w:ind w:right="300"/>
        <w:spacing w:after="0" w:line="255" w:lineRule="auto"/>
        <w:rPr>
          <w:rFonts w:ascii="Arial" w:cs="Arial" w:eastAsia="Arial" w:hAnsi="Arial"/>
          <w:sz w:val="17"/>
          <w:szCs w:val="17"/>
          <w:color w:val="auto"/>
        </w:rPr>
      </w:pPr>
      <w:r>
        <w:rPr>
          <w:rFonts w:ascii="Arial" w:cs="Arial" w:eastAsia="Arial" w:hAnsi="Arial"/>
          <w:sz w:val="18"/>
          <w:szCs w:val="18"/>
          <w:color w:val="auto"/>
        </w:rPr>
        <w:t>Company shall withhold 30% of the rTSRU Shares otherwise to be delivered on the Settlement Date or such other portion of the rTSRU Shares, valued at their fair market value on the Settlement Date, to the extent the Company determines is required to be withhold in satisfaction of Participant’s withholding obligations consistent with such applicable tax laws and regulations.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In the event that the Committee determines that any amounts will be immediately taxable to Participant under Section 409A of the Code and related Department of Treasury guidance (or subject Participant to a penalty tax thereunder) in connection with the grant, vesting or settlement of the rTSRUs or any provision of this Award or the Plan, the Company may (i) adopt such amendments to this Award (having prospective or retroactive effect), that the Committee determines to be necessary or appropriate to preserve the intended tax treatment of the rTSRUs and/or (ii) take such other actions as the Committee determines to be necessary or appropriate to comply with the requirements of Section 409A of the Code and related Department of Treasury guidance, including such Department of Treasury guidance and other interpretive materials as may be issued after the date on which such rTSRUs were granted.</w:t>
      </w:r>
    </w:p>
    <w:p>
      <w:pPr>
        <w:spacing w:after="0" w:line="189" w:lineRule="exact"/>
        <w:rPr>
          <w:sz w:val="20"/>
          <w:szCs w:val="20"/>
          <w:color w:val="auto"/>
        </w:rPr>
      </w:pPr>
    </w:p>
    <w:p>
      <w:pPr>
        <w:ind w:right="20" w:firstLine="8"/>
        <w:spacing w:after="0" w:line="271" w:lineRule="auto"/>
        <w:tabs>
          <w:tab w:leader="none" w:pos="27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Conditions for Issuance of Shares</w:t>
      </w:r>
      <w:r>
        <w:rPr>
          <w:rFonts w:ascii="Arial" w:cs="Arial" w:eastAsia="Arial" w:hAnsi="Arial"/>
          <w:sz w:val="17"/>
          <w:szCs w:val="17"/>
          <w:color w:val="auto"/>
        </w:rPr>
        <w:t>. The Company shall not be required to deliver any shares of Common Stock upon vesting of any rTSRUs until (i)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Common Stock have been admitted to listing on all stock exchanges on which the Common Stock is then listed and (ii) the requirements of any federal or state securities laws, rules or regulations or other laws or rules (including the rules of any securities exchange) as may be determined by the Company to be applicable are satisfied, provided however, that the Company may only so delay delivery of shares of Common Stock to the extent that such deferral complies with the provisions of Section 409A of the Code and related Department of Treasury guidance. Except as provided in the preceding sentence, in no event will shares of Common Stock be delivered later than the date that is two and one-half (2 1/2) months from the end of the calendar year in which the applicable rTSRUs vest. Any certificates representing shares of Common Stock delivered under this Award may contain such legends as counsel for the Company shall consider necessary to comply with any applicable law.</w:t>
      </w:r>
    </w:p>
    <w:p>
      <w:pPr>
        <w:spacing w:after="0" w:line="178" w:lineRule="exact"/>
        <w:rPr>
          <w:rFonts w:ascii="Arial" w:cs="Arial" w:eastAsia="Arial" w:hAnsi="Arial"/>
          <w:sz w:val="17"/>
          <w:szCs w:val="17"/>
          <w:color w:val="auto"/>
        </w:rPr>
      </w:pPr>
    </w:p>
    <w:p>
      <w:pPr>
        <w:ind w:right="680" w:firstLine="8"/>
        <w:spacing w:after="0" w:line="27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Clawback Policy. </w:t>
      </w:r>
      <w:r>
        <w:rPr>
          <w:rFonts w:ascii="Arial" w:cs="Arial" w:eastAsia="Arial" w:hAnsi="Arial"/>
          <w:sz w:val="18"/>
          <w:szCs w:val="18"/>
          <w:color w:val="auto"/>
        </w:rPr>
        <w:t>This Award and any Common Stock issued hereunder is subject to any so-called “clawback policy” that may be adopted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Board of Directors, as amended from time to time.</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Any written notices provided for in this Award that are sent by mail shall be deemed received three business days after mailing, but not later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actual receipt. Notices shall be directed, if to Participant, at the Participant’s address indicated by the Company’s records and, if to the Company, at the Company’s principal executive office.</w:t>
      </w:r>
    </w:p>
    <w:p>
      <w:pPr>
        <w:spacing w:after="0" w:line="181" w:lineRule="exact"/>
        <w:rPr>
          <w:rFonts w:ascii="Arial" w:cs="Arial" w:eastAsia="Arial" w:hAnsi="Arial"/>
          <w:sz w:val="18"/>
          <w:szCs w:val="18"/>
          <w:color w:val="auto"/>
        </w:rPr>
      </w:pPr>
    </w:p>
    <w:p>
      <w:pPr>
        <w:ind w:right="60" w:firstLine="8"/>
        <w:spacing w:after="0" w:line="259"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The right of Participant to receive shares of Common Stock pursuant to this Award is an unfunded and unsecured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Participant shall have no rights under this Award other than those of an unsecured general creditor of the Company. Subject to the restrictions on transfer set forth herein, this Award shall be binding upon and inure to the benefit of the heirs, legatees, legal representatives, successors and assigns of the parties hereto.</w:t>
      </w:r>
    </w:p>
    <w:p>
      <w:pPr>
        <w:spacing w:after="0" w:line="186" w:lineRule="exact"/>
        <w:rPr>
          <w:rFonts w:ascii="Arial" w:cs="Arial" w:eastAsia="Arial" w:hAnsi="Arial"/>
          <w:sz w:val="18"/>
          <w:szCs w:val="18"/>
          <w:color w:val="auto"/>
        </w:rPr>
      </w:pPr>
    </w:p>
    <w:p>
      <w:pPr>
        <w:ind w:right="60" w:firstLine="8"/>
        <w:spacing w:after="0" w:line="27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This Award shall be governed by and construed in accordance with the laws of the State of Delaware and applicable federal law,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 to applicable conflicts of laws.</w:t>
      </w:r>
    </w:p>
    <w:p>
      <w:pPr>
        <w:spacing w:after="0" w:line="170" w:lineRule="exact"/>
        <w:rPr>
          <w:rFonts w:ascii="Arial" w:cs="Arial" w:eastAsia="Arial" w:hAnsi="Arial"/>
          <w:sz w:val="18"/>
          <w:szCs w:val="18"/>
          <w:color w:val="auto"/>
        </w:rPr>
      </w:pPr>
    </w:p>
    <w:p>
      <w:pPr>
        <w:ind w:right="140" w:firstLine="8"/>
        <w:spacing w:after="0" w:line="279" w:lineRule="auto"/>
        <w:tabs>
          <w:tab w:leader="none" w:pos="27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If one or more of the provisions of this Award shall be held invalid, illegal or unenforceable in any respect, the validity, legality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to be construed so as to foster the intent of this Award and the Plan.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Approved June 2015</w:t>
      </w:r>
    </w:p>
    <w:p>
      <w:pPr>
        <w:sectPr>
          <w:pgSz w:w="11900" w:h="16838" w:orient="portrait"/>
          <w:cols w:equalWidth="0" w:num="1">
            <w:col w:w="11420"/>
          </w:cols>
          <w:pgMar w:left="240" w:top="27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3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three and nine months ended June 30, 2015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9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August 10, 2015</w:t>
      </w:r>
      <w:r>
        <w:rPr>
          <w:sz w:val="20"/>
          <w:szCs w:val="20"/>
          <w:color w:val="auto"/>
        </w:rPr>
        <w:tab/>
      </w:r>
      <w:r>
        <w:rPr>
          <w:rFonts w:ascii="Arial" w:cs="Arial" w:eastAsia="Arial" w:hAnsi="Arial"/>
          <w:sz w:val="17"/>
          <w:szCs w:val="17"/>
          <w:color w:val="auto"/>
        </w:rPr>
        <w:t>By: /s/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August 10, 2015</w:t>
      </w:r>
      <w:r>
        <w:rPr>
          <w:sz w:val="20"/>
          <w:szCs w:val="20"/>
          <w:color w:val="auto"/>
        </w:rPr>
        <w:tab/>
      </w:r>
      <w:r>
        <w:rPr>
          <w:rFonts w:ascii="Arial" w:cs="Arial" w:eastAsia="Arial" w:hAnsi="Arial"/>
          <w:sz w:val="17"/>
          <w:szCs w:val="17"/>
          <w:color w:val="auto"/>
        </w:rPr>
        <w:t>By: /s/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lowerRoman"/>
      <w:start w:val="3"/>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decimal"/>
      <w:start w:val="101"/>
    </w:lvl>
  </w:abstractNum>
  <w:abstractNum w:abstractNumId="41">
    <w:nsid w:val="7A6D8D3C"/>
    <w:multiLevelType w:val="hybridMultilevel"/>
    <w:lvl w:ilvl="0">
      <w:lvlJc w:val="left"/>
      <w:lvlText w:val="%1"/>
      <w:numFmt w:val="decimal"/>
      <w:start w:val="10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9"/>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9"/>
    </w:lvl>
  </w:abstractNum>
  <w:abstractNum w:abstractNumId="46">
    <w:nsid w:val="7644A45C"/>
    <w:multiLevelType w:val="hybridMultilevel"/>
    <w:lvl w:ilvl="0">
      <w:lvlJc w:val="left"/>
      <w:lvlText w:val="%1."/>
      <w:numFmt w:val="decimal"/>
      <w:start w:val="12"/>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2019-12-29T15:48:56Z</dcterms:created>
  <dcterms:modified xsi:type="dcterms:W3CDTF">2019-12-29T15:48:56Z</dcterms:modified>
</cp:coreProperties>
</file>