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149225</wp:posOffset>
            </wp:positionH>
            <wp:positionV relativeFrom="page">
              <wp:posOffset>284480</wp:posOffset>
            </wp:positionV>
            <wp:extent cx="72637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7620"/>
                    </a:xfrm>
                    <a:prstGeom prst="rect">
                      <a:avLst/>
                    </a:prstGeom>
                    <a:noFill/>
                  </pic:spPr>
                </pic:pic>
              </a:graphicData>
            </a:graphic>
          </wp:anchor>
        </w:drawing>
        <w:drawing>
          <wp:anchor simplePos="0" relativeHeight="251657728" behindDoc="1" locked="0" layoutInCell="0" allowOverlap="1">
            <wp:simplePos x="0" y="0"/>
            <wp:positionH relativeFrom="page">
              <wp:posOffset>149225</wp:posOffset>
            </wp:positionH>
            <wp:positionV relativeFrom="page">
              <wp:posOffset>299085</wp:posOffset>
            </wp:positionV>
            <wp:extent cx="72637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7620"/>
                    </a:xfrm>
                    <a:prstGeom prst="rect">
                      <a:avLst/>
                    </a:prstGeom>
                    <a:noFill/>
                  </pic:spPr>
                </pic:pic>
              </a:graphicData>
            </a:graphic>
          </wp:anchor>
        </w:drawing>
        <w:t>UNITED STATES</w:t>
      </w:r>
    </w:p>
    <w:p>
      <w:pPr>
        <w:spacing w:after="0" w:line="28" w:lineRule="exact"/>
        <w:rPr>
          <w:sz w:val="24"/>
          <w:szCs w:val="24"/>
          <w:color w:val="auto"/>
        </w:rPr>
      </w:pPr>
    </w:p>
    <w:p>
      <w:pPr>
        <w:jc w:val="center"/>
        <w:ind w:right="-4"/>
        <w:spacing w:after="0"/>
        <w:rPr>
          <w:sz w:val="20"/>
          <w:szCs w:val="20"/>
          <w:color w:val="auto"/>
        </w:rPr>
      </w:pPr>
      <w:r>
        <w:rPr>
          <w:rFonts w:ascii="Arial" w:cs="Arial" w:eastAsia="Arial" w:hAnsi="Arial"/>
          <w:sz w:val="28"/>
          <w:szCs w:val="28"/>
          <w:b w:val="1"/>
          <w:bCs w:val="1"/>
          <w:color w:val="auto"/>
        </w:rPr>
        <w:t>SECURITIES AND EXCHANGE COMMISSION</w:t>
      </w:r>
    </w:p>
    <w:p>
      <w:pPr>
        <w:jc w:val="center"/>
        <w:ind w:right="-4"/>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2907030</wp:posOffset>
            </wp:positionH>
            <wp:positionV relativeFrom="paragraph">
              <wp:posOffset>73660</wp:posOffset>
            </wp:positionV>
            <wp:extent cx="144970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705" cy="7620"/>
                    </a:xfrm>
                    <a:prstGeom prst="rect">
                      <a:avLst/>
                    </a:prstGeom>
                    <a:noFill/>
                  </pic:spPr>
                </pic:pic>
              </a:graphicData>
            </a:graphic>
          </wp:anchor>
        </w:drawing>
      </w:r>
    </w:p>
    <w:p>
      <w:pPr>
        <w:spacing w:after="0" w:line="166" w:lineRule="exact"/>
        <w:rPr>
          <w:sz w:val="24"/>
          <w:szCs w:val="24"/>
          <w:color w:val="auto"/>
        </w:rPr>
      </w:pPr>
    </w:p>
    <w:p>
      <w:pPr>
        <w:jc w:val="center"/>
        <w:ind w:right="-4"/>
        <w:spacing w:after="0"/>
        <w:rPr>
          <w:sz w:val="20"/>
          <w:szCs w:val="20"/>
          <w:color w:val="auto"/>
        </w:rPr>
      </w:pPr>
      <w:r>
        <w:rPr>
          <w:rFonts w:ascii="Arial" w:cs="Arial" w:eastAsia="Arial" w:hAnsi="Arial"/>
          <w:sz w:val="28"/>
          <w:szCs w:val="2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2907030</wp:posOffset>
            </wp:positionH>
            <wp:positionV relativeFrom="paragraph">
              <wp:posOffset>96520</wp:posOffset>
            </wp:positionV>
            <wp:extent cx="144970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705" cy="7620"/>
                    </a:xfrm>
                    <a:prstGeom prst="rect">
                      <a:avLst/>
                    </a:prstGeom>
                    <a:noFill/>
                  </pic:spPr>
                </pic:pic>
              </a:graphicData>
            </a:graphic>
          </wp:anchor>
        </w:drawing>
      </w:r>
    </w:p>
    <w:p>
      <w:pPr>
        <w:spacing w:after="0" w:line="214" w:lineRule="exact"/>
        <w:rPr>
          <w:sz w:val="24"/>
          <w:szCs w:val="24"/>
          <w:color w:val="auto"/>
        </w:rPr>
      </w:pPr>
    </w:p>
    <w:p>
      <w:pPr>
        <w:ind w:left="505" w:hanging="505"/>
        <w:spacing w:after="0"/>
        <w:tabs>
          <w:tab w:leader="none" w:pos="505" w:val="left"/>
        </w:tabs>
        <w:numPr>
          <w:ilvl w:val="0"/>
          <w:numId w:val="1"/>
        </w:numPr>
        <w:rPr>
          <w:rFonts w:ascii="MS PGothic" w:cs="MS PGothic" w:eastAsia="MS PGothic" w:hAnsi="MS PGothic"/>
          <w:sz w:val="19"/>
          <w:szCs w:val="19"/>
          <w:color w:val="auto"/>
          <w:highlight w:val="black"/>
        </w:rPr>
      </w:pPr>
      <w:r>
        <w:rPr>
          <w:rFonts w:ascii="Arial" w:cs="Arial" w:eastAsia="Arial" w:hAnsi="Arial"/>
          <w:sz w:val="19"/>
          <w:szCs w:val="19"/>
          <w:b w:val="1"/>
          <w:bCs w:val="1"/>
          <w:color w:val="auto"/>
        </w:rPr>
        <w:t>QUARTERLY REPORT PURSUANT TO SECTION 13 OR 15(d) OF THE SECURITIES EXCHANGE ACT OF 1934</w:t>
      </w:r>
    </w:p>
    <w:p>
      <w:pPr>
        <w:spacing w:after="0" w:line="86" w:lineRule="exact"/>
        <w:rPr>
          <w:sz w:val="24"/>
          <w:szCs w:val="24"/>
          <w:color w:val="auto"/>
        </w:rPr>
      </w:pPr>
    </w:p>
    <w:p>
      <w:pPr>
        <w:jc w:val="center"/>
        <w:ind w:right="-4"/>
        <w:spacing w:after="0"/>
        <w:rPr>
          <w:sz w:val="20"/>
          <w:szCs w:val="20"/>
          <w:color w:val="auto"/>
        </w:rPr>
      </w:pPr>
      <w:r>
        <w:rPr>
          <w:rFonts w:ascii="Arial" w:cs="Arial" w:eastAsia="Arial" w:hAnsi="Arial"/>
          <w:sz w:val="16"/>
          <w:szCs w:val="16"/>
          <w:b w:val="1"/>
          <w:bCs w:val="1"/>
          <w:color w:val="auto"/>
        </w:rPr>
        <w:t xml:space="preserve">For the quarterly period ended </w:t>
      </w:r>
      <w:r>
        <w:rPr>
          <w:rFonts w:ascii="Arial" w:cs="Arial" w:eastAsia="Arial" w:hAnsi="Arial"/>
          <w:sz w:val="16"/>
          <w:szCs w:val="16"/>
          <w:color w:val="auto"/>
        </w:rPr>
        <w:t>March 31, 2019</w:t>
      </w:r>
    </w:p>
    <w:p>
      <w:pPr>
        <w:spacing w:after="0" w:line="64" w:lineRule="exact"/>
        <w:rPr>
          <w:sz w:val="24"/>
          <w:szCs w:val="24"/>
          <w:color w:val="auto"/>
        </w:rPr>
      </w:pPr>
    </w:p>
    <w:p>
      <w:pPr>
        <w:jc w:val="center"/>
        <w:ind w:right="-4"/>
        <w:spacing w:after="0"/>
        <w:rPr>
          <w:sz w:val="20"/>
          <w:szCs w:val="20"/>
          <w:color w:val="auto"/>
        </w:rPr>
      </w:pPr>
      <w:r>
        <w:rPr>
          <w:rFonts w:ascii="Arial" w:cs="Arial" w:eastAsia="Arial" w:hAnsi="Arial"/>
          <w:sz w:val="16"/>
          <w:szCs w:val="16"/>
          <w:b w:val="1"/>
          <w:bCs w:val="1"/>
          <w:color w:val="auto"/>
        </w:rPr>
        <w:t>OR</w:t>
      </w:r>
    </w:p>
    <w:p>
      <w:pPr>
        <w:spacing w:after="0" w:line="56" w:lineRule="exact"/>
        <w:rPr>
          <w:sz w:val="24"/>
          <w:szCs w:val="24"/>
          <w:color w:val="auto"/>
        </w:rPr>
      </w:pPr>
    </w:p>
    <w:p>
      <w:pPr>
        <w:ind w:left="505" w:hanging="505"/>
        <w:spacing w:after="0"/>
        <w:tabs>
          <w:tab w:leader="none" w:pos="505" w:val="left"/>
        </w:tabs>
        <w:numPr>
          <w:ilvl w:val="0"/>
          <w:numId w:val="2"/>
        </w:numPr>
        <w:rPr>
          <w:rFonts w:ascii="MS PGothic" w:cs="MS PGothic" w:eastAsia="MS PGothic" w:hAnsi="MS PGothic"/>
          <w:sz w:val="19"/>
          <w:szCs w:val="19"/>
          <w:color w:val="auto"/>
          <w:highlight w:val="black"/>
        </w:rPr>
      </w:pPr>
      <w:r>
        <w:rPr>
          <w:rFonts w:ascii="Arial" w:cs="Arial" w:eastAsia="Arial" w:hAnsi="Arial"/>
          <w:sz w:val="19"/>
          <w:szCs w:val="19"/>
          <w:b w:val="1"/>
          <w:bCs w:val="1"/>
          <w:color w:val="auto"/>
        </w:rPr>
        <w:t>TRANSITION REPORT PURSUANT TO SECTION 13 OR 15(d) OF THE SECURITIES EXCHANGE ACT OF 1934</w:t>
      </w:r>
    </w:p>
    <w:p>
      <w:pPr>
        <w:spacing w:after="0" w:line="74" w:lineRule="exact"/>
        <w:rPr>
          <w:sz w:val="24"/>
          <w:szCs w:val="24"/>
          <w:color w:val="auto"/>
        </w:rPr>
      </w:pPr>
    </w:p>
    <w:p>
      <w:pPr>
        <w:jc w:val="center"/>
        <w:ind w:right="-4"/>
        <w:spacing w:after="0"/>
        <w:rPr>
          <w:sz w:val="20"/>
          <w:szCs w:val="20"/>
          <w:color w:val="auto"/>
        </w:rPr>
      </w:pPr>
      <w:r>
        <w:rPr>
          <w:rFonts w:ascii="Arial" w:cs="Arial" w:eastAsia="Arial" w:hAnsi="Arial"/>
          <w:sz w:val="16"/>
          <w:szCs w:val="16"/>
          <w:b w:val="1"/>
          <w:bCs w:val="1"/>
          <w:color w:val="auto"/>
        </w:rPr>
        <w:t>Commission File Number 001-35839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2907030</wp:posOffset>
            </wp:positionH>
            <wp:positionV relativeFrom="paragraph">
              <wp:posOffset>96520</wp:posOffset>
            </wp:positionV>
            <wp:extent cx="144970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705" cy="7620"/>
                    </a:xfrm>
                    <a:prstGeom prst="rect">
                      <a:avLst/>
                    </a:prstGeom>
                    <a:noFill/>
                  </pic:spPr>
                </pic:pic>
              </a:graphicData>
            </a:graphic>
          </wp:anchor>
        </w:drawing>
      </w:r>
    </w:p>
    <w:p>
      <w:pPr>
        <w:spacing w:after="0" w:line="200" w:lineRule="exact"/>
        <w:rPr>
          <w:sz w:val="24"/>
          <w:szCs w:val="24"/>
          <w:color w:val="auto"/>
        </w:rPr>
      </w:pPr>
    </w:p>
    <w:p>
      <w:pPr>
        <w:jc w:val="center"/>
        <w:ind w:right="-4"/>
        <w:spacing w:after="0"/>
        <w:rPr>
          <w:sz w:val="20"/>
          <w:szCs w:val="20"/>
          <w:color w:val="auto"/>
        </w:rPr>
      </w:pPr>
      <w:r>
        <w:rPr>
          <w:rFonts w:ascii="Arial" w:cs="Arial" w:eastAsia="Arial" w:hAnsi="Arial"/>
          <w:sz w:val="38"/>
          <w:szCs w:val="38"/>
          <w:b w:val="1"/>
          <w:bCs w:val="1"/>
          <w:color w:val="auto"/>
        </w:rPr>
        <w:t>ENANTA PHARMACEUTICALS, INC.</w:t>
      </w:r>
    </w:p>
    <w:p>
      <w:pPr>
        <w:spacing w:after="0" w:line="40" w:lineRule="exact"/>
        <w:rPr>
          <w:sz w:val="24"/>
          <w:szCs w:val="24"/>
          <w:color w:val="auto"/>
        </w:rPr>
      </w:pPr>
    </w:p>
    <w:p>
      <w:pPr>
        <w:jc w:val="center"/>
        <w:ind w:right="-4"/>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2907030</wp:posOffset>
            </wp:positionH>
            <wp:positionV relativeFrom="paragraph">
              <wp:posOffset>77470</wp:posOffset>
            </wp:positionV>
            <wp:extent cx="144970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705" cy="7620"/>
                    </a:xfrm>
                    <a:prstGeom prst="rect">
                      <a:avLst/>
                    </a:prstGeom>
                    <a:noFill/>
                  </pic:spPr>
                </pic:pic>
              </a:graphicData>
            </a:graphic>
          </wp:anchor>
        </w:drawing>
      </w:r>
    </w:p>
    <w:p>
      <w:pPr>
        <w:spacing w:after="0" w:line="204" w:lineRule="exact"/>
        <w:rPr>
          <w:sz w:val="24"/>
          <w:szCs w:val="24"/>
          <w:color w:val="auto"/>
        </w:rPr>
      </w:pPr>
    </w:p>
    <w:tbl>
      <w:tblPr>
        <w:tblLayout w:type="fixed"/>
        <w:tblInd w:w="1065" w:type="dxa"/>
        <w:tblCellMar>
          <w:top w:w="0" w:type="dxa"/>
          <w:left w:w="0" w:type="dxa"/>
          <w:bottom w:w="0" w:type="dxa"/>
          <w:right w:w="0" w:type="dxa"/>
        </w:tblCellMar>
      </w:tblPr>
      <w:tr>
        <w:trPr>
          <w:trHeight w:val="186"/>
        </w:trPr>
        <w:tc>
          <w:tcPr>
            <w:tcW w:w="2760" w:type="dxa"/>
            <w:vAlign w:val="bottom"/>
          </w:tcPr>
          <w:p>
            <w:pPr>
              <w:jc w:val="center"/>
              <w:ind w:right="1032"/>
              <w:spacing w:after="0"/>
              <w:rPr>
                <w:sz w:val="20"/>
                <w:szCs w:val="20"/>
                <w:color w:val="auto"/>
              </w:rPr>
            </w:pPr>
            <w:r>
              <w:rPr>
                <w:rFonts w:ascii="Arial" w:cs="Arial" w:eastAsia="Arial" w:hAnsi="Arial"/>
                <w:sz w:val="16"/>
                <w:szCs w:val="16"/>
                <w:b w:val="1"/>
                <w:bCs w:val="1"/>
                <w:color w:val="auto"/>
                <w:w w:val="97"/>
              </w:rPr>
              <w:t>DELAWARE</w:t>
            </w:r>
          </w:p>
        </w:tc>
        <w:tc>
          <w:tcPr>
            <w:tcW w:w="3900" w:type="dxa"/>
            <w:vAlign w:val="bottom"/>
          </w:tcPr>
          <w:p>
            <w:pPr>
              <w:jc w:val="center"/>
              <w:ind w:right="32"/>
              <w:spacing w:after="0"/>
              <w:rPr>
                <w:sz w:val="20"/>
                <w:szCs w:val="20"/>
                <w:color w:val="auto"/>
              </w:rPr>
            </w:pPr>
            <w:r>
              <w:rPr>
                <w:rFonts w:ascii="Arial" w:cs="Arial" w:eastAsia="Arial" w:hAnsi="Arial"/>
                <w:sz w:val="16"/>
                <w:szCs w:val="16"/>
                <w:b w:val="1"/>
                <w:bCs w:val="1"/>
                <w:color w:val="auto"/>
                <w:w w:val="89"/>
              </w:rPr>
              <w:t>2834</w:t>
            </w:r>
          </w:p>
        </w:tc>
        <w:tc>
          <w:tcPr>
            <w:tcW w:w="2460" w:type="dxa"/>
            <w:vAlign w:val="bottom"/>
          </w:tcPr>
          <w:p>
            <w:pPr>
              <w:jc w:val="center"/>
              <w:ind w:left="1112"/>
              <w:spacing w:after="0"/>
              <w:rPr>
                <w:sz w:val="20"/>
                <w:szCs w:val="20"/>
                <w:color w:val="auto"/>
              </w:rPr>
            </w:pPr>
            <w:r>
              <w:rPr>
                <w:rFonts w:ascii="Arial" w:cs="Arial" w:eastAsia="Arial" w:hAnsi="Arial"/>
                <w:sz w:val="16"/>
                <w:szCs w:val="16"/>
                <w:b w:val="1"/>
                <w:bCs w:val="1"/>
                <w:color w:val="auto"/>
                <w:w w:val="88"/>
              </w:rPr>
              <w:t>04-3205099</w:t>
            </w:r>
          </w:p>
        </w:tc>
      </w:tr>
      <w:tr>
        <w:trPr>
          <w:trHeight w:val="130"/>
        </w:trPr>
        <w:tc>
          <w:tcPr>
            <w:tcW w:w="2760" w:type="dxa"/>
            <w:vAlign w:val="bottom"/>
          </w:tcPr>
          <w:p>
            <w:pPr>
              <w:jc w:val="center"/>
              <w:ind w:right="1032"/>
              <w:spacing w:after="0" w:line="130" w:lineRule="exact"/>
              <w:rPr>
                <w:sz w:val="20"/>
                <w:szCs w:val="20"/>
                <w:color w:val="auto"/>
              </w:rPr>
            </w:pPr>
            <w:r>
              <w:rPr>
                <w:rFonts w:ascii="Arial" w:cs="Arial" w:eastAsia="Arial" w:hAnsi="Arial"/>
                <w:sz w:val="13"/>
                <w:szCs w:val="13"/>
                <w:b w:val="1"/>
                <w:bCs w:val="1"/>
                <w:color w:val="auto"/>
                <w:w w:val="88"/>
              </w:rPr>
              <w:t>(State or other jurisdiction of</w:t>
            </w:r>
          </w:p>
        </w:tc>
        <w:tc>
          <w:tcPr>
            <w:tcW w:w="3900" w:type="dxa"/>
            <w:vAlign w:val="bottom"/>
          </w:tcPr>
          <w:p>
            <w:pPr>
              <w:jc w:val="center"/>
              <w:ind w:right="32"/>
              <w:spacing w:after="0" w:line="130" w:lineRule="exact"/>
              <w:rPr>
                <w:sz w:val="20"/>
                <w:szCs w:val="20"/>
                <w:color w:val="auto"/>
              </w:rPr>
            </w:pPr>
            <w:r>
              <w:rPr>
                <w:rFonts w:ascii="Arial" w:cs="Arial" w:eastAsia="Arial" w:hAnsi="Arial"/>
                <w:sz w:val="13"/>
                <w:szCs w:val="13"/>
                <w:b w:val="1"/>
                <w:bCs w:val="1"/>
                <w:color w:val="auto"/>
                <w:w w:val="91"/>
              </w:rPr>
              <w:t>(Primary Standard Industrial</w:t>
            </w:r>
          </w:p>
        </w:tc>
        <w:tc>
          <w:tcPr>
            <w:tcW w:w="2460" w:type="dxa"/>
            <w:vAlign w:val="bottom"/>
          </w:tcPr>
          <w:p>
            <w:pPr>
              <w:jc w:val="center"/>
              <w:ind w:left="1132"/>
              <w:spacing w:after="0" w:line="130" w:lineRule="exact"/>
              <w:rPr>
                <w:sz w:val="20"/>
                <w:szCs w:val="20"/>
                <w:color w:val="auto"/>
              </w:rPr>
            </w:pPr>
            <w:r>
              <w:rPr>
                <w:rFonts w:ascii="Arial" w:cs="Arial" w:eastAsia="Arial" w:hAnsi="Arial"/>
                <w:sz w:val="13"/>
                <w:szCs w:val="13"/>
                <w:b w:val="1"/>
                <w:bCs w:val="1"/>
                <w:color w:val="auto"/>
                <w:w w:val="90"/>
              </w:rPr>
              <w:t>(I.R.S. Employer</w:t>
            </w:r>
          </w:p>
        </w:tc>
      </w:tr>
      <w:tr>
        <w:trPr>
          <w:trHeight w:val="164"/>
        </w:trPr>
        <w:tc>
          <w:tcPr>
            <w:tcW w:w="2760" w:type="dxa"/>
            <w:vAlign w:val="bottom"/>
          </w:tcPr>
          <w:p>
            <w:pPr>
              <w:jc w:val="center"/>
              <w:ind w:right="1032"/>
              <w:spacing w:after="0"/>
              <w:rPr>
                <w:sz w:val="20"/>
                <w:szCs w:val="20"/>
                <w:color w:val="auto"/>
              </w:rPr>
            </w:pPr>
            <w:r>
              <w:rPr>
                <w:rFonts w:ascii="Arial" w:cs="Arial" w:eastAsia="Arial" w:hAnsi="Arial"/>
                <w:sz w:val="13"/>
                <w:szCs w:val="13"/>
                <w:b w:val="1"/>
                <w:bCs w:val="1"/>
                <w:color w:val="auto"/>
                <w:w w:val="89"/>
              </w:rPr>
              <w:t>incorporation or organization)</w:t>
            </w:r>
          </w:p>
        </w:tc>
        <w:tc>
          <w:tcPr>
            <w:tcW w:w="3900" w:type="dxa"/>
            <w:vAlign w:val="bottom"/>
          </w:tcPr>
          <w:p>
            <w:pPr>
              <w:jc w:val="center"/>
              <w:ind w:right="32"/>
              <w:spacing w:after="0"/>
              <w:rPr>
                <w:sz w:val="20"/>
                <w:szCs w:val="20"/>
                <w:color w:val="auto"/>
              </w:rPr>
            </w:pPr>
            <w:r>
              <w:rPr>
                <w:rFonts w:ascii="Arial" w:cs="Arial" w:eastAsia="Arial" w:hAnsi="Arial"/>
                <w:sz w:val="13"/>
                <w:szCs w:val="13"/>
                <w:b w:val="1"/>
                <w:bCs w:val="1"/>
                <w:color w:val="auto"/>
                <w:w w:val="87"/>
              </w:rPr>
              <w:t>Classification Code Number)</w:t>
            </w:r>
          </w:p>
        </w:tc>
        <w:tc>
          <w:tcPr>
            <w:tcW w:w="2460" w:type="dxa"/>
            <w:vAlign w:val="bottom"/>
          </w:tcPr>
          <w:p>
            <w:pPr>
              <w:jc w:val="center"/>
              <w:ind w:left="1132"/>
              <w:spacing w:after="0"/>
              <w:rPr>
                <w:sz w:val="20"/>
                <w:szCs w:val="20"/>
                <w:color w:val="auto"/>
              </w:rPr>
            </w:pPr>
            <w:r>
              <w:rPr>
                <w:rFonts w:ascii="Arial" w:cs="Arial" w:eastAsia="Arial" w:hAnsi="Arial"/>
                <w:sz w:val="13"/>
                <w:szCs w:val="13"/>
                <w:b w:val="1"/>
                <w:bCs w:val="1"/>
                <w:color w:val="auto"/>
                <w:w w:val="91"/>
              </w:rPr>
              <w:t>Identification Number)</w:t>
            </w:r>
          </w:p>
        </w:tc>
      </w:tr>
    </w:tbl>
    <w:p>
      <w:pPr>
        <w:spacing w:after="0" w:line="28" w:lineRule="exact"/>
        <w:rPr>
          <w:sz w:val="24"/>
          <w:szCs w:val="24"/>
          <w:color w:val="auto"/>
        </w:rPr>
      </w:pPr>
    </w:p>
    <w:p>
      <w:pPr>
        <w:jc w:val="center"/>
        <w:ind w:right="-4"/>
        <w:spacing w:after="0"/>
        <w:rPr>
          <w:sz w:val="20"/>
          <w:szCs w:val="20"/>
          <w:color w:val="auto"/>
        </w:rPr>
      </w:pPr>
      <w:r>
        <w:rPr>
          <w:rFonts w:ascii="Arial" w:cs="Arial" w:eastAsia="Arial" w:hAnsi="Arial"/>
          <w:sz w:val="16"/>
          <w:szCs w:val="16"/>
          <w:b w:val="1"/>
          <w:bCs w:val="1"/>
          <w:color w:val="auto"/>
        </w:rPr>
        <w:t>500 Arsenal Street</w:t>
      </w:r>
    </w:p>
    <w:p>
      <w:pPr>
        <w:spacing w:after="0" w:line="21" w:lineRule="exact"/>
        <w:rPr>
          <w:sz w:val="24"/>
          <w:szCs w:val="24"/>
          <w:color w:val="auto"/>
        </w:rPr>
      </w:pPr>
    </w:p>
    <w:p>
      <w:pPr>
        <w:jc w:val="center"/>
        <w:ind w:right="-4"/>
        <w:spacing w:after="0"/>
        <w:rPr>
          <w:sz w:val="20"/>
          <w:szCs w:val="20"/>
          <w:color w:val="auto"/>
        </w:rPr>
      </w:pPr>
      <w:r>
        <w:rPr>
          <w:rFonts w:ascii="Arial" w:cs="Arial" w:eastAsia="Arial" w:hAnsi="Arial"/>
          <w:sz w:val="16"/>
          <w:szCs w:val="16"/>
          <w:b w:val="1"/>
          <w:bCs w:val="1"/>
          <w:color w:val="auto"/>
        </w:rPr>
        <w:t>Watertown, Massachusetts 02472</w:t>
      </w:r>
    </w:p>
    <w:p>
      <w:pPr>
        <w:spacing w:after="0" w:line="5" w:lineRule="exact"/>
        <w:rPr>
          <w:sz w:val="24"/>
          <w:szCs w:val="24"/>
          <w:color w:val="auto"/>
        </w:rPr>
      </w:pPr>
    </w:p>
    <w:p>
      <w:pPr>
        <w:jc w:val="center"/>
        <w:ind w:right="-4"/>
        <w:spacing w:after="0"/>
        <w:rPr>
          <w:sz w:val="20"/>
          <w:szCs w:val="20"/>
          <w:color w:val="auto"/>
        </w:rPr>
      </w:pPr>
      <w:r>
        <w:rPr>
          <w:rFonts w:ascii="Arial" w:cs="Arial" w:eastAsia="Arial" w:hAnsi="Arial"/>
          <w:sz w:val="16"/>
          <w:szCs w:val="16"/>
          <w:b w:val="1"/>
          <w:bCs w:val="1"/>
          <w:color w:val="auto"/>
        </w:rPr>
        <w:t>(617) 607-0800</w:t>
      </w:r>
    </w:p>
    <w:p>
      <w:pPr>
        <w:spacing w:after="0" w:line="1" w:lineRule="exact"/>
        <w:rPr>
          <w:sz w:val="24"/>
          <w:szCs w:val="24"/>
          <w:color w:val="auto"/>
        </w:rPr>
      </w:pPr>
    </w:p>
    <w:p>
      <w:pPr>
        <w:jc w:val="center"/>
        <w:ind w:right="-4"/>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2907030</wp:posOffset>
            </wp:positionH>
            <wp:positionV relativeFrom="paragraph">
              <wp:posOffset>74295</wp:posOffset>
            </wp:positionV>
            <wp:extent cx="144970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705" cy="7620"/>
                    </a:xfrm>
                    <a:prstGeom prst="rect">
                      <a:avLst/>
                    </a:prstGeom>
                    <a:noFill/>
                  </pic:spPr>
                </pic:pic>
              </a:graphicData>
            </a:graphic>
          </wp:anchor>
        </w:drawing>
      </w:r>
    </w:p>
    <w:p>
      <w:pPr>
        <w:spacing w:after="0" w:line="155" w:lineRule="exact"/>
        <w:rPr>
          <w:sz w:val="24"/>
          <w:szCs w:val="24"/>
          <w:color w:val="auto"/>
        </w:rPr>
      </w:pPr>
    </w:p>
    <w:p>
      <w:pPr>
        <w:ind w:left="5" w:right="520" w:firstLine="519"/>
        <w:spacing w:after="0" w:line="288"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45"/>
        <w:spacing w:after="0" w:line="184" w:lineRule="exact"/>
        <w:tabs>
          <w:tab w:leader="none" w:pos="725"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56" w:lineRule="exact"/>
        <w:rPr>
          <w:sz w:val="24"/>
          <w:szCs w:val="24"/>
          <w:color w:val="auto"/>
        </w:rPr>
      </w:pPr>
    </w:p>
    <w:p>
      <w:pPr>
        <w:ind w:left="5" w:right="220" w:firstLine="519"/>
        <w:spacing w:after="0" w:line="204"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43" w:lineRule="exact"/>
        <w:rPr>
          <w:sz w:val="24"/>
          <w:szCs w:val="24"/>
          <w:color w:val="auto"/>
        </w:rPr>
      </w:pPr>
    </w:p>
    <w:p>
      <w:pPr>
        <w:jc w:val="both"/>
        <w:ind w:left="5" w:right="340" w:firstLine="519"/>
        <w:spacing w:after="0" w:line="314"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Layout w:type="fixed"/>
        <w:tblInd w:w="465" w:type="dxa"/>
        <w:tblCellMar>
          <w:top w:w="0" w:type="dxa"/>
          <w:left w:w="0" w:type="dxa"/>
          <w:bottom w:w="0" w:type="dxa"/>
          <w:right w:w="0" w:type="dxa"/>
        </w:tblCellMar>
      </w:tblPr>
      <w:tr>
        <w:trPr>
          <w:trHeight w:val="189"/>
        </w:trPr>
        <w:tc>
          <w:tcPr>
            <w:tcW w:w="22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140" w:type="dxa"/>
            <w:vAlign w:val="bottom"/>
          </w:tcPr>
          <w:p>
            <w:pPr>
              <w:ind w:left="560"/>
              <w:spacing w:after="0" w:line="161" w:lineRule="exact"/>
              <w:rPr>
                <w:sz w:val="20"/>
                <w:szCs w:val="20"/>
                <w:color w:val="auto"/>
              </w:rPr>
            </w:pPr>
            <w:r>
              <w:rPr>
                <w:rFonts w:ascii="MS PGothic" w:cs="MS PGothic" w:eastAsia="MS PGothic" w:hAnsi="MS PGothic"/>
                <w:sz w:val="16"/>
                <w:szCs w:val="16"/>
                <w:color w:val="auto"/>
              </w:rPr>
              <w:t>☒</w:t>
            </w:r>
          </w:p>
        </w:tc>
        <w:tc>
          <w:tcPr>
            <w:tcW w:w="4500" w:type="dxa"/>
            <w:vAlign w:val="bottom"/>
          </w:tcPr>
          <w:p>
            <w:pPr>
              <w:ind w:left="2440"/>
              <w:spacing w:after="0"/>
              <w:rPr>
                <w:sz w:val="20"/>
                <w:szCs w:val="20"/>
                <w:color w:val="auto"/>
              </w:rPr>
            </w:pPr>
            <w:r>
              <w:rPr>
                <w:rFonts w:ascii="Arial" w:cs="Arial" w:eastAsia="Arial" w:hAnsi="Arial"/>
                <w:sz w:val="16"/>
                <w:szCs w:val="16"/>
                <w:color w:val="auto"/>
              </w:rPr>
              <w:t>Accelerated filer</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189"/>
        </w:trPr>
        <w:tc>
          <w:tcPr>
            <w:tcW w:w="2280" w:type="dxa"/>
            <w:vAlign w:val="bottom"/>
          </w:tcPr>
          <w:p>
            <w:pPr>
              <w:spacing w:after="0"/>
              <w:rPr>
                <w:sz w:val="20"/>
                <w:szCs w:val="20"/>
                <w:color w:val="auto"/>
              </w:rPr>
            </w:pPr>
            <w:r>
              <w:rPr>
                <w:rFonts w:ascii="Arial" w:cs="Arial" w:eastAsia="Arial" w:hAnsi="Arial"/>
                <w:sz w:val="16"/>
                <w:szCs w:val="16"/>
                <w:color w:val="auto"/>
              </w:rPr>
              <w:t>Non-accelerated filer</w:t>
            </w:r>
          </w:p>
        </w:tc>
        <w:tc>
          <w:tcPr>
            <w:tcW w:w="3140" w:type="dxa"/>
            <w:vAlign w:val="bottom"/>
          </w:tcPr>
          <w:p>
            <w:pPr>
              <w:ind w:left="560"/>
              <w:spacing w:after="0" w:line="161" w:lineRule="exact"/>
              <w:rPr>
                <w:sz w:val="20"/>
                <w:szCs w:val="20"/>
                <w:color w:val="auto"/>
              </w:rPr>
            </w:pPr>
            <w:r>
              <w:rPr>
                <w:rFonts w:ascii="MS PGothic" w:cs="MS PGothic" w:eastAsia="MS PGothic" w:hAnsi="MS PGothic"/>
                <w:sz w:val="16"/>
                <w:szCs w:val="16"/>
                <w:color w:val="auto"/>
              </w:rPr>
              <w:t>☐</w:t>
            </w:r>
          </w:p>
        </w:tc>
        <w:tc>
          <w:tcPr>
            <w:tcW w:w="4500" w:type="dxa"/>
            <w:vAlign w:val="bottom"/>
          </w:tcPr>
          <w:p>
            <w:pPr>
              <w:ind w:left="2440"/>
              <w:spacing w:after="0"/>
              <w:rPr>
                <w:sz w:val="20"/>
                <w:szCs w:val="20"/>
                <w:color w:val="auto"/>
              </w:rPr>
            </w:pPr>
            <w:r>
              <w:rPr>
                <w:rFonts w:ascii="Arial" w:cs="Arial" w:eastAsia="Arial" w:hAnsi="Arial"/>
                <w:sz w:val="16"/>
                <w:szCs w:val="16"/>
                <w:color w:val="auto"/>
              </w:rPr>
              <w:t>Smaller reporting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6"/>
        </w:trPr>
        <w:tc>
          <w:tcPr>
            <w:tcW w:w="22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140" w:type="dxa"/>
            <w:vAlign w:val="bottom"/>
          </w:tcPr>
          <w:p>
            <w:pPr>
              <w:ind w:left="560"/>
              <w:spacing w:after="0" w:line="161" w:lineRule="exact"/>
              <w:rPr>
                <w:sz w:val="20"/>
                <w:szCs w:val="20"/>
                <w:color w:val="auto"/>
              </w:rPr>
            </w:pPr>
            <w:r>
              <w:rPr>
                <w:rFonts w:ascii="MS PGothic" w:cs="MS PGothic" w:eastAsia="MS PGothic" w:hAnsi="MS PGothic"/>
                <w:sz w:val="16"/>
                <w:szCs w:val="16"/>
                <w:color w:val="auto"/>
              </w:rPr>
              <w:t>☐</w:t>
            </w:r>
          </w:p>
        </w:tc>
        <w:tc>
          <w:tcPr>
            <w:tcW w:w="4500" w:type="dxa"/>
            <w:vAlign w:val="bottom"/>
          </w:tcPr>
          <w:p>
            <w:pPr>
              <w:spacing w:after="0"/>
              <w:rPr>
                <w:sz w:val="21"/>
                <w:szCs w:val="21"/>
                <w:color w:val="auto"/>
              </w:rPr>
            </w:pPr>
          </w:p>
        </w:tc>
        <w:tc>
          <w:tcPr>
            <w:tcW w:w="480" w:type="dxa"/>
            <w:vAlign w:val="bottom"/>
          </w:tcPr>
          <w:p>
            <w:pPr>
              <w:spacing w:after="0"/>
              <w:rPr>
                <w:sz w:val="21"/>
                <w:szCs w:val="21"/>
                <w:color w:val="auto"/>
              </w:rPr>
            </w:pPr>
          </w:p>
        </w:tc>
      </w:tr>
    </w:tbl>
    <w:p>
      <w:pPr>
        <w:spacing w:after="0" w:line="54" w:lineRule="exact"/>
        <w:rPr>
          <w:sz w:val="24"/>
          <w:szCs w:val="24"/>
          <w:color w:val="auto"/>
        </w:rPr>
      </w:pPr>
    </w:p>
    <w:p>
      <w:pPr>
        <w:jc w:val="both"/>
        <w:ind w:left="5" w:right="560" w:firstLine="519"/>
        <w:spacing w:after="0" w:line="20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 w:lineRule="exact"/>
        <w:rPr>
          <w:sz w:val="24"/>
          <w:szCs w:val="24"/>
          <w:color w:val="auto"/>
        </w:rPr>
      </w:pPr>
    </w:p>
    <w:tbl>
      <w:tblPr>
        <w:tblLayout w:type="fixed"/>
        <w:tblInd w:w="15" w:type="dxa"/>
        <w:tblCellMar>
          <w:top w:w="0" w:type="dxa"/>
          <w:left w:w="0" w:type="dxa"/>
          <w:bottom w:w="0" w:type="dxa"/>
          <w:right w:w="0" w:type="dxa"/>
        </w:tblCellMar>
      </w:tblPr>
      <w:tr>
        <w:trPr>
          <w:trHeight w:val="246"/>
        </w:trPr>
        <w:tc>
          <w:tcPr>
            <w:tcW w:w="7760" w:type="dxa"/>
            <w:vAlign w:val="bottom"/>
            <w:gridSpan w:val="4"/>
          </w:tcPr>
          <w:p>
            <w:pPr>
              <w:ind w:left="520"/>
              <w:spacing w:after="0"/>
              <w:rPr>
                <w:sz w:val="20"/>
                <w:szCs w:val="20"/>
                <w:color w:val="auto"/>
              </w:rPr>
            </w:pPr>
            <w:r>
              <w:rPr>
                <w:rFonts w:ascii="Arial" w:cs="Arial" w:eastAsia="Arial" w:hAnsi="Arial"/>
                <w:sz w:val="16"/>
                <w:szCs w:val="16"/>
                <w:color w:val="auto"/>
                <w:w w:val="90"/>
              </w:rPr>
              <w:t>Indicate by check mark whether the registrant is a shell company (as defined in Rule 12b-2 of the Exchange Act).</w:t>
            </w:r>
          </w:p>
        </w:tc>
        <w:tc>
          <w:tcPr>
            <w:tcW w:w="3680" w:type="dxa"/>
            <w:vAlign w:val="bottom"/>
          </w:tcPr>
          <w:p>
            <w:pPr>
              <w:ind w:left="6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r>
      <w:tr>
        <w:trPr>
          <w:trHeight w:val="242"/>
        </w:trPr>
        <w:tc>
          <w:tcPr>
            <w:tcW w:w="4540" w:type="dxa"/>
            <w:vAlign w:val="bottom"/>
            <w:gridSpan w:val="2"/>
          </w:tcPr>
          <w:p>
            <w:pPr>
              <w:ind w:left="520"/>
              <w:spacing w:after="0"/>
              <w:rPr>
                <w:sz w:val="20"/>
                <w:szCs w:val="20"/>
                <w:color w:val="auto"/>
              </w:rPr>
            </w:pPr>
            <w:r>
              <w:rPr>
                <w:rFonts w:ascii="Arial" w:cs="Arial" w:eastAsia="Arial" w:hAnsi="Arial"/>
                <w:sz w:val="16"/>
                <w:szCs w:val="16"/>
                <w:color w:val="auto"/>
                <w:w w:val="98"/>
              </w:rPr>
              <w:t>Securities registered pursuant to Section 12(b) of the Act:</w:t>
            </w:r>
          </w:p>
        </w:tc>
        <w:tc>
          <w:tcPr>
            <w:tcW w:w="28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80" w:type="dxa"/>
            <w:vAlign w:val="bottom"/>
          </w:tcPr>
          <w:p>
            <w:pPr>
              <w:spacing w:after="0"/>
              <w:rPr>
                <w:sz w:val="21"/>
                <w:szCs w:val="21"/>
                <w:color w:val="auto"/>
              </w:rPr>
            </w:pPr>
          </w:p>
        </w:tc>
      </w:tr>
      <w:tr>
        <w:trPr>
          <w:trHeight w:val="60"/>
        </w:trPr>
        <w:tc>
          <w:tcPr>
            <w:tcW w:w="38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8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3680" w:type="dxa"/>
            <w:vAlign w:val="bottom"/>
            <w:tcBorders>
              <w:bottom w:val="single" w:sz="8" w:color="auto"/>
            </w:tcBorders>
          </w:tcPr>
          <w:p>
            <w:pPr>
              <w:spacing w:after="0"/>
              <w:rPr>
                <w:sz w:val="5"/>
                <w:szCs w:val="5"/>
                <w:color w:val="auto"/>
              </w:rPr>
            </w:pPr>
          </w:p>
        </w:tc>
      </w:tr>
      <w:tr>
        <w:trPr>
          <w:trHeight w:val="227"/>
        </w:trPr>
        <w:tc>
          <w:tcPr>
            <w:tcW w:w="3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Title of each class</w:t>
            </w:r>
          </w:p>
        </w:tc>
        <w:tc>
          <w:tcPr>
            <w:tcW w:w="700" w:type="dxa"/>
            <w:vAlign w:val="bottom"/>
          </w:tcPr>
          <w:p>
            <w:pPr>
              <w:spacing w:after="0"/>
              <w:rPr>
                <w:sz w:val="19"/>
                <w:szCs w:val="19"/>
                <w:color w:val="auto"/>
              </w:rPr>
            </w:pPr>
          </w:p>
        </w:tc>
        <w:tc>
          <w:tcPr>
            <w:tcW w:w="2800" w:type="dxa"/>
            <w:vAlign w:val="bottom"/>
            <w:tcBorders>
              <w:right w:val="single" w:sz="8" w:color="auto"/>
            </w:tcBorders>
          </w:tcPr>
          <w:p>
            <w:pPr>
              <w:jc w:val="center"/>
              <w:ind w:right="641"/>
              <w:spacing w:after="0"/>
              <w:rPr>
                <w:sz w:val="20"/>
                <w:szCs w:val="20"/>
                <w:color w:val="auto"/>
              </w:rPr>
            </w:pPr>
            <w:r>
              <w:rPr>
                <w:rFonts w:ascii="Arial" w:cs="Arial" w:eastAsia="Arial" w:hAnsi="Arial"/>
                <w:sz w:val="16"/>
                <w:szCs w:val="16"/>
                <w:b w:val="1"/>
                <w:bCs w:val="1"/>
                <w:color w:val="auto"/>
                <w:w w:val="88"/>
              </w:rPr>
              <w:t>Trading Symbol(s)</w:t>
            </w:r>
          </w:p>
        </w:tc>
        <w:tc>
          <w:tcPr>
            <w:tcW w:w="420" w:type="dxa"/>
            <w:vAlign w:val="bottom"/>
          </w:tcPr>
          <w:p>
            <w:pPr>
              <w:spacing w:after="0"/>
              <w:rPr>
                <w:sz w:val="19"/>
                <w:szCs w:val="19"/>
                <w:color w:val="auto"/>
              </w:rPr>
            </w:pPr>
          </w:p>
        </w:tc>
        <w:tc>
          <w:tcPr>
            <w:tcW w:w="3680" w:type="dxa"/>
            <w:vAlign w:val="bottom"/>
            <w:tcBorders>
              <w:right w:val="single" w:sz="8" w:color="auto"/>
            </w:tcBorders>
          </w:tcPr>
          <w:p>
            <w:pPr>
              <w:jc w:val="center"/>
              <w:ind w:right="361"/>
              <w:spacing w:after="0"/>
              <w:rPr>
                <w:sz w:val="20"/>
                <w:szCs w:val="20"/>
                <w:color w:val="auto"/>
              </w:rPr>
            </w:pPr>
            <w:r>
              <w:rPr>
                <w:rFonts w:ascii="Arial" w:cs="Arial" w:eastAsia="Arial" w:hAnsi="Arial"/>
                <w:sz w:val="16"/>
                <w:szCs w:val="16"/>
                <w:b w:val="1"/>
                <w:bCs w:val="1"/>
                <w:color w:val="auto"/>
                <w:w w:val="86"/>
              </w:rPr>
              <w:t>Name of each exchange on which registered</w:t>
            </w:r>
          </w:p>
        </w:tc>
      </w:tr>
      <w:tr>
        <w:trPr>
          <w:trHeight w:val="84"/>
        </w:trPr>
        <w:tc>
          <w:tcPr>
            <w:tcW w:w="3840" w:type="dxa"/>
            <w:vAlign w:val="bottom"/>
            <w:tcBorders>
              <w:left w:val="single" w:sz="8" w:color="auto"/>
              <w:bottom w:val="single" w:sz="8" w:color="auto"/>
              <w:right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2800" w:type="dxa"/>
            <w:vAlign w:val="bottom"/>
            <w:tcBorders>
              <w:bottom w:val="single" w:sz="8" w:color="auto"/>
              <w:right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680" w:type="dxa"/>
            <w:vAlign w:val="bottom"/>
            <w:tcBorders>
              <w:bottom w:val="single" w:sz="8" w:color="auto"/>
              <w:right w:val="single" w:sz="8" w:color="auto"/>
            </w:tcBorders>
          </w:tcPr>
          <w:p>
            <w:pPr>
              <w:spacing w:after="0"/>
              <w:rPr>
                <w:sz w:val="7"/>
                <w:szCs w:val="7"/>
                <w:color w:val="auto"/>
              </w:rPr>
            </w:pPr>
          </w:p>
        </w:tc>
      </w:tr>
      <w:tr>
        <w:trPr>
          <w:trHeight w:val="239"/>
        </w:trPr>
        <w:tc>
          <w:tcPr>
            <w:tcW w:w="3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Common Stock</w:t>
            </w:r>
          </w:p>
        </w:tc>
        <w:tc>
          <w:tcPr>
            <w:tcW w:w="700" w:type="dxa"/>
            <w:vAlign w:val="bottom"/>
          </w:tcPr>
          <w:p>
            <w:pPr>
              <w:spacing w:after="0"/>
              <w:rPr>
                <w:sz w:val="20"/>
                <w:szCs w:val="20"/>
                <w:color w:val="auto"/>
              </w:rPr>
            </w:pPr>
          </w:p>
        </w:tc>
        <w:tc>
          <w:tcPr>
            <w:tcW w:w="2800" w:type="dxa"/>
            <w:vAlign w:val="bottom"/>
            <w:tcBorders>
              <w:right w:val="single" w:sz="8" w:color="auto"/>
            </w:tcBorders>
          </w:tcPr>
          <w:p>
            <w:pPr>
              <w:jc w:val="center"/>
              <w:ind w:right="641"/>
              <w:spacing w:after="0"/>
              <w:rPr>
                <w:sz w:val="20"/>
                <w:szCs w:val="20"/>
                <w:color w:val="auto"/>
              </w:rPr>
            </w:pPr>
            <w:r>
              <w:rPr>
                <w:rFonts w:ascii="Arial" w:cs="Arial" w:eastAsia="Arial" w:hAnsi="Arial"/>
                <w:sz w:val="16"/>
                <w:szCs w:val="16"/>
                <w:color w:val="auto"/>
                <w:w w:val="93"/>
              </w:rPr>
              <w:t>ENTA</w:t>
            </w:r>
          </w:p>
        </w:tc>
        <w:tc>
          <w:tcPr>
            <w:tcW w:w="420" w:type="dxa"/>
            <w:vAlign w:val="bottom"/>
          </w:tcPr>
          <w:p>
            <w:pPr>
              <w:spacing w:after="0"/>
              <w:rPr>
                <w:sz w:val="20"/>
                <w:szCs w:val="20"/>
                <w:color w:val="auto"/>
              </w:rPr>
            </w:pPr>
          </w:p>
        </w:tc>
        <w:tc>
          <w:tcPr>
            <w:tcW w:w="3680" w:type="dxa"/>
            <w:vAlign w:val="bottom"/>
            <w:tcBorders>
              <w:right w:val="single" w:sz="8" w:color="auto"/>
            </w:tcBorders>
          </w:tcPr>
          <w:p>
            <w:pPr>
              <w:jc w:val="center"/>
              <w:ind w:right="361"/>
              <w:spacing w:after="0"/>
              <w:rPr>
                <w:sz w:val="20"/>
                <w:szCs w:val="20"/>
                <w:color w:val="auto"/>
              </w:rPr>
            </w:pPr>
            <w:r>
              <w:rPr>
                <w:rFonts w:ascii="Arial" w:cs="Arial" w:eastAsia="Arial" w:hAnsi="Arial"/>
                <w:sz w:val="16"/>
                <w:szCs w:val="16"/>
                <w:color w:val="auto"/>
                <w:w w:val="94"/>
              </w:rPr>
              <w:t>NASDAQ</w:t>
            </w:r>
          </w:p>
        </w:tc>
      </w:tr>
      <w:tr>
        <w:trPr>
          <w:trHeight w:val="72"/>
        </w:trPr>
        <w:tc>
          <w:tcPr>
            <w:tcW w:w="3840" w:type="dxa"/>
            <w:vAlign w:val="bottom"/>
            <w:tcBorders>
              <w:left w:val="single" w:sz="8" w:color="auto"/>
              <w:bottom w:val="single" w:sz="8" w:color="auto"/>
              <w:right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2800" w:type="dxa"/>
            <w:vAlign w:val="bottom"/>
            <w:tcBorders>
              <w:bottom w:val="single" w:sz="8" w:color="auto"/>
              <w:right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3680" w:type="dxa"/>
            <w:vAlign w:val="bottom"/>
            <w:tcBorders>
              <w:bottom w:val="single" w:sz="8" w:color="auto"/>
              <w:right w:val="single" w:sz="8" w:color="auto"/>
            </w:tcBorders>
          </w:tcPr>
          <w:p>
            <w:pPr>
              <w:spacing w:after="0"/>
              <w:rPr>
                <w:sz w:val="6"/>
                <w:szCs w:val="6"/>
                <w:color w:val="auto"/>
              </w:rPr>
            </w:pPr>
          </w:p>
        </w:tc>
      </w:tr>
    </w:tbl>
    <w:p>
      <w:pPr>
        <w:spacing w:after="0" w:line="47" w:lineRule="exact"/>
        <w:rPr>
          <w:sz w:val="24"/>
          <w:szCs w:val="24"/>
          <w:color w:val="auto"/>
        </w:rPr>
      </w:pPr>
    </w:p>
    <w:p>
      <w:pPr>
        <w:ind w:left="525"/>
        <w:spacing w:after="0"/>
        <w:rPr>
          <w:sz w:val="20"/>
          <w:szCs w:val="20"/>
          <w:color w:val="auto"/>
        </w:rPr>
      </w:pPr>
      <w:r>
        <w:rPr>
          <w:rFonts w:ascii="Arial" w:cs="Arial" w:eastAsia="Arial" w:hAnsi="Arial"/>
          <w:sz w:val="16"/>
          <w:szCs w:val="16"/>
          <w:color w:val="auto"/>
        </w:rPr>
        <w:t>As of April 28, 2019, the registrant had 19,669,726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26376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48895</wp:posOffset>
            </wp:positionV>
            <wp:extent cx="72637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762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359410</wp:posOffset>
            </wp:positionV>
            <wp:extent cx="7303770"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517" w:right="2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89"/>
        </w:trPr>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960" w:type="dxa"/>
            <w:vAlign w:val="bottom"/>
            <w:gridSpan w:val="6"/>
          </w:tcPr>
          <w:p>
            <w:pPr>
              <w:jc w:val="center"/>
              <w:ind w:right="3780"/>
              <w:spacing w:after="0"/>
              <w:rPr>
                <w:sz w:val="20"/>
                <w:szCs w:val="20"/>
                <w:color w:val="auto"/>
              </w:rPr>
            </w:pPr>
            <w:r>
              <w:rPr>
                <w:rFonts w:ascii="Arial" w:cs="Arial" w:eastAsia="Arial" w:hAnsi="Arial"/>
                <w:sz w:val="16"/>
                <w:szCs w:val="16"/>
                <w:b w:val="1"/>
                <w:bCs w:val="1"/>
                <w:color w:val="auto"/>
              </w:rPr>
              <w:t>ENANTA PHARMACEUTICALS, INC.</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700" w:type="dxa"/>
            <w:vAlign w:val="bottom"/>
            <w:gridSpan w:val="5"/>
          </w:tcPr>
          <w:p>
            <w:pPr>
              <w:jc w:val="center"/>
              <w:ind w:right="4020"/>
              <w:spacing w:after="0"/>
              <w:rPr>
                <w:sz w:val="20"/>
                <w:szCs w:val="20"/>
                <w:color w:val="auto"/>
              </w:rPr>
            </w:pPr>
            <w:r>
              <w:rPr>
                <w:rFonts w:ascii="Arial" w:cs="Arial" w:eastAsia="Arial" w:hAnsi="Arial"/>
                <w:sz w:val="16"/>
                <w:szCs w:val="16"/>
                <w:b w:val="1"/>
                <w:bCs w:val="1"/>
                <w:color w:val="auto"/>
                <w:w w:val="95"/>
              </w:rPr>
              <w:t>FORM 10-Q — Quarterly Report</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0" w:type="dxa"/>
            <w:vAlign w:val="bottom"/>
            <w:gridSpan w:val="7"/>
          </w:tcPr>
          <w:p>
            <w:pPr>
              <w:jc w:val="center"/>
              <w:ind w:right="3740"/>
              <w:spacing w:after="0"/>
              <w:rPr>
                <w:sz w:val="20"/>
                <w:szCs w:val="20"/>
                <w:color w:val="auto"/>
              </w:rPr>
            </w:pPr>
            <w:r>
              <w:rPr>
                <w:rFonts w:ascii="Arial" w:cs="Arial" w:eastAsia="Arial" w:hAnsi="Arial"/>
                <w:sz w:val="16"/>
                <w:szCs w:val="16"/>
                <w:b w:val="1"/>
                <w:bCs w:val="1"/>
                <w:color w:val="auto"/>
                <w:w w:val="91"/>
              </w:rPr>
              <w:t>For the Quarterly Period Ended March 31, 2019</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9"/>
        </w:trPr>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360" w:type="dxa"/>
            <w:vAlign w:val="bottom"/>
            <w:gridSpan w:val="3"/>
          </w:tcPr>
          <w:p>
            <w:pPr>
              <w:jc w:val="center"/>
              <w:ind w:right="4360"/>
              <w:spacing w:after="0"/>
              <w:rPr>
                <w:sz w:val="20"/>
                <w:szCs w:val="20"/>
                <w:color w:val="auto"/>
              </w:rPr>
            </w:pPr>
            <w:r>
              <w:rPr>
                <w:rFonts w:ascii="Arial" w:cs="Arial" w:eastAsia="Arial" w:hAnsi="Arial"/>
                <w:sz w:val="16"/>
                <w:szCs w:val="16"/>
                <w:b w:val="1"/>
                <w:bCs w:val="1"/>
                <w:color w:val="auto"/>
                <w:w w:val="97"/>
              </w:rPr>
              <w:t>TABLE OF CONTENTS</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760" w:type="dxa"/>
            <w:vAlign w:val="bottom"/>
            <w:gridSpan w:val="8"/>
            <w:vMerge w:val="restart"/>
          </w:tcPr>
          <w:p>
            <w:pPr>
              <w:spacing w:after="0"/>
              <w:rPr>
                <w:rFonts w:ascii="Arial" w:cs="Arial" w:eastAsia="Arial" w:hAnsi="Arial"/>
                <w:sz w:val="16"/>
                <w:szCs w:val="16"/>
                <w:b w:val="1"/>
                <w:bCs w:val="1"/>
                <w:color w:val="0000EE"/>
              </w:rPr>
            </w:pPr>
            <w:hyperlink w:anchor="page3">
              <w:r>
                <w:rPr>
                  <w:rFonts w:ascii="Arial" w:cs="Arial" w:eastAsia="Arial" w:hAnsi="Arial"/>
                  <w:sz w:val="16"/>
                  <w:szCs w:val="16"/>
                  <w:b w:val="1"/>
                  <w:bCs w:val="1"/>
                  <w:color w:val="0000EE"/>
                </w:rPr>
                <w:t>PART I—FINANCIAL INFORMATION</w:t>
              </w:r>
            </w:hyperlink>
          </w:p>
        </w:tc>
        <w:tc>
          <w:tcPr>
            <w:tcW w:w="8320" w:type="dxa"/>
            <w:vAlign w:val="bottom"/>
            <w:gridSpan w:val="10"/>
            <w:vMerge w:val="restart"/>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9"/>
              </w:rPr>
              <w:t>Page</w:t>
            </w:r>
          </w:p>
        </w:tc>
        <w:tc>
          <w:tcPr>
            <w:tcW w:w="0" w:type="dxa"/>
            <w:vAlign w:val="bottom"/>
          </w:tcPr>
          <w:p>
            <w:pPr>
              <w:spacing w:after="0"/>
              <w:rPr>
                <w:sz w:val="1"/>
                <w:szCs w:val="1"/>
                <w:color w:val="auto"/>
              </w:rPr>
            </w:pPr>
          </w:p>
        </w:tc>
      </w:tr>
      <w:tr>
        <w:trPr>
          <w:trHeight w:val="151"/>
        </w:trPr>
        <w:tc>
          <w:tcPr>
            <w:tcW w:w="2760" w:type="dxa"/>
            <w:vAlign w:val="bottom"/>
            <w:tcBorders>
              <w:bottom w:val="single" w:sz="8" w:color="0000EE"/>
            </w:tcBorders>
            <w:gridSpan w:val="8"/>
            <w:vMerge w:val="continue"/>
          </w:tcPr>
          <w:p>
            <w:pPr>
              <w:spacing w:after="0"/>
              <w:rPr>
                <w:sz w:val="12"/>
                <w:szCs w:val="12"/>
                <w:color w:val="auto"/>
              </w:rPr>
            </w:pPr>
          </w:p>
        </w:tc>
        <w:tc>
          <w:tcPr>
            <w:tcW w:w="8320" w:type="dxa"/>
            <w:vAlign w:val="bottom"/>
            <w:gridSpan w:val="10"/>
            <w:vMerge w:val="continue"/>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920" w:type="dxa"/>
            <w:vAlign w:val="bottom"/>
            <w:gridSpan w:val="2"/>
          </w:tcPr>
          <w:p>
            <w:pPr>
              <w:spacing w:after="0" w:line="169" w:lineRule="exact"/>
              <w:rPr>
                <w:sz w:val="20"/>
                <w:szCs w:val="20"/>
                <w:color w:val="auto"/>
              </w:rPr>
            </w:pPr>
            <w:r>
              <w:rPr>
                <w:rFonts w:ascii="Arial" w:cs="Arial" w:eastAsia="Arial" w:hAnsi="Arial"/>
                <w:sz w:val="16"/>
                <w:szCs w:val="16"/>
                <w:color w:val="auto"/>
              </w:rPr>
              <w:t>Item 1.</w:t>
            </w:r>
          </w:p>
        </w:tc>
        <w:tc>
          <w:tcPr>
            <w:tcW w:w="20" w:type="dxa"/>
            <w:vAlign w:val="bottom"/>
          </w:tcPr>
          <w:p>
            <w:pPr>
              <w:spacing w:after="0"/>
              <w:rPr>
                <w:sz w:val="14"/>
                <w:szCs w:val="14"/>
                <w:color w:val="auto"/>
              </w:rPr>
            </w:pPr>
          </w:p>
        </w:tc>
        <w:tc>
          <w:tcPr>
            <w:tcW w:w="10140" w:type="dxa"/>
            <w:vAlign w:val="bottom"/>
            <w:gridSpan w:val="15"/>
          </w:tcPr>
          <w:p>
            <w:pPr>
              <w:spacing w:after="0" w:line="169" w:lineRule="exact"/>
              <w:rPr>
                <w:rFonts w:ascii="Arial" w:cs="Arial" w:eastAsia="Arial" w:hAnsi="Arial"/>
                <w:sz w:val="16"/>
                <w:szCs w:val="16"/>
                <w:color w:val="0000EE"/>
              </w:rPr>
            </w:pPr>
            <w:hyperlink w:anchor="page3">
              <w:r>
                <w:rPr>
                  <w:rFonts w:ascii="Arial" w:cs="Arial" w:eastAsia="Arial" w:hAnsi="Arial"/>
                  <w:sz w:val="16"/>
                  <w:szCs w:val="16"/>
                  <w:color w:val="0000EE"/>
                </w:rPr>
                <w:t>Consolidated Financial Statements</w:t>
              </w:r>
            </w:hyperlink>
          </w:p>
        </w:tc>
        <w:tc>
          <w:tcPr>
            <w:tcW w:w="360" w:type="dxa"/>
            <w:vAlign w:val="bottom"/>
          </w:tcPr>
          <w:p>
            <w:pPr>
              <w:jc w:val="right"/>
              <w:spacing w:after="0" w:line="169"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gridSpan w:val="15"/>
          </w:tcPr>
          <w:p>
            <w:pPr>
              <w:spacing w:after="0" w:line="169" w:lineRule="exact"/>
              <w:rPr>
                <w:rFonts w:ascii="Arial" w:cs="Arial" w:eastAsia="Arial" w:hAnsi="Arial"/>
                <w:sz w:val="16"/>
                <w:szCs w:val="16"/>
                <w:color w:val="0000EE"/>
              </w:rPr>
            </w:pPr>
            <w:hyperlink w:anchor="page3">
              <w:r>
                <w:rPr>
                  <w:rFonts w:ascii="Arial" w:cs="Arial" w:eastAsia="Arial" w:hAnsi="Arial"/>
                  <w:sz w:val="16"/>
                  <w:szCs w:val="16"/>
                  <w:color w:val="0000EE"/>
                </w:rPr>
                <w:t>Unaudited Consolidated Balance Sheets</w:t>
              </w:r>
            </w:hyperlink>
          </w:p>
        </w:tc>
        <w:tc>
          <w:tcPr>
            <w:tcW w:w="360" w:type="dxa"/>
            <w:vAlign w:val="bottom"/>
          </w:tcPr>
          <w:p>
            <w:pPr>
              <w:jc w:val="right"/>
              <w:spacing w:after="0" w:line="169"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gridSpan w:val="15"/>
          </w:tcPr>
          <w:p>
            <w:pPr>
              <w:spacing w:after="0" w:line="169" w:lineRule="exact"/>
              <w:rPr>
                <w:rFonts w:ascii="Arial" w:cs="Arial" w:eastAsia="Arial" w:hAnsi="Arial"/>
                <w:sz w:val="16"/>
                <w:szCs w:val="16"/>
                <w:color w:val="0000EE"/>
              </w:rPr>
            </w:pPr>
            <w:hyperlink w:anchor="page4">
              <w:r>
                <w:rPr>
                  <w:rFonts w:ascii="Arial" w:cs="Arial" w:eastAsia="Arial" w:hAnsi="Arial"/>
                  <w:sz w:val="16"/>
                  <w:szCs w:val="16"/>
                  <w:color w:val="0000EE"/>
                </w:rPr>
                <w:t>Unaudited Consolidated Statements of Operations</w:t>
              </w:r>
            </w:hyperlink>
          </w:p>
        </w:tc>
        <w:tc>
          <w:tcPr>
            <w:tcW w:w="360" w:type="dxa"/>
            <w:vAlign w:val="bottom"/>
          </w:tcPr>
          <w:p>
            <w:pPr>
              <w:jc w:val="right"/>
              <w:spacing w:after="0" w:line="169" w:lineRule="exact"/>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8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60" w:type="dxa"/>
            <w:vAlign w:val="bottom"/>
            <w:tcBorders>
              <w:bottom w:val="single" w:sz="8" w:color="0000EE"/>
            </w:tcBorders>
            <w:gridSpan w:val="13"/>
          </w:tcPr>
          <w:p>
            <w:pPr>
              <w:spacing w:after="0" w:line="169" w:lineRule="exact"/>
              <w:rPr>
                <w:rFonts w:ascii="Arial" w:cs="Arial" w:eastAsia="Arial" w:hAnsi="Arial"/>
                <w:sz w:val="16"/>
                <w:szCs w:val="16"/>
                <w:color w:val="0000EE"/>
                <w:w w:val="88"/>
              </w:rPr>
            </w:pPr>
            <w:hyperlink w:anchor="page5">
              <w:r>
                <w:rPr>
                  <w:rFonts w:ascii="Arial" w:cs="Arial" w:eastAsia="Arial" w:hAnsi="Arial"/>
                  <w:sz w:val="16"/>
                  <w:szCs w:val="16"/>
                  <w:color w:val="0000EE"/>
                  <w:w w:val="88"/>
                </w:rPr>
                <w:t>Unaudited Consolidated Statements of Comprehensive Income</w:t>
              </w:r>
            </w:hyperlink>
          </w:p>
        </w:tc>
        <w:tc>
          <w:tcPr>
            <w:tcW w:w="6180" w:type="dxa"/>
            <w:vAlign w:val="bottom"/>
            <w:gridSpan w:val="2"/>
          </w:tcPr>
          <w:p>
            <w:pPr>
              <w:spacing w:after="0"/>
              <w:rPr>
                <w:sz w:val="14"/>
                <w:szCs w:val="14"/>
                <w:color w:val="auto"/>
              </w:rPr>
            </w:pPr>
          </w:p>
        </w:tc>
        <w:tc>
          <w:tcPr>
            <w:tcW w:w="360" w:type="dxa"/>
            <w:vAlign w:val="bottom"/>
          </w:tcPr>
          <w:p>
            <w:pPr>
              <w:jc w:val="right"/>
              <w:spacing w:after="0" w:line="169" w:lineRule="exact"/>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69"/>
        </w:trPr>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gridSpan w:val="15"/>
          </w:tcPr>
          <w:p>
            <w:pPr>
              <w:spacing w:after="0" w:line="169" w:lineRule="exact"/>
              <w:rPr>
                <w:rFonts w:ascii="Arial" w:cs="Arial" w:eastAsia="Arial" w:hAnsi="Arial"/>
                <w:sz w:val="16"/>
                <w:szCs w:val="16"/>
                <w:color w:val="0000EE"/>
              </w:rPr>
            </w:pPr>
            <w:hyperlink w:anchor="page6">
              <w:r>
                <w:rPr>
                  <w:rFonts w:ascii="Arial" w:cs="Arial" w:eastAsia="Arial" w:hAnsi="Arial"/>
                  <w:sz w:val="16"/>
                  <w:szCs w:val="16"/>
                  <w:color w:val="0000EE"/>
                </w:rPr>
                <w:t>Unaudited Consolidated Statements of Stockholders’ Equity</w:t>
              </w:r>
            </w:hyperlink>
          </w:p>
        </w:tc>
        <w:tc>
          <w:tcPr>
            <w:tcW w:w="360" w:type="dxa"/>
            <w:vAlign w:val="bottom"/>
          </w:tcPr>
          <w:p>
            <w:pPr>
              <w:jc w:val="right"/>
              <w:spacing w:after="0" w:line="169" w:lineRule="exact"/>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69"/>
        </w:trPr>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780" w:type="dxa"/>
            <w:vAlign w:val="bottom"/>
            <w:tcBorders>
              <w:top w:val="single" w:sz="8" w:color="0000EE"/>
            </w:tcBorders>
            <w:gridSpan w:val="12"/>
          </w:tcPr>
          <w:p>
            <w:pPr>
              <w:spacing w:after="0" w:line="169" w:lineRule="exact"/>
              <w:rPr>
                <w:rFonts w:ascii="Arial" w:cs="Arial" w:eastAsia="Arial" w:hAnsi="Arial"/>
                <w:sz w:val="16"/>
                <w:szCs w:val="16"/>
                <w:color w:val="0000EE"/>
              </w:rPr>
            </w:pPr>
            <w:hyperlink w:anchor="page7">
              <w:r>
                <w:rPr>
                  <w:rFonts w:ascii="Arial" w:cs="Arial" w:eastAsia="Arial" w:hAnsi="Arial"/>
                  <w:sz w:val="16"/>
                  <w:szCs w:val="16"/>
                  <w:color w:val="0000EE"/>
                </w:rPr>
                <w:t>Unaudited Consolidated Statements of Cash Flows</w:t>
              </w:r>
            </w:hyperlink>
          </w:p>
        </w:tc>
        <w:tc>
          <w:tcPr>
            <w:tcW w:w="6360" w:type="dxa"/>
            <w:vAlign w:val="bottom"/>
            <w:gridSpan w:val="3"/>
          </w:tcPr>
          <w:p>
            <w:pPr>
              <w:spacing w:after="0"/>
              <w:rPr>
                <w:sz w:val="14"/>
                <w:szCs w:val="14"/>
                <w:color w:val="auto"/>
              </w:rPr>
            </w:pPr>
          </w:p>
        </w:tc>
        <w:tc>
          <w:tcPr>
            <w:tcW w:w="360" w:type="dxa"/>
            <w:vAlign w:val="bottom"/>
          </w:tcPr>
          <w:p>
            <w:pPr>
              <w:jc w:val="right"/>
              <w:spacing w:after="0" w:line="169" w:lineRule="exact"/>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20" w:type="dxa"/>
            <w:vAlign w:val="bottom"/>
            <w:gridSpan w:val="5"/>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40" w:type="dxa"/>
            <w:vAlign w:val="bottom"/>
            <w:tcBorders>
              <w:bottom w:val="single" w:sz="8" w:color="0000EE"/>
            </w:tcBorders>
            <w:gridSpan w:val="10"/>
          </w:tcPr>
          <w:p>
            <w:pPr>
              <w:spacing w:after="0" w:line="169" w:lineRule="exact"/>
              <w:rPr>
                <w:rFonts w:ascii="Arial" w:cs="Arial" w:eastAsia="Arial" w:hAnsi="Arial"/>
                <w:sz w:val="16"/>
                <w:szCs w:val="16"/>
                <w:color w:val="0000EE"/>
                <w:w w:val="87"/>
              </w:rPr>
            </w:pPr>
            <w:hyperlink w:anchor="page8">
              <w:r>
                <w:rPr>
                  <w:rFonts w:ascii="Arial" w:cs="Arial" w:eastAsia="Arial" w:hAnsi="Arial"/>
                  <w:sz w:val="16"/>
                  <w:szCs w:val="16"/>
                  <w:color w:val="0000EE"/>
                  <w:w w:val="87"/>
                </w:rPr>
                <w:t>Unaudited Notes to Consolidated Financial Statements</w:t>
              </w:r>
            </w:hyperlink>
          </w:p>
        </w:tc>
        <w:tc>
          <w:tcPr>
            <w:tcW w:w="6700" w:type="dxa"/>
            <w:vAlign w:val="bottom"/>
            <w:gridSpan w:val="5"/>
          </w:tcPr>
          <w:p>
            <w:pPr>
              <w:spacing w:after="0"/>
              <w:rPr>
                <w:sz w:val="14"/>
                <w:szCs w:val="14"/>
                <w:color w:val="auto"/>
              </w:rPr>
            </w:pPr>
          </w:p>
        </w:tc>
        <w:tc>
          <w:tcPr>
            <w:tcW w:w="360" w:type="dxa"/>
            <w:vAlign w:val="bottom"/>
          </w:tcPr>
          <w:p>
            <w:pPr>
              <w:jc w:val="right"/>
              <w:spacing w:after="0" w:line="169" w:lineRule="exact"/>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69"/>
        </w:trPr>
        <w:tc>
          <w:tcPr>
            <w:tcW w:w="920" w:type="dxa"/>
            <w:vAlign w:val="bottom"/>
            <w:gridSpan w:val="2"/>
          </w:tcPr>
          <w:p>
            <w:pPr>
              <w:spacing w:after="0" w:line="169" w:lineRule="exact"/>
              <w:rPr>
                <w:sz w:val="20"/>
                <w:szCs w:val="20"/>
                <w:color w:val="auto"/>
              </w:rPr>
            </w:pPr>
            <w:r>
              <w:rPr>
                <w:rFonts w:ascii="Arial" w:cs="Arial" w:eastAsia="Arial" w:hAnsi="Arial"/>
                <w:sz w:val="16"/>
                <w:szCs w:val="16"/>
                <w:color w:val="auto"/>
              </w:rPr>
              <w:t>Item 2.</w:t>
            </w:r>
          </w:p>
        </w:tc>
        <w:tc>
          <w:tcPr>
            <w:tcW w:w="20" w:type="dxa"/>
            <w:vAlign w:val="bottom"/>
          </w:tcPr>
          <w:p>
            <w:pPr>
              <w:spacing w:after="0"/>
              <w:rPr>
                <w:sz w:val="14"/>
                <w:szCs w:val="14"/>
                <w:color w:val="auto"/>
              </w:rPr>
            </w:pPr>
          </w:p>
        </w:tc>
        <w:tc>
          <w:tcPr>
            <w:tcW w:w="5640" w:type="dxa"/>
            <w:vAlign w:val="bottom"/>
            <w:tcBorders>
              <w:bottom w:val="single" w:sz="8" w:color="0000EE"/>
            </w:tcBorders>
            <w:gridSpan w:val="14"/>
          </w:tcPr>
          <w:p>
            <w:pPr>
              <w:spacing w:after="0" w:line="169" w:lineRule="exact"/>
              <w:rPr>
                <w:rFonts w:ascii="Arial" w:cs="Arial" w:eastAsia="Arial" w:hAnsi="Arial"/>
                <w:sz w:val="16"/>
                <w:szCs w:val="16"/>
                <w:color w:val="0000EE"/>
                <w:w w:val="89"/>
              </w:rPr>
            </w:pPr>
            <w:hyperlink w:anchor="page17">
              <w:r>
                <w:rPr>
                  <w:rFonts w:ascii="Arial" w:cs="Arial" w:eastAsia="Arial" w:hAnsi="Arial"/>
                  <w:sz w:val="16"/>
                  <w:szCs w:val="16"/>
                  <w:color w:val="0000EE"/>
                  <w:w w:val="89"/>
                </w:rPr>
                <w:t>Management’s Discussion and Analysis of Financial Condition and Results of Operations</w:t>
              </w:r>
            </w:hyperlink>
          </w:p>
        </w:tc>
        <w:tc>
          <w:tcPr>
            <w:tcW w:w="4500" w:type="dxa"/>
            <w:vAlign w:val="bottom"/>
          </w:tcPr>
          <w:p>
            <w:pPr>
              <w:spacing w:after="0"/>
              <w:rPr>
                <w:sz w:val="14"/>
                <w:szCs w:val="14"/>
                <w:color w:val="auto"/>
              </w:rPr>
            </w:pPr>
          </w:p>
        </w:tc>
        <w:tc>
          <w:tcPr>
            <w:tcW w:w="360" w:type="dxa"/>
            <w:vAlign w:val="bottom"/>
          </w:tcPr>
          <w:p>
            <w:pPr>
              <w:jc w:val="right"/>
              <w:spacing w:after="0" w:line="169" w:lineRule="exact"/>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69"/>
        </w:trPr>
        <w:tc>
          <w:tcPr>
            <w:tcW w:w="920" w:type="dxa"/>
            <w:vAlign w:val="bottom"/>
            <w:gridSpan w:val="2"/>
          </w:tcPr>
          <w:p>
            <w:pPr>
              <w:spacing w:after="0" w:line="169" w:lineRule="exact"/>
              <w:rPr>
                <w:sz w:val="20"/>
                <w:szCs w:val="20"/>
                <w:color w:val="auto"/>
              </w:rPr>
            </w:pPr>
            <w:r>
              <w:rPr>
                <w:rFonts w:ascii="Arial" w:cs="Arial" w:eastAsia="Arial" w:hAnsi="Arial"/>
                <w:sz w:val="16"/>
                <w:szCs w:val="16"/>
                <w:color w:val="auto"/>
              </w:rPr>
              <w:t>Item 3.</w:t>
            </w:r>
          </w:p>
        </w:tc>
        <w:tc>
          <w:tcPr>
            <w:tcW w:w="20" w:type="dxa"/>
            <w:vAlign w:val="bottom"/>
          </w:tcPr>
          <w:p>
            <w:pPr>
              <w:spacing w:after="0"/>
              <w:rPr>
                <w:sz w:val="14"/>
                <w:szCs w:val="14"/>
                <w:color w:val="auto"/>
              </w:rPr>
            </w:pPr>
          </w:p>
        </w:tc>
        <w:tc>
          <w:tcPr>
            <w:tcW w:w="3760" w:type="dxa"/>
            <w:vAlign w:val="bottom"/>
            <w:tcBorders>
              <w:bottom w:val="single" w:sz="8" w:color="0000EE"/>
            </w:tcBorders>
            <w:gridSpan w:val="11"/>
          </w:tcPr>
          <w:p>
            <w:pPr>
              <w:spacing w:after="0" w:line="169" w:lineRule="exact"/>
              <w:rPr>
                <w:rFonts w:ascii="Arial" w:cs="Arial" w:eastAsia="Arial" w:hAnsi="Arial"/>
                <w:sz w:val="16"/>
                <w:szCs w:val="16"/>
                <w:color w:val="0000EE"/>
                <w:w w:val="89"/>
              </w:rPr>
            </w:pPr>
            <w:hyperlink w:anchor="page27">
              <w:r>
                <w:rPr>
                  <w:rFonts w:ascii="Arial" w:cs="Arial" w:eastAsia="Arial" w:hAnsi="Arial"/>
                  <w:sz w:val="16"/>
                  <w:szCs w:val="16"/>
                  <w:color w:val="0000EE"/>
                  <w:w w:val="89"/>
                </w:rPr>
                <w:t>Quantitative and Qualitative Disclosures about Market Risk</w:t>
              </w:r>
            </w:hyperlink>
          </w:p>
        </w:tc>
        <w:tc>
          <w:tcPr>
            <w:tcW w:w="6380" w:type="dxa"/>
            <w:vAlign w:val="bottom"/>
            <w:gridSpan w:val="4"/>
          </w:tcPr>
          <w:p>
            <w:pPr>
              <w:spacing w:after="0"/>
              <w:rPr>
                <w:sz w:val="14"/>
                <w:szCs w:val="14"/>
                <w:color w:val="auto"/>
              </w:rPr>
            </w:pPr>
          </w:p>
        </w:tc>
        <w:tc>
          <w:tcPr>
            <w:tcW w:w="360" w:type="dxa"/>
            <w:vAlign w:val="bottom"/>
          </w:tcPr>
          <w:p>
            <w:pPr>
              <w:jc w:val="right"/>
              <w:spacing w:after="0" w:line="169" w:lineRule="exact"/>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69"/>
        </w:trPr>
        <w:tc>
          <w:tcPr>
            <w:tcW w:w="920" w:type="dxa"/>
            <w:vAlign w:val="bottom"/>
            <w:gridSpan w:val="2"/>
          </w:tcPr>
          <w:p>
            <w:pPr>
              <w:spacing w:after="0" w:line="169" w:lineRule="exact"/>
              <w:rPr>
                <w:sz w:val="20"/>
                <w:szCs w:val="20"/>
                <w:color w:val="auto"/>
              </w:rPr>
            </w:pPr>
            <w:r>
              <w:rPr>
                <w:rFonts w:ascii="Arial" w:cs="Arial" w:eastAsia="Arial" w:hAnsi="Arial"/>
                <w:sz w:val="16"/>
                <w:szCs w:val="16"/>
                <w:color w:val="auto"/>
              </w:rPr>
              <w:t>Item 4.</w:t>
            </w:r>
          </w:p>
        </w:tc>
        <w:tc>
          <w:tcPr>
            <w:tcW w:w="20" w:type="dxa"/>
            <w:vAlign w:val="bottom"/>
          </w:tcPr>
          <w:p>
            <w:pPr>
              <w:spacing w:after="0"/>
              <w:rPr>
                <w:sz w:val="14"/>
                <w:szCs w:val="14"/>
                <w:color w:val="auto"/>
              </w:rPr>
            </w:pPr>
          </w:p>
        </w:tc>
        <w:tc>
          <w:tcPr>
            <w:tcW w:w="10140" w:type="dxa"/>
            <w:vAlign w:val="bottom"/>
            <w:gridSpan w:val="15"/>
          </w:tcPr>
          <w:p>
            <w:pPr>
              <w:spacing w:after="0" w:line="169" w:lineRule="exact"/>
              <w:rPr>
                <w:rFonts w:ascii="Arial" w:cs="Arial" w:eastAsia="Arial" w:hAnsi="Arial"/>
                <w:sz w:val="16"/>
                <w:szCs w:val="16"/>
                <w:color w:val="0000EE"/>
              </w:rPr>
            </w:pPr>
            <w:hyperlink w:anchor="page27">
              <w:r>
                <w:rPr>
                  <w:rFonts w:ascii="Arial" w:cs="Arial" w:eastAsia="Arial" w:hAnsi="Arial"/>
                  <w:sz w:val="16"/>
                  <w:szCs w:val="16"/>
                  <w:color w:val="0000EE"/>
                </w:rPr>
                <w:t>Controls and Procedures</w:t>
              </w:r>
            </w:hyperlink>
          </w:p>
        </w:tc>
        <w:tc>
          <w:tcPr>
            <w:tcW w:w="360" w:type="dxa"/>
            <w:vAlign w:val="bottom"/>
          </w:tcPr>
          <w:p>
            <w:pPr>
              <w:jc w:val="right"/>
              <w:spacing w:after="0" w:line="169" w:lineRule="exact"/>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580" w:type="dxa"/>
            <w:vAlign w:val="bottom"/>
            <w:gridSpan w:val="11"/>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500" w:type="dxa"/>
            <w:vAlign w:val="bottom"/>
            <w:tcBorders>
              <w:bottom w:val="single" w:sz="8" w:color="0000EE"/>
            </w:tcBorders>
            <w:gridSpan w:val="7"/>
          </w:tcPr>
          <w:p>
            <w:pPr>
              <w:spacing w:after="0" w:line="169" w:lineRule="exact"/>
              <w:rPr>
                <w:rFonts w:ascii="Arial" w:cs="Arial" w:eastAsia="Arial" w:hAnsi="Arial"/>
                <w:sz w:val="16"/>
                <w:szCs w:val="16"/>
                <w:b w:val="1"/>
                <w:bCs w:val="1"/>
                <w:color w:val="0000EE"/>
              </w:rPr>
            </w:pPr>
            <w:hyperlink w:anchor="page28">
              <w:r>
                <w:rPr>
                  <w:rFonts w:ascii="Arial" w:cs="Arial" w:eastAsia="Arial" w:hAnsi="Arial"/>
                  <w:sz w:val="16"/>
                  <w:szCs w:val="16"/>
                  <w:b w:val="1"/>
                  <w:bCs w:val="1"/>
                  <w:color w:val="0000EE"/>
                </w:rPr>
                <w:t>PART II—OTHER INFORMATION</w:t>
              </w:r>
            </w:hyperlink>
          </w:p>
        </w:tc>
        <w:tc>
          <w:tcPr>
            <w:tcW w:w="8580" w:type="dxa"/>
            <w:vAlign w:val="bottom"/>
            <w:gridSpan w:val="11"/>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gridSpan w:val="2"/>
          </w:tcPr>
          <w:p>
            <w:pPr>
              <w:spacing w:after="0" w:line="169" w:lineRule="exact"/>
              <w:rPr>
                <w:sz w:val="20"/>
                <w:szCs w:val="20"/>
                <w:color w:val="auto"/>
              </w:rPr>
            </w:pPr>
            <w:r>
              <w:rPr>
                <w:rFonts w:ascii="Arial" w:cs="Arial" w:eastAsia="Arial" w:hAnsi="Arial"/>
                <w:sz w:val="16"/>
                <w:szCs w:val="16"/>
                <w:color w:val="auto"/>
              </w:rPr>
              <w:t>Item 1A.</w:t>
            </w:r>
          </w:p>
        </w:tc>
        <w:tc>
          <w:tcPr>
            <w:tcW w:w="10160" w:type="dxa"/>
            <w:vAlign w:val="bottom"/>
            <w:gridSpan w:val="16"/>
          </w:tcPr>
          <w:p>
            <w:pPr>
              <w:spacing w:after="0" w:line="169" w:lineRule="exact"/>
              <w:rPr>
                <w:rFonts w:ascii="Arial" w:cs="Arial" w:eastAsia="Arial" w:hAnsi="Arial"/>
                <w:sz w:val="16"/>
                <w:szCs w:val="16"/>
                <w:color w:val="0000EE"/>
              </w:rPr>
            </w:pPr>
            <w:hyperlink w:anchor="page28">
              <w:r>
                <w:rPr>
                  <w:rFonts w:ascii="Arial" w:cs="Arial" w:eastAsia="Arial" w:hAnsi="Arial"/>
                  <w:sz w:val="16"/>
                  <w:szCs w:val="16"/>
                  <w:color w:val="0000EE"/>
                </w:rPr>
                <w:t>Risk Factors</w:t>
              </w:r>
            </w:hyperlink>
          </w:p>
        </w:tc>
        <w:tc>
          <w:tcPr>
            <w:tcW w:w="360" w:type="dxa"/>
            <w:vAlign w:val="bottom"/>
          </w:tcPr>
          <w:p>
            <w:pPr>
              <w:jc w:val="right"/>
              <w:spacing w:after="0" w:line="169" w:lineRule="exact"/>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169"/>
        </w:trPr>
        <w:tc>
          <w:tcPr>
            <w:tcW w:w="920" w:type="dxa"/>
            <w:vAlign w:val="bottom"/>
            <w:gridSpan w:val="2"/>
          </w:tcPr>
          <w:p>
            <w:pPr>
              <w:spacing w:after="0" w:line="169" w:lineRule="exact"/>
              <w:rPr>
                <w:sz w:val="20"/>
                <w:szCs w:val="20"/>
                <w:color w:val="auto"/>
              </w:rPr>
            </w:pPr>
            <w:r>
              <w:rPr>
                <w:rFonts w:ascii="Arial" w:cs="Arial" w:eastAsia="Arial" w:hAnsi="Arial"/>
                <w:sz w:val="16"/>
                <w:szCs w:val="16"/>
                <w:color w:val="auto"/>
              </w:rPr>
              <w:t>Item 6.</w:t>
            </w:r>
          </w:p>
        </w:tc>
        <w:tc>
          <w:tcPr>
            <w:tcW w:w="780" w:type="dxa"/>
            <w:vAlign w:val="bottom"/>
            <w:tcBorders>
              <w:top w:val="single" w:sz="8" w:color="0000EE"/>
            </w:tcBorders>
            <w:gridSpan w:val="3"/>
          </w:tcPr>
          <w:p>
            <w:pPr>
              <w:spacing w:after="0" w:line="169" w:lineRule="exact"/>
              <w:rPr>
                <w:rFonts w:ascii="Arial" w:cs="Arial" w:eastAsia="Arial" w:hAnsi="Arial"/>
                <w:sz w:val="16"/>
                <w:szCs w:val="16"/>
                <w:color w:val="0000EE"/>
              </w:rPr>
            </w:pPr>
            <w:hyperlink w:anchor="page52">
              <w:r>
                <w:rPr>
                  <w:rFonts w:ascii="Arial" w:cs="Arial" w:eastAsia="Arial" w:hAnsi="Arial"/>
                  <w:sz w:val="16"/>
                  <w:szCs w:val="16"/>
                  <w:color w:val="0000EE"/>
                </w:rPr>
                <w:t>Exhibits</w:t>
              </w:r>
            </w:hyperlink>
          </w:p>
        </w:tc>
        <w:tc>
          <w:tcPr>
            <w:tcW w:w="9380" w:type="dxa"/>
            <w:vAlign w:val="bottom"/>
            <w:gridSpan w:val="13"/>
          </w:tcPr>
          <w:p>
            <w:pPr>
              <w:spacing w:after="0"/>
              <w:rPr>
                <w:sz w:val="14"/>
                <w:szCs w:val="14"/>
                <w:color w:val="auto"/>
              </w:rPr>
            </w:pPr>
          </w:p>
        </w:tc>
        <w:tc>
          <w:tcPr>
            <w:tcW w:w="360" w:type="dxa"/>
            <w:vAlign w:val="bottom"/>
          </w:tcPr>
          <w:p>
            <w:pPr>
              <w:jc w:val="right"/>
              <w:spacing w:after="0" w:line="169" w:lineRule="exact"/>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169"/>
        </w:trPr>
        <w:tc>
          <w:tcPr>
            <w:tcW w:w="920" w:type="dxa"/>
            <w:vAlign w:val="bottom"/>
            <w:gridSpan w:val="2"/>
          </w:tcPr>
          <w:p>
            <w:pPr>
              <w:spacing w:after="0" w:line="169" w:lineRule="exact"/>
              <w:rPr>
                <w:rFonts w:ascii="Arial" w:cs="Arial" w:eastAsia="Arial" w:hAnsi="Arial"/>
                <w:sz w:val="16"/>
                <w:szCs w:val="16"/>
                <w:color w:val="0000EE"/>
              </w:rPr>
            </w:pPr>
            <w:hyperlink w:anchor="page53">
              <w:r>
                <w:rPr>
                  <w:rFonts w:ascii="Arial" w:cs="Arial" w:eastAsia="Arial" w:hAnsi="Arial"/>
                  <w:sz w:val="16"/>
                  <w:szCs w:val="16"/>
                  <w:color w:val="0000EE"/>
                </w:rPr>
                <w:t>Signatures</w:t>
              </w:r>
            </w:hyperlink>
          </w:p>
        </w:tc>
        <w:tc>
          <w:tcPr>
            <w:tcW w:w="20" w:type="dxa"/>
            <w:vAlign w:val="bottom"/>
            <w:tcBorders>
              <w:top w:val="single" w:sz="8" w:color="0000EE"/>
            </w:tcBorders>
          </w:tcPr>
          <w:p>
            <w:pPr>
              <w:spacing w:after="0"/>
              <w:rPr>
                <w:sz w:val="14"/>
                <w:szCs w:val="14"/>
                <w:color w:val="auto"/>
              </w:rPr>
            </w:pPr>
          </w:p>
        </w:tc>
        <w:tc>
          <w:tcPr>
            <w:tcW w:w="500" w:type="dxa"/>
            <w:vAlign w:val="bottom"/>
            <w:tcBorders>
              <w:top w:val="single" w:sz="8" w:color="0000EE"/>
            </w:tcBorders>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360" w:type="dxa"/>
            <w:vAlign w:val="bottom"/>
          </w:tcPr>
          <w:p>
            <w:pPr>
              <w:jc w:val="right"/>
              <w:spacing w:after="0" w:line="169" w:lineRule="exact"/>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 REGARDING FORWARD-LOOKING STATEMENTS</w:t>
      </w:r>
    </w:p>
    <w:p>
      <w:pPr>
        <w:spacing w:after="0" w:line="21" w:lineRule="exact"/>
        <w:rPr>
          <w:sz w:val="20"/>
          <w:szCs w:val="20"/>
          <w:color w:val="auto"/>
        </w:rPr>
      </w:pPr>
    </w:p>
    <w:p>
      <w:pPr>
        <w:ind w:right="20"/>
        <w:spacing w:after="0" w:line="265" w:lineRule="auto"/>
        <w:rPr>
          <w:sz w:val="20"/>
          <w:szCs w:val="20"/>
          <w:color w:val="auto"/>
        </w:rPr>
      </w:pPr>
      <w:r>
        <w:rPr>
          <w:rFonts w:ascii="Arial" w:cs="Arial" w:eastAsia="Arial" w:hAnsi="Arial"/>
          <w:sz w:val="15"/>
          <w:szCs w:val="15"/>
          <w:color w:val="auto"/>
        </w:rPr>
        <w:t>This Quarterly Report on Form 10-Q, or Form 10-Q,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 overall trends, royalty revenue trends, research and clinical development plans, liquidity and capital needs and other statements of expectations, beliefs, future plans and strategies, anticipated events or trends and similar expressions. These forward-looking statements are based on our management’s current expectations, estimates, forecasts and projections about our business and the industry in which we operate and our management’s beliefs and assumptions. These forward-looking statements are not guarantees of future performance or development and involve known and unknown risks, uncertainties and other factors that are in some cases beyond our control. As a result, any or all of our forward-looking statements in this Form 10-Q may turn out to be inaccurate. Factors that may cause actual results to differ materially from current expectations include, among other things, those listed under “Risk Factors” and discussed elsewhere in this Form 10-Q. These forward-looking statements speak only as of the date of this Form 10-Q. Except as required by law, we assume no obligation to update or revise these forward-looking statements for any reason, even if new information becomes available in the future. You should, however, review the factors and risks we describe in the reports we will file from time to time with the SEC after the date of this Form 10-Q.</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58420</wp:posOffset>
            </wp:positionV>
            <wp:extent cx="7303770"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12" w:right="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7480" w:type="dxa"/>
            <w:vAlign w:val="bottom"/>
            <w:gridSpan w:val="2"/>
          </w:tcPr>
          <w:p>
            <w:pPr>
              <w:spacing w:after="0"/>
              <w:rPr>
                <w:sz w:val="20"/>
                <w:szCs w:val="20"/>
                <w:color w:val="auto"/>
              </w:rPr>
            </w:pPr>
            <w:r>
              <w:rPr>
                <w:rFonts w:ascii="Arial" w:cs="Arial" w:eastAsia="Arial" w:hAnsi="Arial"/>
                <w:sz w:val="16"/>
                <w:szCs w:val="16"/>
                <w:b w:val="1"/>
                <w:bCs w:val="1"/>
                <w:color w:val="auto"/>
              </w:rPr>
              <w:t>PART I—FINANCIAL INFORMATION</w:t>
            </w: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1160" w:type="dxa"/>
            <w:vAlign w:val="bottom"/>
          </w:tcPr>
          <w:p>
            <w:pPr>
              <w:spacing w:after="0"/>
              <w:rPr>
                <w:sz w:val="20"/>
                <w:szCs w:val="20"/>
                <w:color w:val="auto"/>
              </w:rPr>
            </w:pPr>
            <w:r>
              <w:rPr>
                <w:rFonts w:ascii="Arial" w:cs="Arial" w:eastAsia="Arial" w:hAnsi="Arial"/>
                <w:sz w:val="16"/>
                <w:szCs w:val="16"/>
                <w:b w:val="1"/>
                <w:bCs w:val="1"/>
                <w:color w:val="auto"/>
              </w:rPr>
              <w:t>ITEM 1.</w:t>
            </w:r>
          </w:p>
        </w:tc>
        <w:tc>
          <w:tcPr>
            <w:tcW w:w="6320" w:type="dxa"/>
            <w:vAlign w:val="bottom"/>
          </w:tcPr>
          <w:p>
            <w:pPr>
              <w:spacing w:after="0"/>
              <w:rPr>
                <w:sz w:val="20"/>
                <w:szCs w:val="20"/>
                <w:color w:val="auto"/>
              </w:rPr>
            </w:pPr>
            <w:r>
              <w:rPr>
                <w:rFonts w:ascii="Arial" w:cs="Arial" w:eastAsia="Arial" w:hAnsi="Arial"/>
                <w:sz w:val="16"/>
                <w:szCs w:val="16"/>
                <w:b w:val="1"/>
                <w:bCs w:val="1"/>
                <w:color w:val="auto"/>
              </w:rPr>
              <w:t>CONSOLIDATED FINANCIAL STATEMENTS</w:t>
            </w: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1160" w:type="dxa"/>
            <w:vAlign w:val="bottom"/>
          </w:tcPr>
          <w:p>
            <w:pPr>
              <w:spacing w:after="0"/>
              <w:rPr>
                <w:sz w:val="24"/>
                <w:szCs w:val="24"/>
                <w:color w:val="auto"/>
              </w:rPr>
            </w:pPr>
          </w:p>
        </w:tc>
        <w:tc>
          <w:tcPr>
            <w:tcW w:w="6320" w:type="dxa"/>
            <w:vAlign w:val="bottom"/>
          </w:tcPr>
          <w:p>
            <w:pPr>
              <w:jc w:val="center"/>
              <w:ind w:left="2701"/>
              <w:spacing w:after="0"/>
              <w:rPr>
                <w:sz w:val="20"/>
                <w:szCs w:val="20"/>
                <w:color w:val="auto"/>
              </w:rPr>
            </w:pPr>
            <w:r>
              <w:rPr>
                <w:rFonts w:ascii="Arial" w:cs="Arial" w:eastAsia="Arial" w:hAnsi="Arial"/>
                <w:sz w:val="16"/>
                <w:szCs w:val="16"/>
                <w:b w:val="1"/>
                <w:bCs w:val="1"/>
                <w:color w:val="auto"/>
              </w:rPr>
              <w:t>ENANTA PHARMACEUTICALS, INC.</w:t>
            </w: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6320" w:type="dxa"/>
            <w:vAlign w:val="bottom"/>
          </w:tcPr>
          <w:p>
            <w:pPr>
              <w:jc w:val="center"/>
              <w:ind w:left="2701"/>
              <w:spacing w:after="0"/>
              <w:rPr>
                <w:sz w:val="20"/>
                <w:szCs w:val="20"/>
                <w:color w:val="auto"/>
              </w:rPr>
            </w:pPr>
            <w:r>
              <w:rPr>
                <w:rFonts w:ascii="Arial" w:cs="Arial" w:eastAsia="Arial" w:hAnsi="Arial"/>
                <w:sz w:val="16"/>
                <w:szCs w:val="16"/>
                <w:b w:val="1"/>
                <w:bCs w:val="1"/>
                <w:color w:val="auto"/>
                <w:w w:val="98"/>
              </w:rPr>
              <w:t>CONSOLIDATED BALANCE SHEETS</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6320" w:type="dxa"/>
            <w:vAlign w:val="bottom"/>
          </w:tcPr>
          <w:p>
            <w:pPr>
              <w:jc w:val="center"/>
              <w:ind w:left="2701"/>
              <w:spacing w:after="0"/>
              <w:rPr>
                <w:sz w:val="20"/>
                <w:szCs w:val="20"/>
                <w:color w:val="auto"/>
              </w:rPr>
            </w:pPr>
            <w:r>
              <w:rPr>
                <w:rFonts w:ascii="Arial" w:cs="Arial" w:eastAsia="Arial" w:hAnsi="Arial"/>
                <w:sz w:val="16"/>
                <w:szCs w:val="16"/>
                <w:b w:val="1"/>
                <w:bCs w:val="1"/>
                <w:color w:val="auto"/>
                <w:w w:val="89"/>
              </w:rPr>
              <w:t>(unaudited)</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160" w:type="dxa"/>
            <w:vAlign w:val="bottom"/>
          </w:tcPr>
          <w:p>
            <w:pPr>
              <w:spacing w:after="0"/>
              <w:rPr>
                <w:sz w:val="17"/>
                <w:szCs w:val="17"/>
                <w:color w:val="auto"/>
              </w:rPr>
            </w:pPr>
          </w:p>
        </w:tc>
        <w:tc>
          <w:tcPr>
            <w:tcW w:w="6320" w:type="dxa"/>
            <w:vAlign w:val="bottom"/>
          </w:tcPr>
          <w:p>
            <w:pPr>
              <w:jc w:val="center"/>
              <w:ind w:left="2721"/>
              <w:spacing w:after="0"/>
              <w:rPr>
                <w:sz w:val="20"/>
                <w:szCs w:val="20"/>
                <w:color w:val="auto"/>
              </w:rPr>
            </w:pPr>
            <w:r>
              <w:rPr>
                <w:rFonts w:ascii="Arial" w:cs="Arial" w:eastAsia="Arial" w:hAnsi="Arial"/>
                <w:sz w:val="16"/>
                <w:szCs w:val="16"/>
                <w:b w:val="1"/>
                <w:bCs w:val="1"/>
                <w:color w:val="auto"/>
                <w:w w:val="86"/>
              </w:rPr>
              <w:t>(in thousands, except per share amounts)</w:t>
            </w: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116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gridSpan w:val="2"/>
          </w:tcPr>
          <w:p>
            <w:pPr>
              <w:jc w:val="right"/>
              <w:ind w:right="800"/>
              <w:spacing w:after="0"/>
              <w:rPr>
                <w:sz w:val="20"/>
                <w:szCs w:val="20"/>
                <w:color w:val="auto"/>
              </w:rPr>
            </w:pPr>
            <w:r>
              <w:rPr>
                <w:rFonts w:ascii="Arial" w:cs="Arial" w:eastAsia="Arial" w:hAnsi="Arial"/>
                <w:sz w:val="13"/>
                <w:szCs w:val="13"/>
                <w:b w:val="1"/>
                <w:bCs w:val="1"/>
                <w:color w:val="auto"/>
              </w:rPr>
              <w:t>March 31,</w:t>
            </w:r>
          </w:p>
        </w:tc>
        <w:tc>
          <w:tcPr>
            <w:tcW w:w="260" w:type="dxa"/>
            <w:vAlign w:val="bottom"/>
          </w:tcPr>
          <w:p>
            <w:pPr>
              <w:spacing w:after="0"/>
              <w:rPr>
                <w:sz w:val="24"/>
                <w:szCs w:val="24"/>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September 30,</w:t>
            </w:r>
          </w:p>
        </w:tc>
        <w:tc>
          <w:tcPr>
            <w:tcW w:w="0" w:type="dxa"/>
            <w:vAlign w:val="bottom"/>
          </w:tcPr>
          <w:p>
            <w:pPr>
              <w:spacing w:after="0"/>
              <w:rPr>
                <w:sz w:val="1"/>
                <w:szCs w:val="1"/>
                <w:color w:val="auto"/>
              </w:rPr>
            </w:pPr>
          </w:p>
        </w:tc>
      </w:tr>
      <w:tr>
        <w:trPr>
          <w:trHeight w:val="150"/>
        </w:trPr>
        <w:tc>
          <w:tcPr>
            <w:tcW w:w="1160" w:type="dxa"/>
            <w:vAlign w:val="bottom"/>
            <w:tcBorders>
              <w:bottom w:val="single" w:sz="8" w:color="CFF0FC"/>
            </w:tcBorders>
          </w:tcPr>
          <w:p>
            <w:pPr>
              <w:spacing w:after="0"/>
              <w:rPr>
                <w:sz w:val="13"/>
                <w:szCs w:val="13"/>
                <w:color w:val="auto"/>
              </w:rPr>
            </w:pPr>
          </w:p>
        </w:tc>
        <w:tc>
          <w:tcPr>
            <w:tcW w:w="6320" w:type="dxa"/>
            <w:vAlign w:val="bottom"/>
            <w:tcBorders>
              <w:bottom w:val="single" w:sz="8" w:color="CFF0FC"/>
            </w:tcBorders>
          </w:tcPr>
          <w:p>
            <w:pPr>
              <w:spacing w:after="0"/>
              <w:rPr>
                <w:sz w:val="13"/>
                <w:szCs w:val="13"/>
                <w:color w:val="auto"/>
              </w:rPr>
            </w:pPr>
          </w:p>
        </w:tc>
        <w:tc>
          <w:tcPr>
            <w:tcW w:w="40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583"/>
              <w:spacing w:after="0"/>
              <w:rPr>
                <w:sz w:val="20"/>
                <w:szCs w:val="20"/>
                <w:color w:val="auto"/>
              </w:rPr>
            </w:pPr>
            <w:r>
              <w:rPr>
                <w:rFonts w:ascii="Arial" w:cs="Arial" w:eastAsia="Arial" w:hAnsi="Arial"/>
                <w:sz w:val="13"/>
                <w:szCs w:val="13"/>
                <w:b w:val="1"/>
                <w:bCs w:val="1"/>
                <w:color w:val="auto"/>
              </w:rPr>
              <w:t>2019</w:t>
            </w:r>
          </w:p>
        </w:tc>
        <w:tc>
          <w:tcPr>
            <w:tcW w:w="2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03"/>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11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63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160" w:type="dxa"/>
            <w:vAlign w:val="bottom"/>
          </w:tcPr>
          <w:p>
            <w:pPr>
              <w:spacing w:after="0"/>
              <w:rPr>
                <w:sz w:val="20"/>
                <w:szCs w:val="20"/>
                <w:color w:val="auto"/>
              </w:rPr>
            </w:pPr>
            <w:r>
              <w:rPr>
                <w:rFonts w:ascii="Arial" w:cs="Arial" w:eastAsia="Arial" w:hAnsi="Arial"/>
                <w:sz w:val="16"/>
                <w:szCs w:val="16"/>
                <w:color w:val="auto"/>
              </w:rPr>
              <w:t>Current assets:</w:t>
            </w:r>
          </w:p>
        </w:tc>
        <w:tc>
          <w:tcPr>
            <w:tcW w:w="6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48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Cash and cash equivalents</w:t>
            </w:r>
          </w:p>
        </w:tc>
        <w:tc>
          <w:tcPr>
            <w:tcW w:w="680" w:type="dxa"/>
            <w:vAlign w:val="bottom"/>
            <w:gridSpan w:val="2"/>
            <w:shd w:val="clear" w:color="auto" w:fill="CFF0FC"/>
          </w:tcPr>
          <w:p>
            <w:pPr>
              <w:jc w:val="right"/>
              <w:ind w:right="127"/>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106,030</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63,902</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480" w:type="dxa"/>
            <w:vAlign w:val="bottom"/>
            <w:gridSpan w:val="2"/>
          </w:tcPr>
          <w:p>
            <w:pPr>
              <w:ind w:left="220"/>
              <w:spacing w:after="0"/>
              <w:rPr>
                <w:sz w:val="20"/>
                <w:szCs w:val="20"/>
                <w:color w:val="auto"/>
              </w:rPr>
            </w:pPr>
            <w:r>
              <w:rPr>
                <w:rFonts w:ascii="Arial" w:cs="Arial" w:eastAsia="Arial" w:hAnsi="Arial"/>
                <w:sz w:val="16"/>
                <w:szCs w:val="16"/>
                <w:color w:val="auto"/>
              </w:rPr>
              <w:t>Short-term marketable securities</w:t>
            </w: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264,127</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244,828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48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Accounts receivable</w:t>
            </w:r>
          </w:p>
        </w:tc>
        <w:tc>
          <w:tcPr>
            <w:tcW w:w="4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39,631</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67,205</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480" w:type="dxa"/>
            <w:vAlign w:val="bottom"/>
            <w:tcBorders>
              <w:bottom w:val="single" w:sz="8" w:color="CFF0FC"/>
            </w:tcBorders>
            <w:gridSpan w:val="2"/>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40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14,052</w:t>
            </w:r>
          </w:p>
        </w:tc>
        <w:tc>
          <w:tcPr>
            <w:tcW w:w="28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4,454</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480" w:type="dxa"/>
            <w:vAlign w:val="bottom"/>
            <w:gridSpan w:val="2"/>
            <w:shd w:val="clear" w:color="auto" w:fill="CFF0FC"/>
          </w:tcPr>
          <w:p>
            <w:pPr>
              <w:ind w:left="420"/>
              <w:spacing w:after="0"/>
              <w:rPr>
                <w:sz w:val="20"/>
                <w:szCs w:val="20"/>
                <w:color w:val="auto"/>
              </w:rPr>
            </w:pPr>
            <w:r>
              <w:rPr>
                <w:rFonts w:ascii="Arial" w:cs="Arial" w:eastAsia="Arial" w:hAnsi="Arial"/>
                <w:sz w:val="16"/>
                <w:szCs w:val="16"/>
                <w:color w:val="auto"/>
              </w:rPr>
              <w:t>Total current assets</w:t>
            </w:r>
          </w:p>
        </w:tc>
        <w:tc>
          <w:tcPr>
            <w:tcW w:w="4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423,840</w:t>
            </w:r>
          </w:p>
        </w:tc>
        <w:tc>
          <w:tcPr>
            <w:tcW w:w="2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380,389</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7480" w:type="dxa"/>
            <w:vAlign w:val="bottom"/>
            <w:gridSpan w:val="2"/>
          </w:tcPr>
          <w:p>
            <w:pPr>
              <w:spacing w:after="0"/>
              <w:rPr>
                <w:sz w:val="20"/>
                <w:szCs w:val="20"/>
                <w:color w:val="auto"/>
              </w:rPr>
            </w:pPr>
            <w:r>
              <w:rPr>
                <w:rFonts w:ascii="Arial" w:cs="Arial" w:eastAsia="Arial" w:hAnsi="Arial"/>
                <w:sz w:val="16"/>
                <w:szCs w:val="16"/>
                <w:color w:val="auto"/>
              </w:rPr>
              <w:t>Long-term marketable securities</w:t>
            </w: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16,510</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16,389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4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Property and equipment, net</w:t>
            </w:r>
          </w:p>
        </w:tc>
        <w:tc>
          <w:tcPr>
            <w:tcW w:w="4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11,476</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8,374</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480" w:type="dxa"/>
            <w:vAlign w:val="bottom"/>
            <w:gridSpan w:val="2"/>
          </w:tcPr>
          <w:p>
            <w:pPr>
              <w:spacing w:after="0"/>
              <w:rPr>
                <w:sz w:val="20"/>
                <w:szCs w:val="20"/>
                <w:color w:val="auto"/>
              </w:rPr>
            </w:pPr>
            <w:r>
              <w:rPr>
                <w:rFonts w:ascii="Arial" w:cs="Arial" w:eastAsia="Arial" w:hAnsi="Arial"/>
                <w:sz w:val="16"/>
                <w:szCs w:val="16"/>
                <w:color w:val="auto"/>
              </w:rPr>
              <w:t>Deferred tax assets</w:t>
            </w: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9,052</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8,375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160" w:type="dxa"/>
            <w:vAlign w:val="bottom"/>
            <w:shd w:val="clear" w:color="auto" w:fill="CFF0FC"/>
          </w:tcPr>
          <w:p>
            <w:pPr>
              <w:spacing w:after="0"/>
              <w:rPr>
                <w:sz w:val="20"/>
                <w:szCs w:val="20"/>
                <w:color w:val="auto"/>
              </w:rPr>
            </w:pPr>
            <w:r>
              <w:rPr>
                <w:rFonts w:ascii="Arial" w:cs="Arial" w:eastAsia="Arial" w:hAnsi="Arial"/>
                <w:sz w:val="16"/>
                <w:szCs w:val="16"/>
                <w:color w:val="auto"/>
              </w:rPr>
              <w:t>Restricted cash</w:t>
            </w:r>
          </w:p>
        </w:tc>
        <w:tc>
          <w:tcPr>
            <w:tcW w:w="63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608</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608</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480" w:type="dxa"/>
            <w:vAlign w:val="bottom"/>
            <w:tcBorders>
              <w:bottom w:val="single" w:sz="8" w:color="CFF0FC"/>
            </w:tcBorders>
            <w:gridSpan w:val="2"/>
          </w:tcPr>
          <w:p>
            <w:pPr>
              <w:spacing w:after="0"/>
              <w:rPr>
                <w:sz w:val="20"/>
                <w:szCs w:val="20"/>
                <w:color w:val="auto"/>
              </w:rPr>
            </w:pPr>
            <w:r>
              <w:rPr>
                <w:rFonts w:ascii="Arial" w:cs="Arial" w:eastAsia="Arial" w:hAnsi="Arial"/>
                <w:sz w:val="16"/>
                <w:szCs w:val="16"/>
                <w:color w:val="auto"/>
              </w:rPr>
              <w:t>Other long-term assets</w:t>
            </w:r>
          </w:p>
        </w:tc>
        <w:tc>
          <w:tcPr>
            <w:tcW w:w="40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28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160" w:type="dxa"/>
            <w:vAlign w:val="bottom"/>
            <w:tcBorders>
              <w:bottom w:val="single" w:sz="8" w:color="CFF0FC"/>
            </w:tcBorders>
            <w:shd w:val="clear" w:color="auto" w:fill="CFF0FC"/>
          </w:tcPr>
          <w:p>
            <w:pPr>
              <w:ind w:left="420"/>
              <w:spacing w:after="0"/>
              <w:rPr>
                <w:sz w:val="20"/>
                <w:szCs w:val="20"/>
                <w:color w:val="auto"/>
              </w:rPr>
            </w:pPr>
            <w:r>
              <w:rPr>
                <w:rFonts w:ascii="Arial" w:cs="Arial" w:eastAsia="Arial" w:hAnsi="Arial"/>
                <w:sz w:val="16"/>
                <w:szCs w:val="16"/>
                <w:color w:val="auto"/>
                <w:w w:val="83"/>
              </w:rPr>
              <w:t>Total assets</w:t>
            </w:r>
          </w:p>
        </w:tc>
        <w:tc>
          <w:tcPr>
            <w:tcW w:w="6320" w:type="dxa"/>
            <w:vAlign w:val="bottom"/>
            <w:tcBorders>
              <w:bottom w:val="single" w:sz="8" w:color="CFF0FC"/>
            </w:tcBorders>
            <w:shd w:val="clear" w:color="auto" w:fill="CFF0FC"/>
          </w:tcPr>
          <w:p>
            <w:pPr>
              <w:spacing w:after="0"/>
              <w:rPr>
                <w:sz w:val="16"/>
                <w:szCs w:val="16"/>
                <w:color w:val="auto"/>
              </w:rPr>
            </w:pPr>
          </w:p>
        </w:tc>
        <w:tc>
          <w:tcPr>
            <w:tcW w:w="40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461,578</w:t>
            </w:r>
          </w:p>
        </w:tc>
        <w:tc>
          <w:tcPr>
            <w:tcW w:w="28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414,227</w:t>
            </w: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48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160" w:type="dxa"/>
            <w:vAlign w:val="bottom"/>
            <w:shd w:val="clear" w:color="auto" w:fill="CFF0FC"/>
          </w:tcPr>
          <w:p>
            <w:pPr>
              <w:spacing w:after="0"/>
              <w:rPr>
                <w:sz w:val="20"/>
                <w:szCs w:val="20"/>
                <w:color w:val="auto"/>
              </w:rPr>
            </w:pPr>
            <w:r>
              <w:rPr>
                <w:rFonts w:ascii="Arial" w:cs="Arial" w:eastAsia="Arial" w:hAnsi="Arial"/>
                <w:sz w:val="16"/>
                <w:szCs w:val="16"/>
                <w:color w:val="auto"/>
                <w:w w:val="92"/>
              </w:rPr>
              <w:t>Current liabilities:</w:t>
            </w:r>
          </w:p>
        </w:tc>
        <w:tc>
          <w:tcPr>
            <w:tcW w:w="63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480" w:type="dxa"/>
            <w:vAlign w:val="bottom"/>
            <w:gridSpan w:val="2"/>
          </w:tcPr>
          <w:p>
            <w:pPr>
              <w:ind w:left="220"/>
              <w:spacing w:after="0"/>
              <w:rPr>
                <w:sz w:val="20"/>
                <w:szCs w:val="20"/>
                <w:color w:val="auto"/>
              </w:rPr>
            </w:pPr>
            <w:r>
              <w:rPr>
                <w:rFonts w:ascii="Arial" w:cs="Arial" w:eastAsia="Arial" w:hAnsi="Arial"/>
                <w:sz w:val="16"/>
                <w:szCs w:val="16"/>
                <w:color w:val="auto"/>
              </w:rPr>
              <w:t>Accounts payable</w:t>
            </w:r>
          </w:p>
        </w:tc>
        <w:tc>
          <w:tcPr>
            <w:tcW w:w="680" w:type="dxa"/>
            <w:vAlign w:val="bottom"/>
            <w:gridSpan w:val="2"/>
          </w:tcPr>
          <w:p>
            <w:pPr>
              <w:jc w:val="right"/>
              <w:ind w:right="127"/>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8,884</w:t>
            </w:r>
          </w:p>
        </w:tc>
        <w:tc>
          <w:tcPr>
            <w:tcW w:w="280" w:type="dxa"/>
            <w:vAlign w:val="bottom"/>
          </w:tcPr>
          <w:p>
            <w:pPr>
              <w:spacing w:after="0"/>
              <w:rPr>
                <w:sz w:val="17"/>
                <w:szCs w:val="17"/>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4,745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48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Accrued expenses and other current liabilities</w:t>
            </w:r>
          </w:p>
        </w:tc>
        <w:tc>
          <w:tcPr>
            <w:tcW w:w="4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11,607</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9,892</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480" w:type="dxa"/>
            <w:vAlign w:val="bottom"/>
            <w:gridSpan w:val="2"/>
          </w:tcPr>
          <w:p>
            <w:pPr>
              <w:ind w:left="220"/>
              <w:spacing w:after="0"/>
              <w:rPr>
                <w:sz w:val="20"/>
                <w:szCs w:val="20"/>
                <w:color w:val="auto"/>
              </w:rPr>
            </w:pPr>
            <w:r>
              <w:rPr>
                <w:rFonts w:ascii="Arial" w:cs="Arial" w:eastAsia="Arial" w:hAnsi="Arial"/>
                <w:sz w:val="16"/>
                <w:szCs w:val="16"/>
                <w:color w:val="auto"/>
              </w:rPr>
              <w:t>Income taxes payable</w:t>
            </w: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1,388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480" w:type="dxa"/>
            <w:vAlign w:val="bottom"/>
            <w:tcBorders>
              <w:top w:val="single" w:sz="8" w:color="CFF0FC"/>
            </w:tcBorders>
            <w:gridSpan w:val="2"/>
            <w:shd w:val="clear" w:color="auto" w:fill="CFF0FC"/>
          </w:tcPr>
          <w:p>
            <w:pPr>
              <w:ind w:left="420"/>
              <w:spacing w:after="0"/>
              <w:rPr>
                <w:sz w:val="20"/>
                <w:szCs w:val="20"/>
                <w:color w:val="auto"/>
              </w:rPr>
            </w:pPr>
            <w:r>
              <w:rPr>
                <w:rFonts w:ascii="Arial" w:cs="Arial" w:eastAsia="Arial" w:hAnsi="Arial"/>
                <w:sz w:val="16"/>
                <w:szCs w:val="16"/>
                <w:color w:val="auto"/>
              </w:rPr>
              <w:t>Total current liabilities</w:t>
            </w:r>
          </w:p>
        </w:tc>
        <w:tc>
          <w:tcPr>
            <w:tcW w:w="400" w:type="dxa"/>
            <w:vAlign w:val="bottom"/>
            <w:tcBorders>
              <w:top w:val="single" w:sz="8" w:color="CFF0FC"/>
            </w:tcBorders>
            <w:shd w:val="clear" w:color="auto" w:fill="CFF0FC"/>
          </w:tcPr>
          <w:p>
            <w:pPr>
              <w:spacing w:after="0"/>
              <w:rPr>
                <w:sz w:val="16"/>
                <w:szCs w:val="16"/>
                <w:color w:val="auto"/>
              </w:rPr>
            </w:pPr>
          </w:p>
        </w:tc>
        <w:tc>
          <w:tcPr>
            <w:tcW w:w="280" w:type="dxa"/>
            <w:vAlign w:val="bottom"/>
            <w:tcBorders>
              <w:top w:val="single" w:sz="8" w:color="auto"/>
            </w:tcBorders>
            <w:shd w:val="clear" w:color="auto" w:fill="CFF0FC"/>
          </w:tcPr>
          <w:p>
            <w:pPr>
              <w:spacing w:after="0"/>
              <w:rPr>
                <w:sz w:val="16"/>
                <w:szCs w:val="16"/>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20,491</w:t>
            </w:r>
          </w:p>
        </w:tc>
        <w:tc>
          <w:tcPr>
            <w:tcW w:w="280" w:type="dxa"/>
            <w:vAlign w:val="bottom"/>
            <w:tcBorders>
              <w:top w:val="single" w:sz="8" w:color="CFF0FC"/>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16,025</w:t>
            </w:r>
          </w:p>
        </w:tc>
        <w:tc>
          <w:tcPr>
            <w:tcW w:w="12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7480" w:type="dxa"/>
            <w:vAlign w:val="bottom"/>
            <w:gridSpan w:val="2"/>
          </w:tcPr>
          <w:p>
            <w:pPr>
              <w:spacing w:after="0"/>
              <w:rPr>
                <w:sz w:val="20"/>
                <w:szCs w:val="20"/>
                <w:color w:val="auto"/>
              </w:rPr>
            </w:pPr>
            <w:r>
              <w:rPr>
                <w:rFonts w:ascii="Arial" w:cs="Arial" w:eastAsia="Arial" w:hAnsi="Arial"/>
                <w:sz w:val="16"/>
                <w:szCs w:val="16"/>
                <w:color w:val="auto"/>
              </w:rPr>
              <w:t>Series 1 nonconvertible preferred stock</w:t>
            </w: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1,628</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1,628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4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Other long-term liabilities</w:t>
            </w:r>
          </w:p>
        </w:tc>
        <w:tc>
          <w:tcPr>
            <w:tcW w:w="400" w:type="dxa"/>
            <w:vAlign w:val="bottom"/>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3,249</w:t>
            </w:r>
          </w:p>
        </w:tc>
        <w:tc>
          <w:tcPr>
            <w:tcW w:w="280" w:type="dxa"/>
            <w:vAlign w:val="bottom"/>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2,895</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7480" w:type="dxa"/>
            <w:vAlign w:val="bottom"/>
            <w:gridSpan w:val="2"/>
          </w:tcPr>
          <w:p>
            <w:pPr>
              <w:ind w:left="420"/>
              <w:spacing w:after="0"/>
              <w:rPr>
                <w:sz w:val="20"/>
                <w:szCs w:val="20"/>
                <w:color w:val="auto"/>
              </w:rPr>
            </w:pPr>
            <w:r>
              <w:rPr>
                <w:rFonts w:ascii="Arial" w:cs="Arial" w:eastAsia="Arial" w:hAnsi="Arial"/>
                <w:sz w:val="16"/>
                <w:szCs w:val="16"/>
                <w:color w:val="auto"/>
              </w:rPr>
              <w:t>Total liabilities</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25,368</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20,548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74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Commitments and contingencies (Note 11)</w:t>
            </w:r>
          </w:p>
        </w:tc>
        <w:tc>
          <w:tcPr>
            <w:tcW w:w="4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480" w:type="dxa"/>
            <w:vAlign w:val="bottom"/>
            <w:gridSpan w:val="2"/>
          </w:tcPr>
          <w:p>
            <w:pPr>
              <w:spacing w:after="0"/>
              <w:rPr>
                <w:sz w:val="20"/>
                <w:szCs w:val="20"/>
                <w:color w:val="auto"/>
              </w:rPr>
            </w:pPr>
            <w:r>
              <w:rPr>
                <w:rFonts w:ascii="Arial" w:cs="Arial" w:eastAsia="Arial" w:hAnsi="Arial"/>
                <w:sz w:val="16"/>
                <w:szCs w:val="16"/>
                <w:color w:val="auto"/>
              </w:rPr>
              <w:t>Stockholders' equity:</w:t>
            </w: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48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Common stock; $0.01 par value per share, 100,000 shares authorized; 19,669 and</w:t>
            </w:r>
          </w:p>
        </w:tc>
        <w:tc>
          <w:tcPr>
            <w:tcW w:w="4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80" w:type="dxa"/>
            <w:vAlign w:val="bottom"/>
            <w:gridSpan w:val="2"/>
            <w:shd w:val="clear" w:color="auto" w:fill="CFF0FC"/>
          </w:tcPr>
          <w:p>
            <w:pPr>
              <w:ind w:left="320"/>
              <w:spacing w:after="0"/>
              <w:rPr>
                <w:sz w:val="20"/>
                <w:szCs w:val="20"/>
                <w:color w:val="auto"/>
              </w:rPr>
            </w:pPr>
            <w:r>
              <w:rPr>
                <w:rFonts w:ascii="Arial" w:cs="Arial" w:eastAsia="Arial" w:hAnsi="Arial"/>
                <w:sz w:val="16"/>
                <w:szCs w:val="16"/>
                <w:color w:val="auto"/>
              </w:rPr>
              <w:t>19,395 shares issued and outstanding at March 31, 2019 and</w:t>
            </w:r>
          </w:p>
        </w:tc>
        <w:tc>
          <w:tcPr>
            <w:tcW w:w="4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7480" w:type="dxa"/>
            <w:vAlign w:val="bottom"/>
            <w:gridSpan w:val="2"/>
            <w:shd w:val="clear" w:color="auto" w:fill="CFF0FC"/>
          </w:tcPr>
          <w:p>
            <w:pPr>
              <w:ind w:left="320"/>
              <w:spacing w:after="0"/>
              <w:rPr>
                <w:sz w:val="20"/>
                <w:szCs w:val="20"/>
                <w:color w:val="auto"/>
              </w:rPr>
            </w:pPr>
            <w:r>
              <w:rPr>
                <w:rFonts w:ascii="Arial" w:cs="Arial" w:eastAsia="Arial" w:hAnsi="Arial"/>
                <w:sz w:val="16"/>
                <w:szCs w:val="16"/>
                <w:color w:val="auto"/>
              </w:rPr>
              <w:t>September 30, 2018, respectively</w:t>
            </w:r>
          </w:p>
        </w:tc>
        <w:tc>
          <w:tcPr>
            <w:tcW w:w="4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197</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194</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480" w:type="dxa"/>
            <w:vAlign w:val="bottom"/>
            <w:gridSpan w:val="2"/>
          </w:tcPr>
          <w:p>
            <w:pPr>
              <w:ind w:left="220"/>
              <w:spacing w:after="0"/>
              <w:rPr>
                <w:sz w:val="20"/>
                <w:szCs w:val="20"/>
                <w:color w:val="auto"/>
              </w:rPr>
            </w:pPr>
            <w:r>
              <w:rPr>
                <w:rFonts w:ascii="Arial" w:cs="Arial" w:eastAsia="Arial" w:hAnsi="Arial"/>
                <w:sz w:val="16"/>
                <w:szCs w:val="16"/>
                <w:color w:val="auto"/>
              </w:rPr>
              <w:t>Additional paid-in capital</w:t>
            </w: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288,512</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276,526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48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Accumulated other comprehensive loss</w:t>
            </w:r>
          </w:p>
        </w:tc>
        <w:tc>
          <w:tcPr>
            <w:tcW w:w="4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(12)</w:t>
            </w:r>
          </w:p>
        </w:tc>
        <w:tc>
          <w:tcPr>
            <w:tcW w:w="26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(398)</w:t>
            </w:r>
          </w:p>
        </w:tc>
        <w:tc>
          <w:tcPr>
            <w:tcW w:w="0" w:type="dxa"/>
            <w:vAlign w:val="bottom"/>
          </w:tcPr>
          <w:p>
            <w:pPr>
              <w:spacing w:after="0"/>
              <w:rPr>
                <w:sz w:val="1"/>
                <w:szCs w:val="1"/>
                <w:color w:val="auto"/>
              </w:rPr>
            </w:pPr>
          </w:p>
        </w:tc>
      </w:tr>
      <w:tr>
        <w:trPr>
          <w:trHeight w:val="201"/>
        </w:trPr>
        <w:tc>
          <w:tcPr>
            <w:tcW w:w="7480" w:type="dxa"/>
            <w:vAlign w:val="bottom"/>
            <w:tcBorders>
              <w:bottom w:val="single" w:sz="8" w:color="CFF0FC"/>
            </w:tcBorders>
            <w:gridSpan w:val="2"/>
          </w:tcPr>
          <w:p>
            <w:pPr>
              <w:ind w:left="220"/>
              <w:spacing w:after="0"/>
              <w:rPr>
                <w:sz w:val="20"/>
                <w:szCs w:val="20"/>
                <w:color w:val="auto"/>
              </w:rPr>
            </w:pPr>
            <w:r>
              <w:rPr>
                <w:rFonts w:ascii="Arial" w:cs="Arial" w:eastAsia="Arial" w:hAnsi="Arial"/>
                <w:sz w:val="16"/>
                <w:szCs w:val="16"/>
                <w:color w:val="auto"/>
              </w:rPr>
              <w:t>Retained earnings</w:t>
            </w:r>
          </w:p>
        </w:tc>
        <w:tc>
          <w:tcPr>
            <w:tcW w:w="40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147,513</w:t>
            </w:r>
          </w:p>
        </w:tc>
        <w:tc>
          <w:tcPr>
            <w:tcW w:w="28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117,357</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480" w:type="dxa"/>
            <w:vAlign w:val="bottom"/>
            <w:gridSpan w:val="2"/>
            <w:shd w:val="clear" w:color="auto" w:fill="CFF0FC"/>
          </w:tcPr>
          <w:p>
            <w:pPr>
              <w:ind w:left="420"/>
              <w:spacing w:after="0"/>
              <w:rPr>
                <w:sz w:val="20"/>
                <w:szCs w:val="20"/>
                <w:color w:val="auto"/>
              </w:rPr>
            </w:pPr>
            <w:r>
              <w:rPr>
                <w:rFonts w:ascii="Arial" w:cs="Arial" w:eastAsia="Arial" w:hAnsi="Arial"/>
                <w:sz w:val="16"/>
                <w:szCs w:val="16"/>
                <w:color w:val="auto"/>
              </w:rPr>
              <w:t>Total stockholders' equity</w:t>
            </w:r>
          </w:p>
        </w:tc>
        <w:tc>
          <w:tcPr>
            <w:tcW w:w="400" w:type="dxa"/>
            <w:vAlign w:val="bottom"/>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436,210</w:t>
            </w:r>
          </w:p>
        </w:tc>
        <w:tc>
          <w:tcPr>
            <w:tcW w:w="28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393,679</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480" w:type="dxa"/>
            <w:vAlign w:val="bottom"/>
            <w:gridSpan w:val="2"/>
          </w:tcPr>
          <w:p>
            <w:pPr>
              <w:ind w:left="420"/>
              <w:spacing w:after="0"/>
              <w:rPr>
                <w:sz w:val="20"/>
                <w:szCs w:val="20"/>
                <w:color w:val="auto"/>
              </w:rPr>
            </w:pPr>
            <w:r>
              <w:rPr>
                <w:rFonts w:ascii="Arial" w:cs="Arial" w:eastAsia="Arial" w:hAnsi="Arial"/>
                <w:sz w:val="16"/>
                <w:szCs w:val="16"/>
                <w:color w:val="auto"/>
              </w:rPr>
              <w:t>Total liabilities and stockholders' equity</w:t>
            </w:r>
          </w:p>
        </w:tc>
        <w:tc>
          <w:tcPr>
            <w:tcW w:w="400" w:type="dxa"/>
            <w:vAlign w:val="bottom"/>
          </w:tcPr>
          <w:p>
            <w:pPr>
              <w:spacing w:after="0"/>
              <w:rPr>
                <w:sz w:val="16"/>
                <w:szCs w:val="16"/>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461,578</w:t>
            </w:r>
          </w:p>
        </w:tc>
        <w:tc>
          <w:tcPr>
            <w:tcW w:w="280" w:type="dxa"/>
            <w:vAlign w:val="bottom"/>
          </w:tcPr>
          <w:p>
            <w:pPr>
              <w:spacing w:after="0"/>
              <w:rPr>
                <w:sz w:val="16"/>
                <w:szCs w:val="16"/>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414,227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19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58420</wp:posOffset>
            </wp:positionV>
            <wp:extent cx="730377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12" w:right="21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6"/>
          <w:szCs w:val="16"/>
          <w:b w:val="1"/>
          <w:bCs w:val="1"/>
          <w:color w:val="auto"/>
        </w:rPr>
        <w:t>ENANTA PHARMACEUTICALS,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gridSpan w:val="3"/>
          </w:tcPr>
          <w:p>
            <w:pPr>
              <w:jc w:val="right"/>
              <w:spacing w:after="0"/>
              <w:rPr>
                <w:sz w:val="20"/>
                <w:szCs w:val="20"/>
                <w:color w:val="auto"/>
              </w:rPr>
            </w:pPr>
            <w:r>
              <w:rPr>
                <w:rFonts w:ascii="Arial" w:cs="Arial" w:eastAsia="Arial" w:hAnsi="Arial"/>
                <w:sz w:val="13"/>
                <w:szCs w:val="13"/>
                <w:b w:val="1"/>
                <w:bCs w:val="1"/>
                <w:color w:val="auto"/>
              </w:rPr>
              <w:t>Three Months Ended</w:t>
            </w: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4"/>
          </w:tcPr>
          <w:p>
            <w:pPr>
              <w:jc w:val="right"/>
              <w:spacing w:after="0"/>
              <w:rPr>
                <w:sz w:val="20"/>
                <w:szCs w:val="20"/>
                <w:color w:val="auto"/>
              </w:rPr>
            </w:pPr>
            <w:r>
              <w:rPr>
                <w:rFonts w:ascii="Arial" w:cs="Arial" w:eastAsia="Arial" w:hAnsi="Arial"/>
                <w:sz w:val="13"/>
                <w:szCs w:val="13"/>
                <w:b w:val="1"/>
                <w:bCs w:val="1"/>
                <w:color w:val="auto"/>
              </w:rPr>
              <w:t>Six Months Ended</w:t>
            </w: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3"/>
          </w:tcPr>
          <w:p>
            <w:pPr>
              <w:jc w:val="right"/>
              <w:ind w:right="247"/>
              <w:spacing w:after="0"/>
              <w:rPr>
                <w:sz w:val="20"/>
                <w:szCs w:val="20"/>
                <w:color w:val="auto"/>
              </w:rPr>
            </w:pPr>
            <w:r>
              <w:rPr>
                <w:rFonts w:ascii="Arial" w:cs="Arial" w:eastAsia="Arial" w:hAnsi="Arial"/>
                <w:sz w:val="13"/>
                <w:szCs w:val="13"/>
                <w:b w:val="1"/>
                <w:bCs w:val="1"/>
                <w:color w:val="auto"/>
              </w:rPr>
              <w:t>March 31,</w:t>
            </w:r>
          </w:p>
        </w:tc>
        <w:tc>
          <w:tcPr>
            <w:tcW w:w="7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4"/>
          </w:tcPr>
          <w:p>
            <w:pPr>
              <w:jc w:val="right"/>
              <w:ind w:right="207"/>
              <w:spacing w:after="0"/>
              <w:rPr>
                <w:sz w:val="20"/>
                <w:szCs w:val="20"/>
                <w:color w:val="auto"/>
              </w:rPr>
            </w:pPr>
            <w:r>
              <w:rPr>
                <w:rFonts w:ascii="Arial" w:cs="Arial" w:eastAsia="Arial" w:hAnsi="Arial"/>
                <w:sz w:val="13"/>
                <w:szCs w:val="13"/>
                <w:b w:val="1"/>
                <w:bCs w:val="1"/>
                <w:color w:val="auto"/>
              </w:rPr>
              <w:t>March 31,</w:t>
            </w:r>
          </w:p>
        </w:tc>
        <w:tc>
          <w:tcPr>
            <w:tcW w:w="7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100" w:type="dxa"/>
            <w:vAlign w:val="bottom"/>
            <w:tcBorders>
              <w:bottom w:val="single" w:sz="8" w:color="CFF0FC"/>
            </w:tcBorders>
          </w:tcPr>
          <w:p>
            <w:pPr>
              <w:spacing w:after="0"/>
              <w:rPr>
                <w:sz w:val="11"/>
                <w:szCs w:val="11"/>
                <w:color w:val="auto"/>
              </w:rPr>
            </w:pPr>
          </w:p>
        </w:tc>
        <w:tc>
          <w:tcPr>
            <w:tcW w:w="1740" w:type="dxa"/>
            <w:vAlign w:val="bottom"/>
            <w:tcBorders>
              <w:bottom w:val="single" w:sz="8" w:color="CFF0FC"/>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364"/>
              <w:spacing w:after="0" w:line="134" w:lineRule="exact"/>
              <w:rPr>
                <w:sz w:val="20"/>
                <w:szCs w:val="20"/>
                <w:color w:val="auto"/>
              </w:rPr>
            </w:pPr>
            <w:r>
              <w:rPr>
                <w:rFonts w:ascii="Arial" w:cs="Arial" w:eastAsia="Arial" w:hAnsi="Arial"/>
                <w:sz w:val="13"/>
                <w:szCs w:val="13"/>
                <w:b w:val="1"/>
                <w:bCs w:val="1"/>
                <w:color w:val="auto"/>
              </w:rPr>
              <w:t>2019</w:t>
            </w:r>
          </w:p>
        </w:tc>
        <w:tc>
          <w:tcPr>
            <w:tcW w:w="320" w:type="dxa"/>
            <w:vAlign w:val="bottom"/>
            <w:tcBorders>
              <w:bottom w:val="single" w:sz="8" w:color="CFF0FC"/>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362"/>
              <w:spacing w:after="0" w:line="134" w:lineRule="exact"/>
              <w:rPr>
                <w:sz w:val="20"/>
                <w:szCs w:val="20"/>
                <w:color w:val="auto"/>
              </w:rPr>
            </w:pPr>
            <w:r>
              <w:rPr>
                <w:rFonts w:ascii="Arial" w:cs="Arial" w:eastAsia="Arial" w:hAnsi="Arial"/>
                <w:sz w:val="13"/>
                <w:szCs w:val="13"/>
                <w:b w:val="1"/>
                <w:bCs w:val="1"/>
                <w:color w:val="auto"/>
                <w:w w:val="82"/>
              </w:rPr>
              <w:t>2018</w:t>
            </w:r>
          </w:p>
        </w:tc>
        <w:tc>
          <w:tcPr>
            <w:tcW w:w="80" w:type="dxa"/>
            <w:vAlign w:val="bottom"/>
            <w:tcBorders>
              <w:bottom w:val="single" w:sz="8" w:color="CFF0FC"/>
            </w:tcBorders>
          </w:tcPr>
          <w:p>
            <w:pPr>
              <w:spacing w:after="0"/>
              <w:rPr>
                <w:sz w:val="11"/>
                <w:szCs w:val="11"/>
                <w:color w:val="auto"/>
              </w:rPr>
            </w:pPr>
          </w:p>
        </w:tc>
        <w:tc>
          <w:tcPr>
            <w:tcW w:w="220" w:type="dxa"/>
            <w:vAlign w:val="bottom"/>
            <w:tcBorders>
              <w:bottom w:val="single" w:sz="8" w:color="CFF0FC"/>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364"/>
              <w:spacing w:after="0" w:line="134" w:lineRule="exact"/>
              <w:rPr>
                <w:sz w:val="20"/>
                <w:szCs w:val="20"/>
                <w:color w:val="auto"/>
              </w:rPr>
            </w:pPr>
            <w:r>
              <w:rPr>
                <w:rFonts w:ascii="Arial" w:cs="Arial" w:eastAsia="Arial" w:hAnsi="Arial"/>
                <w:sz w:val="13"/>
                <w:szCs w:val="13"/>
                <w:b w:val="1"/>
                <w:bCs w:val="1"/>
                <w:color w:val="auto"/>
              </w:rPr>
              <w:t>2019</w:t>
            </w:r>
          </w:p>
        </w:tc>
        <w:tc>
          <w:tcPr>
            <w:tcW w:w="18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382"/>
              <w:spacing w:after="0" w:line="134" w:lineRule="exact"/>
              <w:rPr>
                <w:sz w:val="20"/>
                <w:szCs w:val="20"/>
                <w:color w:val="auto"/>
              </w:rPr>
            </w:pPr>
            <w:r>
              <w:rPr>
                <w:rFonts w:ascii="Arial" w:cs="Arial" w:eastAsia="Arial" w:hAnsi="Arial"/>
                <w:sz w:val="13"/>
                <w:szCs w:val="13"/>
                <w:b w:val="1"/>
                <w:bCs w:val="1"/>
                <w:color w:val="auto"/>
                <w:w w:val="96"/>
              </w:rPr>
              <w:t>2018</w:t>
            </w:r>
          </w:p>
        </w:tc>
        <w:tc>
          <w:tcPr>
            <w:tcW w:w="12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6"/>
                <w:szCs w:val="16"/>
                <w:color w:val="auto"/>
              </w:rPr>
              <w:t>Revenue</w:t>
            </w:r>
          </w:p>
        </w:tc>
        <w:tc>
          <w:tcPr>
            <w:tcW w:w="17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100" w:type="dxa"/>
            <w:vAlign w:val="bottom"/>
          </w:tcPr>
          <w:p>
            <w:pPr>
              <w:ind w:left="200"/>
              <w:spacing w:after="0"/>
              <w:rPr>
                <w:sz w:val="20"/>
                <w:szCs w:val="20"/>
                <w:color w:val="auto"/>
              </w:rPr>
            </w:pPr>
            <w:r>
              <w:rPr>
                <w:rFonts w:ascii="Arial" w:cs="Arial" w:eastAsia="Arial" w:hAnsi="Arial"/>
                <w:sz w:val="16"/>
                <w:szCs w:val="16"/>
                <w:color w:val="auto"/>
              </w:rPr>
              <w:t>Royalties</w:t>
            </w:r>
          </w:p>
        </w:tc>
        <w:tc>
          <w:tcPr>
            <w:tcW w:w="2000" w:type="dxa"/>
            <w:vAlign w:val="bottom"/>
            <w:gridSpan w:val="2"/>
          </w:tcPr>
          <w:p>
            <w:pPr>
              <w:jc w:val="right"/>
              <w:ind w:right="107"/>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39,631</w:t>
            </w:r>
          </w:p>
        </w:tc>
        <w:tc>
          <w:tcPr>
            <w:tcW w:w="320" w:type="dxa"/>
            <w:vAlign w:val="bottom"/>
          </w:tcPr>
          <w:p>
            <w:pPr>
              <w:spacing w:after="0"/>
              <w:rPr>
                <w:sz w:val="17"/>
                <w:szCs w:val="17"/>
                <w:color w:val="auto"/>
              </w:rPr>
            </w:pP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44,049</w:t>
            </w:r>
          </w:p>
        </w:tc>
        <w:tc>
          <w:tcPr>
            <w:tcW w:w="80" w:type="dxa"/>
            <w:vAlign w:val="bottom"/>
          </w:tcPr>
          <w:p>
            <w:pPr>
              <w:spacing w:after="0"/>
              <w:rPr>
                <w:sz w:val="17"/>
                <w:szCs w:val="17"/>
                <w:color w:val="auto"/>
              </w:rPr>
            </w:pPr>
          </w:p>
        </w:tc>
        <w:tc>
          <w:tcPr>
            <w:tcW w:w="480" w:type="dxa"/>
            <w:vAlign w:val="bottom"/>
            <w:gridSpan w:val="2"/>
          </w:tcPr>
          <w:p>
            <w:pPr>
              <w:jc w:val="right"/>
              <w:ind w:right="107"/>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109,517</w:t>
            </w:r>
          </w:p>
        </w:tc>
        <w:tc>
          <w:tcPr>
            <w:tcW w:w="180" w:type="dxa"/>
            <w:vAlign w:val="bottom"/>
          </w:tcPr>
          <w:p>
            <w:pPr>
              <w:spacing w:after="0"/>
              <w:rPr>
                <w:sz w:val="17"/>
                <w:szCs w:val="17"/>
                <w:color w:val="auto"/>
              </w:rPr>
            </w:pPr>
          </w:p>
        </w:tc>
        <w:tc>
          <w:tcPr>
            <w:tcW w:w="520" w:type="dxa"/>
            <w:vAlign w:val="bottom"/>
            <w:gridSpan w:val="2"/>
          </w:tcPr>
          <w:p>
            <w:pPr>
              <w:jc w:val="right"/>
              <w:ind w:right="247"/>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67,158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1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Milestones</w:t>
            </w:r>
          </w:p>
        </w:tc>
        <w:tc>
          <w:tcPr>
            <w:tcW w:w="17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jc w:val="right"/>
              <w:ind w:right="84"/>
              <w:spacing w:after="0"/>
              <w:rPr>
                <w:sz w:val="20"/>
                <w:szCs w:val="20"/>
                <w:color w:val="auto"/>
              </w:rPr>
            </w:pPr>
            <w:r>
              <w:rPr>
                <w:rFonts w:ascii="Arial" w:cs="Arial" w:eastAsia="Arial" w:hAnsi="Arial"/>
                <w:sz w:val="13"/>
                <w:szCs w:val="13"/>
                <w:color w:val="auto"/>
                <w:w w:val="91"/>
              </w:rPr>
              <w:t>`</w:t>
            </w:r>
          </w:p>
        </w:tc>
        <w:tc>
          <w:tcPr>
            <w:tcW w:w="2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15,000</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100" w:type="dxa"/>
            <w:vAlign w:val="bottom"/>
          </w:tcPr>
          <w:p>
            <w:pPr>
              <w:ind w:left="400"/>
              <w:spacing w:after="0"/>
              <w:rPr>
                <w:sz w:val="20"/>
                <w:szCs w:val="20"/>
                <w:color w:val="auto"/>
              </w:rPr>
            </w:pPr>
            <w:r>
              <w:rPr>
                <w:rFonts w:ascii="Arial" w:cs="Arial" w:eastAsia="Arial" w:hAnsi="Arial"/>
                <w:sz w:val="16"/>
                <w:szCs w:val="16"/>
                <w:color w:val="auto"/>
              </w:rPr>
              <w:t>Total revenue</w:t>
            </w:r>
          </w:p>
        </w:tc>
        <w:tc>
          <w:tcPr>
            <w:tcW w:w="174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39,631</w:t>
            </w:r>
          </w:p>
        </w:tc>
        <w:tc>
          <w:tcPr>
            <w:tcW w:w="32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44,049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109,517</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82,158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410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4100" w:type="dxa"/>
            <w:vAlign w:val="bottom"/>
          </w:tcPr>
          <w:p>
            <w:pPr>
              <w:spacing w:after="0"/>
              <w:rPr>
                <w:sz w:val="20"/>
                <w:szCs w:val="20"/>
                <w:color w:val="auto"/>
              </w:rPr>
            </w:pPr>
            <w:r>
              <w:rPr>
                <w:rFonts w:ascii="Arial" w:cs="Arial" w:eastAsia="Arial" w:hAnsi="Arial"/>
                <w:sz w:val="16"/>
                <w:szCs w:val="16"/>
                <w:color w:val="auto"/>
              </w:rPr>
              <w:t>Operating expenses:</w:t>
            </w:r>
          </w:p>
        </w:tc>
        <w:tc>
          <w:tcPr>
            <w:tcW w:w="1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1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Research and development</w:t>
            </w:r>
          </w:p>
        </w:tc>
        <w:tc>
          <w:tcPr>
            <w:tcW w:w="17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34,155</w:t>
            </w:r>
          </w:p>
        </w:tc>
        <w:tc>
          <w:tcPr>
            <w:tcW w:w="3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21,484</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69,033</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39,446</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100" w:type="dxa"/>
            <w:vAlign w:val="bottom"/>
            <w:tcBorders>
              <w:bottom w:val="single" w:sz="8" w:color="CFF0FC"/>
            </w:tcBorders>
          </w:tcPr>
          <w:p>
            <w:pPr>
              <w:ind w:left="200"/>
              <w:spacing w:after="0"/>
              <w:rPr>
                <w:sz w:val="20"/>
                <w:szCs w:val="20"/>
                <w:color w:val="auto"/>
              </w:rPr>
            </w:pPr>
            <w:r>
              <w:rPr>
                <w:rFonts w:ascii="Arial" w:cs="Arial" w:eastAsia="Arial" w:hAnsi="Arial"/>
                <w:sz w:val="16"/>
                <w:szCs w:val="16"/>
                <w:color w:val="auto"/>
              </w:rPr>
              <w:t>General and administrative</w:t>
            </w:r>
          </w:p>
        </w:tc>
        <w:tc>
          <w:tcPr>
            <w:tcW w:w="174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6,780</w:t>
            </w:r>
          </w:p>
        </w:tc>
        <w:tc>
          <w:tcPr>
            <w:tcW w:w="320" w:type="dxa"/>
            <w:vAlign w:val="bottom"/>
            <w:tcBorders>
              <w:bottom w:val="single" w:sz="8" w:color="CFF0FC"/>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5,706</w:t>
            </w:r>
          </w:p>
        </w:tc>
        <w:tc>
          <w:tcPr>
            <w:tcW w:w="8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13,932</w:t>
            </w:r>
          </w:p>
        </w:tc>
        <w:tc>
          <w:tcPr>
            <w:tcW w:w="18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11,476</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100" w:type="dxa"/>
            <w:vAlign w:val="bottom"/>
            <w:shd w:val="clear" w:color="auto" w:fill="CFF0FC"/>
          </w:tcPr>
          <w:p>
            <w:pPr>
              <w:ind w:left="400"/>
              <w:spacing w:after="0"/>
              <w:rPr>
                <w:sz w:val="20"/>
                <w:szCs w:val="20"/>
                <w:color w:val="auto"/>
              </w:rPr>
            </w:pPr>
            <w:r>
              <w:rPr>
                <w:rFonts w:ascii="Arial" w:cs="Arial" w:eastAsia="Arial" w:hAnsi="Arial"/>
                <w:sz w:val="16"/>
                <w:szCs w:val="16"/>
                <w:color w:val="auto"/>
              </w:rPr>
              <w:t>Total operating expenses</w:t>
            </w:r>
          </w:p>
        </w:tc>
        <w:tc>
          <w:tcPr>
            <w:tcW w:w="174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40,935</w:t>
            </w:r>
          </w:p>
        </w:tc>
        <w:tc>
          <w:tcPr>
            <w:tcW w:w="320" w:type="dxa"/>
            <w:vAlign w:val="bottom"/>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spacing w:after="0"/>
              <w:rPr>
                <w:sz w:val="16"/>
                <w:szCs w:val="16"/>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27,190</w:t>
            </w:r>
          </w:p>
        </w:tc>
        <w:tc>
          <w:tcPr>
            <w:tcW w:w="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82,965</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0" w:type="dxa"/>
            <w:vAlign w:val="bottom"/>
            <w:tcBorders>
              <w:bottom w:val="single" w:sz="8" w:color="auto"/>
            </w:tcBorders>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50,922</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120" w:type="dxa"/>
            <w:vAlign w:val="bottom"/>
            <w:gridSpan w:val="2"/>
          </w:tcPr>
          <w:p>
            <w:pPr>
              <w:spacing w:after="0"/>
              <w:rPr>
                <w:sz w:val="20"/>
                <w:szCs w:val="20"/>
                <w:color w:val="auto"/>
              </w:rPr>
            </w:pPr>
            <w:r>
              <w:rPr>
                <w:rFonts w:ascii="Arial" w:cs="Arial" w:eastAsia="Arial" w:hAnsi="Arial"/>
                <w:sz w:val="16"/>
                <w:szCs w:val="16"/>
                <w:color w:val="auto"/>
              </w:rPr>
              <w:t>Income (loss) from operations</w:t>
            </w:r>
          </w:p>
        </w:tc>
        <w:tc>
          <w:tcPr>
            <w:tcW w:w="1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(1,304)</w:t>
            </w: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16,859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26,552</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31,236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6"/>
                <w:szCs w:val="16"/>
                <w:color w:val="auto"/>
              </w:rPr>
              <w:t>Other income, net</w:t>
            </w:r>
          </w:p>
        </w:tc>
        <w:tc>
          <w:tcPr>
            <w:tcW w:w="1740" w:type="dxa"/>
            <w:vAlign w:val="bottom"/>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2,245</w:t>
            </w:r>
          </w:p>
        </w:tc>
        <w:tc>
          <w:tcPr>
            <w:tcW w:w="320" w:type="dxa"/>
            <w:vAlign w:val="bottom"/>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1,066</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4,130</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2,026</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120" w:type="dxa"/>
            <w:vAlign w:val="bottom"/>
            <w:gridSpan w:val="2"/>
          </w:tcPr>
          <w:p>
            <w:pPr>
              <w:spacing w:after="0"/>
              <w:rPr>
                <w:sz w:val="20"/>
                <w:szCs w:val="20"/>
                <w:color w:val="auto"/>
              </w:rPr>
            </w:pPr>
            <w:r>
              <w:rPr>
                <w:rFonts w:ascii="Arial" w:cs="Arial" w:eastAsia="Arial" w:hAnsi="Arial"/>
                <w:sz w:val="16"/>
                <w:szCs w:val="16"/>
                <w:color w:val="auto"/>
              </w:rPr>
              <w:t>Income before income taxes</w:t>
            </w:r>
          </w:p>
        </w:tc>
        <w:tc>
          <w:tcPr>
            <w:tcW w:w="1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941</w:t>
            </w: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17,925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30,682</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33,262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1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Income tax (expense) benefit</w:t>
            </w:r>
          </w:p>
        </w:tc>
        <w:tc>
          <w:tcPr>
            <w:tcW w:w="17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3,204</w:t>
            </w:r>
          </w:p>
        </w:tc>
        <w:tc>
          <w:tcPr>
            <w:tcW w:w="3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(5,370)</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(526)</w:t>
            </w:r>
          </w:p>
        </w:tc>
        <w:tc>
          <w:tcPr>
            <w:tcW w:w="1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(9,014)</w:t>
            </w:r>
          </w:p>
        </w:tc>
        <w:tc>
          <w:tcPr>
            <w:tcW w:w="0" w:type="dxa"/>
            <w:vAlign w:val="bottom"/>
          </w:tcPr>
          <w:p>
            <w:pPr>
              <w:spacing w:after="0"/>
              <w:rPr>
                <w:sz w:val="1"/>
                <w:szCs w:val="1"/>
                <w:color w:val="auto"/>
              </w:rPr>
            </w:pPr>
          </w:p>
        </w:tc>
      </w:tr>
      <w:tr>
        <w:trPr>
          <w:trHeight w:val="233"/>
        </w:trPr>
        <w:tc>
          <w:tcPr>
            <w:tcW w:w="412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174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4,145</w:t>
            </w:r>
          </w:p>
        </w:tc>
        <w:tc>
          <w:tcPr>
            <w:tcW w:w="32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12,555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30,156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24,248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20" w:type="dxa"/>
            <w:vAlign w:val="bottom"/>
            <w:vMerge w:val="restart"/>
          </w:tcPr>
          <w:p>
            <w:pPr>
              <w:spacing w:after="0"/>
              <w:rPr>
                <w:sz w:val="15"/>
                <w:szCs w:val="15"/>
                <w:color w:val="auto"/>
              </w:rPr>
            </w:pPr>
          </w:p>
        </w:tc>
        <w:tc>
          <w:tcPr>
            <w:tcW w:w="4100" w:type="dxa"/>
            <w:vAlign w:val="bottom"/>
            <w:tcBorders>
              <w:top w:val="single" w:sz="8" w:color="CFF0FC"/>
            </w:tcBorders>
            <w:shd w:val="clear" w:color="auto" w:fill="CFF0FC"/>
          </w:tcPr>
          <w:p>
            <w:pPr>
              <w:spacing w:after="0"/>
              <w:rPr>
                <w:sz w:val="15"/>
                <w:szCs w:val="15"/>
                <w:color w:val="auto"/>
              </w:rPr>
            </w:pPr>
          </w:p>
        </w:tc>
        <w:tc>
          <w:tcPr>
            <w:tcW w:w="1740" w:type="dxa"/>
            <w:vAlign w:val="bottom"/>
            <w:tcBorders>
              <w:top w:val="single" w:sz="8" w:color="CFF0FC"/>
            </w:tcBorders>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320" w:type="dxa"/>
            <w:vAlign w:val="bottom"/>
            <w:tcBorders>
              <w:top w:val="single" w:sz="8" w:color="CFF0FC"/>
            </w:tcBorders>
            <w:shd w:val="clear" w:color="auto" w:fill="CFF0FC"/>
          </w:tcPr>
          <w:p>
            <w:pPr>
              <w:spacing w:after="0"/>
              <w:rPr>
                <w:sz w:val="15"/>
                <w:szCs w:val="15"/>
                <w:color w:val="auto"/>
              </w:rPr>
            </w:pPr>
          </w:p>
        </w:tc>
        <w:tc>
          <w:tcPr>
            <w:tcW w:w="420" w:type="dxa"/>
            <w:vAlign w:val="bottom"/>
            <w:tcBorders>
              <w:top w:val="single" w:sz="8" w:color="auto"/>
            </w:tcBorders>
            <w:shd w:val="clear" w:color="auto" w:fill="CFF0FC"/>
          </w:tcPr>
          <w:p>
            <w:pPr>
              <w:spacing w:after="0"/>
              <w:rPr>
                <w:sz w:val="15"/>
                <w:szCs w:val="15"/>
                <w:color w:val="auto"/>
              </w:rPr>
            </w:pPr>
          </w:p>
        </w:tc>
        <w:tc>
          <w:tcPr>
            <w:tcW w:w="700" w:type="dxa"/>
            <w:vAlign w:val="bottom"/>
            <w:tcBorders>
              <w:top w:val="single" w:sz="8" w:color="auto"/>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18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400" w:type="dxa"/>
            <w:vAlign w:val="bottom"/>
            <w:tcBorders>
              <w:top w:val="single" w:sz="8" w:color="auto"/>
            </w:tcBorders>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4100" w:type="dxa"/>
            <w:vAlign w:val="bottom"/>
          </w:tcPr>
          <w:p>
            <w:pPr>
              <w:spacing w:after="0"/>
              <w:rPr>
                <w:sz w:val="20"/>
                <w:szCs w:val="20"/>
                <w:color w:val="auto"/>
              </w:rPr>
            </w:pPr>
            <w:r>
              <w:rPr>
                <w:rFonts w:ascii="Arial" w:cs="Arial" w:eastAsia="Arial" w:hAnsi="Arial"/>
                <w:sz w:val="16"/>
                <w:szCs w:val="16"/>
                <w:color w:val="auto"/>
              </w:rPr>
              <w:t>Net income per share:</w:t>
            </w:r>
          </w:p>
        </w:tc>
        <w:tc>
          <w:tcPr>
            <w:tcW w:w="1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100" w:type="dxa"/>
            <w:vAlign w:val="bottom"/>
            <w:shd w:val="clear" w:color="auto" w:fill="CFF0FC"/>
          </w:tcPr>
          <w:p>
            <w:pPr>
              <w:ind w:left="400"/>
              <w:spacing w:after="0"/>
              <w:rPr>
                <w:sz w:val="20"/>
                <w:szCs w:val="20"/>
                <w:color w:val="auto"/>
              </w:rPr>
            </w:pPr>
            <w:r>
              <w:rPr>
                <w:rFonts w:ascii="Arial" w:cs="Arial" w:eastAsia="Arial" w:hAnsi="Arial"/>
                <w:sz w:val="16"/>
                <w:szCs w:val="16"/>
                <w:color w:val="auto"/>
              </w:rPr>
              <w:t>Basic</w:t>
            </w:r>
          </w:p>
        </w:tc>
        <w:tc>
          <w:tcPr>
            <w:tcW w:w="2000" w:type="dxa"/>
            <w:vAlign w:val="bottom"/>
            <w:gridSpan w:val="2"/>
            <w:shd w:val="clear" w:color="auto" w:fill="CFF0FC"/>
          </w:tcPr>
          <w:p>
            <w:pPr>
              <w:jc w:val="right"/>
              <w:ind w:right="107"/>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0.21</w:t>
            </w:r>
          </w:p>
        </w:tc>
        <w:tc>
          <w:tcPr>
            <w:tcW w:w="320" w:type="dxa"/>
            <w:vAlign w:val="bottom"/>
            <w:shd w:val="clear" w:color="auto" w:fill="CFF0FC"/>
          </w:tcPr>
          <w:p>
            <w:pPr>
              <w:spacing w:after="0"/>
              <w:rPr>
                <w:sz w:val="17"/>
                <w:szCs w:val="17"/>
                <w:color w:val="auto"/>
              </w:rPr>
            </w:pPr>
          </w:p>
        </w:tc>
        <w:tc>
          <w:tcPr>
            <w:tcW w:w="420" w:type="dxa"/>
            <w:vAlign w:val="bottom"/>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0.65</w:t>
            </w:r>
          </w:p>
        </w:tc>
        <w:tc>
          <w:tcPr>
            <w:tcW w:w="80" w:type="dxa"/>
            <w:vAlign w:val="bottom"/>
            <w:shd w:val="clear" w:color="auto" w:fill="CFF0FC"/>
          </w:tcPr>
          <w:p>
            <w:pPr>
              <w:spacing w:after="0"/>
              <w:rPr>
                <w:sz w:val="17"/>
                <w:szCs w:val="17"/>
                <w:color w:val="auto"/>
              </w:rPr>
            </w:pPr>
          </w:p>
        </w:tc>
        <w:tc>
          <w:tcPr>
            <w:tcW w:w="480" w:type="dxa"/>
            <w:vAlign w:val="bottom"/>
            <w:gridSpan w:val="2"/>
            <w:shd w:val="clear" w:color="auto" w:fill="CFF0FC"/>
          </w:tcPr>
          <w:p>
            <w:pPr>
              <w:jc w:val="right"/>
              <w:ind w:right="107"/>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w:t>
            </w:r>
          </w:p>
        </w:tc>
        <w:tc>
          <w:tcPr>
            <w:tcW w:w="180" w:type="dxa"/>
            <w:vAlign w:val="bottom"/>
            <w:shd w:val="clear" w:color="auto" w:fill="CFF0FC"/>
          </w:tcPr>
          <w:p>
            <w:pPr>
              <w:spacing w:after="0"/>
              <w:rPr>
                <w:sz w:val="17"/>
                <w:szCs w:val="17"/>
                <w:color w:val="auto"/>
              </w:rPr>
            </w:pPr>
          </w:p>
        </w:tc>
        <w:tc>
          <w:tcPr>
            <w:tcW w:w="520" w:type="dxa"/>
            <w:vAlign w:val="bottom"/>
            <w:gridSpan w:val="2"/>
            <w:shd w:val="clear" w:color="auto" w:fill="CFF0FC"/>
          </w:tcPr>
          <w:p>
            <w:pPr>
              <w:jc w:val="right"/>
              <w:ind w:right="247"/>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100" w:type="dxa"/>
            <w:vAlign w:val="bottom"/>
          </w:tcPr>
          <w:p>
            <w:pPr>
              <w:ind w:left="400"/>
              <w:spacing w:after="0"/>
              <w:rPr>
                <w:sz w:val="20"/>
                <w:szCs w:val="20"/>
                <w:color w:val="auto"/>
              </w:rPr>
            </w:pPr>
            <w:r>
              <w:rPr>
                <w:rFonts w:ascii="Arial" w:cs="Arial" w:eastAsia="Arial" w:hAnsi="Arial"/>
                <w:sz w:val="16"/>
                <w:szCs w:val="16"/>
                <w:color w:val="auto"/>
              </w:rPr>
              <w:t>Diluted</w:t>
            </w:r>
          </w:p>
        </w:tc>
        <w:tc>
          <w:tcPr>
            <w:tcW w:w="2000" w:type="dxa"/>
            <w:vAlign w:val="bottom"/>
            <w:gridSpan w:val="2"/>
          </w:tcPr>
          <w:p>
            <w:pPr>
              <w:jc w:val="right"/>
              <w:ind w:right="107"/>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0.20</w:t>
            </w:r>
          </w:p>
        </w:tc>
        <w:tc>
          <w:tcPr>
            <w:tcW w:w="320" w:type="dxa"/>
            <w:vAlign w:val="bottom"/>
          </w:tcPr>
          <w:p>
            <w:pPr>
              <w:spacing w:after="0"/>
              <w:rPr>
                <w:sz w:val="17"/>
                <w:szCs w:val="17"/>
                <w:color w:val="auto"/>
              </w:rPr>
            </w:pP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0.61</w:t>
            </w:r>
          </w:p>
        </w:tc>
        <w:tc>
          <w:tcPr>
            <w:tcW w:w="80" w:type="dxa"/>
            <w:vAlign w:val="bottom"/>
          </w:tcPr>
          <w:p>
            <w:pPr>
              <w:spacing w:after="0"/>
              <w:rPr>
                <w:sz w:val="17"/>
                <w:szCs w:val="17"/>
                <w:color w:val="auto"/>
              </w:rPr>
            </w:pPr>
          </w:p>
        </w:tc>
        <w:tc>
          <w:tcPr>
            <w:tcW w:w="480" w:type="dxa"/>
            <w:vAlign w:val="bottom"/>
            <w:gridSpan w:val="2"/>
          </w:tcPr>
          <w:p>
            <w:pPr>
              <w:jc w:val="right"/>
              <w:ind w:right="107"/>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1.44</w:t>
            </w:r>
          </w:p>
        </w:tc>
        <w:tc>
          <w:tcPr>
            <w:tcW w:w="180" w:type="dxa"/>
            <w:vAlign w:val="bottom"/>
          </w:tcPr>
          <w:p>
            <w:pPr>
              <w:spacing w:after="0"/>
              <w:rPr>
                <w:sz w:val="17"/>
                <w:szCs w:val="17"/>
                <w:color w:val="auto"/>
              </w:rPr>
            </w:pPr>
          </w:p>
        </w:tc>
        <w:tc>
          <w:tcPr>
            <w:tcW w:w="520" w:type="dxa"/>
            <w:vAlign w:val="bottom"/>
            <w:gridSpan w:val="2"/>
          </w:tcPr>
          <w:p>
            <w:pPr>
              <w:jc w:val="right"/>
              <w:ind w:right="247"/>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4100" w:type="dxa"/>
            <w:vAlign w:val="bottom"/>
            <w:shd w:val="clear" w:color="auto" w:fill="CFF0FC"/>
          </w:tcPr>
          <w:p>
            <w:pPr>
              <w:spacing w:after="0"/>
              <w:rPr>
                <w:sz w:val="17"/>
                <w:szCs w:val="17"/>
                <w:color w:val="auto"/>
              </w:rPr>
            </w:pPr>
          </w:p>
        </w:tc>
        <w:tc>
          <w:tcPr>
            <w:tcW w:w="17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4100" w:type="dxa"/>
            <w:vAlign w:val="bottom"/>
          </w:tcPr>
          <w:p>
            <w:pPr>
              <w:spacing w:after="0"/>
              <w:rPr>
                <w:sz w:val="20"/>
                <w:szCs w:val="20"/>
                <w:color w:val="auto"/>
              </w:rPr>
            </w:pPr>
            <w:r>
              <w:rPr>
                <w:rFonts w:ascii="Arial" w:cs="Arial" w:eastAsia="Arial" w:hAnsi="Arial"/>
                <w:sz w:val="16"/>
                <w:szCs w:val="16"/>
                <w:color w:val="auto"/>
              </w:rPr>
              <w:t>Weighted average shares outstanding:</w:t>
            </w:r>
          </w:p>
        </w:tc>
        <w:tc>
          <w:tcPr>
            <w:tcW w:w="1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100" w:type="dxa"/>
            <w:vAlign w:val="bottom"/>
            <w:shd w:val="clear" w:color="auto" w:fill="CFF0FC"/>
          </w:tcPr>
          <w:p>
            <w:pPr>
              <w:ind w:left="400"/>
              <w:spacing w:after="0"/>
              <w:rPr>
                <w:sz w:val="20"/>
                <w:szCs w:val="20"/>
                <w:color w:val="auto"/>
              </w:rPr>
            </w:pPr>
            <w:r>
              <w:rPr>
                <w:rFonts w:ascii="Arial" w:cs="Arial" w:eastAsia="Arial" w:hAnsi="Arial"/>
                <w:sz w:val="16"/>
                <w:szCs w:val="16"/>
                <w:color w:val="auto"/>
              </w:rPr>
              <w:t>Basic</w:t>
            </w:r>
          </w:p>
        </w:tc>
        <w:tc>
          <w:tcPr>
            <w:tcW w:w="17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19,549</w:t>
            </w:r>
          </w:p>
        </w:tc>
        <w:tc>
          <w:tcPr>
            <w:tcW w:w="3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19,206</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19,487</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19,167</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100" w:type="dxa"/>
            <w:vAlign w:val="bottom"/>
          </w:tcPr>
          <w:p>
            <w:pPr>
              <w:ind w:left="400"/>
              <w:spacing w:after="0"/>
              <w:rPr>
                <w:sz w:val="20"/>
                <w:szCs w:val="20"/>
                <w:color w:val="auto"/>
              </w:rPr>
            </w:pPr>
            <w:r>
              <w:rPr>
                <w:rFonts w:ascii="Arial" w:cs="Arial" w:eastAsia="Arial" w:hAnsi="Arial"/>
                <w:sz w:val="16"/>
                <w:szCs w:val="16"/>
                <w:color w:val="auto"/>
              </w:rPr>
              <w:t>Diluted</w:t>
            </w:r>
          </w:p>
        </w:tc>
        <w:tc>
          <w:tcPr>
            <w:tcW w:w="1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21,084</w:t>
            </w: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20,601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20,946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20,256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19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58420</wp:posOffset>
            </wp:positionV>
            <wp:extent cx="7303770"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12" w:right="219" w:bottom="1440" w:gutter="0" w:footer="0" w:header="0"/>
        </w:sectPr>
      </w:pPr>
    </w:p>
    <w:bookmarkStart w:id="4" w:name="page5"/>
    <w:bookmarkEnd w:id="4"/>
    <w:p>
      <w:pPr>
        <w:jc w:val="center"/>
        <w:ind w:right="-219"/>
        <w:spacing w:after="0"/>
        <w:rPr>
          <w:sz w:val="20"/>
          <w:szCs w:val="20"/>
          <w:color w:val="auto"/>
        </w:rPr>
      </w:pPr>
      <w:r>
        <w:rPr>
          <w:rFonts w:ascii="Arial" w:cs="Arial" w:eastAsia="Arial" w:hAnsi="Arial"/>
          <w:sz w:val="16"/>
          <w:szCs w:val="16"/>
          <w:b w:val="1"/>
          <w:bCs w:val="1"/>
          <w:color w:val="auto"/>
        </w:rPr>
        <w:t>ENANTA PHARMACEUTICALS, INC.</w:t>
      </w:r>
    </w:p>
    <w:p>
      <w:pPr>
        <w:spacing w:after="0" w:line="21"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auto"/>
        </w:rPr>
        <w:t>CONSOLIDATED STATEMENTS OF COMPREHENSIVE INCOME</w:t>
      </w:r>
    </w:p>
    <w:p>
      <w:pPr>
        <w:spacing w:after="0" w:line="5"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auto"/>
        </w:rPr>
        <w:t>(in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80" w:type="dxa"/>
            <w:vAlign w:val="bottom"/>
            <w:gridSpan w:val="3"/>
          </w:tcPr>
          <w:p>
            <w:pPr>
              <w:jc w:val="right"/>
              <w:spacing w:after="0"/>
              <w:rPr>
                <w:sz w:val="20"/>
                <w:szCs w:val="20"/>
                <w:color w:val="auto"/>
              </w:rPr>
            </w:pPr>
            <w:r>
              <w:rPr>
                <w:rFonts w:ascii="Arial" w:cs="Arial" w:eastAsia="Arial" w:hAnsi="Arial"/>
                <w:sz w:val="13"/>
                <w:szCs w:val="13"/>
                <w:b w:val="1"/>
                <w:bCs w:val="1"/>
                <w:color w:val="auto"/>
                <w:w w:val="88"/>
              </w:rPr>
              <w:t>Three Months Ended</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gridSpan w:val="3"/>
          </w:tcPr>
          <w:p>
            <w:pPr>
              <w:jc w:val="right"/>
              <w:spacing w:after="0"/>
              <w:rPr>
                <w:sz w:val="20"/>
                <w:szCs w:val="20"/>
                <w:color w:val="auto"/>
              </w:rPr>
            </w:pPr>
            <w:r>
              <w:rPr>
                <w:rFonts w:ascii="Arial" w:cs="Arial" w:eastAsia="Arial" w:hAnsi="Arial"/>
                <w:sz w:val="13"/>
                <w:szCs w:val="13"/>
                <w:b w:val="1"/>
                <w:bCs w:val="1"/>
                <w:color w:val="auto"/>
              </w:rPr>
              <w:t>Six Months Ended</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0"/>
        </w:trPr>
        <w:tc>
          <w:tcPr>
            <w:tcW w:w="5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ind w:right="269"/>
              <w:spacing w:after="0"/>
              <w:rPr>
                <w:sz w:val="20"/>
                <w:szCs w:val="20"/>
                <w:color w:val="auto"/>
              </w:rPr>
            </w:pPr>
            <w:r>
              <w:rPr>
                <w:rFonts w:ascii="Arial" w:cs="Arial" w:eastAsia="Arial" w:hAnsi="Arial"/>
                <w:sz w:val="13"/>
                <w:szCs w:val="13"/>
                <w:b w:val="1"/>
                <w:bCs w:val="1"/>
                <w:color w:val="auto"/>
              </w:rPr>
              <w:t>March 31,</w:t>
            </w:r>
          </w:p>
        </w:tc>
        <w:tc>
          <w:tcPr>
            <w:tcW w:w="7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3"/>
          </w:tcPr>
          <w:p>
            <w:pPr>
              <w:jc w:val="right"/>
              <w:ind w:right="207"/>
              <w:spacing w:after="0"/>
              <w:rPr>
                <w:sz w:val="20"/>
                <w:szCs w:val="20"/>
                <w:color w:val="auto"/>
              </w:rPr>
            </w:pPr>
            <w:r>
              <w:rPr>
                <w:rFonts w:ascii="Arial" w:cs="Arial" w:eastAsia="Arial" w:hAnsi="Arial"/>
                <w:sz w:val="13"/>
                <w:szCs w:val="13"/>
                <w:b w:val="1"/>
                <w:bCs w:val="1"/>
                <w:color w:val="auto"/>
              </w:rPr>
              <w:t>March 31,</w:t>
            </w:r>
          </w:p>
        </w:tc>
        <w:tc>
          <w:tcPr>
            <w:tcW w:w="8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34"/>
        </w:trPr>
        <w:tc>
          <w:tcPr>
            <w:tcW w:w="5360" w:type="dxa"/>
            <w:vAlign w:val="bottom"/>
            <w:tcBorders>
              <w:bottom w:val="single" w:sz="8" w:color="CFF0FC"/>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7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rPr>
              <w:t>2019</w:t>
            </w:r>
          </w:p>
        </w:tc>
        <w:tc>
          <w:tcPr>
            <w:tcW w:w="480" w:type="dxa"/>
            <w:vAlign w:val="bottom"/>
            <w:tcBorders>
              <w:bottom w:val="single" w:sz="8" w:color="auto"/>
            </w:tcBorders>
          </w:tcPr>
          <w:p>
            <w:pPr>
              <w:spacing w:after="0"/>
              <w:rPr>
                <w:sz w:val="11"/>
                <w:szCs w:val="11"/>
                <w:color w:val="auto"/>
              </w:rPr>
            </w:pPr>
          </w:p>
        </w:tc>
        <w:tc>
          <w:tcPr>
            <w:tcW w:w="240" w:type="dxa"/>
            <w:vAlign w:val="bottom"/>
            <w:tcBorders>
              <w:bottom w:val="single" w:sz="8" w:color="CFF0FC"/>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404"/>
              <w:spacing w:after="0" w:line="134" w:lineRule="exact"/>
              <w:rPr>
                <w:sz w:val="20"/>
                <w:szCs w:val="20"/>
                <w:color w:val="auto"/>
              </w:rPr>
            </w:pPr>
            <w:r>
              <w:rPr>
                <w:rFonts w:ascii="Arial" w:cs="Arial" w:eastAsia="Arial" w:hAnsi="Arial"/>
                <w:sz w:val="13"/>
                <w:szCs w:val="13"/>
                <w:b w:val="1"/>
                <w:bCs w:val="1"/>
                <w:color w:val="auto"/>
                <w:w w:val="82"/>
              </w:rPr>
              <w:t>2018</w:t>
            </w:r>
          </w:p>
        </w:tc>
        <w:tc>
          <w:tcPr>
            <w:tcW w:w="18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408"/>
              <w:spacing w:after="0" w:line="134" w:lineRule="exact"/>
              <w:rPr>
                <w:sz w:val="20"/>
                <w:szCs w:val="20"/>
                <w:color w:val="auto"/>
              </w:rPr>
            </w:pPr>
            <w:r>
              <w:rPr>
                <w:rFonts w:ascii="Arial" w:cs="Arial" w:eastAsia="Arial" w:hAnsi="Arial"/>
                <w:sz w:val="13"/>
                <w:szCs w:val="13"/>
                <w:b w:val="1"/>
                <w:bCs w:val="1"/>
                <w:color w:val="auto"/>
              </w:rPr>
              <w:t>2019</w:t>
            </w:r>
          </w:p>
        </w:tc>
        <w:tc>
          <w:tcPr>
            <w:tcW w:w="280" w:type="dxa"/>
            <w:vAlign w:val="bottom"/>
            <w:tcBorders>
              <w:bottom w:val="single" w:sz="8" w:color="CFF0FC"/>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424"/>
              <w:spacing w:after="0" w:line="134" w:lineRule="exact"/>
              <w:rPr>
                <w:sz w:val="20"/>
                <w:szCs w:val="20"/>
                <w:color w:val="auto"/>
              </w:rPr>
            </w:pPr>
            <w:r>
              <w:rPr>
                <w:rFonts w:ascii="Arial" w:cs="Arial" w:eastAsia="Arial" w:hAnsi="Arial"/>
                <w:sz w:val="13"/>
                <w:szCs w:val="13"/>
                <w:b w:val="1"/>
                <w:bCs w:val="1"/>
                <w:color w:val="auto"/>
                <w:w w:val="96"/>
              </w:rPr>
              <w:t>2018</w:t>
            </w:r>
          </w:p>
        </w:tc>
        <w:tc>
          <w:tcPr>
            <w:tcW w:w="100" w:type="dxa"/>
            <w:vAlign w:val="bottom"/>
            <w:tcBorders>
              <w:bottom w:val="single" w:sz="8" w:color="CFF0FC"/>
            </w:tcBorders>
          </w:tcPr>
          <w:p>
            <w:pPr>
              <w:spacing w:after="0"/>
              <w:rPr>
                <w:sz w:val="11"/>
                <w:szCs w:val="11"/>
                <w:color w:val="auto"/>
              </w:rPr>
            </w:pPr>
          </w:p>
        </w:tc>
      </w:tr>
      <w:tr>
        <w:trPr>
          <w:trHeight w:val="193"/>
        </w:trPr>
        <w:tc>
          <w:tcPr>
            <w:tcW w:w="5360" w:type="dxa"/>
            <w:vAlign w:val="bottom"/>
            <w:shd w:val="clear" w:color="auto" w:fill="CFF0FC"/>
          </w:tcPr>
          <w:p>
            <w:pPr>
              <w:spacing w:after="0"/>
              <w:rPr>
                <w:sz w:val="20"/>
                <w:szCs w:val="20"/>
                <w:color w:val="auto"/>
              </w:rPr>
            </w:pPr>
            <w:r>
              <w:rPr>
                <w:rFonts w:ascii="Arial" w:cs="Arial" w:eastAsia="Arial" w:hAnsi="Arial"/>
                <w:sz w:val="16"/>
                <w:szCs w:val="16"/>
                <w:color w:val="auto"/>
              </w:rPr>
              <w:t>Net income</w:t>
            </w:r>
          </w:p>
        </w:tc>
        <w:tc>
          <w:tcPr>
            <w:tcW w:w="10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570"/>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4,145</w:t>
            </w:r>
          </w:p>
        </w:tc>
        <w:tc>
          <w:tcPr>
            <w:tcW w:w="240" w:type="dxa"/>
            <w:vAlign w:val="bottom"/>
            <w:shd w:val="clear" w:color="auto" w:fill="CFF0FC"/>
          </w:tcPr>
          <w:p>
            <w:pPr>
              <w:spacing w:after="0"/>
              <w:rPr>
                <w:sz w:val="16"/>
                <w:szCs w:val="16"/>
                <w:color w:val="auto"/>
              </w:rPr>
            </w:pPr>
          </w:p>
        </w:tc>
        <w:tc>
          <w:tcPr>
            <w:tcW w:w="460" w:type="dxa"/>
            <w:vAlign w:val="bottom"/>
            <w:shd w:val="clear" w:color="auto" w:fill="CFF0FC"/>
          </w:tcPr>
          <w:p>
            <w:pPr>
              <w:jc w:val="right"/>
              <w:ind w:right="349"/>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12,555</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30,156</w:t>
            </w:r>
          </w:p>
        </w:tc>
        <w:tc>
          <w:tcPr>
            <w:tcW w:w="28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24,248</w:t>
            </w:r>
          </w:p>
        </w:tc>
        <w:tc>
          <w:tcPr>
            <w:tcW w:w="100" w:type="dxa"/>
            <w:vAlign w:val="bottom"/>
            <w:shd w:val="clear" w:color="auto" w:fill="CFF0FC"/>
          </w:tcPr>
          <w:p>
            <w:pPr>
              <w:spacing w:after="0"/>
              <w:rPr>
                <w:sz w:val="16"/>
                <w:szCs w:val="16"/>
                <w:color w:val="auto"/>
              </w:rPr>
            </w:pPr>
          </w:p>
        </w:tc>
      </w:tr>
      <w:tr>
        <w:trPr>
          <w:trHeight w:val="201"/>
        </w:trPr>
        <w:tc>
          <w:tcPr>
            <w:tcW w:w="5360" w:type="dxa"/>
            <w:vAlign w:val="bottom"/>
          </w:tcPr>
          <w:p>
            <w:pPr>
              <w:spacing w:after="0"/>
              <w:rPr>
                <w:sz w:val="20"/>
                <w:szCs w:val="20"/>
                <w:color w:val="auto"/>
              </w:rPr>
            </w:pPr>
            <w:r>
              <w:rPr>
                <w:rFonts w:ascii="Arial" w:cs="Arial" w:eastAsia="Arial" w:hAnsi="Arial"/>
                <w:sz w:val="16"/>
                <w:szCs w:val="16"/>
                <w:color w:val="auto"/>
              </w:rPr>
              <w:t>Other comprehensive income (loss):</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9"/>
        </w:trPr>
        <w:tc>
          <w:tcPr>
            <w:tcW w:w="5360" w:type="dxa"/>
            <w:vAlign w:val="bottom"/>
            <w:shd w:val="clear" w:color="auto" w:fill="CFF0FC"/>
          </w:tcPr>
          <w:p>
            <w:pPr>
              <w:ind w:left="220"/>
              <w:spacing w:after="0"/>
              <w:rPr>
                <w:sz w:val="20"/>
                <w:szCs w:val="20"/>
                <w:color w:val="auto"/>
              </w:rPr>
            </w:pPr>
            <w:r>
              <w:rPr>
                <w:rFonts w:ascii="Arial" w:cs="Arial" w:eastAsia="Arial" w:hAnsi="Arial"/>
                <w:sz w:val="16"/>
                <w:szCs w:val="16"/>
                <w:color w:val="auto"/>
                <w:w w:val="90"/>
              </w:rPr>
              <w:t>Net unrealized gains (losses) on marketable securities, net of tax of $78, ($128),</w:t>
            </w:r>
          </w:p>
        </w:tc>
        <w:tc>
          <w:tcPr>
            <w:tcW w:w="1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02"/>
        </w:trPr>
        <w:tc>
          <w:tcPr>
            <w:tcW w:w="5360" w:type="dxa"/>
            <w:vAlign w:val="bottom"/>
            <w:shd w:val="clear" w:color="auto" w:fill="CFF0FC"/>
          </w:tcPr>
          <w:p>
            <w:pPr>
              <w:ind w:left="220"/>
              <w:spacing w:after="0"/>
              <w:rPr>
                <w:sz w:val="20"/>
                <w:szCs w:val="20"/>
                <w:color w:val="auto"/>
              </w:rPr>
            </w:pPr>
            <w:r>
              <w:rPr>
                <w:rFonts w:ascii="Arial" w:cs="Arial" w:eastAsia="Arial" w:hAnsi="Arial"/>
                <w:sz w:val="16"/>
                <w:szCs w:val="16"/>
                <w:color w:val="auto"/>
              </w:rPr>
              <w:t>$123 and ($235)</w:t>
            </w: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245</w:t>
            </w:r>
          </w:p>
        </w:tc>
        <w:tc>
          <w:tcPr>
            <w:tcW w:w="2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(336)</w:t>
            </w:r>
          </w:p>
        </w:tc>
        <w:tc>
          <w:tcPr>
            <w:tcW w:w="380" w:type="dxa"/>
            <w:vAlign w:val="bottom"/>
            <w:gridSpan w:val="2"/>
            <w:shd w:val="clear" w:color="auto" w:fill="CFF0FC"/>
          </w:tcPr>
          <w:p>
            <w:pPr>
              <w:jc w:val="right"/>
              <w:ind w:right="107"/>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386</w:t>
            </w:r>
          </w:p>
        </w:tc>
        <w:tc>
          <w:tcPr>
            <w:tcW w:w="280" w:type="dxa"/>
            <w:vAlign w:val="bottom"/>
            <w:shd w:val="clear" w:color="auto" w:fill="CFF0FC"/>
          </w:tcPr>
          <w:p>
            <w:pPr>
              <w:spacing w:after="0"/>
              <w:rPr>
                <w:sz w:val="17"/>
                <w:szCs w:val="17"/>
                <w:color w:val="auto"/>
              </w:rPr>
            </w:pPr>
          </w:p>
        </w:tc>
        <w:tc>
          <w:tcPr>
            <w:tcW w:w="420" w:type="dxa"/>
            <w:vAlign w:val="bottom"/>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(682)</w:t>
            </w:r>
          </w:p>
        </w:tc>
      </w:tr>
      <w:tr>
        <w:trPr>
          <w:trHeight w:val="193"/>
        </w:trPr>
        <w:tc>
          <w:tcPr>
            <w:tcW w:w="5360" w:type="dxa"/>
            <w:vAlign w:val="bottom"/>
            <w:tcBorders>
              <w:bottom w:val="single" w:sz="8" w:color="CFF0FC"/>
            </w:tcBorders>
          </w:tcPr>
          <w:p>
            <w:pPr>
              <w:ind w:left="420"/>
              <w:spacing w:after="0"/>
              <w:rPr>
                <w:sz w:val="20"/>
                <w:szCs w:val="20"/>
                <w:color w:val="auto"/>
              </w:rPr>
            </w:pPr>
            <w:r>
              <w:rPr>
                <w:rFonts w:ascii="Arial" w:cs="Arial" w:eastAsia="Arial" w:hAnsi="Arial"/>
                <w:sz w:val="16"/>
                <w:szCs w:val="16"/>
                <w:color w:val="auto"/>
              </w:rPr>
              <w:t>Total other comprehensive income (loss)</w:t>
            </w:r>
          </w:p>
        </w:tc>
        <w:tc>
          <w:tcPr>
            <w:tcW w:w="100" w:type="dxa"/>
            <w:vAlign w:val="bottom"/>
            <w:tcBorders>
              <w:bottom w:val="single" w:sz="8" w:color="CFF0FC"/>
            </w:tcBorders>
          </w:tcPr>
          <w:p>
            <w:pPr>
              <w:spacing w:after="0"/>
              <w:rPr>
                <w:sz w:val="16"/>
                <w:szCs w:val="16"/>
                <w:color w:val="auto"/>
              </w:rPr>
            </w:pPr>
          </w:p>
        </w:tc>
        <w:tc>
          <w:tcPr>
            <w:tcW w:w="72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245</w:t>
            </w:r>
          </w:p>
        </w:tc>
        <w:tc>
          <w:tcPr>
            <w:tcW w:w="240" w:type="dxa"/>
            <w:vAlign w:val="bottom"/>
            <w:tcBorders>
              <w:bottom w:val="single" w:sz="8" w:color="CFF0FC"/>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(336)</w:t>
            </w:r>
          </w:p>
        </w:tc>
        <w:tc>
          <w:tcPr>
            <w:tcW w:w="180" w:type="dxa"/>
            <w:vAlign w:val="bottom"/>
            <w:tcBorders>
              <w:bottom w:val="single" w:sz="8" w:color="CFF0FC"/>
            </w:tcBorders>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386</w:t>
            </w:r>
          </w:p>
        </w:tc>
        <w:tc>
          <w:tcPr>
            <w:tcW w:w="280" w:type="dxa"/>
            <w:vAlign w:val="bottom"/>
            <w:tcBorders>
              <w:bottom w:val="single" w:sz="8" w:color="CFF0FC"/>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(682)</w:t>
            </w:r>
          </w:p>
        </w:tc>
        <w:tc>
          <w:tcPr>
            <w:tcW w:w="100" w:type="dxa"/>
            <w:vAlign w:val="bottom"/>
            <w:tcBorders>
              <w:bottom w:val="single" w:sz="8" w:color="CFF0FC"/>
            </w:tcBorders>
          </w:tcPr>
          <w:p>
            <w:pPr>
              <w:spacing w:after="0"/>
              <w:rPr>
                <w:sz w:val="16"/>
                <w:szCs w:val="16"/>
                <w:color w:val="auto"/>
              </w:rPr>
            </w:pPr>
          </w:p>
        </w:tc>
      </w:tr>
      <w:tr>
        <w:trPr>
          <w:trHeight w:val="193"/>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Comprehensive income</w:t>
            </w:r>
          </w:p>
        </w:tc>
        <w:tc>
          <w:tcPr>
            <w:tcW w:w="100" w:type="dxa"/>
            <w:vAlign w:val="bottom"/>
            <w:tcBorders>
              <w:bottom w:val="single" w:sz="8" w:color="CFF0FC"/>
            </w:tcBorders>
            <w:shd w:val="clear" w:color="auto" w:fill="CFF0FC"/>
          </w:tcPr>
          <w:p>
            <w:pPr>
              <w:spacing w:after="0"/>
              <w:rPr>
                <w:sz w:val="16"/>
                <w:szCs w:val="16"/>
                <w:color w:val="auto"/>
              </w:rPr>
            </w:pPr>
          </w:p>
        </w:tc>
        <w:tc>
          <w:tcPr>
            <w:tcW w:w="720" w:type="dxa"/>
            <w:vAlign w:val="bottom"/>
            <w:tcBorders>
              <w:bottom w:val="single" w:sz="8" w:color="auto"/>
            </w:tcBorders>
            <w:shd w:val="clear" w:color="auto" w:fill="CFF0FC"/>
          </w:tcPr>
          <w:p>
            <w:pPr>
              <w:jc w:val="right"/>
              <w:ind w:right="570"/>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4,390</w:t>
            </w:r>
          </w:p>
        </w:tc>
        <w:tc>
          <w:tcPr>
            <w:tcW w:w="240" w:type="dxa"/>
            <w:vAlign w:val="bottom"/>
            <w:tcBorders>
              <w:bottom w:val="single" w:sz="8" w:color="CFF0FC"/>
            </w:tcBorders>
            <w:shd w:val="clear" w:color="auto" w:fill="CFF0FC"/>
          </w:tcPr>
          <w:p>
            <w:pPr>
              <w:spacing w:after="0"/>
              <w:rPr>
                <w:sz w:val="16"/>
                <w:szCs w:val="16"/>
                <w:color w:val="auto"/>
              </w:rPr>
            </w:pPr>
          </w:p>
        </w:tc>
        <w:tc>
          <w:tcPr>
            <w:tcW w:w="460" w:type="dxa"/>
            <w:vAlign w:val="bottom"/>
            <w:tcBorders>
              <w:bottom w:val="single" w:sz="8" w:color="auto"/>
            </w:tcBorders>
            <w:shd w:val="clear" w:color="auto" w:fill="CFF0FC"/>
          </w:tcPr>
          <w:p>
            <w:pPr>
              <w:jc w:val="right"/>
              <w:ind w:right="34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12,219</w:t>
            </w:r>
          </w:p>
        </w:tc>
        <w:tc>
          <w:tcPr>
            <w:tcW w:w="18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30,542</w:t>
            </w:r>
          </w:p>
        </w:tc>
        <w:tc>
          <w:tcPr>
            <w:tcW w:w="280" w:type="dxa"/>
            <w:vAlign w:val="bottom"/>
            <w:tcBorders>
              <w:bottom w:val="single" w:sz="8" w:color="CFF0FC"/>
            </w:tcBorders>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23,566</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20"/>
        </w:trPr>
        <w:tc>
          <w:tcPr>
            <w:tcW w:w="5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2"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195"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58420</wp:posOffset>
            </wp:positionV>
            <wp:extent cx="7303770"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200"/>
          </w:cols>
          <w:pgMar w:left="240" w:top="312" w:right="45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6"/>
          <w:szCs w:val="16"/>
          <w:b w:val="1"/>
          <w:bCs w:val="1"/>
          <w:color w:val="auto"/>
        </w:rPr>
        <w:t>ENANTA PHARMACEUTICALS,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STATEMENTS OF STOCKHOLDERS’ EQUITY</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Accumulated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4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Other</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99"/>
        </w:trPr>
        <w:tc>
          <w:tcPr>
            <w:tcW w:w="4060" w:type="dxa"/>
            <w:vAlign w:val="bottom"/>
          </w:tcPr>
          <w:p>
            <w:pPr>
              <w:spacing w:after="0"/>
              <w:rPr>
                <w:sz w:val="17"/>
                <w:szCs w:val="17"/>
                <w:color w:val="auto"/>
              </w:rPr>
            </w:pPr>
          </w:p>
        </w:tc>
        <w:tc>
          <w:tcPr>
            <w:tcW w:w="2000" w:type="dxa"/>
            <w:vAlign w:val="bottom"/>
            <w:tcBorders>
              <w:bottom w:val="single" w:sz="8" w:color="auto"/>
            </w:tcBorders>
            <w:gridSpan w:val="3"/>
          </w:tcPr>
          <w:p>
            <w:pPr>
              <w:jc w:val="right"/>
              <w:ind w:right="391"/>
              <w:spacing w:after="0"/>
              <w:rPr>
                <w:sz w:val="20"/>
                <w:szCs w:val="20"/>
                <w:color w:val="auto"/>
              </w:rPr>
            </w:pPr>
            <w:r>
              <w:rPr>
                <w:rFonts w:ascii="Arial" w:cs="Arial" w:eastAsia="Arial" w:hAnsi="Arial"/>
                <w:sz w:val="13"/>
                <w:szCs w:val="13"/>
                <w:b w:val="1"/>
                <w:bCs w:val="1"/>
                <w:color w:val="auto"/>
              </w:rPr>
              <w:t>Common Stock</w:t>
            </w:r>
          </w:p>
        </w:tc>
        <w:tc>
          <w:tcPr>
            <w:tcW w:w="2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6"/>
              </w:rPr>
              <w:t>Paid-In</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6"/>
              </w:rPr>
              <w:t>Comprehensive</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ind w:left="100"/>
              <w:spacing w:after="0"/>
              <w:rPr>
                <w:sz w:val="20"/>
                <w:szCs w:val="20"/>
                <w:color w:val="auto"/>
              </w:rPr>
            </w:pPr>
            <w:r>
              <w:rPr>
                <w:rFonts w:ascii="Arial" w:cs="Arial" w:eastAsia="Arial" w:hAnsi="Arial"/>
                <w:sz w:val="13"/>
                <w:szCs w:val="13"/>
                <w:b w:val="1"/>
                <w:bCs w:val="1"/>
                <w:color w:val="auto"/>
              </w:rPr>
              <w:t>Retained</w:t>
            </w:r>
          </w:p>
        </w:tc>
        <w:tc>
          <w:tcPr>
            <w:tcW w:w="12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Stockholders'</w:t>
            </w:r>
          </w:p>
        </w:tc>
        <w:tc>
          <w:tcPr>
            <w:tcW w:w="0" w:type="dxa"/>
            <w:vAlign w:val="bottom"/>
          </w:tcPr>
          <w:p>
            <w:pPr>
              <w:spacing w:after="0"/>
              <w:rPr>
                <w:sz w:val="1"/>
                <w:szCs w:val="1"/>
                <w:color w:val="auto"/>
              </w:rPr>
            </w:pPr>
          </w:p>
        </w:tc>
      </w:tr>
      <w:tr>
        <w:trPr>
          <w:trHeight w:val="134"/>
        </w:trPr>
        <w:tc>
          <w:tcPr>
            <w:tcW w:w="4060" w:type="dxa"/>
            <w:vAlign w:val="bottom"/>
          </w:tcPr>
          <w:p>
            <w:pPr>
              <w:spacing w:after="0"/>
              <w:rPr>
                <w:sz w:val="11"/>
                <w:szCs w:val="11"/>
                <w:color w:val="auto"/>
              </w:rPr>
            </w:pPr>
          </w:p>
        </w:tc>
        <w:tc>
          <w:tcPr>
            <w:tcW w:w="1020" w:type="dxa"/>
            <w:vAlign w:val="bottom"/>
          </w:tcPr>
          <w:p>
            <w:pPr>
              <w:jc w:val="right"/>
              <w:ind w:right="270"/>
              <w:spacing w:after="0" w:line="134" w:lineRule="exact"/>
              <w:rPr>
                <w:sz w:val="20"/>
                <w:szCs w:val="20"/>
                <w:color w:val="auto"/>
              </w:rPr>
            </w:pPr>
            <w:r>
              <w:rPr>
                <w:rFonts w:ascii="Arial" w:cs="Arial" w:eastAsia="Arial" w:hAnsi="Arial"/>
                <w:sz w:val="13"/>
                <w:szCs w:val="13"/>
                <w:b w:val="1"/>
                <w:bCs w:val="1"/>
                <w:color w:val="auto"/>
              </w:rPr>
              <w:t>Shares</w:t>
            </w:r>
          </w:p>
        </w:tc>
        <w:tc>
          <w:tcPr>
            <w:tcW w:w="220" w:type="dxa"/>
            <w:vAlign w:val="bottom"/>
          </w:tcPr>
          <w:p>
            <w:pPr>
              <w:spacing w:after="0"/>
              <w:rPr>
                <w:sz w:val="11"/>
                <w:szCs w:val="11"/>
                <w:color w:val="auto"/>
              </w:rPr>
            </w:pPr>
          </w:p>
        </w:tc>
        <w:tc>
          <w:tcPr>
            <w:tcW w:w="76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Amount</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jc w:val="center"/>
              <w:ind w:right="280"/>
              <w:spacing w:after="0" w:line="134" w:lineRule="exact"/>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2"/>
          </w:tcPr>
          <w:p>
            <w:pPr>
              <w:jc w:val="center"/>
              <w:ind w:right="200"/>
              <w:spacing w:after="0" w:line="134" w:lineRule="exact"/>
              <w:rPr>
                <w:sz w:val="20"/>
                <w:szCs w:val="20"/>
                <w:color w:val="auto"/>
              </w:rPr>
            </w:pPr>
            <w:r>
              <w:rPr>
                <w:rFonts w:ascii="Arial" w:cs="Arial" w:eastAsia="Arial" w:hAnsi="Arial"/>
                <w:sz w:val="13"/>
                <w:szCs w:val="13"/>
                <w:b w:val="1"/>
                <w:bCs w:val="1"/>
                <w:color w:val="auto"/>
                <w:w w:val="78"/>
              </w:rPr>
              <w:t>Loss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ind w:left="100"/>
              <w:spacing w:after="0" w:line="134" w:lineRule="exact"/>
              <w:rPr>
                <w:sz w:val="20"/>
                <w:szCs w:val="20"/>
                <w:color w:val="auto"/>
              </w:rPr>
            </w:pPr>
            <w:r>
              <w:rPr>
                <w:rFonts w:ascii="Arial" w:cs="Arial" w:eastAsia="Arial" w:hAnsi="Arial"/>
                <w:sz w:val="13"/>
                <w:szCs w:val="13"/>
                <w:b w:val="1"/>
                <w:bCs w:val="1"/>
                <w:color w:val="auto"/>
              </w:rPr>
              <w:t>Earnings</w:t>
            </w:r>
          </w:p>
        </w:tc>
        <w:tc>
          <w:tcPr>
            <w:tcW w:w="120" w:type="dxa"/>
            <w:vAlign w:val="bottom"/>
          </w:tcPr>
          <w:p>
            <w:pPr>
              <w:spacing w:after="0"/>
              <w:rPr>
                <w:sz w:val="11"/>
                <w:szCs w:val="11"/>
                <w:color w:val="auto"/>
              </w:rPr>
            </w:pPr>
          </w:p>
        </w:tc>
        <w:tc>
          <w:tcPr>
            <w:tcW w:w="1040" w:type="dxa"/>
            <w:vAlign w:val="bottom"/>
            <w:gridSpan w:val="2"/>
          </w:tcPr>
          <w:p>
            <w:pPr>
              <w:jc w:val="center"/>
              <w:ind w:right="240"/>
              <w:spacing w:after="0" w:line="134" w:lineRule="exact"/>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81"/>
        </w:trPr>
        <w:tc>
          <w:tcPr>
            <w:tcW w:w="4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Balances at September 30, 2017</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19,120</w:t>
            </w:r>
          </w:p>
        </w:tc>
        <w:tc>
          <w:tcPr>
            <w:tcW w:w="220" w:type="dxa"/>
            <w:vAlign w:val="bottom"/>
            <w:tcBorders>
              <w:top w:val="single" w:sz="8" w:color="CFF0FC"/>
            </w:tcBorders>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jc w:val="right"/>
              <w:ind w:right="611"/>
              <w:spacing w:after="0"/>
              <w:rPr>
                <w:sz w:val="20"/>
                <w:szCs w:val="20"/>
                <w:color w:val="auto"/>
              </w:rPr>
            </w:pPr>
            <w:r>
              <w:rPr>
                <w:rFonts w:ascii="Arial" w:cs="Arial" w:eastAsia="Arial" w:hAnsi="Arial"/>
                <w:sz w:val="14"/>
                <w:szCs w:val="14"/>
                <w:b w:val="1"/>
                <w:bCs w:val="1"/>
                <w:color w:val="auto"/>
                <w:w w:val="76"/>
              </w:rPr>
              <w:t>$</w:t>
            </w:r>
          </w:p>
        </w:tc>
        <w:tc>
          <w:tcPr>
            <w:tcW w:w="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191</w:t>
            </w:r>
          </w:p>
        </w:tc>
        <w:tc>
          <w:tcPr>
            <w:tcW w:w="22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256,241</w:t>
            </w:r>
          </w:p>
        </w:tc>
        <w:tc>
          <w:tcPr>
            <w:tcW w:w="14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(112)</w:t>
            </w:r>
          </w:p>
        </w:tc>
        <w:tc>
          <w:tcPr>
            <w:tcW w:w="14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45,356</w:t>
            </w:r>
          </w:p>
        </w:tc>
        <w:tc>
          <w:tcPr>
            <w:tcW w:w="22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301,676</w:t>
            </w:r>
          </w:p>
        </w:tc>
        <w:tc>
          <w:tcPr>
            <w:tcW w:w="12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060" w:type="dxa"/>
            <w:vAlign w:val="bottom"/>
          </w:tcPr>
          <w:p>
            <w:pPr>
              <w:spacing w:after="0"/>
              <w:rPr>
                <w:sz w:val="20"/>
                <w:szCs w:val="20"/>
                <w:color w:val="auto"/>
              </w:rPr>
            </w:pPr>
            <w:r>
              <w:rPr>
                <w:rFonts w:ascii="Arial" w:cs="Arial" w:eastAsia="Arial" w:hAnsi="Arial"/>
                <w:sz w:val="14"/>
                <w:szCs w:val="14"/>
                <w:color w:val="auto"/>
              </w:rPr>
              <w:t>Exercise of stock options and warrants</w:t>
            </w:r>
          </w:p>
        </w:tc>
        <w:tc>
          <w:tcPr>
            <w:tcW w:w="1020" w:type="dxa"/>
            <w:vAlign w:val="bottom"/>
          </w:tcPr>
          <w:p>
            <w:pPr>
              <w:jc w:val="right"/>
              <w:spacing w:after="0"/>
              <w:rPr>
                <w:sz w:val="20"/>
                <w:szCs w:val="20"/>
                <w:color w:val="auto"/>
              </w:rPr>
            </w:pPr>
            <w:r>
              <w:rPr>
                <w:rFonts w:ascii="Arial" w:cs="Arial" w:eastAsia="Arial" w:hAnsi="Arial"/>
                <w:sz w:val="14"/>
                <w:szCs w:val="14"/>
                <w:color w:val="auto"/>
              </w:rPr>
              <w:t>30</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436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436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60" w:type="dxa"/>
            <w:vAlign w:val="bottom"/>
            <w:shd w:val="clear" w:color="auto" w:fill="CFF0FC"/>
          </w:tcPr>
          <w:p>
            <w:pPr>
              <w:spacing w:after="0"/>
              <w:rPr>
                <w:sz w:val="20"/>
                <w:szCs w:val="20"/>
                <w:color w:val="auto"/>
              </w:rPr>
            </w:pPr>
            <w:r>
              <w:rPr>
                <w:rFonts w:ascii="Arial" w:cs="Arial" w:eastAsia="Arial" w:hAnsi="Arial"/>
                <w:sz w:val="14"/>
                <w:szCs w:val="14"/>
                <w:color w:val="auto"/>
              </w:rPr>
              <w:t>Stock-based compensation expense</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4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4,120</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4,120</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060" w:type="dxa"/>
            <w:vAlign w:val="bottom"/>
          </w:tcPr>
          <w:p>
            <w:pPr>
              <w:spacing w:after="0"/>
              <w:rPr>
                <w:sz w:val="20"/>
                <w:szCs w:val="20"/>
                <w:color w:val="auto"/>
              </w:rPr>
            </w:pPr>
            <w:r>
              <w:rPr>
                <w:rFonts w:ascii="Arial" w:cs="Arial" w:eastAsia="Arial" w:hAnsi="Arial"/>
                <w:sz w:val="14"/>
                <w:szCs w:val="14"/>
                <w:color w:val="auto"/>
              </w:rPr>
              <w:t>Cumulative effect adjustment for adoption of new accounting</w:t>
            </w: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60" w:type="dxa"/>
            <w:vAlign w:val="bottom"/>
          </w:tcPr>
          <w:p>
            <w:pPr>
              <w:spacing w:after="0"/>
              <w:rPr>
                <w:sz w:val="20"/>
                <w:szCs w:val="20"/>
                <w:color w:val="auto"/>
              </w:rPr>
            </w:pPr>
            <w:r>
              <w:rPr>
                <w:rFonts w:ascii="Arial" w:cs="Arial" w:eastAsia="Arial" w:hAnsi="Arial"/>
                <w:sz w:val="14"/>
                <w:szCs w:val="14"/>
                <w:color w:val="auto"/>
              </w:rPr>
              <w:t>guidance</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45</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060" w:type="dxa"/>
            <w:vAlign w:val="bottom"/>
            <w:shd w:val="clear" w:color="auto" w:fill="CFF0FC"/>
          </w:tcPr>
          <w:p>
            <w:pPr>
              <w:spacing w:after="0"/>
              <w:rPr>
                <w:sz w:val="20"/>
                <w:szCs w:val="20"/>
                <w:color w:val="auto"/>
              </w:rPr>
            </w:pPr>
            <w:r>
              <w:rPr>
                <w:rFonts w:ascii="Arial" w:cs="Arial" w:eastAsia="Arial" w:hAnsi="Arial"/>
                <w:sz w:val="14"/>
                <w:szCs w:val="14"/>
                <w:color w:val="auto"/>
              </w:rPr>
              <w:t>Other comprehensive loss</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4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(346)</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(346)</w:t>
            </w:r>
          </w:p>
        </w:tc>
        <w:tc>
          <w:tcPr>
            <w:tcW w:w="0" w:type="dxa"/>
            <w:vAlign w:val="bottom"/>
          </w:tcPr>
          <w:p>
            <w:pPr>
              <w:spacing w:after="0"/>
              <w:rPr>
                <w:sz w:val="1"/>
                <w:szCs w:val="1"/>
                <w:color w:val="auto"/>
              </w:rPr>
            </w:pPr>
          </w:p>
        </w:tc>
      </w:tr>
      <w:tr>
        <w:trPr>
          <w:trHeight w:val="187"/>
        </w:trPr>
        <w:tc>
          <w:tcPr>
            <w:tcW w:w="4060" w:type="dxa"/>
            <w:vAlign w:val="bottom"/>
          </w:tcPr>
          <w:p>
            <w:pPr>
              <w:spacing w:after="0"/>
              <w:rPr>
                <w:sz w:val="20"/>
                <w:szCs w:val="20"/>
                <w:color w:val="auto"/>
              </w:rPr>
            </w:pPr>
            <w:r>
              <w:rPr>
                <w:rFonts w:ascii="Arial" w:cs="Arial" w:eastAsia="Arial" w:hAnsi="Arial"/>
                <w:sz w:val="14"/>
                <w:szCs w:val="14"/>
                <w:color w:val="auto"/>
              </w:rPr>
              <w:t>Net income</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11,693</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11,693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0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Balances at December 31, 2017</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19,150</w:t>
            </w:r>
          </w:p>
        </w:tc>
        <w:tc>
          <w:tcPr>
            <w:tcW w:w="220" w:type="dxa"/>
            <w:vAlign w:val="bottom"/>
            <w:tcBorders>
              <w:top w:val="single" w:sz="8" w:color="CFF0FC"/>
              <w:bottom w:val="single" w:sz="8" w:color="CFF0FC"/>
            </w:tcBorders>
            <w:shd w:val="clear" w:color="auto" w:fill="CFF0FC"/>
          </w:tcPr>
          <w:p>
            <w:pPr>
              <w:spacing w:after="0"/>
              <w:rPr>
                <w:sz w:val="15"/>
                <w:szCs w:val="15"/>
                <w:color w:val="auto"/>
              </w:rPr>
            </w:pPr>
          </w:p>
        </w:tc>
        <w:tc>
          <w:tcPr>
            <w:tcW w:w="760" w:type="dxa"/>
            <w:vAlign w:val="bottom"/>
            <w:tcBorders>
              <w:top w:val="single" w:sz="8" w:color="auto"/>
              <w:bottom w:val="single" w:sz="8" w:color="auto"/>
            </w:tcBorders>
            <w:shd w:val="clear" w:color="auto" w:fill="CFF0FC"/>
          </w:tcPr>
          <w:p>
            <w:pPr>
              <w:jc w:val="right"/>
              <w:ind w:right="611"/>
              <w:spacing w:after="0"/>
              <w:rPr>
                <w:sz w:val="20"/>
                <w:szCs w:val="20"/>
                <w:color w:val="auto"/>
              </w:rPr>
            </w:pPr>
            <w:r>
              <w:rPr>
                <w:rFonts w:ascii="Arial" w:cs="Arial" w:eastAsia="Arial" w:hAnsi="Arial"/>
                <w:sz w:val="14"/>
                <w:szCs w:val="14"/>
                <w:b w:val="1"/>
                <w:bCs w:val="1"/>
                <w:color w:val="auto"/>
                <w:w w:val="76"/>
              </w:rPr>
              <w:t>$</w:t>
            </w: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191</w:t>
            </w:r>
          </w:p>
        </w:tc>
        <w:tc>
          <w:tcPr>
            <w:tcW w:w="220" w:type="dxa"/>
            <w:vAlign w:val="bottom"/>
            <w:tcBorders>
              <w:top w:val="single" w:sz="8" w:color="CFF0FC"/>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260,752</w:t>
            </w:r>
          </w:p>
        </w:tc>
        <w:tc>
          <w:tcPr>
            <w:tcW w:w="140" w:type="dxa"/>
            <w:vAlign w:val="bottom"/>
            <w:tcBorders>
              <w:top w:val="single" w:sz="8" w:color="CFF0FC"/>
              <w:bottom w:val="single" w:sz="8" w:color="CFF0FC"/>
            </w:tcBorders>
            <w:shd w:val="clear" w:color="auto" w:fill="CFF0FC"/>
          </w:tcPr>
          <w:p>
            <w:pPr>
              <w:spacing w:after="0"/>
              <w:rPr>
                <w:sz w:val="15"/>
                <w:szCs w:val="15"/>
                <w:color w:val="auto"/>
              </w:rPr>
            </w:pP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(458)</w:t>
            </w:r>
          </w:p>
        </w:tc>
        <w:tc>
          <w:tcPr>
            <w:tcW w:w="140" w:type="dxa"/>
            <w:vAlign w:val="bottom"/>
            <w:tcBorders>
              <w:top w:val="single" w:sz="8" w:color="CFF0FC"/>
              <w:bottom w:val="single" w:sz="8" w:color="CFF0FC"/>
            </w:tcBorders>
            <w:shd w:val="clear" w:color="auto" w:fill="CFF0FC"/>
          </w:tcPr>
          <w:p>
            <w:pPr>
              <w:spacing w:after="0"/>
              <w:rPr>
                <w:sz w:val="15"/>
                <w:szCs w:val="15"/>
                <w:color w:val="auto"/>
              </w:rPr>
            </w:pP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57,094</w:t>
            </w:r>
          </w:p>
        </w:tc>
        <w:tc>
          <w:tcPr>
            <w:tcW w:w="220" w:type="dxa"/>
            <w:vAlign w:val="bottom"/>
            <w:tcBorders>
              <w:top w:val="single" w:sz="8" w:color="CFF0FC"/>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317,579</w:t>
            </w: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Arial" w:cs="Arial" w:eastAsia="Arial" w:hAnsi="Arial"/>
                <w:sz w:val="14"/>
                <w:szCs w:val="14"/>
                <w:color w:val="auto"/>
              </w:rPr>
              <w:t>Exercise of stock options</w:t>
            </w: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060" w:type="dxa"/>
            <w:vAlign w:val="bottom"/>
            <w:vMerge w:val="continue"/>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65</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1,769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1,770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60" w:type="dxa"/>
            <w:vAlign w:val="bottom"/>
            <w:shd w:val="clear" w:color="auto" w:fill="CFF0FC"/>
          </w:tcPr>
          <w:p>
            <w:pPr>
              <w:spacing w:after="0"/>
              <w:rPr>
                <w:sz w:val="20"/>
                <w:szCs w:val="20"/>
                <w:color w:val="auto"/>
              </w:rPr>
            </w:pPr>
            <w:r>
              <w:rPr>
                <w:rFonts w:ascii="Arial" w:cs="Arial" w:eastAsia="Arial" w:hAnsi="Arial"/>
                <w:sz w:val="14"/>
                <w:szCs w:val="14"/>
                <w:color w:val="auto"/>
              </w:rPr>
              <w:t>Vesting of restricted stock units, net of withholding</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w:t>
            </w: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(1,757)</w:t>
            </w: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(1,756)</w:t>
            </w:r>
          </w:p>
        </w:tc>
        <w:tc>
          <w:tcPr>
            <w:tcW w:w="0" w:type="dxa"/>
            <w:vAlign w:val="bottom"/>
          </w:tcPr>
          <w:p>
            <w:pPr>
              <w:spacing w:after="0"/>
              <w:rPr>
                <w:sz w:val="1"/>
                <w:szCs w:val="1"/>
                <w:color w:val="auto"/>
              </w:rPr>
            </w:pPr>
          </w:p>
        </w:tc>
      </w:tr>
      <w:tr>
        <w:trPr>
          <w:trHeight w:val="187"/>
        </w:trPr>
        <w:tc>
          <w:tcPr>
            <w:tcW w:w="4060" w:type="dxa"/>
            <w:vAlign w:val="bottom"/>
          </w:tcPr>
          <w:p>
            <w:pPr>
              <w:spacing w:after="0"/>
              <w:rPr>
                <w:sz w:val="20"/>
                <w:szCs w:val="20"/>
                <w:color w:val="auto"/>
              </w:rPr>
            </w:pPr>
            <w:r>
              <w:rPr>
                <w:rFonts w:ascii="Arial" w:cs="Arial" w:eastAsia="Arial" w:hAnsi="Arial"/>
                <w:sz w:val="14"/>
                <w:szCs w:val="14"/>
                <w:color w:val="auto"/>
              </w:rPr>
              <w:t>Stock-based compensation expense</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3,590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3,590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60" w:type="dxa"/>
            <w:vAlign w:val="bottom"/>
            <w:shd w:val="clear" w:color="auto" w:fill="CFF0FC"/>
          </w:tcPr>
          <w:p>
            <w:pPr>
              <w:spacing w:after="0"/>
              <w:rPr>
                <w:sz w:val="20"/>
                <w:szCs w:val="20"/>
                <w:color w:val="auto"/>
              </w:rPr>
            </w:pPr>
            <w:r>
              <w:rPr>
                <w:rFonts w:ascii="Arial" w:cs="Arial" w:eastAsia="Arial" w:hAnsi="Arial"/>
                <w:sz w:val="14"/>
                <w:szCs w:val="14"/>
                <w:color w:val="auto"/>
              </w:rPr>
              <w:t>Other comprehensive loss</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4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(336)</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(336)</w:t>
            </w:r>
          </w:p>
        </w:tc>
        <w:tc>
          <w:tcPr>
            <w:tcW w:w="0" w:type="dxa"/>
            <w:vAlign w:val="bottom"/>
          </w:tcPr>
          <w:p>
            <w:pPr>
              <w:spacing w:after="0"/>
              <w:rPr>
                <w:sz w:val="1"/>
                <w:szCs w:val="1"/>
                <w:color w:val="auto"/>
              </w:rPr>
            </w:pPr>
          </w:p>
        </w:tc>
      </w:tr>
      <w:tr>
        <w:trPr>
          <w:trHeight w:val="187"/>
        </w:trPr>
        <w:tc>
          <w:tcPr>
            <w:tcW w:w="4060" w:type="dxa"/>
            <w:vAlign w:val="bottom"/>
          </w:tcPr>
          <w:p>
            <w:pPr>
              <w:spacing w:after="0"/>
              <w:rPr>
                <w:sz w:val="20"/>
                <w:szCs w:val="20"/>
                <w:color w:val="auto"/>
              </w:rPr>
            </w:pPr>
            <w:r>
              <w:rPr>
                <w:rFonts w:ascii="Arial" w:cs="Arial" w:eastAsia="Arial" w:hAnsi="Arial"/>
                <w:sz w:val="14"/>
                <w:szCs w:val="14"/>
                <w:color w:val="auto"/>
              </w:rPr>
              <w:t>Net income</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12,555</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12,555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0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Balances at March 31, 2018</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19,260</w:t>
            </w:r>
          </w:p>
        </w:tc>
        <w:tc>
          <w:tcPr>
            <w:tcW w:w="220" w:type="dxa"/>
            <w:vAlign w:val="bottom"/>
            <w:tcBorders>
              <w:top w:val="single" w:sz="8" w:color="CFF0FC"/>
              <w:bottom w:val="single" w:sz="8" w:color="CFF0FC"/>
            </w:tcBorders>
            <w:shd w:val="clear" w:color="auto" w:fill="CFF0FC"/>
          </w:tcPr>
          <w:p>
            <w:pPr>
              <w:spacing w:after="0"/>
              <w:rPr>
                <w:sz w:val="15"/>
                <w:szCs w:val="15"/>
                <w:color w:val="auto"/>
              </w:rPr>
            </w:pPr>
          </w:p>
        </w:tc>
        <w:tc>
          <w:tcPr>
            <w:tcW w:w="760" w:type="dxa"/>
            <w:vAlign w:val="bottom"/>
            <w:tcBorders>
              <w:top w:val="single" w:sz="8" w:color="auto"/>
              <w:bottom w:val="single" w:sz="8" w:color="auto"/>
            </w:tcBorders>
            <w:shd w:val="clear" w:color="auto" w:fill="CFF0FC"/>
          </w:tcPr>
          <w:p>
            <w:pPr>
              <w:jc w:val="right"/>
              <w:ind w:right="611"/>
              <w:spacing w:after="0"/>
              <w:rPr>
                <w:sz w:val="20"/>
                <w:szCs w:val="20"/>
                <w:color w:val="auto"/>
              </w:rPr>
            </w:pPr>
            <w:r>
              <w:rPr>
                <w:rFonts w:ascii="Arial" w:cs="Arial" w:eastAsia="Arial" w:hAnsi="Arial"/>
                <w:sz w:val="14"/>
                <w:szCs w:val="14"/>
                <w:b w:val="1"/>
                <w:bCs w:val="1"/>
                <w:color w:val="auto"/>
                <w:w w:val="76"/>
              </w:rPr>
              <w:t>$</w:t>
            </w: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193</w:t>
            </w:r>
          </w:p>
        </w:tc>
        <w:tc>
          <w:tcPr>
            <w:tcW w:w="220" w:type="dxa"/>
            <w:vAlign w:val="bottom"/>
            <w:tcBorders>
              <w:top w:val="single" w:sz="8" w:color="CFF0FC"/>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264,354</w:t>
            </w:r>
          </w:p>
        </w:tc>
        <w:tc>
          <w:tcPr>
            <w:tcW w:w="140" w:type="dxa"/>
            <w:vAlign w:val="bottom"/>
            <w:tcBorders>
              <w:top w:val="single" w:sz="8" w:color="CFF0FC"/>
              <w:bottom w:val="single" w:sz="8" w:color="CFF0FC"/>
            </w:tcBorders>
            <w:shd w:val="clear" w:color="auto" w:fill="CFF0FC"/>
          </w:tcPr>
          <w:p>
            <w:pPr>
              <w:spacing w:after="0"/>
              <w:rPr>
                <w:sz w:val="15"/>
                <w:szCs w:val="15"/>
                <w:color w:val="auto"/>
              </w:rPr>
            </w:pP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(794)</w:t>
            </w:r>
          </w:p>
        </w:tc>
        <w:tc>
          <w:tcPr>
            <w:tcW w:w="140" w:type="dxa"/>
            <w:vAlign w:val="bottom"/>
            <w:tcBorders>
              <w:top w:val="single" w:sz="8" w:color="CFF0FC"/>
              <w:bottom w:val="single" w:sz="8" w:color="CFF0FC"/>
            </w:tcBorders>
            <w:shd w:val="clear" w:color="auto" w:fill="CFF0FC"/>
          </w:tcPr>
          <w:p>
            <w:pPr>
              <w:spacing w:after="0"/>
              <w:rPr>
                <w:sz w:val="15"/>
                <w:szCs w:val="15"/>
                <w:color w:val="auto"/>
              </w:rPr>
            </w:pP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69,649</w:t>
            </w:r>
          </w:p>
        </w:tc>
        <w:tc>
          <w:tcPr>
            <w:tcW w:w="220" w:type="dxa"/>
            <w:vAlign w:val="bottom"/>
            <w:tcBorders>
              <w:top w:val="single" w:sz="8" w:color="CFF0FC"/>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333,402</w:t>
            </w: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4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Accumulated</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4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Other</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99"/>
        </w:trPr>
        <w:tc>
          <w:tcPr>
            <w:tcW w:w="4060" w:type="dxa"/>
            <w:vAlign w:val="bottom"/>
          </w:tcPr>
          <w:p>
            <w:pPr>
              <w:spacing w:after="0"/>
              <w:rPr>
                <w:sz w:val="17"/>
                <w:szCs w:val="17"/>
                <w:color w:val="auto"/>
              </w:rPr>
            </w:pPr>
          </w:p>
        </w:tc>
        <w:tc>
          <w:tcPr>
            <w:tcW w:w="2000" w:type="dxa"/>
            <w:vAlign w:val="bottom"/>
            <w:tcBorders>
              <w:bottom w:val="single" w:sz="8" w:color="auto"/>
            </w:tcBorders>
            <w:gridSpan w:val="3"/>
          </w:tcPr>
          <w:p>
            <w:pPr>
              <w:jc w:val="right"/>
              <w:ind w:right="391"/>
              <w:spacing w:after="0"/>
              <w:rPr>
                <w:sz w:val="20"/>
                <w:szCs w:val="20"/>
                <w:color w:val="auto"/>
              </w:rPr>
            </w:pPr>
            <w:r>
              <w:rPr>
                <w:rFonts w:ascii="Arial" w:cs="Arial" w:eastAsia="Arial" w:hAnsi="Arial"/>
                <w:sz w:val="13"/>
                <w:szCs w:val="13"/>
                <w:b w:val="1"/>
                <w:bCs w:val="1"/>
                <w:color w:val="auto"/>
              </w:rPr>
              <w:t>Common Stock</w:t>
            </w:r>
          </w:p>
        </w:tc>
        <w:tc>
          <w:tcPr>
            <w:tcW w:w="2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6"/>
              </w:rPr>
              <w:t>Paid-In</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6"/>
              </w:rPr>
              <w:t>Comprehensive</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ind w:left="100"/>
              <w:spacing w:after="0"/>
              <w:rPr>
                <w:sz w:val="20"/>
                <w:szCs w:val="20"/>
                <w:color w:val="auto"/>
              </w:rPr>
            </w:pPr>
            <w:r>
              <w:rPr>
                <w:rFonts w:ascii="Arial" w:cs="Arial" w:eastAsia="Arial" w:hAnsi="Arial"/>
                <w:sz w:val="13"/>
                <w:szCs w:val="13"/>
                <w:b w:val="1"/>
                <w:bCs w:val="1"/>
                <w:color w:val="auto"/>
              </w:rPr>
              <w:t>Retained</w:t>
            </w:r>
          </w:p>
        </w:tc>
        <w:tc>
          <w:tcPr>
            <w:tcW w:w="12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Stockholders'</w:t>
            </w:r>
          </w:p>
        </w:tc>
        <w:tc>
          <w:tcPr>
            <w:tcW w:w="0" w:type="dxa"/>
            <w:vAlign w:val="bottom"/>
          </w:tcPr>
          <w:p>
            <w:pPr>
              <w:spacing w:after="0"/>
              <w:rPr>
                <w:sz w:val="1"/>
                <w:szCs w:val="1"/>
                <w:color w:val="auto"/>
              </w:rPr>
            </w:pPr>
          </w:p>
        </w:tc>
      </w:tr>
      <w:tr>
        <w:trPr>
          <w:trHeight w:val="134"/>
        </w:trPr>
        <w:tc>
          <w:tcPr>
            <w:tcW w:w="4060" w:type="dxa"/>
            <w:vAlign w:val="bottom"/>
          </w:tcPr>
          <w:p>
            <w:pPr>
              <w:spacing w:after="0"/>
              <w:rPr>
                <w:sz w:val="11"/>
                <w:szCs w:val="11"/>
                <w:color w:val="auto"/>
              </w:rPr>
            </w:pPr>
          </w:p>
        </w:tc>
        <w:tc>
          <w:tcPr>
            <w:tcW w:w="1020" w:type="dxa"/>
            <w:vAlign w:val="bottom"/>
          </w:tcPr>
          <w:p>
            <w:pPr>
              <w:jc w:val="right"/>
              <w:ind w:right="270"/>
              <w:spacing w:after="0" w:line="134" w:lineRule="exact"/>
              <w:rPr>
                <w:sz w:val="20"/>
                <w:szCs w:val="20"/>
                <w:color w:val="auto"/>
              </w:rPr>
            </w:pPr>
            <w:r>
              <w:rPr>
                <w:rFonts w:ascii="Arial" w:cs="Arial" w:eastAsia="Arial" w:hAnsi="Arial"/>
                <w:sz w:val="13"/>
                <w:szCs w:val="13"/>
                <w:b w:val="1"/>
                <w:bCs w:val="1"/>
                <w:color w:val="auto"/>
              </w:rPr>
              <w:t>Shares</w:t>
            </w:r>
          </w:p>
        </w:tc>
        <w:tc>
          <w:tcPr>
            <w:tcW w:w="220" w:type="dxa"/>
            <w:vAlign w:val="bottom"/>
          </w:tcPr>
          <w:p>
            <w:pPr>
              <w:spacing w:after="0"/>
              <w:rPr>
                <w:sz w:val="11"/>
                <w:szCs w:val="11"/>
                <w:color w:val="auto"/>
              </w:rPr>
            </w:pPr>
          </w:p>
        </w:tc>
        <w:tc>
          <w:tcPr>
            <w:tcW w:w="76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Amount</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jc w:val="center"/>
              <w:ind w:right="280"/>
              <w:spacing w:after="0" w:line="134" w:lineRule="exact"/>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2"/>
          </w:tcPr>
          <w:p>
            <w:pPr>
              <w:jc w:val="center"/>
              <w:ind w:right="200"/>
              <w:spacing w:after="0" w:line="134" w:lineRule="exact"/>
              <w:rPr>
                <w:sz w:val="20"/>
                <w:szCs w:val="20"/>
                <w:color w:val="auto"/>
              </w:rPr>
            </w:pPr>
            <w:r>
              <w:rPr>
                <w:rFonts w:ascii="Arial" w:cs="Arial" w:eastAsia="Arial" w:hAnsi="Arial"/>
                <w:sz w:val="13"/>
                <w:szCs w:val="13"/>
                <w:b w:val="1"/>
                <w:bCs w:val="1"/>
                <w:color w:val="auto"/>
                <w:w w:val="86"/>
              </w:rPr>
              <w:t>Income (Loss)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ind w:left="100"/>
              <w:spacing w:after="0" w:line="134" w:lineRule="exact"/>
              <w:rPr>
                <w:sz w:val="20"/>
                <w:szCs w:val="20"/>
                <w:color w:val="auto"/>
              </w:rPr>
            </w:pPr>
            <w:r>
              <w:rPr>
                <w:rFonts w:ascii="Arial" w:cs="Arial" w:eastAsia="Arial" w:hAnsi="Arial"/>
                <w:sz w:val="13"/>
                <w:szCs w:val="13"/>
                <w:b w:val="1"/>
                <w:bCs w:val="1"/>
                <w:color w:val="auto"/>
              </w:rPr>
              <w:t>Earnings</w:t>
            </w:r>
          </w:p>
        </w:tc>
        <w:tc>
          <w:tcPr>
            <w:tcW w:w="120" w:type="dxa"/>
            <w:vAlign w:val="bottom"/>
          </w:tcPr>
          <w:p>
            <w:pPr>
              <w:spacing w:after="0"/>
              <w:rPr>
                <w:sz w:val="11"/>
                <w:szCs w:val="11"/>
                <w:color w:val="auto"/>
              </w:rPr>
            </w:pPr>
          </w:p>
        </w:tc>
        <w:tc>
          <w:tcPr>
            <w:tcW w:w="1040" w:type="dxa"/>
            <w:vAlign w:val="bottom"/>
            <w:gridSpan w:val="2"/>
          </w:tcPr>
          <w:p>
            <w:pPr>
              <w:jc w:val="center"/>
              <w:ind w:right="240"/>
              <w:spacing w:after="0" w:line="134" w:lineRule="exact"/>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81"/>
        </w:trPr>
        <w:tc>
          <w:tcPr>
            <w:tcW w:w="4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Balances at September 30, 2018</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19,395</w:t>
            </w:r>
          </w:p>
        </w:tc>
        <w:tc>
          <w:tcPr>
            <w:tcW w:w="220" w:type="dxa"/>
            <w:vAlign w:val="bottom"/>
            <w:tcBorders>
              <w:top w:val="single" w:sz="8" w:color="CFF0FC"/>
            </w:tcBorders>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jc w:val="right"/>
              <w:ind w:right="611"/>
              <w:spacing w:after="0"/>
              <w:rPr>
                <w:sz w:val="20"/>
                <w:szCs w:val="20"/>
                <w:color w:val="auto"/>
              </w:rPr>
            </w:pPr>
            <w:r>
              <w:rPr>
                <w:rFonts w:ascii="Arial" w:cs="Arial" w:eastAsia="Arial" w:hAnsi="Arial"/>
                <w:sz w:val="14"/>
                <w:szCs w:val="14"/>
                <w:b w:val="1"/>
                <w:bCs w:val="1"/>
                <w:color w:val="auto"/>
                <w:w w:val="76"/>
              </w:rPr>
              <w:t>$</w:t>
            </w:r>
          </w:p>
        </w:tc>
        <w:tc>
          <w:tcPr>
            <w:tcW w:w="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194</w:t>
            </w:r>
          </w:p>
        </w:tc>
        <w:tc>
          <w:tcPr>
            <w:tcW w:w="22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276,526</w:t>
            </w:r>
          </w:p>
        </w:tc>
        <w:tc>
          <w:tcPr>
            <w:tcW w:w="14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(398)</w:t>
            </w:r>
          </w:p>
        </w:tc>
        <w:tc>
          <w:tcPr>
            <w:tcW w:w="14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117,357</w:t>
            </w:r>
          </w:p>
        </w:tc>
        <w:tc>
          <w:tcPr>
            <w:tcW w:w="22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393,679</w:t>
            </w:r>
          </w:p>
        </w:tc>
        <w:tc>
          <w:tcPr>
            <w:tcW w:w="12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060" w:type="dxa"/>
            <w:vAlign w:val="bottom"/>
          </w:tcPr>
          <w:p>
            <w:pPr>
              <w:spacing w:after="0"/>
              <w:rPr>
                <w:sz w:val="20"/>
                <w:szCs w:val="20"/>
                <w:color w:val="auto"/>
              </w:rPr>
            </w:pPr>
            <w:r>
              <w:rPr>
                <w:rFonts w:ascii="Arial" w:cs="Arial" w:eastAsia="Arial" w:hAnsi="Arial"/>
                <w:sz w:val="14"/>
                <w:szCs w:val="14"/>
                <w:color w:val="auto"/>
              </w:rPr>
              <w:t>Exercise of stock options</w:t>
            </w:r>
          </w:p>
        </w:tc>
        <w:tc>
          <w:tcPr>
            <w:tcW w:w="1020" w:type="dxa"/>
            <w:vAlign w:val="bottom"/>
          </w:tcPr>
          <w:p>
            <w:pPr>
              <w:jc w:val="right"/>
              <w:spacing w:after="0"/>
              <w:rPr>
                <w:sz w:val="20"/>
                <w:szCs w:val="20"/>
                <w:color w:val="auto"/>
              </w:rPr>
            </w:pPr>
            <w:r>
              <w:rPr>
                <w:rFonts w:ascii="Arial" w:cs="Arial" w:eastAsia="Arial" w:hAnsi="Arial"/>
                <w:sz w:val="14"/>
                <w:szCs w:val="14"/>
                <w:color w:val="auto"/>
              </w:rPr>
              <w:t>40</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1,161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1,161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60" w:type="dxa"/>
            <w:vAlign w:val="bottom"/>
            <w:shd w:val="clear" w:color="auto" w:fill="CFF0FC"/>
          </w:tcPr>
          <w:p>
            <w:pPr>
              <w:spacing w:after="0"/>
              <w:rPr>
                <w:sz w:val="20"/>
                <w:szCs w:val="20"/>
                <w:color w:val="auto"/>
              </w:rPr>
            </w:pPr>
            <w:r>
              <w:rPr>
                <w:rFonts w:ascii="Arial" w:cs="Arial" w:eastAsia="Arial" w:hAnsi="Arial"/>
                <w:sz w:val="14"/>
                <w:szCs w:val="14"/>
                <w:color w:val="auto"/>
              </w:rPr>
              <w:t>Stock-based compensation expense</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4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5,843</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5,843</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60" w:type="dxa"/>
            <w:vAlign w:val="bottom"/>
          </w:tcPr>
          <w:p>
            <w:pPr>
              <w:spacing w:after="0"/>
              <w:rPr>
                <w:sz w:val="20"/>
                <w:szCs w:val="20"/>
                <w:color w:val="auto"/>
              </w:rPr>
            </w:pPr>
            <w:r>
              <w:rPr>
                <w:rFonts w:ascii="Arial" w:cs="Arial" w:eastAsia="Arial" w:hAnsi="Arial"/>
                <w:sz w:val="14"/>
                <w:szCs w:val="14"/>
                <w:color w:val="auto"/>
              </w:rPr>
              <w:t>Other comprehensive income</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60" w:type="dxa"/>
            <w:vAlign w:val="bottom"/>
            <w:shd w:val="clear" w:color="auto" w:fill="CFF0FC"/>
          </w:tcPr>
          <w:p>
            <w:pPr>
              <w:spacing w:after="0"/>
              <w:rPr>
                <w:sz w:val="20"/>
                <w:szCs w:val="20"/>
                <w:color w:val="auto"/>
              </w:rPr>
            </w:pPr>
            <w:r>
              <w:rPr>
                <w:rFonts w:ascii="Arial" w:cs="Arial" w:eastAsia="Arial" w:hAnsi="Arial"/>
                <w:sz w:val="14"/>
                <w:szCs w:val="14"/>
                <w:color w:val="auto"/>
              </w:rPr>
              <w:t>Net income</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4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26,011</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26,011</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6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Balances at December 31, 2018</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19,435</w:t>
            </w:r>
          </w:p>
        </w:tc>
        <w:tc>
          <w:tcPr>
            <w:tcW w:w="220" w:type="dxa"/>
            <w:vAlign w:val="bottom"/>
            <w:tcBorders>
              <w:bottom w:val="single" w:sz="8" w:color="CFF0FC"/>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w w:val="76"/>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194</w:t>
            </w:r>
          </w:p>
        </w:tc>
        <w:tc>
          <w:tcPr>
            <w:tcW w:w="2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283,530</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(257)</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143,368</w:t>
            </w:r>
          </w:p>
        </w:tc>
        <w:tc>
          <w:tcPr>
            <w:tcW w:w="22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426,835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4060" w:type="dxa"/>
            <w:vAlign w:val="bottom"/>
            <w:shd w:val="clear" w:color="auto" w:fill="CFF0FC"/>
          </w:tcPr>
          <w:p>
            <w:pPr>
              <w:spacing w:after="0"/>
              <w:rPr>
                <w:sz w:val="20"/>
                <w:szCs w:val="20"/>
                <w:color w:val="auto"/>
              </w:rPr>
            </w:pPr>
            <w:r>
              <w:rPr>
                <w:rFonts w:ascii="Arial" w:cs="Arial" w:eastAsia="Arial" w:hAnsi="Arial"/>
                <w:sz w:val="14"/>
                <w:szCs w:val="14"/>
                <w:color w:val="auto"/>
              </w:rPr>
              <w:t>Exercise of stock options</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157</w:t>
            </w: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4,464</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4,466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4060" w:type="dxa"/>
            <w:vAlign w:val="bottom"/>
          </w:tcPr>
          <w:p>
            <w:pPr>
              <w:spacing w:after="0"/>
              <w:rPr>
                <w:sz w:val="20"/>
                <w:szCs w:val="20"/>
                <w:color w:val="auto"/>
              </w:rPr>
            </w:pPr>
            <w:r>
              <w:rPr>
                <w:rFonts w:ascii="Arial" w:cs="Arial" w:eastAsia="Arial" w:hAnsi="Arial"/>
                <w:sz w:val="14"/>
                <w:szCs w:val="14"/>
                <w:color w:val="auto"/>
              </w:rPr>
              <w:t>Vesting of restricted stock units, net of withholding</w:t>
            </w:r>
          </w:p>
        </w:tc>
        <w:tc>
          <w:tcPr>
            <w:tcW w:w="1020" w:type="dxa"/>
            <w:vAlign w:val="bottom"/>
          </w:tcPr>
          <w:p>
            <w:pPr>
              <w:jc w:val="right"/>
              <w:spacing w:after="0"/>
              <w:rPr>
                <w:sz w:val="20"/>
                <w:szCs w:val="20"/>
                <w:color w:val="auto"/>
              </w:rPr>
            </w:pPr>
            <w:r>
              <w:rPr>
                <w:rFonts w:ascii="Arial" w:cs="Arial" w:eastAsia="Arial" w:hAnsi="Arial"/>
                <w:sz w:val="14"/>
                <w:szCs w:val="14"/>
                <w:color w:val="auto"/>
              </w:rPr>
              <w:t>77</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(4,189)</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(4,188)</w:t>
            </w:r>
          </w:p>
        </w:tc>
        <w:tc>
          <w:tcPr>
            <w:tcW w:w="0" w:type="dxa"/>
            <w:vAlign w:val="bottom"/>
          </w:tcPr>
          <w:p>
            <w:pPr>
              <w:spacing w:after="0"/>
              <w:rPr>
                <w:sz w:val="1"/>
                <w:szCs w:val="1"/>
                <w:color w:val="auto"/>
              </w:rPr>
            </w:pPr>
          </w:p>
        </w:tc>
      </w:tr>
      <w:tr>
        <w:trPr>
          <w:trHeight w:val="192"/>
        </w:trPr>
        <w:tc>
          <w:tcPr>
            <w:tcW w:w="4060" w:type="dxa"/>
            <w:vAlign w:val="bottom"/>
            <w:shd w:val="clear" w:color="auto" w:fill="CFF0FC"/>
          </w:tcPr>
          <w:p>
            <w:pPr>
              <w:spacing w:after="0"/>
              <w:rPr>
                <w:sz w:val="20"/>
                <w:szCs w:val="20"/>
                <w:color w:val="auto"/>
              </w:rPr>
            </w:pPr>
            <w:r>
              <w:rPr>
                <w:rFonts w:ascii="Arial" w:cs="Arial" w:eastAsia="Arial" w:hAnsi="Arial"/>
                <w:sz w:val="14"/>
                <w:szCs w:val="14"/>
                <w:color w:val="auto"/>
              </w:rPr>
              <w:t>Stock-based compensation expense</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4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4,707</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4,707</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60" w:type="dxa"/>
            <w:vAlign w:val="bottom"/>
          </w:tcPr>
          <w:p>
            <w:pPr>
              <w:spacing w:after="0"/>
              <w:rPr>
                <w:sz w:val="20"/>
                <w:szCs w:val="20"/>
                <w:color w:val="auto"/>
              </w:rPr>
            </w:pPr>
            <w:r>
              <w:rPr>
                <w:rFonts w:ascii="Arial" w:cs="Arial" w:eastAsia="Arial" w:hAnsi="Arial"/>
                <w:sz w:val="14"/>
                <w:szCs w:val="14"/>
                <w:color w:val="auto"/>
              </w:rPr>
              <w:t>Other comprehensive income</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245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245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60" w:type="dxa"/>
            <w:vAlign w:val="bottom"/>
            <w:shd w:val="clear" w:color="auto" w:fill="CFF0FC"/>
          </w:tcPr>
          <w:p>
            <w:pPr>
              <w:spacing w:after="0"/>
              <w:rPr>
                <w:sz w:val="20"/>
                <w:szCs w:val="20"/>
                <w:color w:val="auto"/>
              </w:rPr>
            </w:pPr>
            <w:r>
              <w:rPr>
                <w:rFonts w:ascii="Arial" w:cs="Arial" w:eastAsia="Arial" w:hAnsi="Arial"/>
                <w:sz w:val="14"/>
                <w:szCs w:val="14"/>
                <w:color w:val="auto"/>
              </w:rPr>
              <w:t>Net income</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4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4,145</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4,145</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060" w:type="dxa"/>
            <w:vAlign w:val="bottom"/>
          </w:tcPr>
          <w:p>
            <w:pPr>
              <w:spacing w:after="0"/>
              <w:rPr>
                <w:sz w:val="20"/>
                <w:szCs w:val="20"/>
                <w:color w:val="auto"/>
              </w:rPr>
            </w:pPr>
            <w:r>
              <w:rPr>
                <w:rFonts w:ascii="Arial" w:cs="Arial" w:eastAsia="Arial" w:hAnsi="Arial"/>
                <w:sz w:val="14"/>
                <w:szCs w:val="14"/>
                <w:b w:val="1"/>
                <w:bCs w:val="1"/>
                <w:color w:val="auto"/>
              </w:rPr>
              <w:t>Balances at March 31, 2019</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19,669</w:t>
            </w:r>
          </w:p>
        </w:tc>
        <w:tc>
          <w:tcPr>
            <w:tcW w:w="220" w:type="dxa"/>
            <w:vAlign w:val="bottom"/>
          </w:tcPr>
          <w:p>
            <w:pPr>
              <w:spacing w:after="0"/>
              <w:rPr>
                <w:sz w:val="15"/>
                <w:szCs w:val="15"/>
                <w:color w:val="auto"/>
              </w:rPr>
            </w:pPr>
          </w:p>
        </w:tc>
        <w:tc>
          <w:tcPr>
            <w:tcW w:w="760" w:type="dxa"/>
            <w:vAlign w:val="bottom"/>
            <w:tcBorders>
              <w:top w:val="single" w:sz="8" w:color="auto"/>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w w:val="76"/>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197</w:t>
            </w:r>
          </w:p>
        </w:tc>
        <w:tc>
          <w:tcPr>
            <w:tcW w:w="2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288,512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147,513</w:t>
            </w:r>
          </w:p>
        </w:tc>
        <w:tc>
          <w:tcPr>
            <w:tcW w:w="2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436,210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38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58420</wp:posOffset>
            </wp:positionV>
            <wp:extent cx="7303770"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12" w:right="21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6"/>
          <w:szCs w:val="16"/>
          <w:b w:val="1"/>
          <w:bCs w:val="1"/>
          <w:color w:val="auto"/>
        </w:rPr>
        <w:t>ENANTA PHARMACEUTICALS,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0" w:type="dxa"/>
            <w:vAlign w:val="bottom"/>
            <w:gridSpan w:val="3"/>
          </w:tcPr>
          <w:p>
            <w:pPr>
              <w:jc w:val="right"/>
              <w:ind w:right="85"/>
              <w:spacing w:after="0"/>
              <w:rPr>
                <w:sz w:val="20"/>
                <w:szCs w:val="20"/>
                <w:color w:val="auto"/>
              </w:rPr>
            </w:pPr>
            <w:r>
              <w:rPr>
                <w:rFonts w:ascii="Arial" w:cs="Arial" w:eastAsia="Arial" w:hAnsi="Arial"/>
                <w:sz w:val="13"/>
                <w:szCs w:val="13"/>
                <w:b w:val="1"/>
                <w:bCs w:val="1"/>
                <w:color w:val="auto"/>
              </w:rPr>
              <w:t>Six Months Ended</w:t>
            </w: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6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jc w:val="right"/>
              <w:ind w:right="305"/>
              <w:spacing w:after="0"/>
              <w:rPr>
                <w:sz w:val="20"/>
                <w:szCs w:val="20"/>
                <w:color w:val="auto"/>
              </w:rPr>
            </w:pPr>
            <w:r>
              <w:rPr>
                <w:rFonts w:ascii="Arial" w:cs="Arial" w:eastAsia="Arial" w:hAnsi="Arial"/>
                <w:sz w:val="13"/>
                <w:szCs w:val="13"/>
                <w:b w:val="1"/>
                <w:bCs w:val="1"/>
                <w:color w:val="auto"/>
              </w:rPr>
              <w:t>March 31,</w:t>
            </w:r>
          </w:p>
        </w:tc>
        <w:tc>
          <w:tcPr>
            <w:tcW w:w="10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6660" w:type="dxa"/>
            <w:vAlign w:val="bottom"/>
            <w:tcBorders>
              <w:bottom w:val="single" w:sz="8" w:color="CFF0FC"/>
            </w:tcBorders>
          </w:tcPr>
          <w:p>
            <w:pPr>
              <w:spacing w:after="0"/>
              <w:rPr>
                <w:sz w:val="11"/>
                <w:szCs w:val="11"/>
                <w:color w:val="auto"/>
              </w:rPr>
            </w:pPr>
          </w:p>
        </w:tc>
        <w:tc>
          <w:tcPr>
            <w:tcW w:w="1220" w:type="dxa"/>
            <w:vAlign w:val="bottom"/>
            <w:tcBorders>
              <w:bottom w:val="single" w:sz="8" w:color="CFF0FC"/>
            </w:tcBorders>
          </w:tcPr>
          <w:p>
            <w:pPr>
              <w:spacing w:after="0"/>
              <w:rPr>
                <w:sz w:val="11"/>
                <w:szCs w:val="11"/>
                <w:color w:val="auto"/>
              </w:rPr>
            </w:pPr>
          </w:p>
        </w:tc>
        <w:tc>
          <w:tcPr>
            <w:tcW w:w="96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rPr>
              <w:t>2019</w:t>
            </w:r>
          </w:p>
        </w:tc>
        <w:tc>
          <w:tcPr>
            <w:tcW w:w="600" w:type="dxa"/>
            <w:vAlign w:val="bottom"/>
            <w:tcBorders>
              <w:bottom w:val="single" w:sz="8" w:color="auto"/>
            </w:tcBorders>
          </w:tcPr>
          <w:p>
            <w:pPr>
              <w:spacing w:after="0"/>
              <w:rPr>
                <w:sz w:val="11"/>
                <w:szCs w:val="11"/>
                <w:color w:val="auto"/>
              </w:rPr>
            </w:pPr>
          </w:p>
        </w:tc>
        <w:tc>
          <w:tcPr>
            <w:tcW w:w="280" w:type="dxa"/>
            <w:vAlign w:val="bottom"/>
            <w:tcBorders>
              <w:bottom w:val="single" w:sz="8" w:color="CFF0FC"/>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606"/>
              <w:spacing w:after="0" w:line="134" w:lineRule="exact"/>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666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Cash flows from operating activities</w:t>
            </w:r>
          </w:p>
        </w:tc>
        <w:tc>
          <w:tcPr>
            <w:tcW w:w="12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660" w:type="dxa"/>
            <w:vAlign w:val="bottom"/>
          </w:tcPr>
          <w:p>
            <w:pPr>
              <w:ind w:left="220"/>
              <w:spacing w:after="0"/>
              <w:rPr>
                <w:sz w:val="20"/>
                <w:szCs w:val="20"/>
                <w:color w:val="auto"/>
              </w:rPr>
            </w:pPr>
            <w:r>
              <w:rPr>
                <w:rFonts w:ascii="Arial" w:cs="Arial" w:eastAsia="Arial" w:hAnsi="Arial"/>
                <w:sz w:val="15"/>
                <w:szCs w:val="15"/>
                <w:color w:val="auto"/>
              </w:rPr>
              <w:t>Net income</w:t>
            </w:r>
          </w:p>
        </w:tc>
        <w:tc>
          <w:tcPr>
            <w:tcW w:w="2180" w:type="dxa"/>
            <w:vAlign w:val="bottom"/>
            <w:gridSpan w:val="2"/>
          </w:tcPr>
          <w:p>
            <w:pPr>
              <w:jc w:val="right"/>
              <w:ind w:right="837"/>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30,156</w:t>
            </w:r>
          </w:p>
        </w:tc>
        <w:tc>
          <w:tcPr>
            <w:tcW w:w="280" w:type="dxa"/>
            <w:vAlign w:val="bottom"/>
          </w:tcPr>
          <w:p>
            <w:pPr>
              <w:spacing w:after="0"/>
              <w:rPr>
                <w:sz w:val="17"/>
                <w:szCs w:val="17"/>
                <w:color w:val="auto"/>
              </w:rPr>
            </w:pPr>
          </w:p>
        </w:tc>
        <w:tc>
          <w:tcPr>
            <w:tcW w:w="520" w:type="dxa"/>
            <w:vAlign w:val="bottom"/>
          </w:tcPr>
          <w:p>
            <w:pPr>
              <w:jc w:val="right"/>
              <w:ind w:right="36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24,248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60" w:type="dxa"/>
            <w:vAlign w:val="bottom"/>
            <w:shd w:val="clear" w:color="auto" w:fill="CFF0FC"/>
          </w:tcPr>
          <w:p>
            <w:pPr>
              <w:ind w:left="220"/>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1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660" w:type="dxa"/>
            <w:vAlign w:val="bottom"/>
          </w:tcPr>
          <w:p>
            <w:pPr>
              <w:ind w:left="420"/>
              <w:spacing w:after="0"/>
              <w:rPr>
                <w:sz w:val="20"/>
                <w:szCs w:val="20"/>
                <w:color w:val="auto"/>
              </w:rPr>
            </w:pPr>
            <w:r>
              <w:rPr>
                <w:rFonts w:ascii="Arial" w:cs="Arial" w:eastAsia="Arial" w:hAnsi="Arial"/>
                <w:sz w:val="15"/>
                <w:szCs w:val="15"/>
                <w:color w:val="auto"/>
              </w:rPr>
              <w:t>Stock-based compensation expense</w:t>
            </w:r>
          </w:p>
        </w:tc>
        <w:tc>
          <w:tcPr>
            <w:tcW w:w="1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10,550</w:t>
            </w: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7,710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60" w:type="dxa"/>
            <w:vAlign w:val="bottom"/>
            <w:shd w:val="clear" w:color="auto" w:fill="CFF0FC"/>
          </w:tcPr>
          <w:p>
            <w:pPr>
              <w:ind w:left="420"/>
              <w:spacing w:after="0"/>
              <w:rPr>
                <w:sz w:val="20"/>
                <w:szCs w:val="20"/>
                <w:color w:val="auto"/>
              </w:rPr>
            </w:pPr>
            <w:r>
              <w:rPr>
                <w:rFonts w:ascii="Arial" w:cs="Arial" w:eastAsia="Arial" w:hAnsi="Arial"/>
                <w:sz w:val="15"/>
                <w:szCs w:val="15"/>
                <w:color w:val="auto"/>
              </w:rPr>
              <w:t>Depreciation and amortization expense</w:t>
            </w:r>
          </w:p>
        </w:tc>
        <w:tc>
          <w:tcPr>
            <w:tcW w:w="1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1,482</w:t>
            </w:r>
          </w:p>
        </w:tc>
        <w:tc>
          <w:tcPr>
            <w:tcW w:w="2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1,200</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660" w:type="dxa"/>
            <w:vAlign w:val="bottom"/>
          </w:tcPr>
          <w:p>
            <w:pPr>
              <w:ind w:left="420"/>
              <w:spacing w:after="0"/>
              <w:rPr>
                <w:sz w:val="20"/>
                <w:szCs w:val="20"/>
                <w:color w:val="auto"/>
              </w:rPr>
            </w:pPr>
            <w:r>
              <w:rPr>
                <w:rFonts w:ascii="Arial" w:cs="Arial" w:eastAsia="Arial" w:hAnsi="Arial"/>
                <w:sz w:val="15"/>
                <w:szCs w:val="15"/>
                <w:color w:val="auto"/>
              </w:rPr>
              <w:t>Deferred income taxes</w:t>
            </w:r>
          </w:p>
        </w:tc>
        <w:tc>
          <w:tcPr>
            <w:tcW w:w="1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(800)</w:t>
            </w:r>
          </w:p>
        </w:tc>
        <w:tc>
          <w:tcPr>
            <w:tcW w:w="5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2,791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60" w:type="dxa"/>
            <w:vAlign w:val="bottom"/>
            <w:shd w:val="clear" w:color="auto" w:fill="CFF0FC"/>
          </w:tcPr>
          <w:p>
            <w:pPr>
              <w:ind w:left="420"/>
              <w:spacing w:after="0"/>
              <w:rPr>
                <w:sz w:val="20"/>
                <w:szCs w:val="20"/>
                <w:color w:val="auto"/>
              </w:rPr>
            </w:pPr>
            <w:r>
              <w:rPr>
                <w:rFonts w:ascii="Arial" w:cs="Arial" w:eastAsia="Arial" w:hAnsi="Arial"/>
                <w:sz w:val="15"/>
                <w:szCs w:val="15"/>
                <w:color w:val="auto"/>
              </w:rPr>
              <w:t>Premium paid on marketable securities</w:t>
            </w:r>
          </w:p>
        </w:tc>
        <w:tc>
          <w:tcPr>
            <w:tcW w:w="1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(1)</w:t>
            </w:r>
          </w:p>
        </w:tc>
        <w:tc>
          <w:tcPr>
            <w:tcW w:w="5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(243)</w:t>
            </w:r>
          </w:p>
        </w:tc>
        <w:tc>
          <w:tcPr>
            <w:tcW w:w="0" w:type="dxa"/>
            <w:vAlign w:val="bottom"/>
          </w:tcPr>
          <w:p>
            <w:pPr>
              <w:spacing w:after="0"/>
              <w:rPr>
                <w:sz w:val="1"/>
                <w:szCs w:val="1"/>
                <w:color w:val="auto"/>
              </w:rPr>
            </w:pPr>
          </w:p>
        </w:tc>
      </w:tr>
      <w:tr>
        <w:trPr>
          <w:trHeight w:val="199"/>
        </w:trPr>
        <w:tc>
          <w:tcPr>
            <w:tcW w:w="6660" w:type="dxa"/>
            <w:vAlign w:val="bottom"/>
          </w:tcPr>
          <w:p>
            <w:pPr>
              <w:ind w:left="420"/>
              <w:spacing w:after="0"/>
              <w:rPr>
                <w:sz w:val="20"/>
                <w:szCs w:val="20"/>
                <w:color w:val="auto"/>
              </w:rPr>
            </w:pPr>
            <w:r>
              <w:rPr>
                <w:rFonts w:ascii="Arial" w:cs="Arial" w:eastAsia="Arial" w:hAnsi="Arial"/>
                <w:sz w:val="15"/>
                <w:szCs w:val="15"/>
                <w:color w:val="auto"/>
              </w:rPr>
              <w:t>Amortization of (accretion of) premium (discount) on marketable securities</w:t>
            </w:r>
          </w:p>
        </w:tc>
        <w:tc>
          <w:tcPr>
            <w:tcW w:w="1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(2,213)</w:t>
            </w:r>
          </w:p>
        </w:tc>
        <w:tc>
          <w:tcPr>
            <w:tcW w:w="5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110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60" w:type="dxa"/>
            <w:vAlign w:val="bottom"/>
            <w:shd w:val="clear" w:color="auto" w:fill="CFF0FC"/>
          </w:tcPr>
          <w:p>
            <w:pPr>
              <w:ind w:left="420"/>
              <w:spacing w:after="0"/>
              <w:rPr>
                <w:sz w:val="20"/>
                <w:szCs w:val="20"/>
                <w:color w:val="auto"/>
              </w:rPr>
            </w:pPr>
            <w:r>
              <w:rPr>
                <w:rFonts w:ascii="Arial" w:cs="Arial" w:eastAsia="Arial" w:hAnsi="Arial"/>
                <w:sz w:val="15"/>
                <w:szCs w:val="15"/>
                <w:color w:val="auto"/>
              </w:rPr>
              <w:t>Change in fair value of warrant liability and Series 1 nonconvertible preferred stock</w:t>
            </w:r>
          </w:p>
        </w:tc>
        <w:tc>
          <w:tcPr>
            <w:tcW w:w="1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5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(41)</w:t>
            </w:r>
          </w:p>
        </w:tc>
        <w:tc>
          <w:tcPr>
            <w:tcW w:w="0" w:type="dxa"/>
            <w:vAlign w:val="bottom"/>
          </w:tcPr>
          <w:p>
            <w:pPr>
              <w:spacing w:after="0"/>
              <w:rPr>
                <w:sz w:val="1"/>
                <w:szCs w:val="1"/>
                <w:color w:val="auto"/>
              </w:rPr>
            </w:pPr>
          </w:p>
        </w:tc>
      </w:tr>
      <w:tr>
        <w:trPr>
          <w:trHeight w:val="199"/>
        </w:trPr>
        <w:tc>
          <w:tcPr>
            <w:tcW w:w="6660" w:type="dxa"/>
            <w:vAlign w:val="bottom"/>
          </w:tcPr>
          <w:p>
            <w:pPr>
              <w:ind w:left="420"/>
              <w:spacing w:after="0"/>
              <w:rPr>
                <w:sz w:val="20"/>
                <w:szCs w:val="20"/>
                <w:color w:val="auto"/>
              </w:rPr>
            </w:pPr>
            <w:r>
              <w:rPr>
                <w:rFonts w:ascii="Arial" w:cs="Arial" w:eastAsia="Arial" w:hAnsi="Arial"/>
                <w:sz w:val="15"/>
                <w:szCs w:val="15"/>
                <w:color w:val="auto"/>
              </w:rPr>
              <w:t>Other non-cash items</w:t>
            </w:r>
          </w:p>
        </w:tc>
        <w:tc>
          <w:tcPr>
            <w:tcW w:w="1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37</w:t>
            </w: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5"/>
                <w:szCs w:val="15"/>
                <w:color w:val="auto"/>
              </w:rPr>
              <w:t>(84)</w:t>
            </w:r>
          </w:p>
        </w:tc>
        <w:tc>
          <w:tcPr>
            <w:tcW w:w="0" w:type="dxa"/>
            <w:vAlign w:val="bottom"/>
          </w:tcPr>
          <w:p>
            <w:pPr>
              <w:spacing w:after="0"/>
              <w:rPr>
                <w:sz w:val="1"/>
                <w:szCs w:val="1"/>
                <w:color w:val="auto"/>
              </w:rPr>
            </w:pPr>
          </w:p>
        </w:tc>
      </w:tr>
      <w:tr>
        <w:trPr>
          <w:trHeight w:val="203"/>
        </w:trPr>
        <w:tc>
          <w:tcPr>
            <w:tcW w:w="6660" w:type="dxa"/>
            <w:vAlign w:val="bottom"/>
            <w:shd w:val="clear" w:color="auto" w:fill="CFF0FC"/>
          </w:tcPr>
          <w:p>
            <w:pPr>
              <w:ind w:left="420"/>
              <w:spacing w:after="0"/>
              <w:rPr>
                <w:sz w:val="20"/>
                <w:szCs w:val="20"/>
                <w:color w:val="auto"/>
              </w:rPr>
            </w:pPr>
            <w:r>
              <w:rPr>
                <w:rFonts w:ascii="Arial" w:cs="Arial" w:eastAsia="Arial" w:hAnsi="Arial"/>
                <w:sz w:val="15"/>
                <w:szCs w:val="15"/>
                <w:color w:val="auto"/>
              </w:rPr>
              <w:t>Change in operating assets and liabilities:</w:t>
            </w:r>
          </w:p>
        </w:tc>
        <w:tc>
          <w:tcPr>
            <w:tcW w:w="1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660" w:type="dxa"/>
            <w:vAlign w:val="bottom"/>
          </w:tcPr>
          <w:p>
            <w:pPr>
              <w:ind w:left="640"/>
              <w:spacing w:after="0"/>
              <w:rPr>
                <w:sz w:val="20"/>
                <w:szCs w:val="20"/>
                <w:color w:val="auto"/>
              </w:rPr>
            </w:pPr>
            <w:r>
              <w:rPr>
                <w:rFonts w:ascii="Arial" w:cs="Arial" w:eastAsia="Arial" w:hAnsi="Arial"/>
                <w:sz w:val="15"/>
                <w:szCs w:val="15"/>
                <w:color w:val="auto"/>
              </w:rPr>
              <w:t>Accounts receivable</w:t>
            </w:r>
          </w:p>
        </w:tc>
        <w:tc>
          <w:tcPr>
            <w:tcW w:w="1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27,574</w:t>
            </w: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5"/>
                <w:szCs w:val="15"/>
                <w:color w:val="auto"/>
              </w:rPr>
              <w:t>(33,435)</w:t>
            </w:r>
          </w:p>
        </w:tc>
        <w:tc>
          <w:tcPr>
            <w:tcW w:w="0" w:type="dxa"/>
            <w:vAlign w:val="bottom"/>
          </w:tcPr>
          <w:p>
            <w:pPr>
              <w:spacing w:after="0"/>
              <w:rPr>
                <w:sz w:val="1"/>
                <w:szCs w:val="1"/>
                <w:color w:val="auto"/>
              </w:rPr>
            </w:pPr>
          </w:p>
        </w:tc>
      </w:tr>
      <w:tr>
        <w:trPr>
          <w:trHeight w:val="203"/>
        </w:trPr>
        <w:tc>
          <w:tcPr>
            <w:tcW w:w="6660" w:type="dxa"/>
            <w:vAlign w:val="bottom"/>
            <w:shd w:val="clear" w:color="auto" w:fill="CFF0FC"/>
          </w:tcPr>
          <w:p>
            <w:pPr>
              <w:ind w:left="640"/>
              <w:spacing w:after="0"/>
              <w:rPr>
                <w:sz w:val="20"/>
                <w:szCs w:val="20"/>
                <w:color w:val="auto"/>
              </w:rPr>
            </w:pPr>
            <w:r>
              <w:rPr>
                <w:rFonts w:ascii="Arial" w:cs="Arial" w:eastAsia="Arial" w:hAnsi="Arial"/>
                <w:sz w:val="15"/>
                <w:szCs w:val="15"/>
                <w:color w:val="auto"/>
              </w:rPr>
              <w:t>Prepaid expenses and other current assets</w:t>
            </w:r>
          </w:p>
        </w:tc>
        <w:tc>
          <w:tcPr>
            <w:tcW w:w="1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(9,598)</w:t>
            </w:r>
          </w:p>
        </w:tc>
        <w:tc>
          <w:tcPr>
            <w:tcW w:w="5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(1,369)</w:t>
            </w:r>
          </w:p>
        </w:tc>
        <w:tc>
          <w:tcPr>
            <w:tcW w:w="0" w:type="dxa"/>
            <w:vAlign w:val="bottom"/>
          </w:tcPr>
          <w:p>
            <w:pPr>
              <w:spacing w:after="0"/>
              <w:rPr>
                <w:sz w:val="1"/>
                <w:szCs w:val="1"/>
                <w:color w:val="auto"/>
              </w:rPr>
            </w:pPr>
          </w:p>
        </w:tc>
      </w:tr>
      <w:tr>
        <w:trPr>
          <w:trHeight w:val="199"/>
        </w:trPr>
        <w:tc>
          <w:tcPr>
            <w:tcW w:w="6660" w:type="dxa"/>
            <w:vAlign w:val="bottom"/>
          </w:tcPr>
          <w:p>
            <w:pPr>
              <w:ind w:left="640"/>
              <w:spacing w:after="0"/>
              <w:rPr>
                <w:sz w:val="20"/>
                <w:szCs w:val="20"/>
                <w:color w:val="auto"/>
              </w:rPr>
            </w:pPr>
            <w:r>
              <w:rPr>
                <w:rFonts w:ascii="Arial" w:cs="Arial" w:eastAsia="Arial" w:hAnsi="Arial"/>
                <w:sz w:val="15"/>
                <w:szCs w:val="15"/>
                <w:color w:val="auto"/>
              </w:rPr>
              <w:t>Accounts payable</w:t>
            </w:r>
          </w:p>
        </w:tc>
        <w:tc>
          <w:tcPr>
            <w:tcW w:w="1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2,886</w:t>
            </w: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565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60" w:type="dxa"/>
            <w:vAlign w:val="bottom"/>
            <w:shd w:val="clear" w:color="auto" w:fill="CFF0FC"/>
          </w:tcPr>
          <w:p>
            <w:pPr>
              <w:ind w:left="640"/>
              <w:spacing w:after="0"/>
              <w:rPr>
                <w:sz w:val="20"/>
                <w:szCs w:val="20"/>
                <w:color w:val="auto"/>
              </w:rPr>
            </w:pPr>
            <w:r>
              <w:rPr>
                <w:rFonts w:ascii="Arial" w:cs="Arial" w:eastAsia="Arial" w:hAnsi="Arial"/>
                <w:sz w:val="15"/>
                <w:szCs w:val="15"/>
                <w:color w:val="auto"/>
              </w:rPr>
              <w:t>Accrued expenses</w:t>
            </w:r>
          </w:p>
        </w:tc>
        <w:tc>
          <w:tcPr>
            <w:tcW w:w="1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1,259</w:t>
            </w:r>
          </w:p>
        </w:tc>
        <w:tc>
          <w:tcPr>
            <w:tcW w:w="2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(939)</w:t>
            </w:r>
          </w:p>
        </w:tc>
        <w:tc>
          <w:tcPr>
            <w:tcW w:w="0" w:type="dxa"/>
            <w:vAlign w:val="bottom"/>
          </w:tcPr>
          <w:p>
            <w:pPr>
              <w:spacing w:after="0"/>
              <w:rPr>
                <w:sz w:val="1"/>
                <w:szCs w:val="1"/>
                <w:color w:val="auto"/>
              </w:rPr>
            </w:pPr>
          </w:p>
        </w:tc>
      </w:tr>
      <w:tr>
        <w:trPr>
          <w:trHeight w:val="199"/>
        </w:trPr>
        <w:tc>
          <w:tcPr>
            <w:tcW w:w="6660" w:type="dxa"/>
            <w:vAlign w:val="bottom"/>
          </w:tcPr>
          <w:p>
            <w:pPr>
              <w:ind w:left="640"/>
              <w:spacing w:after="0"/>
              <w:rPr>
                <w:sz w:val="20"/>
                <w:szCs w:val="20"/>
                <w:color w:val="auto"/>
              </w:rPr>
            </w:pPr>
            <w:r>
              <w:rPr>
                <w:rFonts w:ascii="Arial" w:cs="Arial" w:eastAsia="Arial" w:hAnsi="Arial"/>
                <w:sz w:val="15"/>
                <w:szCs w:val="15"/>
                <w:color w:val="auto"/>
              </w:rPr>
              <w:t>Income taxes payable</w:t>
            </w:r>
          </w:p>
        </w:tc>
        <w:tc>
          <w:tcPr>
            <w:tcW w:w="1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(1,388)</w:t>
            </w:r>
          </w:p>
        </w:tc>
        <w:tc>
          <w:tcPr>
            <w:tcW w:w="520" w:type="dxa"/>
            <w:vAlign w:val="bottom"/>
          </w:tcPr>
          <w:p>
            <w:pPr>
              <w:spacing w:after="0"/>
              <w:rPr>
                <w:sz w:val="17"/>
                <w:szCs w:val="17"/>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5"/>
                <w:szCs w:val="15"/>
                <w:color w:val="auto"/>
              </w:rPr>
              <w:t>(3,918)</w:t>
            </w:r>
          </w:p>
        </w:tc>
        <w:tc>
          <w:tcPr>
            <w:tcW w:w="0" w:type="dxa"/>
            <w:vAlign w:val="bottom"/>
          </w:tcPr>
          <w:p>
            <w:pPr>
              <w:spacing w:after="0"/>
              <w:rPr>
                <w:sz w:val="1"/>
                <w:szCs w:val="1"/>
                <w:color w:val="auto"/>
              </w:rPr>
            </w:pPr>
          </w:p>
        </w:tc>
      </w:tr>
      <w:tr>
        <w:trPr>
          <w:trHeight w:val="203"/>
        </w:trPr>
        <w:tc>
          <w:tcPr>
            <w:tcW w:w="6660" w:type="dxa"/>
            <w:vAlign w:val="bottom"/>
            <w:shd w:val="clear" w:color="auto" w:fill="CFF0FC"/>
          </w:tcPr>
          <w:p>
            <w:pPr>
              <w:ind w:left="640"/>
              <w:spacing w:after="0"/>
              <w:rPr>
                <w:sz w:val="20"/>
                <w:szCs w:val="20"/>
                <w:color w:val="auto"/>
              </w:rPr>
            </w:pPr>
            <w:r>
              <w:rPr>
                <w:rFonts w:ascii="Arial" w:cs="Arial" w:eastAsia="Arial" w:hAnsi="Arial"/>
                <w:sz w:val="15"/>
                <w:szCs w:val="15"/>
                <w:color w:val="auto"/>
              </w:rPr>
              <w:t>Other long-term liabilities</w:t>
            </w:r>
          </w:p>
        </w:tc>
        <w:tc>
          <w:tcPr>
            <w:tcW w:w="1220" w:type="dxa"/>
            <w:vAlign w:val="bottom"/>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396</w:t>
            </w:r>
          </w:p>
        </w:tc>
        <w:tc>
          <w:tcPr>
            <w:tcW w:w="280" w:type="dxa"/>
            <w:vAlign w:val="bottom"/>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236</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6660" w:type="dxa"/>
            <w:vAlign w:val="bottom"/>
          </w:tcPr>
          <w:p>
            <w:pPr>
              <w:spacing w:after="0"/>
              <w:rPr>
                <w:sz w:val="20"/>
                <w:szCs w:val="20"/>
                <w:color w:val="auto"/>
              </w:rPr>
            </w:pPr>
            <w:r>
              <w:rPr>
                <w:rFonts w:ascii="Arial" w:cs="Arial" w:eastAsia="Arial" w:hAnsi="Arial"/>
                <w:sz w:val="15"/>
                <w:szCs w:val="15"/>
                <w:color w:val="auto"/>
              </w:rPr>
              <w:t>Net cash provided by (used in) operating activities</w:t>
            </w:r>
          </w:p>
        </w:tc>
        <w:tc>
          <w:tcPr>
            <w:tcW w:w="1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60,340</w:t>
            </w: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(3,169)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666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Cash flows from investing activities</w:t>
            </w:r>
          </w:p>
        </w:tc>
        <w:tc>
          <w:tcPr>
            <w:tcW w:w="1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660" w:type="dxa"/>
            <w:vAlign w:val="bottom"/>
          </w:tcPr>
          <w:p>
            <w:pPr>
              <w:ind w:left="220"/>
              <w:spacing w:after="0"/>
              <w:rPr>
                <w:sz w:val="20"/>
                <w:szCs w:val="20"/>
                <w:color w:val="auto"/>
              </w:rPr>
            </w:pPr>
            <w:r>
              <w:rPr>
                <w:rFonts w:ascii="Arial" w:cs="Arial" w:eastAsia="Arial" w:hAnsi="Arial"/>
                <w:sz w:val="15"/>
                <w:szCs w:val="15"/>
                <w:color w:val="auto"/>
              </w:rPr>
              <w:t>Purchase of marketable securities</w:t>
            </w:r>
          </w:p>
        </w:tc>
        <w:tc>
          <w:tcPr>
            <w:tcW w:w="1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w w:val="99"/>
              </w:rPr>
              <w:t>(271,712)</w:t>
            </w:r>
          </w:p>
        </w:tc>
        <w:tc>
          <w:tcPr>
            <w:tcW w:w="520" w:type="dxa"/>
            <w:vAlign w:val="bottom"/>
          </w:tcPr>
          <w:p>
            <w:pPr>
              <w:spacing w:after="0"/>
              <w:rPr>
                <w:sz w:val="17"/>
                <w:szCs w:val="17"/>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5"/>
                <w:szCs w:val="15"/>
                <w:color w:val="auto"/>
              </w:rPr>
              <w:t>(99,721)</w:t>
            </w:r>
          </w:p>
        </w:tc>
        <w:tc>
          <w:tcPr>
            <w:tcW w:w="0" w:type="dxa"/>
            <w:vAlign w:val="bottom"/>
          </w:tcPr>
          <w:p>
            <w:pPr>
              <w:spacing w:after="0"/>
              <w:rPr>
                <w:sz w:val="1"/>
                <w:szCs w:val="1"/>
                <w:color w:val="auto"/>
              </w:rPr>
            </w:pPr>
          </w:p>
        </w:tc>
      </w:tr>
      <w:tr>
        <w:trPr>
          <w:trHeight w:val="203"/>
        </w:trPr>
        <w:tc>
          <w:tcPr>
            <w:tcW w:w="6660" w:type="dxa"/>
            <w:vAlign w:val="bottom"/>
            <w:shd w:val="clear" w:color="auto" w:fill="CFF0FC"/>
          </w:tcPr>
          <w:p>
            <w:pPr>
              <w:ind w:left="220"/>
              <w:spacing w:after="0"/>
              <w:rPr>
                <w:sz w:val="20"/>
                <w:szCs w:val="20"/>
                <w:color w:val="auto"/>
              </w:rPr>
            </w:pPr>
            <w:r>
              <w:rPr>
                <w:rFonts w:ascii="Arial" w:cs="Arial" w:eastAsia="Arial" w:hAnsi="Arial"/>
                <w:sz w:val="15"/>
                <w:szCs w:val="15"/>
                <w:color w:val="auto"/>
              </w:rPr>
              <w:t>Proceeds from maturities and sale of marketable securities</w:t>
            </w:r>
          </w:p>
        </w:tc>
        <w:tc>
          <w:tcPr>
            <w:tcW w:w="1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254,994</w:t>
            </w:r>
          </w:p>
        </w:tc>
        <w:tc>
          <w:tcPr>
            <w:tcW w:w="2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104,986</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660" w:type="dxa"/>
            <w:vAlign w:val="bottom"/>
          </w:tcPr>
          <w:p>
            <w:pPr>
              <w:ind w:left="220"/>
              <w:spacing w:after="0"/>
              <w:rPr>
                <w:sz w:val="20"/>
                <w:szCs w:val="20"/>
                <w:color w:val="auto"/>
              </w:rPr>
            </w:pPr>
            <w:r>
              <w:rPr>
                <w:rFonts w:ascii="Arial" w:cs="Arial" w:eastAsia="Arial" w:hAnsi="Arial"/>
                <w:sz w:val="15"/>
                <w:szCs w:val="15"/>
                <w:color w:val="auto"/>
              </w:rPr>
              <w:t>Purchase of property and equipment</w:t>
            </w:r>
          </w:p>
        </w:tc>
        <w:tc>
          <w:tcPr>
            <w:tcW w:w="1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(2,891)</w:t>
            </w:r>
          </w:p>
        </w:tc>
        <w:tc>
          <w:tcPr>
            <w:tcW w:w="520" w:type="dxa"/>
            <w:vAlign w:val="bottom"/>
          </w:tcPr>
          <w:p>
            <w:pPr>
              <w:spacing w:after="0"/>
              <w:rPr>
                <w:sz w:val="17"/>
                <w:szCs w:val="17"/>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5"/>
                <w:szCs w:val="15"/>
                <w:color w:val="auto"/>
              </w:rPr>
              <w:t>(1,256)</w:t>
            </w:r>
          </w:p>
        </w:tc>
        <w:tc>
          <w:tcPr>
            <w:tcW w:w="0" w:type="dxa"/>
            <w:vAlign w:val="bottom"/>
          </w:tcPr>
          <w:p>
            <w:pPr>
              <w:spacing w:after="0"/>
              <w:rPr>
                <w:sz w:val="1"/>
                <w:szCs w:val="1"/>
                <w:color w:val="auto"/>
              </w:rPr>
            </w:pPr>
          </w:p>
        </w:tc>
      </w:tr>
      <w:tr>
        <w:trPr>
          <w:trHeight w:val="20"/>
        </w:trPr>
        <w:tc>
          <w:tcPr>
            <w:tcW w:w="6660" w:type="dxa"/>
            <w:vAlign w:val="bottom"/>
            <w:shd w:val="clear" w:color="auto" w:fill="CFF0FC"/>
          </w:tcPr>
          <w:p>
            <w:pPr>
              <w:spacing w:after="0" w:line="20" w:lineRule="exact"/>
              <w:rPr>
                <w:sz w:val="1"/>
                <w:szCs w:val="1"/>
                <w:color w:val="auto"/>
              </w:rPr>
            </w:pPr>
          </w:p>
        </w:tc>
        <w:tc>
          <w:tcPr>
            <w:tcW w:w="12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660" w:type="dxa"/>
            <w:vAlign w:val="bottom"/>
            <w:shd w:val="clear" w:color="auto" w:fill="CFF0FC"/>
          </w:tcPr>
          <w:p>
            <w:pPr>
              <w:spacing w:after="0"/>
              <w:rPr>
                <w:sz w:val="20"/>
                <w:szCs w:val="20"/>
                <w:color w:val="auto"/>
              </w:rPr>
            </w:pPr>
            <w:r>
              <w:rPr>
                <w:rFonts w:ascii="Arial" w:cs="Arial" w:eastAsia="Arial" w:hAnsi="Arial"/>
                <w:sz w:val="15"/>
                <w:szCs w:val="15"/>
                <w:color w:val="auto"/>
              </w:rPr>
              <w:t>Net cash provided by (used in) investing activities</w:t>
            </w:r>
          </w:p>
        </w:tc>
        <w:tc>
          <w:tcPr>
            <w:tcW w:w="12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(19,609)</w:t>
            </w:r>
          </w:p>
        </w:tc>
        <w:tc>
          <w:tcPr>
            <w:tcW w:w="52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4,009</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660" w:type="dxa"/>
            <w:vAlign w:val="bottom"/>
          </w:tcPr>
          <w:p>
            <w:pPr>
              <w:spacing w:after="0"/>
              <w:rPr>
                <w:sz w:val="20"/>
                <w:szCs w:val="20"/>
                <w:color w:val="auto"/>
              </w:rPr>
            </w:pPr>
            <w:r>
              <w:rPr>
                <w:rFonts w:ascii="Arial" w:cs="Arial" w:eastAsia="Arial" w:hAnsi="Arial"/>
                <w:sz w:val="15"/>
                <w:szCs w:val="15"/>
                <w:b w:val="1"/>
                <w:bCs w:val="1"/>
                <w:color w:val="auto"/>
              </w:rPr>
              <w:t>Cash flows from financing activities</w:t>
            </w:r>
          </w:p>
        </w:tc>
        <w:tc>
          <w:tcPr>
            <w:tcW w:w="1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60" w:type="dxa"/>
            <w:vAlign w:val="bottom"/>
            <w:shd w:val="clear" w:color="auto" w:fill="CFF0FC"/>
          </w:tcPr>
          <w:p>
            <w:pPr>
              <w:ind w:left="220"/>
              <w:spacing w:after="0"/>
              <w:rPr>
                <w:sz w:val="20"/>
                <w:szCs w:val="20"/>
                <w:color w:val="auto"/>
              </w:rPr>
            </w:pPr>
            <w:r>
              <w:rPr>
                <w:rFonts w:ascii="Arial" w:cs="Arial" w:eastAsia="Arial" w:hAnsi="Arial"/>
                <w:sz w:val="15"/>
                <w:szCs w:val="15"/>
                <w:color w:val="auto"/>
              </w:rPr>
              <w:t>Proceeds from exercise of stock options and warrants</w:t>
            </w:r>
          </w:p>
        </w:tc>
        <w:tc>
          <w:tcPr>
            <w:tcW w:w="1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5,627</w:t>
            </w:r>
          </w:p>
        </w:tc>
        <w:tc>
          <w:tcPr>
            <w:tcW w:w="2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2,207</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660" w:type="dxa"/>
            <w:vAlign w:val="bottom"/>
          </w:tcPr>
          <w:p>
            <w:pPr>
              <w:ind w:left="220"/>
              <w:spacing w:after="0"/>
              <w:rPr>
                <w:sz w:val="20"/>
                <w:szCs w:val="20"/>
                <w:color w:val="auto"/>
              </w:rPr>
            </w:pPr>
            <w:r>
              <w:rPr>
                <w:rFonts w:ascii="Arial" w:cs="Arial" w:eastAsia="Arial" w:hAnsi="Arial"/>
                <w:sz w:val="15"/>
                <w:szCs w:val="15"/>
                <w:color w:val="auto"/>
              </w:rPr>
              <w:t>Payments for settlement of share-based awards</w:t>
            </w:r>
          </w:p>
        </w:tc>
        <w:tc>
          <w:tcPr>
            <w:tcW w:w="1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(4,188)</w:t>
            </w:r>
          </w:p>
        </w:tc>
        <w:tc>
          <w:tcPr>
            <w:tcW w:w="520" w:type="dxa"/>
            <w:vAlign w:val="bottom"/>
          </w:tcPr>
          <w:p>
            <w:pPr>
              <w:spacing w:after="0"/>
              <w:rPr>
                <w:sz w:val="17"/>
                <w:szCs w:val="17"/>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5"/>
                <w:szCs w:val="15"/>
                <w:color w:val="auto"/>
              </w:rPr>
              <w:t>(1,757)</w:t>
            </w:r>
          </w:p>
        </w:tc>
        <w:tc>
          <w:tcPr>
            <w:tcW w:w="0" w:type="dxa"/>
            <w:vAlign w:val="bottom"/>
          </w:tcPr>
          <w:p>
            <w:pPr>
              <w:spacing w:after="0"/>
              <w:rPr>
                <w:sz w:val="1"/>
                <w:szCs w:val="1"/>
                <w:color w:val="auto"/>
              </w:rPr>
            </w:pPr>
          </w:p>
        </w:tc>
      </w:tr>
      <w:tr>
        <w:trPr>
          <w:trHeight w:val="201"/>
        </w:trPr>
        <w:tc>
          <w:tcPr>
            <w:tcW w:w="6660" w:type="dxa"/>
            <w:vAlign w:val="bottom"/>
            <w:shd w:val="clear" w:color="auto" w:fill="CFF0FC"/>
          </w:tcPr>
          <w:p>
            <w:pPr>
              <w:ind w:left="220"/>
              <w:spacing w:after="0"/>
              <w:rPr>
                <w:sz w:val="20"/>
                <w:szCs w:val="20"/>
                <w:color w:val="auto"/>
              </w:rPr>
            </w:pPr>
            <w:r>
              <w:rPr>
                <w:rFonts w:ascii="Arial" w:cs="Arial" w:eastAsia="Arial" w:hAnsi="Arial"/>
                <w:sz w:val="15"/>
                <w:szCs w:val="15"/>
                <w:color w:val="auto"/>
              </w:rPr>
              <w:t>Payments of capital lease obligations</w:t>
            </w:r>
          </w:p>
        </w:tc>
        <w:tc>
          <w:tcPr>
            <w:tcW w:w="1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(42)</w:t>
            </w:r>
          </w:p>
        </w:tc>
        <w:tc>
          <w:tcPr>
            <w:tcW w:w="5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(39)</w:t>
            </w:r>
          </w:p>
        </w:tc>
        <w:tc>
          <w:tcPr>
            <w:tcW w:w="0" w:type="dxa"/>
            <w:vAlign w:val="bottom"/>
          </w:tcPr>
          <w:p>
            <w:pPr>
              <w:spacing w:after="0"/>
              <w:rPr>
                <w:sz w:val="1"/>
                <w:szCs w:val="1"/>
                <w:color w:val="auto"/>
              </w:rPr>
            </w:pPr>
          </w:p>
        </w:tc>
      </w:tr>
      <w:tr>
        <w:trPr>
          <w:trHeight w:val="193"/>
        </w:trPr>
        <w:tc>
          <w:tcPr>
            <w:tcW w:w="666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Net cash provided by financing activities</w:t>
            </w:r>
          </w:p>
        </w:tc>
        <w:tc>
          <w:tcPr>
            <w:tcW w:w="1220" w:type="dxa"/>
            <w:vAlign w:val="bottom"/>
            <w:tcBorders>
              <w:bottom w:val="single" w:sz="8" w:color="CFF0FC"/>
            </w:tcBorders>
          </w:tcPr>
          <w:p>
            <w:pPr>
              <w:spacing w:after="0"/>
              <w:rPr>
                <w:sz w:val="16"/>
                <w:szCs w:val="16"/>
                <w:color w:val="auto"/>
              </w:rPr>
            </w:pPr>
          </w:p>
        </w:tc>
        <w:tc>
          <w:tcPr>
            <w:tcW w:w="96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1,397</w:t>
            </w:r>
          </w:p>
        </w:tc>
        <w:tc>
          <w:tcPr>
            <w:tcW w:w="280" w:type="dxa"/>
            <w:vAlign w:val="bottom"/>
            <w:tcBorders>
              <w:bottom w:val="single" w:sz="8" w:color="CFF0FC"/>
            </w:tcBorders>
          </w:tcPr>
          <w:p>
            <w:pPr>
              <w:spacing w:after="0"/>
              <w:rPr>
                <w:sz w:val="16"/>
                <w:szCs w:val="16"/>
                <w:color w:val="auto"/>
              </w:rPr>
            </w:pPr>
          </w:p>
        </w:tc>
        <w:tc>
          <w:tcPr>
            <w:tcW w:w="5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411</w:t>
            </w:r>
          </w:p>
        </w:tc>
        <w:tc>
          <w:tcPr>
            <w:tcW w:w="12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66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Net increase in cash, cash equivalents and restricted cash</w:t>
            </w:r>
          </w:p>
        </w:tc>
        <w:tc>
          <w:tcPr>
            <w:tcW w:w="12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42,128</w:t>
            </w:r>
          </w:p>
        </w:tc>
        <w:tc>
          <w:tcPr>
            <w:tcW w:w="28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1,251</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66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Cash, cash equivalents and restricted cash at beginning of period</w:t>
            </w:r>
          </w:p>
        </w:tc>
        <w:tc>
          <w:tcPr>
            <w:tcW w:w="1220" w:type="dxa"/>
            <w:vAlign w:val="bottom"/>
            <w:tcBorders>
              <w:bottom w:val="single" w:sz="8" w:color="CFF0FC"/>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64,510</w:t>
            </w:r>
          </w:p>
        </w:tc>
        <w:tc>
          <w:tcPr>
            <w:tcW w:w="280" w:type="dxa"/>
            <w:vAlign w:val="bottom"/>
            <w:tcBorders>
              <w:bottom w:val="single" w:sz="8" w:color="CFF0FC"/>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66,283</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660" w:type="dxa"/>
            <w:vAlign w:val="bottom"/>
            <w:shd w:val="clear" w:color="auto" w:fill="CFF0FC"/>
          </w:tcPr>
          <w:p>
            <w:pPr>
              <w:spacing w:after="0"/>
              <w:rPr>
                <w:sz w:val="20"/>
                <w:szCs w:val="20"/>
                <w:color w:val="auto"/>
              </w:rPr>
            </w:pPr>
            <w:r>
              <w:rPr>
                <w:rFonts w:ascii="Arial" w:cs="Arial" w:eastAsia="Arial" w:hAnsi="Arial"/>
                <w:sz w:val="15"/>
                <w:szCs w:val="15"/>
                <w:color w:val="auto"/>
              </w:rPr>
              <w:t>Cash, cash equivalents and restricted cash at end of period</w:t>
            </w:r>
          </w:p>
        </w:tc>
        <w:tc>
          <w:tcPr>
            <w:tcW w:w="2180" w:type="dxa"/>
            <w:vAlign w:val="bottom"/>
            <w:gridSpan w:val="2"/>
            <w:shd w:val="clear" w:color="auto" w:fill="CFF0FC"/>
          </w:tcPr>
          <w:p>
            <w:pPr>
              <w:jc w:val="right"/>
              <w:ind w:right="837"/>
              <w:spacing w:after="0"/>
              <w:rPr>
                <w:sz w:val="20"/>
                <w:szCs w:val="20"/>
                <w:color w:val="auto"/>
              </w:rPr>
            </w:pPr>
            <w:r>
              <w:rPr>
                <w:rFonts w:ascii="Arial" w:cs="Arial" w:eastAsia="Arial" w:hAnsi="Arial"/>
                <w:sz w:val="15"/>
                <w:szCs w:val="15"/>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106,638</w:t>
            </w:r>
          </w:p>
        </w:tc>
        <w:tc>
          <w:tcPr>
            <w:tcW w:w="280" w:type="dxa"/>
            <w:vAlign w:val="bottom"/>
            <w:shd w:val="clear" w:color="auto" w:fill="CFF0FC"/>
          </w:tcPr>
          <w:p>
            <w:pPr>
              <w:spacing w:after="0"/>
              <w:rPr>
                <w:sz w:val="16"/>
                <w:szCs w:val="16"/>
                <w:color w:val="auto"/>
              </w:rPr>
            </w:pPr>
          </w:p>
        </w:tc>
        <w:tc>
          <w:tcPr>
            <w:tcW w:w="520" w:type="dxa"/>
            <w:vAlign w:val="bottom"/>
            <w:shd w:val="clear" w:color="auto" w:fill="CFF0FC"/>
          </w:tcPr>
          <w:p>
            <w:pPr>
              <w:jc w:val="right"/>
              <w:ind w:right="36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67,534</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5"/>
                <w:szCs w:val="15"/>
                <w:b w:val="1"/>
                <w:bCs w:val="1"/>
                <w:color w:val="auto"/>
              </w:rPr>
              <w:t>Supplemental disclosure of cash flow information:</w:t>
            </w:r>
          </w:p>
        </w:tc>
        <w:tc>
          <w:tcPr>
            <w:tcW w:w="122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660" w:type="dxa"/>
            <w:vAlign w:val="bottom"/>
            <w:vMerge w:val="continue"/>
          </w:tcPr>
          <w:p>
            <w:pPr>
              <w:spacing w:after="0"/>
              <w:rPr>
                <w:sz w:val="15"/>
                <w:szCs w:val="15"/>
                <w:color w:val="auto"/>
              </w:rPr>
            </w:pPr>
          </w:p>
        </w:tc>
        <w:tc>
          <w:tcPr>
            <w:tcW w:w="1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60" w:type="dxa"/>
            <w:vAlign w:val="bottom"/>
            <w:shd w:val="clear" w:color="auto" w:fill="CFF0FC"/>
          </w:tcPr>
          <w:p>
            <w:pPr>
              <w:ind w:left="220"/>
              <w:spacing w:after="0"/>
              <w:rPr>
                <w:sz w:val="20"/>
                <w:szCs w:val="20"/>
                <w:color w:val="auto"/>
              </w:rPr>
            </w:pPr>
            <w:r>
              <w:rPr>
                <w:rFonts w:ascii="Arial" w:cs="Arial" w:eastAsia="Arial" w:hAnsi="Arial"/>
                <w:sz w:val="15"/>
                <w:szCs w:val="15"/>
                <w:color w:val="auto"/>
              </w:rPr>
              <w:t>Cash paid for income taxes</w:t>
            </w:r>
          </w:p>
        </w:tc>
        <w:tc>
          <w:tcPr>
            <w:tcW w:w="2180" w:type="dxa"/>
            <w:vAlign w:val="bottom"/>
            <w:gridSpan w:val="2"/>
            <w:shd w:val="clear" w:color="auto" w:fill="CFF0FC"/>
          </w:tcPr>
          <w:p>
            <w:pPr>
              <w:jc w:val="right"/>
              <w:ind w:right="837"/>
              <w:spacing w:after="0"/>
              <w:rPr>
                <w:sz w:val="20"/>
                <w:szCs w:val="20"/>
                <w:color w:val="auto"/>
              </w:rPr>
            </w:pPr>
            <w:r>
              <w:rPr>
                <w:rFonts w:ascii="Arial" w:cs="Arial" w:eastAsia="Arial" w:hAnsi="Arial"/>
                <w:sz w:val="15"/>
                <w:szCs w:val="15"/>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9,955</w:t>
            </w:r>
          </w:p>
        </w:tc>
        <w:tc>
          <w:tcPr>
            <w:tcW w:w="280" w:type="dxa"/>
            <w:vAlign w:val="bottom"/>
            <w:shd w:val="clear" w:color="auto" w:fill="CFF0FC"/>
          </w:tcPr>
          <w:p>
            <w:pPr>
              <w:spacing w:after="0"/>
              <w:rPr>
                <w:sz w:val="17"/>
                <w:szCs w:val="17"/>
                <w:color w:val="auto"/>
              </w:rPr>
            </w:pPr>
          </w:p>
        </w:tc>
        <w:tc>
          <w:tcPr>
            <w:tcW w:w="520" w:type="dxa"/>
            <w:vAlign w:val="bottom"/>
            <w:shd w:val="clear" w:color="auto" w:fill="CFF0FC"/>
          </w:tcPr>
          <w:p>
            <w:pPr>
              <w:jc w:val="right"/>
              <w:ind w:right="36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9,883</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660" w:type="dxa"/>
            <w:vAlign w:val="bottom"/>
          </w:tcPr>
          <w:p>
            <w:pPr>
              <w:spacing w:after="0"/>
              <w:rPr>
                <w:sz w:val="20"/>
                <w:szCs w:val="20"/>
                <w:color w:val="auto"/>
              </w:rPr>
            </w:pPr>
            <w:r>
              <w:rPr>
                <w:rFonts w:ascii="Arial" w:cs="Arial" w:eastAsia="Arial" w:hAnsi="Arial"/>
                <w:sz w:val="15"/>
                <w:szCs w:val="15"/>
                <w:b w:val="1"/>
                <w:bCs w:val="1"/>
                <w:color w:val="auto"/>
              </w:rPr>
              <w:t>Supplemental disclosure of non-cash investing information:</w:t>
            </w:r>
          </w:p>
        </w:tc>
        <w:tc>
          <w:tcPr>
            <w:tcW w:w="1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60" w:type="dxa"/>
            <w:vAlign w:val="bottom"/>
            <w:shd w:val="clear" w:color="auto" w:fill="CFF0FC"/>
          </w:tcPr>
          <w:p>
            <w:pPr>
              <w:ind w:left="220"/>
              <w:spacing w:after="0"/>
              <w:rPr>
                <w:sz w:val="20"/>
                <w:szCs w:val="20"/>
                <w:color w:val="auto"/>
              </w:rPr>
            </w:pPr>
            <w:r>
              <w:rPr>
                <w:rFonts w:ascii="Arial" w:cs="Arial" w:eastAsia="Arial" w:hAnsi="Arial"/>
                <w:sz w:val="15"/>
                <w:szCs w:val="15"/>
                <w:color w:val="auto"/>
              </w:rPr>
              <w:t>Purchases of fixed assets included in accounts payable and accrued expenses</w:t>
            </w:r>
          </w:p>
        </w:tc>
        <w:tc>
          <w:tcPr>
            <w:tcW w:w="2180" w:type="dxa"/>
            <w:vAlign w:val="bottom"/>
            <w:gridSpan w:val="2"/>
            <w:shd w:val="clear" w:color="auto" w:fill="CFF0FC"/>
          </w:tcPr>
          <w:p>
            <w:pPr>
              <w:jc w:val="right"/>
              <w:ind w:right="837"/>
              <w:spacing w:after="0"/>
              <w:rPr>
                <w:sz w:val="20"/>
                <w:szCs w:val="20"/>
                <w:color w:val="auto"/>
              </w:rPr>
            </w:pPr>
            <w:r>
              <w:rPr>
                <w:rFonts w:ascii="Arial" w:cs="Arial" w:eastAsia="Arial" w:hAnsi="Arial"/>
                <w:sz w:val="15"/>
                <w:szCs w:val="15"/>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1,598</w:t>
            </w:r>
          </w:p>
        </w:tc>
        <w:tc>
          <w:tcPr>
            <w:tcW w:w="280" w:type="dxa"/>
            <w:vAlign w:val="bottom"/>
            <w:shd w:val="clear" w:color="auto" w:fill="CFF0FC"/>
          </w:tcPr>
          <w:p>
            <w:pPr>
              <w:spacing w:after="0"/>
              <w:rPr>
                <w:sz w:val="17"/>
                <w:szCs w:val="17"/>
                <w:color w:val="auto"/>
              </w:rPr>
            </w:pPr>
          </w:p>
        </w:tc>
        <w:tc>
          <w:tcPr>
            <w:tcW w:w="520" w:type="dxa"/>
            <w:vAlign w:val="bottom"/>
            <w:shd w:val="clear" w:color="auto" w:fill="CFF0FC"/>
          </w:tcPr>
          <w:p>
            <w:pPr>
              <w:jc w:val="right"/>
              <w:ind w:right="36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111</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19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58420</wp:posOffset>
            </wp:positionV>
            <wp:extent cx="7303770"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12" w:right="219" w:bottom="1440" w:gutter="0" w:footer="0" w:header="0"/>
        </w:sectPr>
      </w:pPr>
    </w:p>
    <w:bookmarkStart w:id="7" w:name="page8"/>
    <w:bookmarkEnd w:id="7"/>
    <w:p>
      <w:pPr>
        <w:jc w:val="center"/>
        <w:ind w:right="-4"/>
        <w:spacing w:after="0"/>
        <w:rPr>
          <w:sz w:val="20"/>
          <w:szCs w:val="20"/>
          <w:color w:val="auto"/>
        </w:rPr>
      </w:pPr>
      <w:r>
        <w:rPr>
          <w:rFonts w:ascii="Arial" w:cs="Arial" w:eastAsia="Arial" w:hAnsi="Arial"/>
          <w:sz w:val="16"/>
          <w:szCs w:val="16"/>
          <w:b w:val="1"/>
          <w:bCs w:val="1"/>
          <w:color w:val="auto"/>
        </w:rPr>
        <w:t>ENANTA PHARMACEUTICALS, INC.</w:t>
      </w:r>
    </w:p>
    <w:p>
      <w:pPr>
        <w:spacing w:after="0" w:line="21"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(Amounts in thousands, except per share data)</w:t>
      </w:r>
    </w:p>
    <w:p>
      <w:pPr>
        <w:spacing w:after="0" w:line="179" w:lineRule="exact"/>
        <w:rPr>
          <w:sz w:val="20"/>
          <w:szCs w:val="20"/>
          <w:color w:val="auto"/>
        </w:rPr>
      </w:pPr>
    </w:p>
    <w:p>
      <w:pPr>
        <w:ind w:left="505" w:hanging="505"/>
        <w:spacing w:after="0"/>
        <w:tabs>
          <w:tab w:leader="none" w:pos="505"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Nature of the Business and Basis of Presentation</w:t>
      </w:r>
    </w:p>
    <w:p>
      <w:pPr>
        <w:spacing w:after="0" w:line="104" w:lineRule="exact"/>
        <w:rPr>
          <w:sz w:val="20"/>
          <w:szCs w:val="20"/>
          <w:color w:val="auto"/>
        </w:rPr>
      </w:pPr>
    </w:p>
    <w:p>
      <w:pPr>
        <w:ind w:left="5" w:right="40"/>
        <w:spacing w:after="0" w:line="273" w:lineRule="auto"/>
        <w:rPr>
          <w:sz w:val="20"/>
          <w:szCs w:val="20"/>
          <w:color w:val="auto"/>
        </w:rPr>
      </w:pPr>
      <w:r>
        <w:rPr>
          <w:rFonts w:ascii="Arial" w:cs="Arial" w:eastAsia="Arial" w:hAnsi="Arial"/>
          <w:sz w:val="15"/>
          <w:szCs w:val="15"/>
          <w:color w:val="auto"/>
        </w:rPr>
        <w:t>Enanta Pharmaceuticals, Inc. (the “Company”), incorporated in Delaware in 1995, is a biotechnology company that uses its robust, chemistry-driven approach and drug discovery capabilities to create small molecule drugs primarily for the treatment of viral infections and liver diseases. The Company discovered glecaprevir, the second protease inhibitor discovered and developed through its collaboration with AbbVie, which is marketed as part of AbbVie’s direct-acting antiviral (DAA) regimen under the tradenames MAVYRET™ (U.S.) or MAVIRET™ (ex-U.S.) (glecaprevir/pibrentasvir) for the treatment of chronic hepatitis C virus, or HCV. The other protease inhibitor under its HCV collaboration, which is part of AbbVie’s initial DAA regimens for the treatment of chronic HCV, is currently marketed outside the U.S. under the tradename</w:t>
      </w:r>
    </w:p>
    <w:p>
      <w:pPr>
        <w:ind w:left="5" w:right="340"/>
        <w:spacing w:after="0" w:line="219" w:lineRule="auto"/>
        <w:rPr>
          <w:sz w:val="20"/>
          <w:szCs w:val="20"/>
          <w:color w:val="auto"/>
        </w:rPr>
      </w:pPr>
      <w:r>
        <w:rPr>
          <w:rFonts w:ascii="Arial" w:cs="Arial" w:eastAsia="Arial" w:hAnsi="Arial"/>
          <w:sz w:val="16"/>
          <w:szCs w:val="16"/>
          <w:color w:val="auto"/>
        </w:rPr>
        <w:t>VIEKIRAX</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(paritaprevir/ritonavir/ombitasvir). Royalties from the Company’s AbbVie collaboration and its existing financial resources provide funding to support its wholly-owned research and development programs, which are currently focused on the following disease targets: respiratory syncytial virus (“RSV”); non-alcoholic steatohepatitis (“NASH”); primary biliary cholangitis (“PBC”); and hepatitis B virus (“HBV”).</w:t>
      </w:r>
    </w:p>
    <w:p>
      <w:pPr>
        <w:spacing w:after="0" w:line="274" w:lineRule="exact"/>
        <w:rPr>
          <w:sz w:val="20"/>
          <w:szCs w:val="20"/>
          <w:color w:val="auto"/>
        </w:rPr>
      </w:pPr>
    </w:p>
    <w:p>
      <w:pPr>
        <w:ind w:left="5" w:right="200"/>
        <w:spacing w:after="0" w:line="252" w:lineRule="auto"/>
        <w:rPr>
          <w:sz w:val="20"/>
          <w:szCs w:val="20"/>
          <w:color w:val="auto"/>
        </w:rPr>
      </w:pPr>
      <w:r>
        <w:rPr>
          <w:rFonts w:ascii="Arial" w:cs="Arial" w:eastAsia="Arial" w:hAnsi="Arial"/>
          <w:sz w:val="16"/>
          <w:szCs w:val="16"/>
          <w:color w:val="auto"/>
        </w:rPr>
        <w:t>The Company is subject to many of the risks common to companies in the biotechnology industry including, but not limited to, the uncertainties of research and development, competition from technological innovations of others, dependence on collaborative arrangements, protection of proprietary technology, dependence on key personnel and compliance with government regulation. Product candidates currently under development will require significant additional research and development efforts, including extensive preclinical and clinical testing and regulatory approvals, prior to commercialization. These efforts require significant amounts of capital, adequate personnel infrastructure, and extensive compliance reporting capabilities.</w:t>
      </w:r>
    </w:p>
    <w:p>
      <w:pPr>
        <w:spacing w:after="0" w:line="260"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Unaudited Interim Financial Information</w:t>
      </w:r>
    </w:p>
    <w:p>
      <w:pPr>
        <w:spacing w:after="0" w:line="199" w:lineRule="exact"/>
        <w:rPr>
          <w:sz w:val="20"/>
          <w:szCs w:val="20"/>
          <w:color w:val="auto"/>
        </w:rPr>
      </w:pPr>
    </w:p>
    <w:p>
      <w:pPr>
        <w:ind w:left="5"/>
        <w:spacing w:after="0" w:line="271" w:lineRule="auto"/>
        <w:rPr>
          <w:sz w:val="20"/>
          <w:szCs w:val="20"/>
          <w:color w:val="auto"/>
        </w:rPr>
      </w:pPr>
      <w:r>
        <w:rPr>
          <w:rFonts w:ascii="Arial" w:cs="Arial" w:eastAsia="Arial" w:hAnsi="Arial"/>
          <w:sz w:val="15"/>
          <w:szCs w:val="15"/>
          <w:color w:val="auto"/>
        </w:rPr>
        <w:t>The consolidated balance sheet at September 30, 2018 was derived from audited financial statements, but does not include all disclosures required by accounting principles generally accepted in the United States of America (“GAAP”). The accompanying unaudited consolidated financial statements as of March 31, 2019 and for the three and six months ended March 31, 2019 and 2018 have been prepared by the Company pursuant to the rules and regulations of the Securities and Exchange Commission (“SEC”) for interim financial statements. Certain information and footnote disclosures normally included in financial statements prepared in accordance with GAAP have been condensed or omitted pursuant to such rules and regulations. These financial statements should be read in conjunction with the Company’s audited financial statements and the notes thereto included in the Company’s Annual Report on Form 10-K for the year ended September 30, 2018.</w:t>
      </w:r>
    </w:p>
    <w:p>
      <w:pPr>
        <w:spacing w:after="0" w:line="156" w:lineRule="exact"/>
        <w:rPr>
          <w:sz w:val="20"/>
          <w:szCs w:val="20"/>
          <w:color w:val="auto"/>
        </w:rPr>
      </w:pPr>
    </w:p>
    <w:p>
      <w:pPr>
        <w:ind w:left="5" w:right="160"/>
        <w:spacing w:after="0" w:line="254" w:lineRule="auto"/>
        <w:rPr>
          <w:sz w:val="20"/>
          <w:szCs w:val="20"/>
          <w:color w:val="auto"/>
        </w:rPr>
      </w:pPr>
      <w:r>
        <w:rPr>
          <w:rFonts w:ascii="Arial" w:cs="Arial" w:eastAsia="Arial" w:hAnsi="Arial"/>
          <w:sz w:val="16"/>
          <w:szCs w:val="16"/>
          <w:color w:val="auto"/>
        </w:rPr>
        <w:t>In the opinion of management, all adjustments, consisting of normal recurring adjustments necessary for a fair statement of the Company’s financial position as of March 31, 2019 and results of operations for the three and six months ended March 31, 2019 and 2018 and cash flows for the six months ended March 31, 2019 and 2018, have been made. The results of operations for the six months ended March 31, 2019 are not necessarily indicative of the results of operations that may be expected for subsequent quarters or the year ending September 30, 2019.</w:t>
      </w:r>
    </w:p>
    <w:p>
      <w:pPr>
        <w:spacing w:after="0" w:line="167" w:lineRule="exact"/>
        <w:rPr>
          <w:sz w:val="20"/>
          <w:szCs w:val="20"/>
          <w:color w:val="auto"/>
        </w:rPr>
      </w:pPr>
    </w:p>
    <w:p>
      <w:pPr>
        <w:ind w:left="5" w:right="180"/>
        <w:spacing w:after="0" w:line="268" w:lineRule="auto"/>
        <w:rPr>
          <w:sz w:val="20"/>
          <w:szCs w:val="20"/>
          <w:color w:val="auto"/>
        </w:rPr>
      </w:pPr>
      <w:r>
        <w:rPr>
          <w:rFonts w:ascii="Arial" w:cs="Arial" w:eastAsia="Arial" w:hAnsi="Arial"/>
          <w:sz w:val="16"/>
          <w:szCs w:val="16"/>
          <w:color w:val="auto"/>
        </w:rPr>
        <w:t>The accompanying consolidated financial statements have been prepared in conformity with GAAP. All dollar amounts in the consolidated financial statements and in the notes to the consolidated financial statements, except per share amounts, are in thousands unless otherwise indicated.</w:t>
      </w:r>
    </w:p>
    <w:p>
      <w:pPr>
        <w:spacing w:after="0" w:line="248" w:lineRule="exact"/>
        <w:rPr>
          <w:sz w:val="20"/>
          <w:szCs w:val="20"/>
          <w:color w:val="auto"/>
        </w:rPr>
      </w:pPr>
    </w:p>
    <w:p>
      <w:pPr>
        <w:ind w:left="505" w:hanging="505"/>
        <w:spacing w:after="0"/>
        <w:tabs>
          <w:tab w:leader="none" w:pos="505"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w:t>
      </w:r>
    </w:p>
    <w:p>
      <w:pPr>
        <w:spacing w:after="0" w:line="199" w:lineRule="exact"/>
        <w:rPr>
          <w:sz w:val="20"/>
          <w:szCs w:val="20"/>
          <w:color w:val="auto"/>
        </w:rPr>
      </w:pPr>
    </w:p>
    <w:p>
      <w:pPr>
        <w:ind w:left="5" w:right="160"/>
        <w:spacing w:after="0" w:line="268" w:lineRule="auto"/>
        <w:rPr>
          <w:sz w:val="20"/>
          <w:szCs w:val="20"/>
          <w:color w:val="auto"/>
        </w:rPr>
      </w:pPr>
      <w:r>
        <w:rPr>
          <w:rFonts w:ascii="Arial" w:cs="Arial" w:eastAsia="Arial" w:hAnsi="Arial"/>
          <w:sz w:val="16"/>
          <w:szCs w:val="16"/>
          <w:color w:val="auto"/>
        </w:rPr>
        <w:t>For the Company’s Significant Accounting Policies, please refer to its Annual Report on Form 10-K for the fiscal year ended September 30, 2018. Other than the adoption of ASC 606 as of October 1, 2018, there were no other significant changes to the Company’s Significant Accounting Policies during the quarter.</w:t>
      </w:r>
    </w:p>
    <w:p>
      <w:pPr>
        <w:spacing w:after="0" w:line="248"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Use of Estimates</w:t>
      </w:r>
    </w:p>
    <w:p>
      <w:pPr>
        <w:spacing w:after="0" w:line="199" w:lineRule="exact"/>
        <w:rPr>
          <w:sz w:val="20"/>
          <w:szCs w:val="20"/>
          <w:color w:val="auto"/>
        </w:rPr>
      </w:pPr>
    </w:p>
    <w:p>
      <w:pPr>
        <w:jc w:val="both"/>
        <w:ind w:left="5" w:right="180"/>
        <w:spacing w:after="0" w:line="257" w:lineRule="auto"/>
        <w:rPr>
          <w:sz w:val="20"/>
          <w:szCs w:val="20"/>
          <w:color w:val="auto"/>
        </w:rPr>
      </w:pPr>
      <w:r>
        <w:rPr>
          <w:rFonts w:ascii="Arial" w:cs="Arial" w:eastAsia="Arial" w:hAnsi="Arial"/>
          <w:sz w:val="16"/>
          <w:szCs w:val="16"/>
          <w:color w:val="auto"/>
        </w:rPr>
        <w:t>The preparation of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Significant</w:t>
      </w:r>
    </w:p>
    <w:p>
      <w:pPr>
        <w:spacing w:after="0" w:line="166"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58420</wp:posOffset>
            </wp:positionV>
            <wp:extent cx="7303770"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312" w:right="219" w:bottom="1440" w:gutter="0" w:footer="0" w:header="0"/>
        </w:sectPr>
      </w:pPr>
    </w:p>
    <w:bookmarkStart w:id="8" w:name="page9"/>
    <w:bookmarkEnd w:id="8"/>
    <w:p>
      <w:pPr>
        <w:ind w:right="140"/>
        <w:spacing w:after="0" w:line="311" w:lineRule="auto"/>
        <w:rPr>
          <w:sz w:val="20"/>
          <w:szCs w:val="20"/>
          <w:color w:val="auto"/>
        </w:rPr>
      </w:pPr>
      <w:r>
        <w:rPr>
          <w:rFonts w:ascii="Arial" w:cs="Arial" w:eastAsia="Arial" w:hAnsi="Arial"/>
          <w:sz w:val="14"/>
          <w:szCs w:val="14"/>
          <w:color w:val="auto"/>
        </w:rPr>
        <w:t>estimates and assumptions reflected in these consolidated financial statements include, but are not limited to, management’s judgments with respect to its revenue arrangements; valuation of stock-based awards; the accrual of research and development expenses, and the accounting for income taxes, including uncertain tax positions and the valuation of net deferred tax assets. Estimates are periodically reviewed in light of changes in circumstances, facts and experience. Actual results could differ from the Company’s estimates.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 Recognition</w:t>
      </w:r>
    </w:p>
    <w:p>
      <w:pPr>
        <w:spacing w:after="0" w:line="199" w:lineRule="exact"/>
        <w:rPr>
          <w:sz w:val="20"/>
          <w:szCs w:val="20"/>
          <w:color w:val="auto"/>
        </w:rPr>
      </w:pPr>
    </w:p>
    <w:p>
      <w:pPr>
        <w:ind w:right="140"/>
        <w:spacing w:after="0" w:line="269" w:lineRule="auto"/>
        <w:rPr>
          <w:sz w:val="20"/>
          <w:szCs w:val="20"/>
          <w:color w:val="auto"/>
        </w:rPr>
      </w:pPr>
      <w:r>
        <w:rPr>
          <w:rFonts w:ascii="Arial" w:cs="Arial" w:eastAsia="Arial" w:hAnsi="Arial"/>
          <w:sz w:val="15"/>
          <w:szCs w:val="15"/>
          <w:color w:val="auto"/>
        </w:rPr>
        <w:t>On October 1, 2018, the Company adopted the new revenue standard, discussed below, which amended revenue recognition principles and provides a single, comprehensive set of criteria for revenue recognition within and across all industries (“ASC 606”). ASC 606 provides guidance on recognizing revenue, including a five-step model to determine when revenue recognition is appropriate. The standard requires that an entity recognize revenue to depict the transfer of control of promised goods or services to customers in an amount that reflects the consideration to which the entity expects to be entitled in exchange for those goods or services. The Company applied the guidance in ASC 606 to its one ongoing collaboration agreement under which it is eligible to earn sales-based royalties and will apply to qualifying arrangements entered into after October 1, 2018. The Company recognizes revenue related to the sales-based royalties in the period in which the underlying sales occur based on actual sales as communicated by the licensee. The license is deemed to be the predominant item to which the royalties relate.</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Accounting Pronouncements</w:t>
      </w:r>
    </w:p>
    <w:p>
      <w:pPr>
        <w:spacing w:after="0" w:line="199" w:lineRule="exact"/>
        <w:rPr>
          <w:sz w:val="20"/>
          <w:szCs w:val="20"/>
          <w:color w:val="auto"/>
        </w:rPr>
      </w:pPr>
    </w:p>
    <w:p>
      <w:pPr>
        <w:spacing w:after="0" w:line="267" w:lineRule="auto"/>
        <w:rPr>
          <w:sz w:val="20"/>
          <w:szCs w:val="20"/>
          <w:color w:val="auto"/>
        </w:rPr>
      </w:pPr>
      <w:r>
        <w:rPr>
          <w:rFonts w:ascii="Arial" w:cs="Arial" w:eastAsia="Arial" w:hAnsi="Arial"/>
          <w:sz w:val="15"/>
          <w:szCs w:val="15"/>
          <w:color w:val="auto"/>
        </w:rPr>
        <w:t xml:space="preserve">In May 2014, the FASB issued ASU No. 2014-09,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xml:space="preserve"> (Topic 606) (“ASU 2014-09”) and has since issued several additional amendments thereto, collectively referred to herein as ASC 606, which supersedes the revenue recognition requirements in ASC 605-25, </w:t>
      </w:r>
      <w:r>
        <w:rPr>
          <w:rFonts w:ascii="Arial" w:cs="Arial" w:eastAsia="Arial" w:hAnsi="Arial"/>
          <w:sz w:val="15"/>
          <w:szCs w:val="15"/>
          <w:i w:val="1"/>
          <w:iCs w:val="1"/>
          <w:color w:val="auto"/>
        </w:rPr>
        <w:t>Multiple-Element Arrangements</w:t>
      </w:r>
      <w:r>
        <w:rPr>
          <w:rFonts w:ascii="Arial" w:cs="Arial" w:eastAsia="Arial" w:hAnsi="Arial"/>
          <w:sz w:val="15"/>
          <w:szCs w:val="15"/>
          <w:color w:val="auto"/>
        </w:rPr>
        <w:t xml:space="preserve"> and most industry-specific guidance. The new standard requires that an entity recognize revenue to depict the transfer of promised goods or services to customers in an amount that reflects the consideration to which the company expects to be entitled in exchange for those goods or services. The update also requires additional disclosure about the nature, amount, timing, and uncertainty of revenue and cash flows arising from customer contracts, including significant judgments and changes in judgments and assets recognized from costs incurred to obtain or fulfill a contract. Companies have the option of applying this new guidance retrospectively to each prior reporting period presented or retrospectively with the cumulative effect of initially applying this update recognized at the date of initial application. This guidance was effective for the Company in the fiscal year beginning October 1, 2018. The Company adopted ASC 606 as of October 1, 2018 using the modified retrospective transition method. The adoption did not have an impact on its financial statements as the Company had satisfied its performance obligations under its one open revenue contract in fiscal 2011, prior to the adoption of ASC 606. The adoption of this guidance did not have an impact on the Company’s accounting for royalty payments as the Company receives sales-based royalties for which the license is deemed to be the predominant item to which the royalties relate.</w:t>
      </w:r>
    </w:p>
    <w:p>
      <w:pPr>
        <w:spacing w:after="0" w:line="160" w:lineRule="exact"/>
        <w:rPr>
          <w:sz w:val="20"/>
          <w:szCs w:val="20"/>
          <w:color w:val="auto"/>
        </w:rPr>
      </w:pPr>
    </w:p>
    <w:p>
      <w:pPr>
        <w:spacing w:after="0" w:line="271" w:lineRule="auto"/>
        <w:rPr>
          <w:sz w:val="20"/>
          <w:szCs w:val="20"/>
          <w:color w:val="auto"/>
        </w:rPr>
      </w:pPr>
      <w:r>
        <w:rPr>
          <w:rFonts w:ascii="Arial" w:cs="Arial" w:eastAsia="Arial" w:hAnsi="Arial"/>
          <w:sz w:val="15"/>
          <w:szCs w:val="15"/>
          <w:color w:val="auto"/>
        </w:rPr>
        <w:t xml:space="preserve">In November 2016, the FASB issued ASU No. 2016-18, </w:t>
      </w:r>
      <w:r>
        <w:rPr>
          <w:rFonts w:ascii="Arial" w:cs="Arial" w:eastAsia="Arial" w:hAnsi="Arial"/>
          <w:sz w:val="15"/>
          <w:szCs w:val="15"/>
          <w:i w:val="1"/>
          <w:iCs w:val="1"/>
          <w:color w:val="auto"/>
        </w:rPr>
        <w:t>Statement of Cash Flows (Topic 230): Restricted Cash</w:t>
      </w:r>
      <w:r>
        <w:rPr>
          <w:rFonts w:ascii="Arial" w:cs="Arial" w:eastAsia="Arial" w:hAnsi="Arial"/>
          <w:sz w:val="15"/>
          <w:szCs w:val="15"/>
          <w:color w:val="auto"/>
        </w:rPr>
        <w:t xml:space="preserve"> (“ASU 2016-18”) that changes the presentation of restricted cash and cash equivalents on the statement of cash flows. Restricted cash and restricted cash equivalents will be included with cash and cash equivalents when reconciling the beginning-of-period and end-of-period total amounts shown on the statement of cash flows. This amendment was effective for the Company in the fiscal year beginning October 1, 2018. The Company adopted ASU 2016-18 retrospectively as of October 1, 2018. Upon the adoption of ASU 2016-18, the amount of cash and cash equivalents previously presented in the consolidated statements of cash flows for the three months ended December 31, 2017 increased by $608 as of beginning and end of the period to reflect the inclusion of restricted cash in the amount reported for changes in cash, cash equivalents and restricted cash.</w:t>
      </w:r>
    </w:p>
    <w:p>
      <w:pPr>
        <w:spacing w:after="0" w:line="156"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 xml:space="preserve">In May 2017, the FASB issued ASU No. 2017-09, </w:t>
      </w:r>
      <w:r>
        <w:rPr>
          <w:rFonts w:ascii="Arial" w:cs="Arial" w:eastAsia="Arial" w:hAnsi="Arial"/>
          <w:sz w:val="16"/>
          <w:szCs w:val="16"/>
          <w:i w:val="1"/>
          <w:iCs w:val="1"/>
          <w:color w:val="auto"/>
        </w:rPr>
        <w:t>Compensation—Stock Compensation (Topic 718)</w:t>
      </w:r>
      <w:r>
        <w:rPr>
          <w:rFonts w:ascii="Arial" w:cs="Arial" w:eastAsia="Arial" w:hAnsi="Arial"/>
          <w:sz w:val="16"/>
          <w:szCs w:val="16"/>
          <w:color w:val="auto"/>
        </w:rPr>
        <w:t xml:space="preserve"> (“ASU 2017-09”) which provides updated guidance about changes to the terms or conditions of a share-based payment award that requires companies to apply modification accounting under Topic 718. This amendment was effective for the Company in the fiscal year beginning October 1, 2018. The Company adopted ASU 2017-09 as of October 1, 2018. The adoption of ASU 2017-09 did not have an impact on its consolidated financial statements.</w:t>
      </w:r>
    </w:p>
    <w:p>
      <w:pPr>
        <w:spacing w:after="0" w:line="167" w:lineRule="exact"/>
        <w:rPr>
          <w:sz w:val="20"/>
          <w:szCs w:val="20"/>
          <w:color w:val="auto"/>
        </w:rPr>
      </w:pPr>
    </w:p>
    <w:p>
      <w:pPr>
        <w:ind w:right="20"/>
        <w:spacing w:after="0" w:line="301" w:lineRule="auto"/>
        <w:rPr>
          <w:sz w:val="20"/>
          <w:szCs w:val="20"/>
          <w:color w:val="auto"/>
        </w:rPr>
      </w:pPr>
      <w:r>
        <w:rPr>
          <w:rFonts w:ascii="Arial" w:cs="Arial" w:eastAsia="Arial" w:hAnsi="Arial"/>
          <w:sz w:val="14"/>
          <w:szCs w:val="14"/>
          <w:color w:val="auto"/>
        </w:rPr>
        <w:t xml:space="preserve">In February 2016, the FASB issued ASU No. 2016-02, </w:t>
      </w:r>
      <w:r>
        <w:rPr>
          <w:rFonts w:ascii="Arial" w:cs="Arial" w:eastAsia="Arial" w:hAnsi="Arial"/>
          <w:sz w:val="14"/>
          <w:szCs w:val="14"/>
          <w:i w:val="1"/>
          <w:iCs w:val="1"/>
          <w:color w:val="auto"/>
        </w:rPr>
        <w:t>Leases (Topic 842)</w:t>
      </w:r>
      <w:r>
        <w:rPr>
          <w:rFonts w:ascii="Arial" w:cs="Arial" w:eastAsia="Arial" w:hAnsi="Arial"/>
          <w:sz w:val="14"/>
          <w:szCs w:val="14"/>
          <w:color w:val="auto"/>
        </w:rPr>
        <w:t xml:space="preserve"> (“ASU 2016-02”), which will replace the existing guidance in ASC 840, “Leases.” The updated standard aims to increase transparency and comparability among organizations by requiring lessees to recognize leased assets and leased liabilities on the consolidated balance sheets and requiring disclosure of key information about leasing arrangements. This amendment is effective for the Company in the fiscal year beginning October 1, 2019, but early adoption is permissible. The Company is currently evaluating the potential impact that ASU 2016-02 may have on its financial position and results of operations.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58420</wp:posOffset>
            </wp:positionV>
            <wp:extent cx="7303770"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20"/>
          </w:cols>
          <w:pgMar w:left="240" w:top="505" w:right="239" w:bottom="1440" w:gutter="0" w:footer="0" w:header="0"/>
        </w:sectPr>
      </w:pPr>
    </w:p>
    <w:bookmarkStart w:id="9" w:name="page10"/>
    <w:bookmarkEnd w:id="9"/>
    <w:p>
      <w:pPr>
        <w:ind w:left="5" w:right="140"/>
        <w:spacing w:after="0" w:line="273" w:lineRule="auto"/>
        <w:rPr>
          <w:sz w:val="20"/>
          <w:szCs w:val="20"/>
          <w:color w:val="auto"/>
        </w:rPr>
      </w:pPr>
      <w:r>
        <w:rPr>
          <w:rFonts w:ascii="Arial" w:cs="Arial" w:eastAsia="Arial" w:hAnsi="Arial"/>
          <w:sz w:val="15"/>
          <w:szCs w:val="15"/>
          <w:color w:val="auto"/>
        </w:rPr>
        <w:t xml:space="preserve">In June 2016, the FASB issued ASU No. 2016-13, </w:t>
      </w:r>
      <w:r>
        <w:rPr>
          <w:rFonts w:ascii="Arial" w:cs="Arial" w:eastAsia="Arial" w:hAnsi="Arial"/>
          <w:sz w:val="15"/>
          <w:szCs w:val="15"/>
          <w:i w:val="1"/>
          <w:iCs w:val="1"/>
          <w:color w:val="auto"/>
        </w:rPr>
        <w:t>Financial Instruments—Credit Losses (Topic 326)</w:t>
      </w:r>
      <w:r>
        <w:rPr>
          <w:rFonts w:ascii="Arial" w:cs="Arial" w:eastAsia="Arial" w:hAnsi="Arial"/>
          <w:sz w:val="15"/>
          <w:szCs w:val="15"/>
          <w:color w:val="auto"/>
        </w:rPr>
        <w:t xml:space="preserve"> (“ASU 2016-13”), which introduces a new methodology for accounting for credit losses on financial instruments, including available-for-sale debt securities. The guidance establishes a new “expected loss model” that requires entities to estimate current expected credit losses on financial instruments by using all practical and relevant information. Any expected credit losses are to be reflected as allowances rather than reductions in the amortized cost of available-for-sale debt securities. This amendment is effective for the Company in the fiscal year beginning October 1, 2020. The Company is currently evaluating the potential impact that ASU 2016-13 may have on its financial position and results of operations.</w:t>
      </w:r>
    </w:p>
    <w:p>
      <w:pPr>
        <w:spacing w:after="0" w:line="155" w:lineRule="exact"/>
        <w:rPr>
          <w:sz w:val="20"/>
          <w:szCs w:val="20"/>
          <w:color w:val="auto"/>
        </w:rPr>
      </w:pPr>
    </w:p>
    <w:p>
      <w:pPr>
        <w:ind w:left="5" w:right="100"/>
        <w:spacing w:after="0" w:line="273" w:lineRule="auto"/>
        <w:rPr>
          <w:sz w:val="20"/>
          <w:szCs w:val="20"/>
          <w:color w:val="auto"/>
        </w:rPr>
      </w:pPr>
      <w:r>
        <w:rPr>
          <w:rFonts w:ascii="Arial" w:cs="Arial" w:eastAsia="Arial" w:hAnsi="Arial"/>
          <w:sz w:val="15"/>
          <w:szCs w:val="15"/>
          <w:color w:val="auto"/>
        </w:rPr>
        <w:t xml:space="preserve">In March 2017, the FASB issued ASU No. 2017-08, </w:t>
      </w:r>
      <w:r>
        <w:rPr>
          <w:rFonts w:ascii="Arial" w:cs="Arial" w:eastAsia="Arial" w:hAnsi="Arial"/>
          <w:sz w:val="15"/>
          <w:szCs w:val="15"/>
          <w:i w:val="1"/>
          <w:iCs w:val="1"/>
          <w:color w:val="auto"/>
        </w:rPr>
        <w:t>Receivables—Nonrefundable Fees and Other Costs (Subtopic 310-20): Premium Amortization on Purchased Callable Debt</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Securities </w:t>
      </w:r>
      <w:r>
        <w:rPr>
          <w:rFonts w:ascii="Arial" w:cs="Arial" w:eastAsia="Arial" w:hAnsi="Arial"/>
          <w:sz w:val="15"/>
          <w:szCs w:val="15"/>
          <w:color w:val="auto"/>
        </w:rPr>
        <w:t>(“ASU 2017-08”) which requires companies to amend the amortization period for premiums on debt securities with explicit call features to be the earliest call date rather</w:t>
      </w:r>
      <w:r>
        <w:rPr>
          <w:rFonts w:ascii="Arial" w:cs="Arial" w:eastAsia="Arial" w:hAnsi="Arial"/>
          <w:sz w:val="15"/>
          <w:szCs w:val="15"/>
          <w:i w:val="1"/>
          <w:iCs w:val="1"/>
          <w:color w:val="auto"/>
        </w:rPr>
        <w:t xml:space="preserve"> </w:t>
      </w:r>
      <w:r>
        <w:rPr>
          <w:rFonts w:ascii="Arial" w:cs="Arial" w:eastAsia="Arial" w:hAnsi="Arial"/>
          <w:sz w:val="15"/>
          <w:szCs w:val="15"/>
          <w:color w:val="auto"/>
        </w:rPr>
        <w:t>than through the contractual life of the debt instrument. This amendment aims to more closely align the recognition of interest income with the manner in which market participants price such instruments. This amendment is effective for the Company in the fiscal year beginning October 1, 2019, but early adoption is permissible. The Company is currently evaluating the potential impact that ASU 2017-08 may have on its financial position and results of operations.</w:t>
      </w:r>
    </w:p>
    <w:p>
      <w:pPr>
        <w:spacing w:after="0" w:line="155" w:lineRule="exact"/>
        <w:rPr>
          <w:sz w:val="20"/>
          <w:szCs w:val="20"/>
          <w:color w:val="auto"/>
        </w:rPr>
      </w:pPr>
    </w:p>
    <w:p>
      <w:pPr>
        <w:ind w:left="5" w:right="100"/>
        <w:spacing w:after="0" w:line="268" w:lineRule="auto"/>
        <w:rPr>
          <w:sz w:val="20"/>
          <w:szCs w:val="20"/>
          <w:color w:val="auto"/>
        </w:rPr>
      </w:pPr>
      <w:r>
        <w:rPr>
          <w:rFonts w:ascii="Arial" w:cs="Arial" w:eastAsia="Arial" w:hAnsi="Arial"/>
          <w:sz w:val="16"/>
          <w:szCs w:val="16"/>
          <w:color w:val="auto"/>
        </w:rPr>
        <w:t>Other accounting standards that have been issued or proposed by the FASB or other standards-setting bodies that do not require adoption until a future date are not expected to have a material impact on the Company’s consolidated financial statements upon adoption.</w:t>
      </w:r>
    </w:p>
    <w:p>
      <w:pPr>
        <w:spacing w:after="0" w:line="248" w:lineRule="exact"/>
        <w:rPr>
          <w:sz w:val="20"/>
          <w:szCs w:val="20"/>
          <w:color w:val="auto"/>
        </w:rPr>
      </w:pPr>
    </w:p>
    <w:p>
      <w:pPr>
        <w:ind w:left="505" w:hanging="505"/>
        <w:spacing w:after="0"/>
        <w:tabs>
          <w:tab w:leader="none" w:pos="505"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Fair Value of Financial Assets and Liabilities</w:t>
      </w:r>
    </w:p>
    <w:p>
      <w:pPr>
        <w:spacing w:after="0" w:line="199" w:lineRule="exact"/>
        <w:rPr>
          <w:sz w:val="20"/>
          <w:szCs w:val="20"/>
          <w:color w:val="auto"/>
        </w:rPr>
      </w:pPr>
    </w:p>
    <w:p>
      <w:pPr>
        <w:ind w:left="5" w:right="160"/>
        <w:spacing w:after="0" w:line="268" w:lineRule="auto"/>
        <w:rPr>
          <w:sz w:val="20"/>
          <w:szCs w:val="20"/>
          <w:color w:val="auto"/>
        </w:rPr>
      </w:pPr>
      <w:r>
        <w:rPr>
          <w:rFonts w:ascii="Arial" w:cs="Arial" w:eastAsia="Arial" w:hAnsi="Arial"/>
          <w:sz w:val="16"/>
          <w:szCs w:val="16"/>
          <w:color w:val="auto"/>
        </w:rPr>
        <w:t>The following tables present information about the Company’s financial assets and liabilities that were subject to fair value measurement on a recurring basis as of March 31, 2019 and September 30, 2018 and indicate the fair value hierarchy of the valuation inputs utilized to determine such fair value:</w:t>
      </w:r>
    </w:p>
    <w:p>
      <w:pPr>
        <w:spacing w:after="0" w:line="161" w:lineRule="exact"/>
        <w:rPr>
          <w:sz w:val="20"/>
          <w:szCs w:val="20"/>
          <w:color w:val="auto"/>
        </w:rPr>
      </w:pPr>
    </w:p>
    <w:tbl>
      <w:tblPr>
        <w:tblLayout w:type="fixed"/>
        <w:tblInd w:w="5" w:type="dxa"/>
        <w:tblCellMar>
          <w:top w:w="0" w:type="dxa"/>
          <w:left w:w="0" w:type="dxa"/>
          <w:bottom w:w="0" w:type="dxa"/>
          <w:right w:w="0" w:type="dxa"/>
        </w:tblCellMar>
      </w:tblPr>
      <w:tr>
        <w:trPr>
          <w:trHeight w:val="150"/>
        </w:trPr>
        <w:tc>
          <w:tcPr>
            <w:tcW w:w="58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3100" w:type="dxa"/>
            <w:vAlign w:val="bottom"/>
            <w:tcBorders>
              <w:bottom w:val="single" w:sz="8" w:color="auto"/>
            </w:tcBorders>
            <w:gridSpan w:val="7"/>
          </w:tcPr>
          <w:p>
            <w:pPr>
              <w:ind w:left="220"/>
              <w:spacing w:after="0"/>
              <w:rPr>
                <w:sz w:val="20"/>
                <w:szCs w:val="20"/>
                <w:color w:val="auto"/>
              </w:rPr>
            </w:pPr>
            <w:r>
              <w:rPr>
                <w:rFonts w:ascii="Arial" w:cs="Arial" w:eastAsia="Arial" w:hAnsi="Arial"/>
                <w:sz w:val="13"/>
                <w:szCs w:val="13"/>
                <w:b w:val="1"/>
                <w:bCs w:val="1"/>
                <w:color w:val="auto"/>
                <w:w w:val="91"/>
              </w:rPr>
              <w:t>Fair Value Measurements at March 31, 2019 Using:</w:t>
            </w:r>
          </w:p>
        </w:tc>
        <w:tc>
          <w:tcPr>
            <w:tcW w:w="1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58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363"/>
              <w:spacing w:after="0" w:line="134" w:lineRule="exact"/>
              <w:rPr>
                <w:sz w:val="20"/>
                <w:szCs w:val="20"/>
                <w:color w:val="auto"/>
              </w:rPr>
            </w:pPr>
            <w:r>
              <w:rPr>
                <w:rFonts w:ascii="Arial" w:cs="Arial" w:eastAsia="Arial" w:hAnsi="Arial"/>
                <w:sz w:val="13"/>
                <w:szCs w:val="13"/>
                <w:b w:val="1"/>
                <w:bCs w:val="1"/>
                <w:color w:val="auto"/>
              </w:rPr>
              <w:t>Level 1</w:t>
            </w:r>
          </w:p>
        </w:tc>
        <w:tc>
          <w:tcPr>
            <w:tcW w:w="2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364"/>
              <w:spacing w:after="0" w:line="134" w:lineRule="exact"/>
              <w:rPr>
                <w:sz w:val="20"/>
                <w:szCs w:val="20"/>
                <w:color w:val="auto"/>
              </w:rPr>
            </w:pPr>
            <w:r>
              <w:rPr>
                <w:rFonts w:ascii="Arial" w:cs="Arial" w:eastAsia="Arial" w:hAnsi="Arial"/>
                <w:sz w:val="13"/>
                <w:szCs w:val="13"/>
                <w:b w:val="1"/>
                <w:bCs w:val="1"/>
                <w:color w:val="auto"/>
              </w:rPr>
              <w:t>Level 2</w:t>
            </w:r>
          </w:p>
        </w:tc>
        <w:tc>
          <w:tcPr>
            <w:tcW w:w="2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gridSpan w:val="2"/>
          </w:tcPr>
          <w:p>
            <w:pPr>
              <w:ind w:left="80"/>
              <w:spacing w:after="0" w:line="134" w:lineRule="exact"/>
              <w:rPr>
                <w:sz w:val="20"/>
                <w:szCs w:val="20"/>
                <w:color w:val="auto"/>
              </w:rPr>
            </w:pPr>
            <w:r>
              <w:rPr>
                <w:rFonts w:ascii="Arial" w:cs="Arial" w:eastAsia="Arial" w:hAnsi="Arial"/>
                <w:sz w:val="13"/>
                <w:szCs w:val="13"/>
                <w:b w:val="1"/>
                <w:bCs w:val="1"/>
                <w:color w:val="auto"/>
              </w:rPr>
              <w:t>Level 3</w:t>
            </w:r>
          </w:p>
        </w:tc>
        <w:tc>
          <w:tcPr>
            <w:tcW w:w="1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423"/>
              <w:spacing w:after="0" w:line="134" w:lineRule="exact"/>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58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0" w:type="dxa"/>
            <w:vAlign w:val="bottom"/>
            <w:gridSpan w:val="3"/>
          </w:tcPr>
          <w:p>
            <w:pPr>
              <w:jc w:val="right"/>
              <w:ind w:right="29"/>
              <w:spacing w:after="0" w:line="134" w:lineRule="exact"/>
              <w:rPr>
                <w:sz w:val="20"/>
                <w:szCs w:val="20"/>
                <w:color w:val="auto"/>
              </w:rPr>
            </w:pPr>
            <w:r>
              <w:rPr>
                <w:rFonts w:ascii="Arial" w:cs="Arial" w:eastAsia="Arial" w:hAnsi="Arial"/>
                <w:sz w:val="13"/>
                <w:szCs w:val="13"/>
                <w:b w:val="1"/>
                <w:bCs w:val="1"/>
                <w:color w:val="auto"/>
              </w:rPr>
              <w:t>(in thousands)</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580" w:type="dxa"/>
            <w:vAlign w:val="bottom"/>
          </w:tcPr>
          <w:p>
            <w:pPr>
              <w:spacing w:after="0"/>
              <w:rPr>
                <w:sz w:val="17"/>
                <w:szCs w:val="17"/>
                <w:color w:val="auto"/>
              </w:rPr>
            </w:pPr>
          </w:p>
        </w:tc>
        <w:tc>
          <w:tcPr>
            <w:tcW w:w="34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80" w:type="dxa"/>
            <w:vAlign w:val="bottom"/>
          </w:tcPr>
          <w:p>
            <w:pPr>
              <w:spacing w:after="0"/>
              <w:rPr>
                <w:sz w:val="17"/>
                <w:szCs w:val="17"/>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Cash equivalents:</w:t>
            </w: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80" w:type="dxa"/>
            <w:vAlign w:val="bottom"/>
          </w:tcPr>
          <w:p>
            <w:pPr>
              <w:spacing w:after="0"/>
              <w:rPr>
                <w:sz w:val="17"/>
                <w:szCs w:val="17"/>
                <w:color w:val="auto"/>
              </w:rPr>
            </w:pPr>
          </w:p>
        </w:tc>
        <w:tc>
          <w:tcPr>
            <w:tcW w:w="34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Money market funds</w:t>
            </w:r>
          </w:p>
        </w:tc>
        <w:tc>
          <w:tcPr>
            <w:tcW w:w="1240" w:type="dxa"/>
            <w:vAlign w:val="bottom"/>
            <w:gridSpan w:val="2"/>
            <w:shd w:val="clear" w:color="auto" w:fill="CFF0FC"/>
          </w:tcPr>
          <w:p>
            <w:pPr>
              <w:jc w:val="right"/>
              <w:ind w:right="87"/>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89,172</w:t>
            </w:r>
          </w:p>
        </w:tc>
        <w:tc>
          <w:tcPr>
            <w:tcW w:w="480" w:type="dxa"/>
            <w:vAlign w:val="bottom"/>
            <w:gridSpan w:val="2"/>
            <w:shd w:val="clear" w:color="auto" w:fill="CFF0FC"/>
          </w:tcPr>
          <w:p>
            <w:pPr>
              <w:ind w:left="2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FF0FC"/>
          </w:tcPr>
          <w:p>
            <w:pPr>
              <w:jc w:val="right"/>
              <w:ind w:right="229"/>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400" w:type="dxa"/>
            <w:vAlign w:val="bottom"/>
            <w:gridSpan w:val="2"/>
            <w:shd w:val="clear" w:color="auto" w:fill="CFF0FC"/>
          </w:tcPr>
          <w:p>
            <w:pPr>
              <w:jc w:val="right"/>
              <w:ind w:right="127"/>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89,172</w:t>
            </w:r>
          </w:p>
        </w:tc>
        <w:tc>
          <w:tcPr>
            <w:tcW w:w="100" w:type="dxa"/>
            <w:vAlign w:val="bottom"/>
            <w:shd w:val="clear" w:color="auto" w:fill="CFF0FC"/>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80" w:type="dxa"/>
            <w:vAlign w:val="bottom"/>
          </w:tcPr>
          <w:p>
            <w:pPr>
              <w:spacing w:after="0"/>
              <w:rPr>
                <w:sz w:val="17"/>
                <w:szCs w:val="17"/>
                <w:color w:val="auto"/>
              </w:rPr>
            </w:pPr>
          </w:p>
        </w:tc>
        <w:tc>
          <w:tcPr>
            <w:tcW w:w="3460" w:type="dxa"/>
            <w:vAlign w:val="bottom"/>
          </w:tcPr>
          <w:p>
            <w:pPr>
              <w:ind w:left="100"/>
              <w:spacing w:after="0"/>
              <w:rPr>
                <w:sz w:val="20"/>
                <w:szCs w:val="20"/>
                <w:color w:val="auto"/>
              </w:rPr>
            </w:pPr>
            <w:r>
              <w:rPr>
                <w:rFonts w:ascii="Arial" w:cs="Arial" w:eastAsia="Arial" w:hAnsi="Arial"/>
                <w:sz w:val="16"/>
                <w:szCs w:val="16"/>
                <w:color w:val="auto"/>
              </w:rPr>
              <w:t>Commercial paper</w:t>
            </w: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10,954</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10,954</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3460" w:type="dxa"/>
            <w:vAlign w:val="bottom"/>
            <w:shd w:val="clear" w:color="auto" w:fill="CFF0FC"/>
          </w:tcPr>
          <w:p>
            <w:pPr>
              <w:spacing w:after="0"/>
              <w:rPr>
                <w:sz w:val="20"/>
                <w:szCs w:val="20"/>
                <w:color w:val="auto"/>
              </w:rPr>
            </w:pPr>
            <w:r>
              <w:rPr>
                <w:rFonts w:ascii="Arial" w:cs="Arial" w:eastAsia="Arial" w:hAnsi="Arial"/>
                <w:sz w:val="16"/>
                <w:szCs w:val="16"/>
                <w:color w:val="auto"/>
              </w:rPr>
              <w:t>Marketable securities:</w:t>
            </w: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80" w:type="dxa"/>
            <w:vAlign w:val="bottom"/>
          </w:tcPr>
          <w:p>
            <w:pPr>
              <w:spacing w:after="0"/>
              <w:rPr>
                <w:sz w:val="17"/>
                <w:szCs w:val="17"/>
                <w:color w:val="auto"/>
              </w:rPr>
            </w:pPr>
          </w:p>
        </w:tc>
        <w:tc>
          <w:tcPr>
            <w:tcW w:w="3460" w:type="dxa"/>
            <w:vAlign w:val="bottom"/>
          </w:tcPr>
          <w:p>
            <w:pPr>
              <w:ind w:left="100"/>
              <w:spacing w:after="0"/>
              <w:rPr>
                <w:sz w:val="20"/>
                <w:szCs w:val="20"/>
                <w:color w:val="auto"/>
              </w:rPr>
            </w:pPr>
            <w:r>
              <w:rPr>
                <w:rFonts w:ascii="Arial" w:cs="Arial" w:eastAsia="Arial" w:hAnsi="Arial"/>
                <w:sz w:val="16"/>
                <w:szCs w:val="16"/>
                <w:color w:val="auto"/>
              </w:rPr>
              <w:t>U.S. Treasury notes</w:t>
            </w: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106,670</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106,670</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80" w:type="dxa"/>
            <w:vAlign w:val="bottom"/>
          </w:tcPr>
          <w:p>
            <w:pPr>
              <w:spacing w:after="0"/>
              <w:rPr>
                <w:sz w:val="17"/>
                <w:szCs w:val="17"/>
                <w:color w:val="auto"/>
              </w:rPr>
            </w:pPr>
          </w:p>
        </w:tc>
        <w:tc>
          <w:tcPr>
            <w:tcW w:w="34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Commercial paper</w:t>
            </w: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100,829</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100,829</w:t>
            </w:r>
          </w:p>
        </w:tc>
        <w:tc>
          <w:tcPr>
            <w:tcW w:w="100" w:type="dxa"/>
            <w:vAlign w:val="bottom"/>
            <w:shd w:val="clear" w:color="auto" w:fill="CFF0FC"/>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80" w:type="dxa"/>
            <w:vAlign w:val="bottom"/>
          </w:tcPr>
          <w:p>
            <w:pPr>
              <w:spacing w:after="0"/>
              <w:rPr>
                <w:sz w:val="17"/>
                <w:szCs w:val="17"/>
                <w:color w:val="auto"/>
              </w:rPr>
            </w:pPr>
          </w:p>
        </w:tc>
        <w:tc>
          <w:tcPr>
            <w:tcW w:w="3460" w:type="dxa"/>
            <w:vAlign w:val="bottom"/>
          </w:tcPr>
          <w:p>
            <w:pPr>
              <w:ind w:left="100"/>
              <w:spacing w:after="0"/>
              <w:rPr>
                <w:sz w:val="20"/>
                <w:szCs w:val="20"/>
                <w:color w:val="auto"/>
              </w:rPr>
            </w:pPr>
            <w:r>
              <w:rPr>
                <w:rFonts w:ascii="Arial" w:cs="Arial" w:eastAsia="Arial" w:hAnsi="Arial"/>
                <w:sz w:val="16"/>
                <w:szCs w:val="16"/>
                <w:color w:val="auto"/>
              </w:rPr>
              <w:t>Corporate bonds</w:t>
            </w: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73,138</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73,138</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80" w:type="dxa"/>
            <w:vAlign w:val="bottom"/>
          </w:tcPr>
          <w:p>
            <w:pPr>
              <w:spacing w:after="0"/>
              <w:rPr>
                <w:sz w:val="16"/>
                <w:szCs w:val="16"/>
                <w:color w:val="auto"/>
              </w:rPr>
            </w:pPr>
          </w:p>
        </w:tc>
        <w:tc>
          <w:tcPr>
            <w:tcW w:w="3460" w:type="dxa"/>
            <w:vAlign w:val="bottom"/>
            <w:tcBorders>
              <w:top w:val="single" w:sz="8" w:color="CFF0FC"/>
              <w:bottom w:val="single" w:sz="8" w:color="CFF0FC"/>
            </w:tcBorders>
            <w:shd w:val="clear" w:color="auto" w:fill="CFF0FC"/>
          </w:tcPr>
          <w:p>
            <w:pPr>
              <w:spacing w:after="0"/>
              <w:rPr>
                <w:sz w:val="16"/>
                <w:szCs w:val="16"/>
                <w:color w:val="auto"/>
              </w:rPr>
            </w:pPr>
          </w:p>
        </w:tc>
        <w:tc>
          <w:tcPr>
            <w:tcW w:w="1000" w:type="dxa"/>
            <w:vAlign w:val="bottom"/>
            <w:tcBorders>
              <w:top w:val="single" w:sz="8" w:color="CFF0FC"/>
              <w:bottom w:val="single" w:sz="8" w:color="CFF0FC"/>
            </w:tcBorders>
            <w:shd w:val="clear" w:color="auto" w:fill="CFF0FC"/>
          </w:tcPr>
          <w:p>
            <w:pPr>
              <w:spacing w:after="0"/>
              <w:rPr>
                <w:sz w:val="16"/>
                <w:szCs w:val="16"/>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195,842</w:t>
            </w:r>
          </w:p>
        </w:tc>
        <w:tc>
          <w:tcPr>
            <w:tcW w:w="240" w:type="dxa"/>
            <w:vAlign w:val="bottom"/>
            <w:tcBorders>
              <w:top w:val="single" w:sz="8" w:color="CFF0FC"/>
              <w:bottom w:val="single" w:sz="8" w:color="CFF0FC"/>
            </w:tcBorders>
            <w:shd w:val="clear" w:color="auto" w:fill="CFF0FC"/>
          </w:tcPr>
          <w:p>
            <w:pPr>
              <w:spacing w:after="0"/>
              <w:rPr>
                <w:sz w:val="16"/>
                <w:szCs w:val="16"/>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184,921</w:t>
            </w:r>
          </w:p>
        </w:tc>
        <w:tc>
          <w:tcPr>
            <w:tcW w:w="260" w:type="dxa"/>
            <w:vAlign w:val="bottom"/>
            <w:tcBorders>
              <w:top w:val="single" w:sz="8" w:color="CFF0FC"/>
              <w:bottom w:val="single" w:sz="8" w:color="CFF0FC"/>
            </w:tcBorders>
            <w:shd w:val="clear" w:color="auto" w:fill="CFF0FC"/>
          </w:tcPr>
          <w:p>
            <w:pPr>
              <w:spacing w:after="0"/>
              <w:rPr>
                <w:sz w:val="16"/>
                <w:szCs w:val="16"/>
                <w:color w:val="auto"/>
              </w:rPr>
            </w:pPr>
          </w:p>
        </w:tc>
        <w:tc>
          <w:tcPr>
            <w:tcW w:w="340" w:type="dxa"/>
            <w:vAlign w:val="bottom"/>
            <w:tcBorders>
              <w:top w:val="single" w:sz="8" w:color="auto"/>
              <w:bottom w:val="single" w:sz="8" w:color="auto"/>
            </w:tcBorders>
            <w:shd w:val="clear" w:color="auto" w:fill="CFF0FC"/>
          </w:tcPr>
          <w:p>
            <w:pPr>
              <w:jc w:val="right"/>
              <w:ind w:right="22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FF0FC"/>
              <w:bottom w:val="single" w:sz="8" w:color="CFF0FC"/>
            </w:tcBorders>
            <w:shd w:val="clear" w:color="auto" w:fill="CFF0FC"/>
          </w:tcPr>
          <w:p>
            <w:pPr>
              <w:spacing w:after="0"/>
              <w:rPr>
                <w:sz w:val="16"/>
                <w:szCs w:val="16"/>
                <w:color w:val="auto"/>
              </w:rPr>
            </w:pPr>
          </w:p>
        </w:tc>
        <w:tc>
          <w:tcPr>
            <w:tcW w:w="120" w:type="dxa"/>
            <w:vAlign w:val="bottom"/>
            <w:tcBorders>
              <w:top w:val="single" w:sz="8" w:color="CFF0FC"/>
              <w:bottom w:val="single" w:sz="8" w:color="CFF0FC"/>
            </w:tcBorders>
            <w:shd w:val="clear" w:color="auto" w:fill="CFF0FC"/>
          </w:tcPr>
          <w:p>
            <w:pPr>
              <w:spacing w:after="0"/>
              <w:rPr>
                <w:sz w:val="16"/>
                <w:szCs w:val="16"/>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380,763</w:t>
            </w:r>
          </w:p>
        </w:tc>
        <w:tc>
          <w:tcPr>
            <w:tcW w:w="100" w:type="dxa"/>
            <w:vAlign w:val="bottom"/>
            <w:tcBorders>
              <w:top w:val="single" w:sz="8" w:color="CFF0FC"/>
              <w:bottom w:val="single" w:sz="8" w:color="CFF0FC"/>
            </w:tcBorders>
            <w:shd w:val="clear" w:color="auto" w:fill="CFF0FC"/>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ind w:left="560"/>
              <w:spacing w:after="0"/>
              <w:rPr>
                <w:sz w:val="20"/>
                <w:szCs w:val="20"/>
                <w:color w:val="auto"/>
              </w:rPr>
            </w:pPr>
            <w:r>
              <w:rPr>
                <w:rFonts w:ascii="Arial" w:cs="Arial" w:eastAsia="Arial" w:hAnsi="Arial"/>
                <w:sz w:val="16"/>
                <w:szCs w:val="16"/>
                <w:b w:val="1"/>
                <w:bCs w:val="1"/>
                <w:color w:val="auto"/>
              </w:rPr>
              <w:t>Liabilities:</w:t>
            </w:r>
          </w:p>
        </w:tc>
        <w:tc>
          <w:tcPr>
            <w:tcW w:w="1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40" w:type="dxa"/>
            <w:vAlign w:val="bottom"/>
            <w:gridSpan w:val="2"/>
            <w:vMerge w:val="continue"/>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3460" w:type="dxa"/>
            <w:vAlign w:val="bottom"/>
            <w:shd w:val="clear" w:color="auto" w:fill="CFF0FC"/>
          </w:tcPr>
          <w:p>
            <w:pPr>
              <w:spacing w:after="0"/>
              <w:rPr>
                <w:sz w:val="20"/>
                <w:szCs w:val="20"/>
                <w:color w:val="auto"/>
              </w:rPr>
            </w:pPr>
            <w:r>
              <w:rPr>
                <w:rFonts w:ascii="Arial" w:cs="Arial" w:eastAsia="Arial" w:hAnsi="Arial"/>
                <w:sz w:val="16"/>
                <w:szCs w:val="16"/>
                <w:color w:val="auto"/>
              </w:rPr>
              <w:t>Series 1 nonconvertible preferred stock</w:t>
            </w:r>
          </w:p>
        </w:tc>
        <w:tc>
          <w:tcPr>
            <w:tcW w:w="100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1,628</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1,628</w:t>
            </w:r>
          </w:p>
        </w:tc>
        <w:tc>
          <w:tcPr>
            <w:tcW w:w="100" w:type="dxa"/>
            <w:vAlign w:val="bottom"/>
            <w:shd w:val="clear" w:color="auto" w:fill="CFF0FC"/>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8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340" w:type="dxa"/>
            <w:vAlign w:val="bottom"/>
            <w:tcBorders>
              <w:bottom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1,628</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5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ind w:right="403"/>
              <w:spacing w:after="0"/>
              <w:rPr>
                <w:sz w:val="20"/>
                <w:szCs w:val="20"/>
                <w:color w:val="auto"/>
              </w:rPr>
            </w:pPr>
            <w:r>
              <w:rPr>
                <w:rFonts w:ascii="Arial" w:cs="Arial" w:eastAsia="Arial" w:hAnsi="Arial"/>
                <w:sz w:val="16"/>
                <w:szCs w:val="16"/>
                <w:color w:val="auto"/>
              </w:rPr>
              <w:t>10</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580" w:type="dxa"/>
            <w:vAlign w:val="bottom"/>
            <w:tcBorders>
              <w:bottom w:val="single" w:sz="8" w:color="9A9A9A"/>
            </w:tcBorders>
          </w:tcPr>
          <w:p>
            <w:pPr>
              <w:spacing w:after="0"/>
              <w:rPr>
                <w:sz w:val="8"/>
                <w:szCs w:val="8"/>
                <w:color w:val="auto"/>
              </w:rPr>
            </w:pPr>
          </w:p>
        </w:tc>
        <w:tc>
          <w:tcPr>
            <w:tcW w:w="346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-27305</wp:posOffset>
            </wp:positionV>
            <wp:extent cx="33020"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5"/>
          </w:cols>
          <w:pgMar w:left="235" w:top="505" w:right="199" w:bottom="1440" w:gutter="0" w:footer="0" w:header="0"/>
        </w:sectPr>
      </w:pPr>
    </w:p>
    <w:bookmarkStart w:id="10" w:name="page11"/>
    <w:bookmarkEnd w:id="10"/>
    <w:tbl>
      <w:tblPr>
        <w:tblLayout w:type="fixed"/>
        <w:tblInd w:w="56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3160" w:type="dxa"/>
            <w:vAlign w:val="bottom"/>
            <w:tcBorders>
              <w:bottom w:val="single" w:sz="8" w:color="auto"/>
            </w:tcBorders>
            <w:gridSpan w:val="7"/>
          </w:tcPr>
          <w:p>
            <w:pPr>
              <w:ind w:left="120"/>
              <w:spacing w:after="0"/>
              <w:rPr>
                <w:sz w:val="20"/>
                <w:szCs w:val="20"/>
                <w:color w:val="auto"/>
              </w:rPr>
            </w:pPr>
            <w:r>
              <w:rPr>
                <w:rFonts w:ascii="Arial" w:cs="Arial" w:eastAsia="Arial" w:hAnsi="Arial"/>
                <w:sz w:val="13"/>
                <w:szCs w:val="13"/>
                <w:b w:val="1"/>
                <w:bCs w:val="1"/>
                <w:color w:val="auto"/>
                <w:w w:val="88"/>
              </w:rPr>
              <w:t>Fair Value Measurements at September 30, 2018 Using:</w:t>
            </w:r>
          </w:p>
        </w:tc>
        <w:tc>
          <w:tcPr>
            <w:tcW w:w="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34"/>
        </w:trPr>
        <w:tc>
          <w:tcPr>
            <w:tcW w:w="2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363"/>
              <w:spacing w:after="0" w:line="134" w:lineRule="exact"/>
              <w:rPr>
                <w:sz w:val="20"/>
                <w:szCs w:val="20"/>
                <w:color w:val="auto"/>
              </w:rPr>
            </w:pPr>
            <w:r>
              <w:rPr>
                <w:rFonts w:ascii="Arial" w:cs="Arial" w:eastAsia="Arial" w:hAnsi="Arial"/>
                <w:sz w:val="13"/>
                <w:szCs w:val="13"/>
                <w:b w:val="1"/>
                <w:bCs w:val="1"/>
                <w:color w:val="auto"/>
              </w:rPr>
              <w:t>Level 1</w:t>
            </w:r>
          </w:p>
        </w:tc>
        <w:tc>
          <w:tcPr>
            <w:tcW w:w="2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364"/>
              <w:spacing w:after="0" w:line="134" w:lineRule="exact"/>
              <w:rPr>
                <w:sz w:val="20"/>
                <w:szCs w:val="20"/>
                <w:color w:val="auto"/>
              </w:rPr>
            </w:pPr>
            <w:r>
              <w:rPr>
                <w:rFonts w:ascii="Arial" w:cs="Arial" w:eastAsia="Arial" w:hAnsi="Arial"/>
                <w:sz w:val="13"/>
                <w:szCs w:val="13"/>
                <w:b w:val="1"/>
                <w:bCs w:val="1"/>
                <w:color w:val="auto"/>
              </w:rPr>
              <w:t>Level 2</w:t>
            </w:r>
          </w:p>
        </w:tc>
        <w:tc>
          <w:tcPr>
            <w:tcW w:w="2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gridSpan w:val="2"/>
          </w:tcPr>
          <w:p>
            <w:pPr>
              <w:ind w:left="80"/>
              <w:spacing w:after="0" w:line="134" w:lineRule="exact"/>
              <w:rPr>
                <w:sz w:val="20"/>
                <w:szCs w:val="20"/>
                <w:color w:val="auto"/>
              </w:rPr>
            </w:pPr>
            <w:r>
              <w:rPr>
                <w:rFonts w:ascii="Arial" w:cs="Arial" w:eastAsia="Arial" w:hAnsi="Arial"/>
                <w:sz w:val="13"/>
                <w:szCs w:val="13"/>
                <w:b w:val="1"/>
                <w:bCs w:val="1"/>
                <w:color w:val="auto"/>
              </w:rPr>
              <w:t>Level 3</w:t>
            </w:r>
          </w:p>
        </w:tc>
        <w:tc>
          <w:tcPr>
            <w:tcW w:w="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423"/>
              <w:spacing w:after="0" w:line="134" w:lineRule="exact"/>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1"/>
                <w:szCs w:val="11"/>
                <w:color w:val="auto"/>
              </w:rPr>
            </w:pPr>
          </w:p>
        </w:tc>
      </w:tr>
      <w:tr>
        <w:trPr>
          <w:trHeight w:val="134"/>
        </w:trPr>
        <w:tc>
          <w:tcPr>
            <w:tcW w:w="2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0" w:type="dxa"/>
            <w:vAlign w:val="bottom"/>
            <w:gridSpan w:val="3"/>
          </w:tcPr>
          <w:p>
            <w:pPr>
              <w:jc w:val="right"/>
              <w:ind w:right="29"/>
              <w:spacing w:after="0" w:line="134" w:lineRule="exact"/>
              <w:rPr>
                <w:sz w:val="20"/>
                <w:szCs w:val="20"/>
                <w:color w:val="auto"/>
              </w:rPr>
            </w:pPr>
            <w:r>
              <w:rPr>
                <w:rFonts w:ascii="Arial" w:cs="Arial" w:eastAsia="Arial" w:hAnsi="Arial"/>
                <w:sz w:val="13"/>
                <w:szCs w:val="13"/>
                <w:b w:val="1"/>
                <w:bCs w:val="1"/>
                <w:color w:val="auto"/>
              </w:rPr>
              <w:t>(in thousands)</w:t>
            </w: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01"/>
        </w:trPr>
        <w:tc>
          <w:tcPr>
            <w:tcW w:w="20" w:type="dxa"/>
            <w:vAlign w:val="bottom"/>
          </w:tcPr>
          <w:p>
            <w:pPr>
              <w:spacing w:after="0"/>
              <w:rPr>
                <w:sz w:val="17"/>
                <w:szCs w:val="17"/>
                <w:color w:val="auto"/>
              </w:rPr>
            </w:pPr>
          </w:p>
        </w:tc>
        <w:tc>
          <w:tcPr>
            <w:tcW w:w="3460" w:type="dxa"/>
            <w:vAlign w:val="bottom"/>
            <w:shd w:val="clear" w:color="auto" w:fill="CFF2FC"/>
          </w:tcPr>
          <w:p>
            <w:pPr>
              <w:spacing w:after="0"/>
              <w:rPr>
                <w:sz w:val="20"/>
                <w:szCs w:val="20"/>
                <w:color w:val="auto"/>
              </w:rPr>
            </w:pPr>
            <w:r>
              <w:rPr>
                <w:rFonts w:ascii="Arial" w:cs="Arial" w:eastAsia="Arial" w:hAnsi="Arial"/>
                <w:sz w:val="16"/>
                <w:szCs w:val="16"/>
                <w:b w:val="1"/>
                <w:bCs w:val="1"/>
                <w:color w:val="auto"/>
              </w:rPr>
              <w:t>Assets:</w:t>
            </w:r>
          </w:p>
        </w:tc>
        <w:tc>
          <w:tcPr>
            <w:tcW w:w="1000" w:type="dxa"/>
            <w:vAlign w:val="bottom"/>
            <w:shd w:val="clear" w:color="auto" w:fill="CFF2FC"/>
          </w:tcPr>
          <w:p>
            <w:pPr>
              <w:spacing w:after="0"/>
              <w:rPr>
                <w:sz w:val="17"/>
                <w:szCs w:val="17"/>
                <w:color w:val="auto"/>
              </w:rPr>
            </w:pPr>
          </w:p>
        </w:tc>
        <w:tc>
          <w:tcPr>
            <w:tcW w:w="240" w:type="dxa"/>
            <w:vAlign w:val="bottom"/>
            <w:shd w:val="clear" w:color="auto" w:fill="CFF2FC"/>
          </w:tcPr>
          <w:p>
            <w:pPr>
              <w:spacing w:after="0"/>
              <w:rPr>
                <w:sz w:val="17"/>
                <w:szCs w:val="17"/>
                <w:color w:val="auto"/>
              </w:rPr>
            </w:pPr>
          </w:p>
        </w:tc>
        <w:tc>
          <w:tcPr>
            <w:tcW w:w="1000" w:type="dxa"/>
            <w:vAlign w:val="bottom"/>
            <w:shd w:val="clear" w:color="auto" w:fill="CFF2FC"/>
          </w:tcPr>
          <w:p>
            <w:pPr>
              <w:spacing w:after="0"/>
              <w:rPr>
                <w:sz w:val="17"/>
                <w:szCs w:val="17"/>
                <w:color w:val="auto"/>
              </w:rPr>
            </w:pPr>
          </w:p>
        </w:tc>
        <w:tc>
          <w:tcPr>
            <w:tcW w:w="240" w:type="dxa"/>
            <w:vAlign w:val="bottom"/>
            <w:shd w:val="clear" w:color="auto" w:fill="CFF2FC"/>
          </w:tcPr>
          <w:p>
            <w:pPr>
              <w:spacing w:after="0"/>
              <w:rPr>
                <w:sz w:val="17"/>
                <w:szCs w:val="17"/>
                <w:color w:val="auto"/>
              </w:rPr>
            </w:pPr>
          </w:p>
        </w:tc>
        <w:tc>
          <w:tcPr>
            <w:tcW w:w="240" w:type="dxa"/>
            <w:vAlign w:val="bottom"/>
            <w:shd w:val="clear" w:color="auto" w:fill="CFF2FC"/>
          </w:tcPr>
          <w:p>
            <w:pPr>
              <w:spacing w:after="0"/>
              <w:rPr>
                <w:sz w:val="17"/>
                <w:szCs w:val="17"/>
                <w:color w:val="auto"/>
              </w:rPr>
            </w:pPr>
          </w:p>
        </w:tc>
        <w:tc>
          <w:tcPr>
            <w:tcW w:w="1000" w:type="dxa"/>
            <w:vAlign w:val="bottom"/>
            <w:shd w:val="clear" w:color="auto" w:fill="CFF2FC"/>
          </w:tcPr>
          <w:p>
            <w:pPr>
              <w:spacing w:after="0"/>
              <w:rPr>
                <w:sz w:val="17"/>
                <w:szCs w:val="17"/>
                <w:color w:val="auto"/>
              </w:rPr>
            </w:pPr>
          </w:p>
        </w:tc>
        <w:tc>
          <w:tcPr>
            <w:tcW w:w="260" w:type="dxa"/>
            <w:vAlign w:val="bottom"/>
            <w:shd w:val="clear" w:color="auto" w:fill="CFF2FC"/>
          </w:tcPr>
          <w:p>
            <w:pPr>
              <w:spacing w:after="0"/>
              <w:rPr>
                <w:sz w:val="17"/>
                <w:szCs w:val="17"/>
                <w:color w:val="auto"/>
              </w:rPr>
            </w:pPr>
          </w:p>
        </w:tc>
        <w:tc>
          <w:tcPr>
            <w:tcW w:w="340" w:type="dxa"/>
            <w:vAlign w:val="bottom"/>
            <w:shd w:val="clear" w:color="auto" w:fill="CFF2FC"/>
          </w:tcPr>
          <w:p>
            <w:pPr>
              <w:spacing w:after="0"/>
              <w:rPr>
                <w:sz w:val="17"/>
                <w:szCs w:val="17"/>
                <w:color w:val="auto"/>
              </w:rPr>
            </w:pPr>
          </w:p>
        </w:tc>
        <w:tc>
          <w:tcPr>
            <w:tcW w:w="900" w:type="dxa"/>
            <w:vAlign w:val="bottom"/>
            <w:shd w:val="clear" w:color="auto" w:fill="CFF2FC"/>
          </w:tcPr>
          <w:p>
            <w:pPr>
              <w:spacing w:after="0"/>
              <w:rPr>
                <w:sz w:val="17"/>
                <w:szCs w:val="17"/>
                <w:color w:val="auto"/>
              </w:rPr>
            </w:pPr>
          </w:p>
        </w:tc>
        <w:tc>
          <w:tcPr>
            <w:tcW w:w="180" w:type="dxa"/>
            <w:vAlign w:val="bottom"/>
            <w:shd w:val="clear" w:color="auto" w:fill="CFF2FC"/>
          </w:tcPr>
          <w:p>
            <w:pPr>
              <w:spacing w:after="0"/>
              <w:rPr>
                <w:sz w:val="17"/>
                <w:szCs w:val="17"/>
                <w:color w:val="auto"/>
              </w:rPr>
            </w:pPr>
          </w:p>
        </w:tc>
        <w:tc>
          <w:tcPr>
            <w:tcW w:w="60" w:type="dxa"/>
            <w:vAlign w:val="bottom"/>
            <w:shd w:val="clear" w:color="auto" w:fill="CFF2FC"/>
          </w:tcPr>
          <w:p>
            <w:pPr>
              <w:spacing w:after="0"/>
              <w:rPr>
                <w:sz w:val="17"/>
                <w:szCs w:val="17"/>
                <w:color w:val="auto"/>
              </w:rPr>
            </w:pPr>
          </w:p>
        </w:tc>
        <w:tc>
          <w:tcPr>
            <w:tcW w:w="280" w:type="dxa"/>
            <w:vAlign w:val="bottom"/>
            <w:shd w:val="clear" w:color="auto" w:fill="CFF2FC"/>
          </w:tcPr>
          <w:p>
            <w:pPr>
              <w:spacing w:after="0"/>
              <w:rPr>
                <w:sz w:val="17"/>
                <w:szCs w:val="17"/>
                <w:color w:val="auto"/>
              </w:rPr>
            </w:pPr>
          </w:p>
        </w:tc>
        <w:tc>
          <w:tcPr>
            <w:tcW w:w="980" w:type="dxa"/>
            <w:vAlign w:val="bottom"/>
            <w:shd w:val="clear" w:color="auto" w:fill="CFF2FC"/>
          </w:tcPr>
          <w:p>
            <w:pPr>
              <w:spacing w:after="0"/>
              <w:rPr>
                <w:sz w:val="17"/>
                <w:szCs w:val="17"/>
                <w:color w:val="auto"/>
              </w:rPr>
            </w:pPr>
          </w:p>
        </w:tc>
        <w:tc>
          <w:tcPr>
            <w:tcW w:w="100" w:type="dxa"/>
            <w:vAlign w:val="bottom"/>
            <w:shd w:val="clear" w:color="auto" w:fill="CFF2FC"/>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Cash equivalents:</w:t>
            </w: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3460" w:type="dxa"/>
            <w:vAlign w:val="bottom"/>
            <w:shd w:val="clear" w:color="auto" w:fill="CFF2FC"/>
          </w:tcPr>
          <w:p>
            <w:pPr>
              <w:ind w:left="100"/>
              <w:spacing w:after="0"/>
              <w:rPr>
                <w:sz w:val="20"/>
                <w:szCs w:val="20"/>
                <w:color w:val="auto"/>
              </w:rPr>
            </w:pPr>
            <w:r>
              <w:rPr>
                <w:rFonts w:ascii="Arial" w:cs="Arial" w:eastAsia="Arial" w:hAnsi="Arial"/>
                <w:sz w:val="16"/>
                <w:szCs w:val="16"/>
                <w:color w:val="auto"/>
              </w:rPr>
              <w:t>Money market funds</w:t>
            </w:r>
          </w:p>
        </w:tc>
        <w:tc>
          <w:tcPr>
            <w:tcW w:w="1240" w:type="dxa"/>
            <w:vAlign w:val="bottom"/>
            <w:gridSpan w:val="2"/>
            <w:shd w:val="clear" w:color="auto" w:fill="CFF2FC"/>
          </w:tcPr>
          <w:p>
            <w:pPr>
              <w:jc w:val="right"/>
              <w:ind w:right="87"/>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2FC"/>
          </w:tcPr>
          <w:p>
            <w:pPr>
              <w:jc w:val="right"/>
              <w:spacing w:after="0"/>
              <w:rPr>
                <w:sz w:val="20"/>
                <w:szCs w:val="20"/>
                <w:color w:val="auto"/>
              </w:rPr>
            </w:pPr>
            <w:r>
              <w:rPr>
                <w:rFonts w:ascii="Arial" w:cs="Arial" w:eastAsia="Arial" w:hAnsi="Arial"/>
                <w:sz w:val="16"/>
                <w:szCs w:val="16"/>
                <w:color w:val="auto"/>
              </w:rPr>
              <w:t>51,025</w:t>
            </w:r>
          </w:p>
        </w:tc>
        <w:tc>
          <w:tcPr>
            <w:tcW w:w="480" w:type="dxa"/>
            <w:vAlign w:val="bottom"/>
            <w:gridSpan w:val="2"/>
            <w:shd w:val="clear" w:color="auto" w:fill="CFF2FC"/>
          </w:tcPr>
          <w:p>
            <w:pPr>
              <w:jc w:val="right"/>
              <w:ind w:right="87"/>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2FC"/>
          </w:tcPr>
          <w:p>
            <w:pPr>
              <w:jc w:val="right"/>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FF2FC"/>
          </w:tcPr>
          <w:p>
            <w:pPr>
              <w:jc w:val="right"/>
              <w:ind w:right="229"/>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FF2FC"/>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FF2FC"/>
          </w:tcPr>
          <w:p>
            <w:pPr>
              <w:jc w:val="right"/>
              <w:ind w:right="127"/>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2FC"/>
          </w:tcPr>
          <w:p>
            <w:pPr>
              <w:jc w:val="right"/>
              <w:spacing w:after="0"/>
              <w:rPr>
                <w:sz w:val="20"/>
                <w:szCs w:val="20"/>
                <w:color w:val="auto"/>
              </w:rPr>
            </w:pPr>
            <w:r>
              <w:rPr>
                <w:rFonts w:ascii="Arial" w:cs="Arial" w:eastAsia="Arial" w:hAnsi="Arial"/>
                <w:sz w:val="16"/>
                <w:szCs w:val="16"/>
                <w:color w:val="auto"/>
              </w:rPr>
              <w:t>51,025</w:t>
            </w:r>
          </w:p>
        </w:tc>
        <w:tc>
          <w:tcPr>
            <w:tcW w:w="100" w:type="dxa"/>
            <w:vAlign w:val="bottom"/>
            <w:shd w:val="clear" w:color="auto" w:fill="CFF2FC"/>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3460" w:type="dxa"/>
            <w:vAlign w:val="bottom"/>
          </w:tcPr>
          <w:p>
            <w:pPr>
              <w:ind w:left="100"/>
              <w:spacing w:after="0"/>
              <w:rPr>
                <w:sz w:val="20"/>
                <w:szCs w:val="20"/>
                <w:color w:val="auto"/>
              </w:rPr>
            </w:pPr>
            <w:r>
              <w:rPr>
                <w:rFonts w:ascii="Arial" w:cs="Arial" w:eastAsia="Arial" w:hAnsi="Arial"/>
                <w:sz w:val="16"/>
                <w:szCs w:val="16"/>
                <w:color w:val="auto"/>
              </w:rPr>
              <w:t>Commercial paper</w:t>
            </w: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6,987</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6,987</w:t>
            </w:r>
          </w:p>
        </w:tc>
        <w:tc>
          <w:tcPr>
            <w:tcW w:w="10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3460" w:type="dxa"/>
            <w:vAlign w:val="bottom"/>
            <w:shd w:val="clear" w:color="auto" w:fill="CFF2FC"/>
          </w:tcPr>
          <w:p>
            <w:pPr>
              <w:ind w:left="100"/>
              <w:spacing w:after="0"/>
              <w:rPr>
                <w:sz w:val="20"/>
                <w:szCs w:val="20"/>
                <w:color w:val="auto"/>
              </w:rPr>
            </w:pPr>
            <w:r>
              <w:rPr>
                <w:rFonts w:ascii="Arial" w:cs="Arial" w:eastAsia="Arial" w:hAnsi="Arial"/>
                <w:sz w:val="16"/>
                <w:szCs w:val="16"/>
                <w:color w:val="auto"/>
              </w:rPr>
              <w:t>Corporate bonds</w:t>
            </w:r>
          </w:p>
        </w:tc>
        <w:tc>
          <w:tcPr>
            <w:tcW w:w="1000" w:type="dxa"/>
            <w:vAlign w:val="bottom"/>
            <w:shd w:val="clear" w:color="auto" w:fill="CFF2FC"/>
          </w:tcPr>
          <w:p>
            <w:pPr>
              <w:spacing w:after="0"/>
              <w:rPr>
                <w:sz w:val="17"/>
                <w:szCs w:val="17"/>
                <w:color w:val="auto"/>
              </w:rPr>
            </w:pPr>
          </w:p>
        </w:tc>
        <w:tc>
          <w:tcPr>
            <w:tcW w:w="240" w:type="dxa"/>
            <w:vAlign w:val="bottom"/>
            <w:shd w:val="clear" w:color="auto" w:fill="CFF2FC"/>
          </w:tcPr>
          <w:p>
            <w:pPr>
              <w:spacing w:after="0"/>
              <w:rPr>
                <w:sz w:val="17"/>
                <w:szCs w:val="17"/>
                <w:color w:val="auto"/>
              </w:rPr>
            </w:pPr>
          </w:p>
        </w:tc>
        <w:tc>
          <w:tcPr>
            <w:tcW w:w="1000" w:type="dxa"/>
            <w:vAlign w:val="bottom"/>
            <w:shd w:val="clear" w:color="auto" w:fill="CFF2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2FC"/>
          </w:tcPr>
          <w:p>
            <w:pPr>
              <w:spacing w:after="0"/>
              <w:rPr>
                <w:sz w:val="17"/>
                <w:szCs w:val="17"/>
                <w:color w:val="auto"/>
              </w:rPr>
            </w:pPr>
          </w:p>
        </w:tc>
        <w:tc>
          <w:tcPr>
            <w:tcW w:w="240" w:type="dxa"/>
            <w:vAlign w:val="bottom"/>
            <w:shd w:val="clear" w:color="auto" w:fill="CFF2FC"/>
          </w:tcPr>
          <w:p>
            <w:pPr>
              <w:spacing w:after="0"/>
              <w:rPr>
                <w:sz w:val="17"/>
                <w:szCs w:val="17"/>
                <w:color w:val="auto"/>
              </w:rPr>
            </w:pPr>
          </w:p>
        </w:tc>
        <w:tc>
          <w:tcPr>
            <w:tcW w:w="1000" w:type="dxa"/>
            <w:vAlign w:val="bottom"/>
            <w:shd w:val="clear" w:color="auto" w:fill="CFF2FC"/>
          </w:tcPr>
          <w:p>
            <w:pPr>
              <w:jc w:val="right"/>
              <w:spacing w:after="0"/>
              <w:rPr>
                <w:sz w:val="20"/>
                <w:szCs w:val="20"/>
                <w:color w:val="auto"/>
              </w:rPr>
            </w:pPr>
            <w:r>
              <w:rPr>
                <w:rFonts w:ascii="Arial" w:cs="Arial" w:eastAsia="Arial" w:hAnsi="Arial"/>
                <w:sz w:val="16"/>
                <w:szCs w:val="16"/>
                <w:color w:val="auto"/>
              </w:rPr>
              <w:t>3,998</w:t>
            </w:r>
          </w:p>
        </w:tc>
        <w:tc>
          <w:tcPr>
            <w:tcW w:w="260" w:type="dxa"/>
            <w:vAlign w:val="bottom"/>
            <w:shd w:val="clear" w:color="auto" w:fill="CFF2FC"/>
          </w:tcPr>
          <w:p>
            <w:pPr>
              <w:spacing w:after="0"/>
              <w:rPr>
                <w:sz w:val="17"/>
                <w:szCs w:val="17"/>
                <w:color w:val="auto"/>
              </w:rPr>
            </w:pPr>
          </w:p>
        </w:tc>
        <w:tc>
          <w:tcPr>
            <w:tcW w:w="340" w:type="dxa"/>
            <w:vAlign w:val="bottom"/>
            <w:shd w:val="clear" w:color="auto" w:fill="CFF2FC"/>
          </w:tcPr>
          <w:p>
            <w:pPr>
              <w:spacing w:after="0"/>
              <w:rPr>
                <w:sz w:val="17"/>
                <w:szCs w:val="17"/>
                <w:color w:val="auto"/>
              </w:rPr>
            </w:pPr>
          </w:p>
        </w:tc>
        <w:tc>
          <w:tcPr>
            <w:tcW w:w="1080" w:type="dxa"/>
            <w:vAlign w:val="bottom"/>
            <w:gridSpan w:val="2"/>
            <w:shd w:val="clear" w:color="auto" w:fill="CFF2FC"/>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2FC"/>
          </w:tcPr>
          <w:p>
            <w:pPr>
              <w:spacing w:after="0"/>
              <w:rPr>
                <w:sz w:val="17"/>
                <w:szCs w:val="17"/>
                <w:color w:val="auto"/>
              </w:rPr>
            </w:pPr>
          </w:p>
        </w:tc>
        <w:tc>
          <w:tcPr>
            <w:tcW w:w="280" w:type="dxa"/>
            <w:vAlign w:val="bottom"/>
            <w:shd w:val="clear" w:color="auto" w:fill="CFF2FC"/>
          </w:tcPr>
          <w:p>
            <w:pPr>
              <w:spacing w:after="0"/>
              <w:rPr>
                <w:sz w:val="17"/>
                <w:szCs w:val="17"/>
                <w:color w:val="auto"/>
              </w:rPr>
            </w:pPr>
          </w:p>
        </w:tc>
        <w:tc>
          <w:tcPr>
            <w:tcW w:w="980" w:type="dxa"/>
            <w:vAlign w:val="bottom"/>
            <w:shd w:val="clear" w:color="auto" w:fill="CFF2FC"/>
          </w:tcPr>
          <w:p>
            <w:pPr>
              <w:jc w:val="right"/>
              <w:spacing w:after="0"/>
              <w:rPr>
                <w:sz w:val="20"/>
                <w:szCs w:val="20"/>
                <w:color w:val="auto"/>
              </w:rPr>
            </w:pPr>
            <w:r>
              <w:rPr>
                <w:rFonts w:ascii="Arial" w:cs="Arial" w:eastAsia="Arial" w:hAnsi="Arial"/>
                <w:sz w:val="16"/>
                <w:szCs w:val="16"/>
                <w:color w:val="auto"/>
              </w:rPr>
              <w:t>3,998</w:t>
            </w:r>
          </w:p>
        </w:tc>
        <w:tc>
          <w:tcPr>
            <w:tcW w:w="100" w:type="dxa"/>
            <w:vAlign w:val="bottom"/>
            <w:shd w:val="clear" w:color="auto" w:fill="CFF2FC"/>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Marketable securities:</w:t>
            </w: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3460" w:type="dxa"/>
            <w:vAlign w:val="bottom"/>
            <w:shd w:val="clear" w:color="auto" w:fill="CFF2FC"/>
          </w:tcPr>
          <w:p>
            <w:pPr>
              <w:ind w:left="100"/>
              <w:spacing w:after="0"/>
              <w:rPr>
                <w:sz w:val="20"/>
                <w:szCs w:val="20"/>
                <w:color w:val="auto"/>
              </w:rPr>
            </w:pPr>
            <w:r>
              <w:rPr>
                <w:rFonts w:ascii="Arial" w:cs="Arial" w:eastAsia="Arial" w:hAnsi="Arial"/>
                <w:sz w:val="16"/>
                <w:szCs w:val="16"/>
                <w:color w:val="auto"/>
              </w:rPr>
              <w:t>U.S. Treasury notes</w:t>
            </w:r>
          </w:p>
        </w:tc>
        <w:tc>
          <w:tcPr>
            <w:tcW w:w="1000" w:type="dxa"/>
            <w:vAlign w:val="bottom"/>
            <w:shd w:val="clear" w:color="auto" w:fill="CFF2FC"/>
          </w:tcPr>
          <w:p>
            <w:pPr>
              <w:spacing w:after="0"/>
              <w:rPr>
                <w:sz w:val="17"/>
                <w:szCs w:val="17"/>
                <w:color w:val="auto"/>
              </w:rPr>
            </w:pPr>
          </w:p>
        </w:tc>
        <w:tc>
          <w:tcPr>
            <w:tcW w:w="240" w:type="dxa"/>
            <w:vAlign w:val="bottom"/>
            <w:shd w:val="clear" w:color="auto" w:fill="CFF2FC"/>
          </w:tcPr>
          <w:p>
            <w:pPr>
              <w:spacing w:after="0"/>
              <w:rPr>
                <w:sz w:val="17"/>
                <w:szCs w:val="17"/>
                <w:color w:val="auto"/>
              </w:rPr>
            </w:pPr>
          </w:p>
        </w:tc>
        <w:tc>
          <w:tcPr>
            <w:tcW w:w="1000" w:type="dxa"/>
            <w:vAlign w:val="bottom"/>
            <w:shd w:val="clear" w:color="auto" w:fill="CFF2FC"/>
          </w:tcPr>
          <w:p>
            <w:pPr>
              <w:jc w:val="right"/>
              <w:spacing w:after="0"/>
              <w:rPr>
                <w:sz w:val="20"/>
                <w:szCs w:val="20"/>
                <w:color w:val="auto"/>
              </w:rPr>
            </w:pPr>
            <w:r>
              <w:rPr>
                <w:rFonts w:ascii="Arial" w:cs="Arial" w:eastAsia="Arial" w:hAnsi="Arial"/>
                <w:sz w:val="16"/>
                <w:szCs w:val="16"/>
                <w:color w:val="auto"/>
              </w:rPr>
              <w:t>42,703</w:t>
            </w:r>
          </w:p>
        </w:tc>
        <w:tc>
          <w:tcPr>
            <w:tcW w:w="240" w:type="dxa"/>
            <w:vAlign w:val="bottom"/>
            <w:shd w:val="clear" w:color="auto" w:fill="CFF2FC"/>
          </w:tcPr>
          <w:p>
            <w:pPr>
              <w:spacing w:after="0"/>
              <w:rPr>
                <w:sz w:val="17"/>
                <w:szCs w:val="17"/>
                <w:color w:val="auto"/>
              </w:rPr>
            </w:pPr>
          </w:p>
        </w:tc>
        <w:tc>
          <w:tcPr>
            <w:tcW w:w="240" w:type="dxa"/>
            <w:vAlign w:val="bottom"/>
            <w:shd w:val="clear" w:color="auto" w:fill="CFF2FC"/>
          </w:tcPr>
          <w:p>
            <w:pPr>
              <w:spacing w:after="0"/>
              <w:rPr>
                <w:sz w:val="17"/>
                <w:szCs w:val="17"/>
                <w:color w:val="auto"/>
              </w:rPr>
            </w:pPr>
          </w:p>
        </w:tc>
        <w:tc>
          <w:tcPr>
            <w:tcW w:w="1000" w:type="dxa"/>
            <w:vAlign w:val="bottom"/>
            <w:shd w:val="clear" w:color="auto" w:fill="CFF2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2FC"/>
          </w:tcPr>
          <w:p>
            <w:pPr>
              <w:spacing w:after="0"/>
              <w:rPr>
                <w:sz w:val="17"/>
                <w:szCs w:val="17"/>
                <w:color w:val="auto"/>
              </w:rPr>
            </w:pPr>
          </w:p>
        </w:tc>
        <w:tc>
          <w:tcPr>
            <w:tcW w:w="340" w:type="dxa"/>
            <w:vAlign w:val="bottom"/>
            <w:shd w:val="clear" w:color="auto" w:fill="CFF2FC"/>
          </w:tcPr>
          <w:p>
            <w:pPr>
              <w:spacing w:after="0"/>
              <w:rPr>
                <w:sz w:val="17"/>
                <w:szCs w:val="17"/>
                <w:color w:val="auto"/>
              </w:rPr>
            </w:pPr>
          </w:p>
        </w:tc>
        <w:tc>
          <w:tcPr>
            <w:tcW w:w="1080" w:type="dxa"/>
            <w:vAlign w:val="bottom"/>
            <w:gridSpan w:val="2"/>
            <w:shd w:val="clear" w:color="auto" w:fill="CFF2FC"/>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2FC"/>
          </w:tcPr>
          <w:p>
            <w:pPr>
              <w:spacing w:after="0"/>
              <w:rPr>
                <w:sz w:val="17"/>
                <w:szCs w:val="17"/>
                <w:color w:val="auto"/>
              </w:rPr>
            </w:pPr>
          </w:p>
        </w:tc>
        <w:tc>
          <w:tcPr>
            <w:tcW w:w="280" w:type="dxa"/>
            <w:vAlign w:val="bottom"/>
            <w:shd w:val="clear" w:color="auto" w:fill="CFF2FC"/>
          </w:tcPr>
          <w:p>
            <w:pPr>
              <w:spacing w:after="0"/>
              <w:rPr>
                <w:sz w:val="17"/>
                <w:szCs w:val="17"/>
                <w:color w:val="auto"/>
              </w:rPr>
            </w:pPr>
          </w:p>
        </w:tc>
        <w:tc>
          <w:tcPr>
            <w:tcW w:w="980" w:type="dxa"/>
            <w:vAlign w:val="bottom"/>
            <w:shd w:val="clear" w:color="auto" w:fill="CFF2FC"/>
          </w:tcPr>
          <w:p>
            <w:pPr>
              <w:jc w:val="right"/>
              <w:spacing w:after="0"/>
              <w:rPr>
                <w:sz w:val="20"/>
                <w:szCs w:val="20"/>
                <w:color w:val="auto"/>
              </w:rPr>
            </w:pPr>
            <w:r>
              <w:rPr>
                <w:rFonts w:ascii="Arial" w:cs="Arial" w:eastAsia="Arial" w:hAnsi="Arial"/>
                <w:sz w:val="16"/>
                <w:szCs w:val="16"/>
                <w:color w:val="auto"/>
              </w:rPr>
              <w:t>42,703</w:t>
            </w:r>
          </w:p>
        </w:tc>
        <w:tc>
          <w:tcPr>
            <w:tcW w:w="100" w:type="dxa"/>
            <w:vAlign w:val="bottom"/>
            <w:shd w:val="clear" w:color="auto" w:fill="CFF2FC"/>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3460" w:type="dxa"/>
            <w:vAlign w:val="bottom"/>
          </w:tcPr>
          <w:p>
            <w:pPr>
              <w:ind w:left="100"/>
              <w:spacing w:after="0"/>
              <w:rPr>
                <w:sz w:val="20"/>
                <w:szCs w:val="20"/>
                <w:color w:val="auto"/>
              </w:rPr>
            </w:pPr>
            <w:r>
              <w:rPr>
                <w:rFonts w:ascii="Arial" w:cs="Arial" w:eastAsia="Arial" w:hAnsi="Arial"/>
                <w:sz w:val="16"/>
                <w:szCs w:val="16"/>
                <w:color w:val="auto"/>
              </w:rPr>
              <w:t>Commercial paper</w:t>
            </w: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113,885</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113,885</w:t>
            </w:r>
          </w:p>
        </w:tc>
        <w:tc>
          <w:tcPr>
            <w:tcW w:w="10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3460" w:type="dxa"/>
            <w:vAlign w:val="bottom"/>
            <w:shd w:val="clear" w:color="auto" w:fill="CFF2FC"/>
          </w:tcPr>
          <w:p>
            <w:pPr>
              <w:ind w:left="100"/>
              <w:spacing w:after="0"/>
              <w:rPr>
                <w:sz w:val="20"/>
                <w:szCs w:val="20"/>
                <w:color w:val="auto"/>
              </w:rPr>
            </w:pPr>
            <w:r>
              <w:rPr>
                <w:rFonts w:ascii="Arial" w:cs="Arial" w:eastAsia="Arial" w:hAnsi="Arial"/>
                <w:sz w:val="16"/>
                <w:szCs w:val="16"/>
                <w:color w:val="auto"/>
              </w:rPr>
              <w:t>Corporate bonds</w:t>
            </w:r>
          </w:p>
        </w:tc>
        <w:tc>
          <w:tcPr>
            <w:tcW w:w="1000" w:type="dxa"/>
            <w:vAlign w:val="bottom"/>
            <w:shd w:val="clear" w:color="auto" w:fill="CFF2FC"/>
          </w:tcPr>
          <w:p>
            <w:pPr>
              <w:spacing w:after="0"/>
              <w:rPr>
                <w:sz w:val="17"/>
                <w:szCs w:val="17"/>
                <w:color w:val="auto"/>
              </w:rPr>
            </w:pPr>
          </w:p>
        </w:tc>
        <w:tc>
          <w:tcPr>
            <w:tcW w:w="240" w:type="dxa"/>
            <w:vAlign w:val="bottom"/>
            <w:shd w:val="clear" w:color="auto" w:fill="CFF2FC"/>
          </w:tcPr>
          <w:p>
            <w:pPr>
              <w:spacing w:after="0"/>
              <w:rPr>
                <w:sz w:val="17"/>
                <w:szCs w:val="17"/>
                <w:color w:val="auto"/>
              </w:rPr>
            </w:pPr>
          </w:p>
        </w:tc>
        <w:tc>
          <w:tcPr>
            <w:tcW w:w="1000" w:type="dxa"/>
            <w:vAlign w:val="bottom"/>
            <w:shd w:val="clear" w:color="auto" w:fill="CFF2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2FC"/>
          </w:tcPr>
          <w:p>
            <w:pPr>
              <w:spacing w:after="0"/>
              <w:rPr>
                <w:sz w:val="17"/>
                <w:szCs w:val="17"/>
                <w:color w:val="auto"/>
              </w:rPr>
            </w:pPr>
          </w:p>
        </w:tc>
        <w:tc>
          <w:tcPr>
            <w:tcW w:w="240" w:type="dxa"/>
            <w:vAlign w:val="bottom"/>
            <w:shd w:val="clear" w:color="auto" w:fill="CFF2FC"/>
          </w:tcPr>
          <w:p>
            <w:pPr>
              <w:spacing w:after="0"/>
              <w:rPr>
                <w:sz w:val="17"/>
                <w:szCs w:val="17"/>
                <w:color w:val="auto"/>
              </w:rPr>
            </w:pPr>
          </w:p>
        </w:tc>
        <w:tc>
          <w:tcPr>
            <w:tcW w:w="1000" w:type="dxa"/>
            <w:vAlign w:val="bottom"/>
            <w:shd w:val="clear" w:color="auto" w:fill="CFF2FC"/>
          </w:tcPr>
          <w:p>
            <w:pPr>
              <w:jc w:val="right"/>
              <w:spacing w:after="0"/>
              <w:rPr>
                <w:sz w:val="20"/>
                <w:szCs w:val="20"/>
                <w:color w:val="auto"/>
              </w:rPr>
            </w:pPr>
            <w:r>
              <w:rPr>
                <w:rFonts w:ascii="Arial" w:cs="Arial" w:eastAsia="Arial" w:hAnsi="Arial"/>
                <w:sz w:val="16"/>
                <w:szCs w:val="16"/>
                <w:color w:val="auto"/>
              </w:rPr>
              <w:t>104,629</w:t>
            </w:r>
          </w:p>
        </w:tc>
        <w:tc>
          <w:tcPr>
            <w:tcW w:w="260" w:type="dxa"/>
            <w:vAlign w:val="bottom"/>
            <w:shd w:val="clear" w:color="auto" w:fill="CFF2FC"/>
          </w:tcPr>
          <w:p>
            <w:pPr>
              <w:spacing w:after="0"/>
              <w:rPr>
                <w:sz w:val="17"/>
                <w:szCs w:val="17"/>
                <w:color w:val="auto"/>
              </w:rPr>
            </w:pPr>
          </w:p>
        </w:tc>
        <w:tc>
          <w:tcPr>
            <w:tcW w:w="340" w:type="dxa"/>
            <w:vAlign w:val="bottom"/>
            <w:shd w:val="clear" w:color="auto" w:fill="CFF2FC"/>
          </w:tcPr>
          <w:p>
            <w:pPr>
              <w:spacing w:after="0"/>
              <w:rPr>
                <w:sz w:val="17"/>
                <w:szCs w:val="17"/>
                <w:color w:val="auto"/>
              </w:rPr>
            </w:pPr>
          </w:p>
        </w:tc>
        <w:tc>
          <w:tcPr>
            <w:tcW w:w="1080" w:type="dxa"/>
            <w:vAlign w:val="bottom"/>
            <w:gridSpan w:val="2"/>
            <w:shd w:val="clear" w:color="auto" w:fill="CFF2FC"/>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2FC"/>
          </w:tcPr>
          <w:p>
            <w:pPr>
              <w:spacing w:after="0"/>
              <w:rPr>
                <w:sz w:val="17"/>
                <w:szCs w:val="17"/>
                <w:color w:val="auto"/>
              </w:rPr>
            </w:pPr>
          </w:p>
        </w:tc>
        <w:tc>
          <w:tcPr>
            <w:tcW w:w="280" w:type="dxa"/>
            <w:vAlign w:val="bottom"/>
            <w:shd w:val="clear" w:color="auto" w:fill="CFF2FC"/>
          </w:tcPr>
          <w:p>
            <w:pPr>
              <w:spacing w:after="0"/>
              <w:rPr>
                <w:sz w:val="17"/>
                <w:szCs w:val="17"/>
                <w:color w:val="auto"/>
              </w:rPr>
            </w:pPr>
          </w:p>
        </w:tc>
        <w:tc>
          <w:tcPr>
            <w:tcW w:w="980" w:type="dxa"/>
            <w:vAlign w:val="bottom"/>
            <w:shd w:val="clear" w:color="auto" w:fill="CFF2FC"/>
          </w:tcPr>
          <w:p>
            <w:pPr>
              <w:jc w:val="right"/>
              <w:spacing w:after="0"/>
              <w:rPr>
                <w:sz w:val="20"/>
                <w:szCs w:val="20"/>
                <w:color w:val="auto"/>
              </w:rPr>
            </w:pPr>
            <w:r>
              <w:rPr>
                <w:rFonts w:ascii="Arial" w:cs="Arial" w:eastAsia="Arial" w:hAnsi="Arial"/>
                <w:sz w:val="16"/>
                <w:szCs w:val="16"/>
                <w:color w:val="auto"/>
              </w:rPr>
              <w:t>104,629</w:t>
            </w:r>
          </w:p>
        </w:tc>
        <w:tc>
          <w:tcPr>
            <w:tcW w:w="100" w:type="dxa"/>
            <w:vAlign w:val="bottom"/>
            <w:shd w:val="clear" w:color="auto" w:fill="CFF2FC"/>
          </w:tcPr>
          <w:p>
            <w:pPr>
              <w:spacing w:after="0"/>
              <w:rPr>
                <w:sz w:val="17"/>
                <w:szCs w:val="17"/>
                <w:color w:val="auto"/>
              </w:rPr>
            </w:pPr>
          </w:p>
        </w:tc>
      </w:tr>
      <w:tr>
        <w:trPr>
          <w:trHeight w:val="233"/>
        </w:trPr>
        <w:tc>
          <w:tcPr>
            <w:tcW w:w="20" w:type="dxa"/>
            <w:vAlign w:val="bottom"/>
          </w:tcPr>
          <w:p>
            <w:pPr>
              <w:spacing w:after="0"/>
              <w:rPr>
                <w:sz w:val="20"/>
                <w:szCs w:val="20"/>
                <w:color w:val="auto"/>
              </w:rPr>
            </w:pPr>
          </w:p>
        </w:tc>
        <w:tc>
          <w:tcPr>
            <w:tcW w:w="3460" w:type="dxa"/>
            <w:vAlign w:val="bottom"/>
            <w:tcBorders>
              <w:bottom w:val="single" w:sz="8" w:color="CFF2FC"/>
            </w:tcBorders>
          </w:tcPr>
          <w:p>
            <w:pPr>
              <w:spacing w:after="0"/>
              <w:rPr>
                <w:sz w:val="20"/>
                <w:szCs w:val="20"/>
                <w:color w:val="auto"/>
              </w:rPr>
            </w:pPr>
          </w:p>
        </w:tc>
        <w:tc>
          <w:tcPr>
            <w:tcW w:w="1000" w:type="dxa"/>
            <w:vAlign w:val="bottom"/>
            <w:tcBorders>
              <w:bottom w:val="single" w:sz="8" w:color="CFF2FC"/>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93,728</w:t>
            </w:r>
          </w:p>
        </w:tc>
        <w:tc>
          <w:tcPr>
            <w:tcW w:w="240" w:type="dxa"/>
            <w:vAlign w:val="bottom"/>
            <w:tcBorders>
              <w:bottom w:val="single" w:sz="8" w:color="CFF2FC"/>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229,499</w:t>
            </w:r>
          </w:p>
        </w:tc>
        <w:tc>
          <w:tcPr>
            <w:tcW w:w="260" w:type="dxa"/>
            <w:vAlign w:val="bottom"/>
            <w:tcBorders>
              <w:bottom w:val="single" w:sz="8" w:color="CFF2FC"/>
            </w:tcBorders>
          </w:tcPr>
          <w:p>
            <w:pPr>
              <w:spacing w:after="0"/>
              <w:rPr>
                <w:sz w:val="20"/>
                <w:szCs w:val="20"/>
                <w:color w:val="auto"/>
              </w:rPr>
            </w:pPr>
          </w:p>
        </w:tc>
        <w:tc>
          <w:tcPr>
            <w:tcW w:w="340" w:type="dxa"/>
            <w:vAlign w:val="bottom"/>
            <w:tcBorders>
              <w:top w:val="single" w:sz="8" w:color="auto"/>
              <w:bottom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FF2FC"/>
            </w:tcBorders>
          </w:tcPr>
          <w:p>
            <w:pPr>
              <w:spacing w:after="0"/>
              <w:rPr>
                <w:sz w:val="20"/>
                <w:szCs w:val="20"/>
                <w:color w:val="auto"/>
              </w:rPr>
            </w:pPr>
          </w:p>
        </w:tc>
        <w:tc>
          <w:tcPr>
            <w:tcW w:w="60" w:type="dxa"/>
            <w:vAlign w:val="bottom"/>
            <w:tcBorders>
              <w:bottom w:val="single" w:sz="8" w:color="CFF2FC"/>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323,227</w:t>
            </w:r>
          </w:p>
        </w:tc>
        <w:tc>
          <w:tcPr>
            <w:tcW w:w="100" w:type="dxa"/>
            <w:vAlign w:val="bottom"/>
            <w:tcBorders>
              <w:bottom w:val="single" w:sz="8" w:color="CFF2FC"/>
            </w:tcBorders>
          </w:tcPr>
          <w:p>
            <w:pPr>
              <w:spacing w:after="0"/>
              <w:rPr>
                <w:sz w:val="20"/>
                <w:szCs w:val="20"/>
                <w:color w:val="auto"/>
              </w:rPr>
            </w:pPr>
          </w:p>
        </w:tc>
      </w:tr>
      <w:tr>
        <w:trPr>
          <w:trHeight w:val="177"/>
        </w:trPr>
        <w:tc>
          <w:tcPr>
            <w:tcW w:w="20" w:type="dxa"/>
            <w:vAlign w:val="bottom"/>
          </w:tcPr>
          <w:p>
            <w:pPr>
              <w:spacing w:after="0"/>
              <w:rPr>
                <w:sz w:val="15"/>
                <w:szCs w:val="15"/>
                <w:color w:val="auto"/>
              </w:rPr>
            </w:pPr>
          </w:p>
        </w:tc>
        <w:tc>
          <w:tcPr>
            <w:tcW w:w="3460" w:type="dxa"/>
            <w:vAlign w:val="bottom"/>
            <w:shd w:val="clear" w:color="auto" w:fill="CFF2FC"/>
          </w:tcPr>
          <w:p>
            <w:pPr>
              <w:spacing w:after="0" w:line="176" w:lineRule="exact"/>
              <w:rPr>
                <w:sz w:val="20"/>
                <w:szCs w:val="20"/>
                <w:color w:val="auto"/>
              </w:rPr>
            </w:pPr>
            <w:r>
              <w:rPr>
                <w:rFonts w:ascii="Arial" w:cs="Arial" w:eastAsia="Arial" w:hAnsi="Arial"/>
                <w:sz w:val="16"/>
                <w:szCs w:val="16"/>
                <w:b w:val="1"/>
                <w:bCs w:val="1"/>
                <w:color w:val="auto"/>
              </w:rPr>
              <w:t>Liabilities:</w:t>
            </w:r>
          </w:p>
        </w:tc>
        <w:tc>
          <w:tcPr>
            <w:tcW w:w="1000" w:type="dxa"/>
            <w:vAlign w:val="bottom"/>
            <w:shd w:val="clear" w:color="auto" w:fill="CFF2FC"/>
          </w:tcPr>
          <w:p>
            <w:pPr>
              <w:spacing w:after="0"/>
              <w:rPr>
                <w:sz w:val="15"/>
                <w:szCs w:val="15"/>
                <w:color w:val="auto"/>
              </w:rPr>
            </w:pPr>
          </w:p>
        </w:tc>
        <w:tc>
          <w:tcPr>
            <w:tcW w:w="240" w:type="dxa"/>
            <w:vAlign w:val="bottom"/>
            <w:shd w:val="clear" w:color="auto" w:fill="CFF2FC"/>
          </w:tcPr>
          <w:p>
            <w:pPr>
              <w:spacing w:after="0"/>
              <w:rPr>
                <w:sz w:val="15"/>
                <w:szCs w:val="15"/>
                <w:color w:val="auto"/>
              </w:rPr>
            </w:pPr>
          </w:p>
        </w:tc>
        <w:tc>
          <w:tcPr>
            <w:tcW w:w="1000" w:type="dxa"/>
            <w:vAlign w:val="bottom"/>
            <w:shd w:val="clear" w:color="auto" w:fill="CFF2FC"/>
          </w:tcPr>
          <w:p>
            <w:pPr>
              <w:spacing w:after="0"/>
              <w:rPr>
                <w:sz w:val="15"/>
                <w:szCs w:val="15"/>
                <w:color w:val="auto"/>
              </w:rPr>
            </w:pPr>
          </w:p>
        </w:tc>
        <w:tc>
          <w:tcPr>
            <w:tcW w:w="240" w:type="dxa"/>
            <w:vAlign w:val="bottom"/>
            <w:shd w:val="clear" w:color="auto" w:fill="CFF2FC"/>
          </w:tcPr>
          <w:p>
            <w:pPr>
              <w:spacing w:after="0"/>
              <w:rPr>
                <w:sz w:val="15"/>
                <w:szCs w:val="15"/>
                <w:color w:val="auto"/>
              </w:rPr>
            </w:pPr>
          </w:p>
        </w:tc>
        <w:tc>
          <w:tcPr>
            <w:tcW w:w="240" w:type="dxa"/>
            <w:vAlign w:val="bottom"/>
            <w:shd w:val="clear" w:color="auto" w:fill="CFF2FC"/>
          </w:tcPr>
          <w:p>
            <w:pPr>
              <w:spacing w:after="0"/>
              <w:rPr>
                <w:sz w:val="15"/>
                <w:szCs w:val="15"/>
                <w:color w:val="auto"/>
              </w:rPr>
            </w:pPr>
          </w:p>
        </w:tc>
        <w:tc>
          <w:tcPr>
            <w:tcW w:w="1000" w:type="dxa"/>
            <w:vAlign w:val="bottom"/>
            <w:shd w:val="clear" w:color="auto" w:fill="CFF2FC"/>
          </w:tcPr>
          <w:p>
            <w:pPr>
              <w:spacing w:after="0"/>
              <w:rPr>
                <w:sz w:val="15"/>
                <w:szCs w:val="15"/>
                <w:color w:val="auto"/>
              </w:rPr>
            </w:pPr>
          </w:p>
        </w:tc>
        <w:tc>
          <w:tcPr>
            <w:tcW w:w="260" w:type="dxa"/>
            <w:vAlign w:val="bottom"/>
            <w:shd w:val="clear" w:color="auto" w:fill="CFF2FC"/>
          </w:tcPr>
          <w:p>
            <w:pPr>
              <w:spacing w:after="0"/>
              <w:rPr>
                <w:sz w:val="15"/>
                <w:szCs w:val="15"/>
                <w:color w:val="auto"/>
              </w:rPr>
            </w:pPr>
          </w:p>
        </w:tc>
        <w:tc>
          <w:tcPr>
            <w:tcW w:w="340" w:type="dxa"/>
            <w:vAlign w:val="bottom"/>
            <w:shd w:val="clear" w:color="auto" w:fill="CFF2FC"/>
          </w:tcPr>
          <w:p>
            <w:pPr>
              <w:spacing w:after="0"/>
              <w:rPr>
                <w:sz w:val="15"/>
                <w:szCs w:val="15"/>
                <w:color w:val="auto"/>
              </w:rPr>
            </w:pPr>
          </w:p>
        </w:tc>
        <w:tc>
          <w:tcPr>
            <w:tcW w:w="900" w:type="dxa"/>
            <w:vAlign w:val="bottom"/>
            <w:shd w:val="clear" w:color="auto" w:fill="CFF2FC"/>
          </w:tcPr>
          <w:p>
            <w:pPr>
              <w:spacing w:after="0"/>
              <w:rPr>
                <w:sz w:val="15"/>
                <w:szCs w:val="15"/>
                <w:color w:val="auto"/>
              </w:rPr>
            </w:pPr>
          </w:p>
        </w:tc>
        <w:tc>
          <w:tcPr>
            <w:tcW w:w="180" w:type="dxa"/>
            <w:vAlign w:val="bottom"/>
            <w:shd w:val="clear" w:color="auto" w:fill="CFF2FC"/>
          </w:tcPr>
          <w:p>
            <w:pPr>
              <w:spacing w:after="0"/>
              <w:rPr>
                <w:sz w:val="15"/>
                <w:szCs w:val="15"/>
                <w:color w:val="auto"/>
              </w:rPr>
            </w:pPr>
          </w:p>
        </w:tc>
        <w:tc>
          <w:tcPr>
            <w:tcW w:w="60" w:type="dxa"/>
            <w:vAlign w:val="bottom"/>
            <w:shd w:val="clear" w:color="auto" w:fill="CFF2FC"/>
          </w:tcPr>
          <w:p>
            <w:pPr>
              <w:spacing w:after="0"/>
              <w:rPr>
                <w:sz w:val="15"/>
                <w:szCs w:val="15"/>
                <w:color w:val="auto"/>
              </w:rPr>
            </w:pPr>
          </w:p>
        </w:tc>
        <w:tc>
          <w:tcPr>
            <w:tcW w:w="280" w:type="dxa"/>
            <w:vAlign w:val="bottom"/>
            <w:shd w:val="clear" w:color="auto" w:fill="CFF2FC"/>
          </w:tcPr>
          <w:p>
            <w:pPr>
              <w:spacing w:after="0"/>
              <w:rPr>
                <w:sz w:val="15"/>
                <w:szCs w:val="15"/>
                <w:color w:val="auto"/>
              </w:rPr>
            </w:pPr>
          </w:p>
        </w:tc>
        <w:tc>
          <w:tcPr>
            <w:tcW w:w="980" w:type="dxa"/>
            <w:vAlign w:val="bottom"/>
            <w:shd w:val="clear" w:color="auto" w:fill="CFF2FC"/>
          </w:tcPr>
          <w:p>
            <w:pPr>
              <w:spacing w:after="0"/>
              <w:rPr>
                <w:sz w:val="15"/>
                <w:szCs w:val="15"/>
                <w:color w:val="auto"/>
              </w:rPr>
            </w:pPr>
          </w:p>
        </w:tc>
        <w:tc>
          <w:tcPr>
            <w:tcW w:w="100" w:type="dxa"/>
            <w:vAlign w:val="bottom"/>
            <w:shd w:val="clear" w:color="auto" w:fill="CFF2FC"/>
          </w:tcPr>
          <w:p>
            <w:pPr>
              <w:spacing w:after="0"/>
              <w:rPr>
                <w:sz w:val="15"/>
                <w:szCs w:val="15"/>
                <w:color w:val="auto"/>
              </w:rPr>
            </w:pPr>
          </w:p>
        </w:tc>
      </w:tr>
      <w:tr>
        <w:trPr>
          <w:trHeight w:val="201"/>
        </w:trPr>
        <w:tc>
          <w:tcPr>
            <w:tcW w:w="20" w:type="dxa"/>
            <w:vAlign w:val="bottom"/>
          </w:tcPr>
          <w:p>
            <w:pPr>
              <w:spacing w:after="0"/>
              <w:rPr>
                <w:sz w:val="17"/>
                <w:szCs w:val="17"/>
                <w:color w:val="auto"/>
              </w:rPr>
            </w:pPr>
          </w:p>
        </w:tc>
        <w:tc>
          <w:tcPr>
            <w:tcW w:w="3460" w:type="dxa"/>
            <w:vAlign w:val="bottom"/>
            <w:tcBorders>
              <w:bottom w:val="single" w:sz="8" w:color="CFF2FC"/>
            </w:tcBorders>
          </w:tcPr>
          <w:p>
            <w:pPr>
              <w:spacing w:after="0"/>
              <w:rPr>
                <w:sz w:val="20"/>
                <w:szCs w:val="20"/>
                <w:color w:val="auto"/>
              </w:rPr>
            </w:pPr>
            <w:r>
              <w:rPr>
                <w:rFonts w:ascii="Arial" w:cs="Arial" w:eastAsia="Arial" w:hAnsi="Arial"/>
                <w:sz w:val="16"/>
                <w:szCs w:val="16"/>
                <w:color w:val="auto"/>
              </w:rPr>
              <w:t>Series 1 nonconvertible preferred stock</w:t>
            </w:r>
          </w:p>
        </w:tc>
        <w:tc>
          <w:tcPr>
            <w:tcW w:w="1000" w:type="dxa"/>
            <w:vAlign w:val="bottom"/>
            <w:tcBorders>
              <w:bottom w:val="single" w:sz="8" w:color="CFF2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2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2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1,628</w:t>
            </w:r>
          </w:p>
        </w:tc>
        <w:tc>
          <w:tcPr>
            <w:tcW w:w="180" w:type="dxa"/>
            <w:vAlign w:val="bottom"/>
            <w:tcBorders>
              <w:bottom w:val="single" w:sz="8" w:color="CFF2FC"/>
            </w:tcBorders>
          </w:tcPr>
          <w:p>
            <w:pPr>
              <w:spacing w:after="0"/>
              <w:rPr>
                <w:sz w:val="17"/>
                <w:szCs w:val="17"/>
                <w:color w:val="auto"/>
              </w:rPr>
            </w:pPr>
          </w:p>
        </w:tc>
        <w:tc>
          <w:tcPr>
            <w:tcW w:w="60" w:type="dxa"/>
            <w:vAlign w:val="bottom"/>
            <w:tcBorders>
              <w:bottom w:val="single" w:sz="8" w:color="CFF2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1,628</w:t>
            </w:r>
          </w:p>
        </w:tc>
        <w:tc>
          <w:tcPr>
            <w:tcW w:w="100" w:type="dxa"/>
            <w:vAlign w:val="bottom"/>
            <w:tcBorders>
              <w:bottom w:val="single" w:sz="8" w:color="CFF2FC"/>
            </w:tcBorders>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3460" w:type="dxa"/>
            <w:vAlign w:val="bottom"/>
            <w:tcBorders>
              <w:bottom w:val="single" w:sz="8" w:color="CFF2FC"/>
            </w:tcBorders>
            <w:shd w:val="clear" w:color="auto" w:fill="CFF2FC"/>
          </w:tcPr>
          <w:p>
            <w:pPr>
              <w:spacing w:after="0"/>
              <w:rPr>
                <w:sz w:val="16"/>
                <w:szCs w:val="16"/>
                <w:color w:val="auto"/>
              </w:rPr>
            </w:pPr>
          </w:p>
        </w:tc>
        <w:tc>
          <w:tcPr>
            <w:tcW w:w="1000" w:type="dxa"/>
            <w:vAlign w:val="bottom"/>
            <w:tcBorders>
              <w:bottom w:val="single" w:sz="8" w:color="CFF2FC"/>
            </w:tcBorders>
            <w:shd w:val="clear" w:color="auto" w:fill="CFF2FC"/>
          </w:tcPr>
          <w:p>
            <w:pPr>
              <w:spacing w:after="0"/>
              <w:rPr>
                <w:sz w:val="16"/>
                <w:szCs w:val="16"/>
                <w:color w:val="auto"/>
              </w:rPr>
            </w:pPr>
          </w:p>
        </w:tc>
        <w:tc>
          <w:tcPr>
            <w:tcW w:w="240" w:type="dxa"/>
            <w:vAlign w:val="bottom"/>
            <w:tcBorders>
              <w:bottom w:val="single" w:sz="8" w:color="auto"/>
            </w:tcBorders>
            <w:shd w:val="clear" w:color="auto" w:fill="CFF2FC"/>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2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2FC"/>
            </w:tcBorders>
            <w:shd w:val="clear" w:color="auto" w:fill="CFF2FC"/>
          </w:tcPr>
          <w:p>
            <w:pPr>
              <w:spacing w:after="0"/>
              <w:rPr>
                <w:sz w:val="16"/>
                <w:szCs w:val="16"/>
                <w:color w:val="auto"/>
              </w:rPr>
            </w:pPr>
          </w:p>
        </w:tc>
        <w:tc>
          <w:tcPr>
            <w:tcW w:w="240" w:type="dxa"/>
            <w:vAlign w:val="bottom"/>
            <w:tcBorders>
              <w:bottom w:val="single" w:sz="8" w:color="auto"/>
            </w:tcBorders>
            <w:shd w:val="clear" w:color="auto" w:fill="CFF2FC"/>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2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2FC"/>
            </w:tcBorders>
            <w:shd w:val="clear" w:color="auto" w:fill="CFF2FC"/>
          </w:tcPr>
          <w:p>
            <w:pPr>
              <w:spacing w:after="0"/>
              <w:rPr>
                <w:sz w:val="16"/>
                <w:szCs w:val="16"/>
                <w:color w:val="auto"/>
              </w:rPr>
            </w:pPr>
          </w:p>
        </w:tc>
        <w:tc>
          <w:tcPr>
            <w:tcW w:w="340" w:type="dxa"/>
            <w:vAlign w:val="bottom"/>
            <w:tcBorders>
              <w:bottom w:val="single" w:sz="8" w:color="auto"/>
            </w:tcBorders>
            <w:shd w:val="clear" w:color="auto" w:fill="CFF2FC"/>
          </w:tcPr>
          <w:p>
            <w:pPr>
              <w:jc w:val="right"/>
              <w:ind w:right="22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FF2FC"/>
          </w:tcPr>
          <w:p>
            <w:pPr>
              <w:jc w:val="right"/>
              <w:spacing w:after="0"/>
              <w:rPr>
                <w:sz w:val="20"/>
                <w:szCs w:val="20"/>
                <w:color w:val="auto"/>
              </w:rPr>
            </w:pPr>
            <w:r>
              <w:rPr>
                <w:rFonts w:ascii="Arial" w:cs="Arial" w:eastAsia="Arial" w:hAnsi="Arial"/>
                <w:sz w:val="16"/>
                <w:szCs w:val="16"/>
                <w:color w:val="auto"/>
              </w:rPr>
              <w:t>1,628</w:t>
            </w:r>
          </w:p>
        </w:tc>
        <w:tc>
          <w:tcPr>
            <w:tcW w:w="180" w:type="dxa"/>
            <w:vAlign w:val="bottom"/>
            <w:tcBorders>
              <w:bottom w:val="single" w:sz="8" w:color="CFF2FC"/>
            </w:tcBorders>
            <w:shd w:val="clear" w:color="auto" w:fill="CFF2FC"/>
          </w:tcPr>
          <w:p>
            <w:pPr>
              <w:spacing w:after="0"/>
              <w:rPr>
                <w:sz w:val="16"/>
                <w:szCs w:val="16"/>
                <w:color w:val="auto"/>
              </w:rPr>
            </w:pPr>
          </w:p>
        </w:tc>
        <w:tc>
          <w:tcPr>
            <w:tcW w:w="60" w:type="dxa"/>
            <w:vAlign w:val="bottom"/>
            <w:tcBorders>
              <w:bottom w:val="single" w:sz="8" w:color="CFF2FC"/>
            </w:tcBorders>
            <w:shd w:val="clear" w:color="auto" w:fill="CFF2FC"/>
          </w:tcPr>
          <w:p>
            <w:pPr>
              <w:spacing w:after="0"/>
              <w:rPr>
                <w:sz w:val="16"/>
                <w:szCs w:val="16"/>
                <w:color w:val="auto"/>
              </w:rPr>
            </w:pPr>
          </w:p>
        </w:tc>
        <w:tc>
          <w:tcPr>
            <w:tcW w:w="280" w:type="dxa"/>
            <w:vAlign w:val="bottom"/>
            <w:tcBorders>
              <w:bottom w:val="single" w:sz="8" w:color="auto"/>
            </w:tcBorders>
            <w:shd w:val="clear" w:color="auto" w:fill="CFF2FC"/>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2FC"/>
          </w:tcPr>
          <w:p>
            <w:pPr>
              <w:jc w:val="right"/>
              <w:spacing w:after="0"/>
              <w:rPr>
                <w:sz w:val="20"/>
                <w:szCs w:val="20"/>
                <w:color w:val="auto"/>
              </w:rPr>
            </w:pPr>
            <w:r>
              <w:rPr>
                <w:rFonts w:ascii="Arial" w:cs="Arial" w:eastAsia="Arial" w:hAnsi="Arial"/>
                <w:sz w:val="16"/>
                <w:szCs w:val="16"/>
                <w:color w:val="auto"/>
              </w:rPr>
              <w:t>1,628</w:t>
            </w:r>
          </w:p>
        </w:tc>
        <w:tc>
          <w:tcPr>
            <w:tcW w:w="100" w:type="dxa"/>
            <w:vAlign w:val="bottom"/>
            <w:tcBorders>
              <w:bottom w:val="single" w:sz="8" w:color="CFF2FC"/>
            </w:tcBorders>
            <w:shd w:val="clear" w:color="auto" w:fill="CFF2FC"/>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66" w:lineRule="exact"/>
        <w:rPr>
          <w:sz w:val="20"/>
          <w:szCs w:val="20"/>
          <w:color w:val="auto"/>
        </w:rPr>
      </w:pPr>
    </w:p>
    <w:p>
      <w:pPr>
        <w:spacing w:after="0"/>
        <w:rPr>
          <w:sz w:val="20"/>
          <w:szCs w:val="20"/>
          <w:color w:val="auto"/>
        </w:rPr>
      </w:pPr>
      <w:r>
        <w:rPr>
          <w:rFonts w:ascii="Arial" w:cs="Arial" w:eastAsia="Arial" w:hAnsi="Arial"/>
          <w:sz w:val="16"/>
          <w:szCs w:val="16"/>
          <w:color w:val="auto"/>
        </w:rPr>
        <w:t>During the six months ended March 31, 2019 and 2018, there were no transfers between Level 1, Level 2 and Level 3.</w:t>
      </w:r>
    </w:p>
    <w:p>
      <w:pPr>
        <w:spacing w:after="0" w:line="195" w:lineRule="exact"/>
        <w:rPr>
          <w:sz w:val="20"/>
          <w:szCs w:val="20"/>
          <w:color w:val="auto"/>
        </w:rPr>
      </w:pPr>
    </w:p>
    <w:p>
      <w:pPr>
        <w:ind w:right="80"/>
        <w:spacing w:after="0" w:line="276" w:lineRule="auto"/>
        <w:rPr>
          <w:sz w:val="20"/>
          <w:szCs w:val="20"/>
          <w:color w:val="auto"/>
        </w:rPr>
      </w:pPr>
      <w:r>
        <w:rPr>
          <w:rFonts w:ascii="Arial" w:cs="Arial" w:eastAsia="Arial" w:hAnsi="Arial"/>
          <w:sz w:val="15"/>
          <w:szCs w:val="15"/>
          <w:color w:val="auto"/>
        </w:rPr>
        <w:t>The outstanding shares of Series 1 nonconvertible preferred stock are measured at fair value. The fair value of these instruments was based on significant inputs not observable in the market, which represented a Level 3 measurement within the fair value hierarchy. The Company utilized a probability-weighted valuation model which takes into consideration various outcomes that may require the Company to transfer assets upon exercise. Changes in the fair value of the warrant liability (for the period the warrants were outstanding) and Series 1 nonconvertible preferred stock are recognized in other income (expense), net in the consolidated statements of operations.</w:t>
      </w:r>
    </w:p>
    <w:p>
      <w:pPr>
        <w:spacing w:after="0" w:line="153" w:lineRule="exact"/>
        <w:rPr>
          <w:sz w:val="20"/>
          <w:szCs w:val="20"/>
          <w:color w:val="auto"/>
        </w:rPr>
      </w:pPr>
    </w:p>
    <w:p>
      <w:pPr>
        <w:ind w:right="200"/>
        <w:spacing w:after="0" w:line="268" w:lineRule="auto"/>
        <w:rPr>
          <w:sz w:val="20"/>
          <w:szCs w:val="20"/>
          <w:color w:val="auto"/>
        </w:rPr>
      </w:pPr>
      <w:r>
        <w:rPr>
          <w:rFonts w:ascii="Arial" w:cs="Arial" w:eastAsia="Arial" w:hAnsi="Arial"/>
          <w:sz w:val="16"/>
          <w:szCs w:val="16"/>
          <w:color w:val="auto"/>
        </w:rPr>
        <w:t>The recurring Level 3 fair value measurements of the Company’s outstanding Series 1 nonconvertible preferred stock using probability-weighted discounted cash flow include the following significant unobservable inputs:</w:t>
      </w:r>
    </w:p>
    <w:p>
      <w:pPr>
        <w:spacing w:after="0" w:line="43" w:lineRule="exact"/>
        <w:rPr>
          <w:sz w:val="20"/>
          <w:szCs w:val="20"/>
          <w:color w:val="auto"/>
        </w:rPr>
      </w:pPr>
    </w:p>
    <w:tbl>
      <w:tblPr>
        <w:tblLayout w:type="fixed"/>
        <w:tblInd w:w="1140" w:type="dxa"/>
        <w:tblCellMar>
          <w:top w:w="0" w:type="dxa"/>
          <w:left w:w="0" w:type="dxa"/>
          <w:bottom w:w="0" w:type="dxa"/>
          <w:right w:w="0" w:type="dxa"/>
        </w:tblCellMar>
      </w:tblPr>
      <w:tr>
        <w:trPr>
          <w:trHeight w:val="150"/>
        </w:trPr>
        <w:tc>
          <w:tcPr>
            <w:tcW w:w="4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282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Range (Weighted Average)</w:t>
            </w:r>
          </w:p>
        </w:tc>
      </w:tr>
      <w:tr>
        <w:trPr>
          <w:trHeight w:val="219"/>
        </w:trPr>
        <w:tc>
          <w:tcPr>
            <w:tcW w:w="4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ind w:left="780"/>
              <w:spacing w:after="0"/>
              <w:rPr>
                <w:sz w:val="20"/>
                <w:szCs w:val="20"/>
                <w:color w:val="auto"/>
              </w:rPr>
            </w:pPr>
            <w:r>
              <w:rPr>
                <w:rFonts w:ascii="Arial" w:cs="Arial" w:eastAsia="Arial" w:hAnsi="Arial"/>
                <w:sz w:val="13"/>
                <w:szCs w:val="13"/>
                <w:b w:val="1"/>
                <w:bCs w:val="1"/>
                <w:color w:val="auto"/>
                <w:w w:val="89"/>
              </w:rPr>
              <w:t>March 31,</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ind w:left="520"/>
              <w:spacing w:after="0"/>
              <w:rPr>
                <w:sz w:val="20"/>
                <w:szCs w:val="20"/>
                <w:color w:val="auto"/>
              </w:rPr>
            </w:pPr>
            <w:r>
              <w:rPr>
                <w:rFonts w:ascii="Arial" w:cs="Arial" w:eastAsia="Arial" w:hAnsi="Arial"/>
                <w:sz w:val="13"/>
                <w:szCs w:val="13"/>
                <w:b w:val="1"/>
                <w:bCs w:val="1"/>
                <w:color w:val="auto"/>
              </w:rPr>
              <w:t>September 30,</w:t>
            </w:r>
          </w:p>
        </w:tc>
      </w:tr>
      <w:tr>
        <w:trPr>
          <w:trHeight w:val="175"/>
        </w:trPr>
        <w:tc>
          <w:tcPr>
            <w:tcW w:w="4980" w:type="dxa"/>
            <w:vAlign w:val="bottom"/>
            <w:gridSpan w:val="2"/>
          </w:tcPr>
          <w:p>
            <w:pPr>
              <w:ind w:left="1840"/>
              <w:spacing w:after="0"/>
              <w:rPr>
                <w:sz w:val="20"/>
                <w:szCs w:val="20"/>
                <w:color w:val="auto"/>
              </w:rPr>
            </w:pPr>
            <w:r>
              <w:rPr>
                <w:rFonts w:ascii="Arial" w:cs="Arial" w:eastAsia="Arial" w:hAnsi="Arial"/>
                <w:sz w:val="13"/>
                <w:szCs w:val="13"/>
                <w:b w:val="1"/>
                <w:bCs w:val="1"/>
                <w:color w:val="auto"/>
              </w:rPr>
              <w:t>Unobservable Input</w:t>
            </w:r>
          </w:p>
        </w:tc>
        <w:tc>
          <w:tcPr>
            <w:tcW w:w="1340" w:type="dxa"/>
            <w:vAlign w:val="bottom"/>
          </w:tcPr>
          <w:p>
            <w:pPr>
              <w:jc w:val="center"/>
              <w:ind w:left="709"/>
              <w:spacing w:after="0"/>
              <w:rPr>
                <w:sz w:val="20"/>
                <w:szCs w:val="20"/>
                <w:color w:val="auto"/>
              </w:rPr>
            </w:pPr>
            <w:r>
              <w:rPr>
                <w:rFonts w:ascii="Arial" w:cs="Arial" w:eastAsia="Arial" w:hAnsi="Arial"/>
                <w:sz w:val="13"/>
                <w:szCs w:val="13"/>
                <w:b w:val="1"/>
                <w:bCs w:val="1"/>
                <w:color w:val="auto"/>
                <w:w w:val="82"/>
              </w:rPr>
              <w:t>2019</w:t>
            </w:r>
          </w:p>
        </w:tc>
        <w:tc>
          <w:tcPr>
            <w:tcW w:w="2820" w:type="dxa"/>
            <w:vAlign w:val="bottom"/>
            <w:gridSpan w:val="3"/>
          </w:tcPr>
          <w:p>
            <w:pPr>
              <w:jc w:val="center"/>
              <w:ind w:left="952"/>
              <w:spacing w:after="0"/>
              <w:rPr>
                <w:sz w:val="20"/>
                <w:szCs w:val="20"/>
                <w:color w:val="auto"/>
              </w:rPr>
            </w:pPr>
            <w:r>
              <w:rPr>
                <w:rFonts w:ascii="Arial" w:cs="Arial" w:eastAsia="Arial" w:hAnsi="Arial"/>
                <w:sz w:val="13"/>
                <w:szCs w:val="13"/>
                <w:b w:val="1"/>
                <w:bCs w:val="1"/>
                <w:color w:val="auto"/>
                <w:w w:val="82"/>
              </w:rPr>
              <w:t>2018</w:t>
            </w:r>
          </w:p>
        </w:tc>
      </w:tr>
      <w:tr>
        <w:trPr>
          <w:trHeight w:val="193"/>
        </w:trPr>
        <w:tc>
          <w:tcPr>
            <w:tcW w:w="4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Probabilities of payout</w:t>
            </w:r>
          </w:p>
        </w:tc>
        <w:tc>
          <w:tcPr>
            <w:tcW w:w="240" w:type="dxa"/>
            <w:vAlign w:val="bottom"/>
            <w:tcBorders>
              <w:top w:val="single" w:sz="8" w:color="CFF0FC"/>
            </w:tcBorders>
            <w:shd w:val="clear" w:color="auto" w:fill="CFF0FC"/>
          </w:tcPr>
          <w:p>
            <w:pPr>
              <w:spacing w:after="0"/>
              <w:rPr>
                <w:sz w:val="16"/>
                <w:szCs w:val="16"/>
                <w:color w:val="auto"/>
              </w:rPr>
            </w:pPr>
          </w:p>
        </w:tc>
        <w:tc>
          <w:tcPr>
            <w:tcW w:w="1340" w:type="dxa"/>
            <w:vAlign w:val="bottom"/>
            <w:tcBorders>
              <w:top w:val="single" w:sz="8" w:color="auto"/>
            </w:tcBorders>
            <w:shd w:val="clear" w:color="auto" w:fill="CFF0FC"/>
          </w:tcPr>
          <w:p>
            <w:pPr>
              <w:jc w:val="center"/>
              <w:ind w:left="709"/>
              <w:spacing w:after="0"/>
              <w:rPr>
                <w:sz w:val="20"/>
                <w:szCs w:val="20"/>
                <w:color w:val="auto"/>
              </w:rPr>
            </w:pPr>
            <w:r>
              <w:rPr>
                <w:rFonts w:ascii="Arial" w:cs="Arial" w:eastAsia="Arial" w:hAnsi="Arial"/>
                <w:sz w:val="16"/>
                <w:szCs w:val="16"/>
                <w:color w:val="auto"/>
                <w:w w:val="92"/>
              </w:rPr>
              <w:t>0%-70%</w:t>
            </w:r>
          </w:p>
        </w:tc>
        <w:tc>
          <w:tcPr>
            <w:tcW w:w="80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18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6"/>
                <w:szCs w:val="16"/>
                <w:color w:val="auto"/>
                <w:w w:val="92"/>
              </w:rPr>
              <w:t>0%-70%</w:t>
            </w:r>
          </w:p>
        </w:tc>
      </w:tr>
      <w:tr>
        <w:trPr>
          <w:trHeight w:val="200"/>
        </w:trPr>
        <w:tc>
          <w:tcPr>
            <w:tcW w:w="4980" w:type="dxa"/>
            <w:vAlign w:val="bottom"/>
            <w:gridSpan w:val="2"/>
          </w:tcPr>
          <w:p>
            <w:pPr>
              <w:spacing w:after="0"/>
              <w:rPr>
                <w:sz w:val="20"/>
                <w:szCs w:val="20"/>
                <w:color w:val="auto"/>
              </w:rPr>
            </w:pPr>
            <w:r>
              <w:rPr>
                <w:rFonts w:ascii="Arial" w:cs="Arial" w:eastAsia="Arial" w:hAnsi="Arial"/>
                <w:sz w:val="16"/>
                <w:szCs w:val="16"/>
                <w:color w:val="auto"/>
              </w:rPr>
              <w:t>Discount rate</w:t>
            </w:r>
          </w:p>
        </w:tc>
        <w:tc>
          <w:tcPr>
            <w:tcW w:w="1340" w:type="dxa"/>
            <w:vAlign w:val="bottom"/>
          </w:tcPr>
          <w:p>
            <w:pPr>
              <w:jc w:val="center"/>
              <w:ind w:left="709"/>
              <w:spacing w:after="0"/>
              <w:rPr>
                <w:sz w:val="20"/>
                <w:szCs w:val="20"/>
                <w:color w:val="auto"/>
              </w:rPr>
            </w:pPr>
            <w:r>
              <w:rPr>
                <w:rFonts w:ascii="Arial" w:cs="Arial" w:eastAsia="Arial" w:hAnsi="Arial"/>
                <w:sz w:val="16"/>
                <w:szCs w:val="16"/>
                <w:color w:val="auto"/>
                <w:w w:val="88"/>
              </w:rPr>
              <w:t>6.25%</w:t>
            </w:r>
          </w:p>
        </w:tc>
        <w:tc>
          <w:tcPr>
            <w:tcW w:w="2820" w:type="dxa"/>
            <w:vAlign w:val="bottom"/>
            <w:gridSpan w:val="3"/>
          </w:tcPr>
          <w:p>
            <w:pPr>
              <w:jc w:val="center"/>
              <w:ind w:left="952"/>
              <w:spacing w:after="0"/>
              <w:rPr>
                <w:sz w:val="20"/>
                <w:szCs w:val="20"/>
                <w:color w:val="auto"/>
              </w:rPr>
            </w:pPr>
            <w:r>
              <w:rPr>
                <w:rFonts w:ascii="Arial" w:cs="Arial" w:eastAsia="Arial" w:hAnsi="Arial"/>
                <w:sz w:val="16"/>
                <w:szCs w:val="16"/>
                <w:color w:val="auto"/>
                <w:w w:val="88"/>
              </w:rPr>
              <w:t>6.25%</w:t>
            </w:r>
          </w:p>
        </w:tc>
      </w:tr>
    </w:tbl>
    <w:p>
      <w:pPr>
        <w:spacing w:after="0" w:line="367"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provides a rollforward of the aggregate fair values of the Company’s outstanding Series 1 nonconvertible preferred stock for which fair value is determined by</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Level 3 inputs: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60" w:type="dxa"/>
            <w:vAlign w:val="bottom"/>
            <w:gridSpan w:val="2"/>
          </w:tcPr>
          <w:p>
            <w:pPr>
              <w:jc w:val="center"/>
              <w:ind w:right="540"/>
              <w:spacing w:after="0"/>
              <w:rPr>
                <w:sz w:val="20"/>
                <w:szCs w:val="20"/>
                <w:color w:val="auto"/>
              </w:rPr>
            </w:pPr>
            <w:r>
              <w:rPr>
                <w:rFonts w:ascii="Arial" w:cs="Arial" w:eastAsia="Arial" w:hAnsi="Arial"/>
                <w:sz w:val="13"/>
                <w:szCs w:val="13"/>
                <w:b w:val="1"/>
                <w:bCs w:val="1"/>
                <w:color w:val="auto"/>
                <w:w w:val="84"/>
              </w:rPr>
              <w:t>Series 1</w:t>
            </w: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72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760" w:type="dxa"/>
            <w:vAlign w:val="bottom"/>
            <w:gridSpan w:val="2"/>
          </w:tcPr>
          <w:p>
            <w:pPr>
              <w:jc w:val="center"/>
              <w:ind w:right="540"/>
              <w:spacing w:after="0" w:line="130" w:lineRule="exact"/>
              <w:rPr>
                <w:sz w:val="20"/>
                <w:szCs w:val="20"/>
                <w:color w:val="auto"/>
              </w:rPr>
            </w:pPr>
            <w:r>
              <w:rPr>
                <w:rFonts w:ascii="Arial" w:cs="Arial" w:eastAsia="Arial" w:hAnsi="Arial"/>
                <w:sz w:val="13"/>
                <w:szCs w:val="13"/>
                <w:b w:val="1"/>
                <w:bCs w:val="1"/>
                <w:color w:val="auto"/>
                <w:w w:val="86"/>
              </w:rPr>
              <w:t>Nonconvertible</w:t>
            </w:r>
          </w:p>
        </w:tc>
        <w:tc>
          <w:tcPr>
            <w:tcW w:w="1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72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760" w:type="dxa"/>
            <w:vAlign w:val="bottom"/>
            <w:gridSpan w:val="2"/>
          </w:tcPr>
          <w:p>
            <w:pPr>
              <w:jc w:val="center"/>
              <w:ind w:right="520"/>
              <w:spacing w:after="0" w:line="130" w:lineRule="exact"/>
              <w:rPr>
                <w:sz w:val="20"/>
                <w:szCs w:val="20"/>
                <w:color w:val="auto"/>
              </w:rPr>
            </w:pPr>
            <w:r>
              <w:rPr>
                <w:rFonts w:ascii="Arial" w:cs="Arial" w:eastAsia="Arial" w:hAnsi="Arial"/>
                <w:sz w:val="13"/>
                <w:szCs w:val="13"/>
                <w:b w:val="1"/>
                <w:bCs w:val="1"/>
                <w:color w:val="auto"/>
                <w:w w:val="89"/>
              </w:rPr>
              <w:t>Preferred</w:t>
            </w:r>
          </w:p>
        </w:tc>
        <w:tc>
          <w:tcPr>
            <w:tcW w:w="1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7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60" w:type="dxa"/>
            <w:vAlign w:val="bottom"/>
            <w:gridSpan w:val="2"/>
          </w:tcPr>
          <w:p>
            <w:pPr>
              <w:jc w:val="center"/>
              <w:ind w:right="540"/>
              <w:spacing w:after="0"/>
              <w:rPr>
                <w:sz w:val="20"/>
                <w:szCs w:val="20"/>
                <w:color w:val="auto"/>
              </w:rPr>
            </w:pPr>
            <w:r>
              <w:rPr>
                <w:rFonts w:ascii="Arial" w:cs="Arial" w:eastAsia="Arial" w:hAnsi="Arial"/>
                <w:sz w:val="13"/>
                <w:szCs w:val="13"/>
                <w:b w:val="1"/>
                <w:bCs w:val="1"/>
                <w:color w:val="auto"/>
                <w:w w:val="84"/>
              </w:rPr>
              <w:t>Stock</w:t>
            </w: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1720" w:type="dxa"/>
            <w:vAlign w:val="bottom"/>
          </w:tcPr>
          <w:p>
            <w:pPr>
              <w:spacing w:after="0"/>
              <w:rPr>
                <w:sz w:val="16"/>
                <w:szCs w:val="16"/>
                <w:color w:val="auto"/>
              </w:rPr>
            </w:pPr>
          </w:p>
        </w:tc>
        <w:tc>
          <w:tcPr>
            <w:tcW w:w="3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 September 30, 2018</w:t>
            </w:r>
          </w:p>
        </w:tc>
        <w:tc>
          <w:tcPr>
            <w:tcW w:w="2200" w:type="dxa"/>
            <w:vAlign w:val="bottom"/>
            <w:tcBorders>
              <w:top w:val="single" w:sz="8" w:color="CFF0FC"/>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1,628</w:t>
            </w:r>
          </w:p>
        </w:tc>
        <w:tc>
          <w:tcPr>
            <w:tcW w:w="260" w:type="dxa"/>
            <w:vAlign w:val="bottom"/>
            <w:tcBorders>
              <w:top w:val="single" w:sz="8" w:color="CFF0FC"/>
            </w:tcBorders>
            <w:shd w:val="clear" w:color="auto" w:fill="CFF0FC"/>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720" w:type="dxa"/>
            <w:vAlign w:val="bottom"/>
          </w:tcPr>
          <w:p>
            <w:pPr>
              <w:spacing w:after="0"/>
              <w:rPr>
                <w:sz w:val="17"/>
                <w:szCs w:val="17"/>
                <w:color w:val="auto"/>
              </w:rPr>
            </w:pPr>
          </w:p>
        </w:tc>
        <w:tc>
          <w:tcPr>
            <w:tcW w:w="3780" w:type="dxa"/>
            <w:vAlign w:val="bottom"/>
          </w:tcPr>
          <w:p>
            <w:pPr>
              <w:ind w:left="220"/>
              <w:spacing w:after="0"/>
              <w:rPr>
                <w:sz w:val="20"/>
                <w:szCs w:val="20"/>
                <w:color w:val="auto"/>
              </w:rPr>
            </w:pPr>
            <w:r>
              <w:rPr>
                <w:rFonts w:ascii="Arial" w:cs="Arial" w:eastAsia="Arial" w:hAnsi="Arial"/>
                <w:sz w:val="16"/>
                <w:szCs w:val="16"/>
                <w:color w:val="auto"/>
                <w:w w:val="93"/>
              </w:rPr>
              <w:t>Change in fair value of nonconvertible preferred stock</w:t>
            </w:r>
          </w:p>
        </w:tc>
        <w:tc>
          <w:tcPr>
            <w:tcW w:w="2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720" w:type="dxa"/>
            <w:vAlign w:val="bottom"/>
          </w:tcPr>
          <w:p>
            <w:pPr>
              <w:spacing w:after="0"/>
              <w:rPr>
                <w:sz w:val="16"/>
                <w:szCs w:val="16"/>
                <w:color w:val="auto"/>
              </w:rPr>
            </w:pPr>
          </w:p>
        </w:tc>
        <w:tc>
          <w:tcPr>
            <w:tcW w:w="3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 March 31, 2019</w:t>
            </w:r>
          </w:p>
        </w:tc>
        <w:tc>
          <w:tcPr>
            <w:tcW w:w="2200" w:type="dxa"/>
            <w:vAlign w:val="bottom"/>
            <w:tcBorders>
              <w:top w:val="single" w:sz="8" w:color="CFF0FC"/>
              <w:bottom w:val="single" w:sz="8" w:color="CFF0FC"/>
            </w:tcBorders>
            <w:shd w:val="clear" w:color="auto" w:fill="CFF0FC"/>
          </w:tcPr>
          <w:p>
            <w:pPr>
              <w:spacing w:after="0"/>
              <w:rPr>
                <w:sz w:val="16"/>
                <w:szCs w:val="16"/>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1,628</w:t>
            </w:r>
          </w:p>
        </w:tc>
        <w:tc>
          <w:tcPr>
            <w:tcW w:w="260" w:type="dxa"/>
            <w:vAlign w:val="bottom"/>
            <w:tcBorders>
              <w:top w:val="single" w:sz="8" w:color="CFF0FC"/>
              <w:bottom w:val="single" w:sz="8" w:color="CFF0FC"/>
            </w:tcBorders>
            <w:shd w:val="clear" w:color="auto" w:fill="CFF0FC"/>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200" w:type="dxa"/>
            <w:vAlign w:val="bottom"/>
            <w:vMerge w:val="restart"/>
          </w:tcPr>
          <w:p>
            <w:pPr>
              <w:jc w:val="right"/>
              <w:ind w:right="1841"/>
              <w:spacing w:after="0"/>
              <w:rPr>
                <w:sz w:val="20"/>
                <w:szCs w:val="20"/>
                <w:color w:val="auto"/>
              </w:rPr>
            </w:pPr>
            <w:r>
              <w:rPr>
                <w:rFonts w:ascii="Arial" w:cs="Arial" w:eastAsia="Arial" w:hAnsi="Arial"/>
                <w:sz w:val="16"/>
                <w:szCs w:val="16"/>
                <w:color w:val="auto"/>
              </w:rPr>
              <w:t>11</w:t>
            </w: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2"/>
        </w:trPr>
        <w:tc>
          <w:tcPr>
            <w:tcW w:w="17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2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1720" w:type="dxa"/>
            <w:vAlign w:val="bottom"/>
            <w:tcBorders>
              <w:bottom w:val="single" w:sz="8" w:color="9A9A9A"/>
            </w:tcBorders>
          </w:tcPr>
          <w:p>
            <w:pPr>
              <w:spacing w:after="0"/>
              <w:rPr>
                <w:sz w:val="8"/>
                <w:szCs w:val="8"/>
                <w:color w:val="auto"/>
              </w:rPr>
            </w:pPr>
          </w:p>
        </w:tc>
        <w:tc>
          <w:tcPr>
            <w:tcW w:w="3780" w:type="dxa"/>
            <w:vAlign w:val="bottom"/>
            <w:tcBorders>
              <w:bottom w:val="single" w:sz="8" w:color="9A9A9A"/>
            </w:tcBorders>
          </w:tcPr>
          <w:p>
            <w:pPr>
              <w:spacing w:after="0"/>
              <w:rPr>
                <w:sz w:val="8"/>
                <w:szCs w:val="8"/>
                <w:color w:val="auto"/>
              </w:rPr>
            </w:pPr>
          </w:p>
        </w:tc>
        <w:tc>
          <w:tcPr>
            <w:tcW w:w="22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7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7254875</wp:posOffset>
            </wp:positionH>
            <wp:positionV relativeFrom="paragraph">
              <wp:posOffset>-27305</wp:posOffset>
            </wp:positionV>
            <wp:extent cx="33020"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0"/>
          </w:cols>
          <w:pgMar w:left="240" w:top="510" w:right="199" w:bottom="1440" w:gutter="0" w:footer="0" w:header="0"/>
        </w:sectPr>
      </w:pPr>
    </w:p>
    <w:bookmarkStart w:id="11" w:name="page12"/>
    <w:bookmarkEnd w:id="11"/>
    <w:p>
      <w:pPr>
        <w:ind w:left="505" w:hanging="505"/>
        <w:spacing w:after="0"/>
        <w:tabs>
          <w:tab w:leader="none" w:pos="505"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Marketable Securities</w:t>
      </w:r>
    </w:p>
    <w:p>
      <w:pPr>
        <w:spacing w:after="0" w:line="199" w:lineRule="exact"/>
        <w:rPr>
          <w:sz w:val="20"/>
          <w:szCs w:val="20"/>
          <w:color w:val="auto"/>
        </w:rPr>
      </w:pPr>
    </w:p>
    <w:p>
      <w:pPr>
        <w:ind w:left="5"/>
        <w:spacing w:after="0"/>
        <w:rPr>
          <w:sz w:val="20"/>
          <w:szCs w:val="20"/>
          <w:color w:val="auto"/>
        </w:rPr>
      </w:pPr>
      <w:r>
        <w:rPr>
          <w:rFonts w:ascii="Arial" w:cs="Arial" w:eastAsia="Arial" w:hAnsi="Arial"/>
          <w:sz w:val="16"/>
          <w:szCs w:val="16"/>
          <w:color w:val="auto"/>
        </w:rPr>
        <w:t>As of March 31, 2019 and September 30, 2018, the fair value of available-for-sale marketable securities, by type of security, was as follows:</w:t>
      </w:r>
    </w:p>
    <w:p>
      <w:pPr>
        <w:spacing w:after="0" w:line="199" w:lineRule="exact"/>
        <w:rPr>
          <w:sz w:val="20"/>
          <w:szCs w:val="20"/>
          <w:color w:val="auto"/>
        </w:rPr>
      </w:pPr>
    </w:p>
    <w:tbl>
      <w:tblPr>
        <w:tblLayout w:type="fixed"/>
        <w:tblInd w:w="565"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5"/>
          </w:tcPr>
          <w:p>
            <w:pPr>
              <w:jc w:val="center"/>
              <w:ind w:left="235"/>
              <w:spacing w:after="0"/>
              <w:rPr>
                <w:sz w:val="20"/>
                <w:szCs w:val="20"/>
                <w:color w:val="auto"/>
              </w:rPr>
            </w:pPr>
            <w:r>
              <w:rPr>
                <w:rFonts w:ascii="Arial" w:cs="Arial" w:eastAsia="Arial" w:hAnsi="Arial"/>
                <w:sz w:val="13"/>
                <w:szCs w:val="13"/>
                <w:b w:val="1"/>
                <w:bCs w:val="1"/>
                <w:color w:val="auto"/>
                <w:w w:val="90"/>
              </w:rPr>
              <w:t>March 31, 2019</w:t>
            </w: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30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vMerge w:val="restart"/>
          </w:tcPr>
          <w:p>
            <w:pPr>
              <w:jc w:val="center"/>
              <w:ind w:right="106"/>
              <w:spacing w:after="0"/>
              <w:rPr>
                <w:sz w:val="20"/>
                <w:szCs w:val="20"/>
                <w:color w:val="auto"/>
              </w:rPr>
            </w:pPr>
            <w:r>
              <w:rPr>
                <w:rFonts w:ascii="Arial" w:cs="Arial" w:eastAsia="Arial" w:hAnsi="Arial"/>
                <w:sz w:val="13"/>
                <w:szCs w:val="13"/>
                <w:b w:val="1"/>
                <w:bCs w:val="1"/>
                <w:color w:val="auto"/>
                <w:w w:val="91"/>
              </w:rPr>
              <w:t>Amortized</w:t>
            </w:r>
          </w:p>
        </w:tc>
        <w:tc>
          <w:tcPr>
            <w:tcW w:w="220" w:type="dxa"/>
            <w:vAlign w:val="bottom"/>
          </w:tcPr>
          <w:p>
            <w:pPr>
              <w:spacing w:after="0"/>
              <w:rPr>
                <w:sz w:val="9"/>
                <w:szCs w:val="9"/>
                <w:color w:val="auto"/>
              </w:rPr>
            </w:pPr>
          </w:p>
        </w:tc>
        <w:tc>
          <w:tcPr>
            <w:tcW w:w="840" w:type="dxa"/>
            <w:vAlign w:val="bottom"/>
          </w:tcPr>
          <w:p>
            <w:pPr>
              <w:jc w:val="center"/>
              <w:ind w:left="115"/>
              <w:spacing w:after="0" w:line="114" w:lineRule="exact"/>
              <w:rPr>
                <w:sz w:val="20"/>
                <w:szCs w:val="20"/>
                <w:color w:val="auto"/>
              </w:rPr>
            </w:pPr>
            <w:r>
              <w:rPr>
                <w:rFonts w:ascii="Arial" w:cs="Arial" w:eastAsia="Arial" w:hAnsi="Arial"/>
                <w:sz w:val="13"/>
                <w:szCs w:val="13"/>
                <w:b w:val="1"/>
                <w:bCs w:val="1"/>
                <w:color w:val="auto"/>
                <w:w w:val="79"/>
              </w:rPr>
              <w:t>Gross</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jc w:val="center"/>
              <w:ind w:left="241"/>
              <w:spacing w:after="0" w:line="114" w:lineRule="exact"/>
              <w:rPr>
                <w:sz w:val="20"/>
                <w:szCs w:val="20"/>
                <w:color w:val="auto"/>
              </w:rPr>
            </w:pPr>
            <w:r>
              <w:rPr>
                <w:rFonts w:ascii="Arial" w:cs="Arial" w:eastAsia="Arial" w:hAnsi="Arial"/>
                <w:sz w:val="13"/>
                <w:szCs w:val="13"/>
                <w:b w:val="1"/>
                <w:bCs w:val="1"/>
                <w:color w:val="auto"/>
                <w:w w:val="79"/>
              </w:rPr>
              <w:t>Gross</w:t>
            </w: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jc w:val="center"/>
              <w:ind w:left="115"/>
              <w:spacing w:after="0" w:line="130" w:lineRule="exact"/>
              <w:rPr>
                <w:sz w:val="20"/>
                <w:szCs w:val="20"/>
                <w:color w:val="auto"/>
              </w:rPr>
            </w:pPr>
            <w:r>
              <w:rPr>
                <w:rFonts w:ascii="Arial" w:cs="Arial" w:eastAsia="Arial" w:hAnsi="Arial"/>
                <w:sz w:val="13"/>
                <w:szCs w:val="13"/>
                <w:b w:val="1"/>
                <w:bCs w:val="1"/>
                <w:color w:val="auto"/>
                <w:w w:val="88"/>
              </w:rPr>
              <w:t>Unrealized</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3"/>
          </w:tcPr>
          <w:p>
            <w:pPr>
              <w:jc w:val="center"/>
              <w:ind w:right="120"/>
              <w:spacing w:after="0" w:line="130" w:lineRule="exact"/>
              <w:rPr>
                <w:sz w:val="20"/>
                <w:szCs w:val="20"/>
                <w:color w:val="auto"/>
              </w:rPr>
            </w:pPr>
            <w:r>
              <w:rPr>
                <w:rFonts w:ascii="Arial" w:cs="Arial" w:eastAsia="Arial" w:hAnsi="Arial"/>
                <w:sz w:val="13"/>
                <w:szCs w:val="13"/>
                <w:b w:val="1"/>
                <w:bCs w:val="1"/>
                <w:color w:val="auto"/>
                <w:w w:val="88"/>
              </w:rPr>
              <w:t>Unrealized</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center"/>
              <w:ind w:right="86"/>
              <w:spacing w:after="0"/>
              <w:rPr>
                <w:sz w:val="20"/>
                <w:szCs w:val="20"/>
                <w:color w:val="auto"/>
              </w:rPr>
            </w:pPr>
            <w:r>
              <w:rPr>
                <w:rFonts w:ascii="Arial" w:cs="Arial" w:eastAsia="Arial" w:hAnsi="Arial"/>
                <w:sz w:val="13"/>
                <w:szCs w:val="13"/>
                <w:b w:val="1"/>
                <w:bCs w:val="1"/>
                <w:color w:val="auto"/>
                <w:w w:val="82"/>
              </w:rPr>
              <w:t>Cost</w:t>
            </w:r>
          </w:p>
        </w:tc>
        <w:tc>
          <w:tcPr>
            <w:tcW w:w="220" w:type="dxa"/>
            <w:vAlign w:val="bottom"/>
          </w:tcPr>
          <w:p>
            <w:pPr>
              <w:spacing w:after="0"/>
              <w:rPr>
                <w:sz w:val="13"/>
                <w:szCs w:val="13"/>
                <w:color w:val="auto"/>
              </w:rPr>
            </w:pPr>
          </w:p>
        </w:tc>
        <w:tc>
          <w:tcPr>
            <w:tcW w:w="840" w:type="dxa"/>
            <w:vAlign w:val="bottom"/>
          </w:tcPr>
          <w:p>
            <w:pPr>
              <w:jc w:val="center"/>
              <w:ind w:left="95"/>
              <w:spacing w:after="0"/>
              <w:rPr>
                <w:sz w:val="20"/>
                <w:szCs w:val="20"/>
                <w:color w:val="auto"/>
              </w:rPr>
            </w:pPr>
            <w:r>
              <w:rPr>
                <w:rFonts w:ascii="Arial" w:cs="Arial" w:eastAsia="Arial" w:hAnsi="Arial"/>
                <w:sz w:val="13"/>
                <w:szCs w:val="13"/>
                <w:b w:val="1"/>
                <w:bCs w:val="1"/>
                <w:color w:val="auto"/>
                <w:w w:val="88"/>
              </w:rPr>
              <w:t>Gains</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center"/>
              <w:ind w:left="241"/>
              <w:spacing w:after="0"/>
              <w:rPr>
                <w:sz w:val="20"/>
                <w:szCs w:val="20"/>
                <w:color w:val="auto"/>
              </w:rPr>
            </w:pPr>
            <w:r>
              <w:rPr>
                <w:rFonts w:ascii="Arial" w:cs="Arial" w:eastAsia="Arial" w:hAnsi="Arial"/>
                <w:sz w:val="13"/>
                <w:szCs w:val="13"/>
                <w:b w:val="1"/>
                <w:bCs w:val="1"/>
                <w:color w:val="auto"/>
                <w:w w:val="75"/>
              </w:rPr>
              <w:t>Losses</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980" w:type="dxa"/>
            <w:vAlign w:val="bottom"/>
            <w:tcBorders>
              <w:top w:val="single" w:sz="8" w:color="auto"/>
            </w:tcBorders>
            <w:gridSpan w:val="5"/>
          </w:tcPr>
          <w:p>
            <w:pPr>
              <w:jc w:val="center"/>
              <w:ind w:left="235"/>
              <w:spacing w:after="0"/>
              <w:rPr>
                <w:sz w:val="20"/>
                <w:szCs w:val="20"/>
                <w:color w:val="auto"/>
              </w:rPr>
            </w:pPr>
            <w:r>
              <w:rPr>
                <w:rFonts w:ascii="Arial" w:cs="Arial" w:eastAsia="Arial" w:hAnsi="Arial"/>
                <w:sz w:val="13"/>
                <w:szCs w:val="13"/>
                <w:b w:val="1"/>
                <w:bCs w:val="1"/>
                <w:color w:val="auto"/>
                <w:w w:val="84"/>
              </w:rPr>
              <w:t>(in thousands)</w:t>
            </w:r>
          </w:p>
        </w:tc>
        <w:tc>
          <w:tcPr>
            <w:tcW w:w="3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300" w:type="dxa"/>
            <w:vAlign w:val="bottom"/>
            <w:shd w:val="clear" w:color="auto" w:fill="CFF0FC"/>
          </w:tcPr>
          <w:p>
            <w:pPr>
              <w:spacing w:after="0"/>
              <w:rPr>
                <w:sz w:val="20"/>
                <w:szCs w:val="20"/>
                <w:color w:val="auto"/>
              </w:rPr>
            </w:pPr>
            <w:r>
              <w:rPr>
                <w:rFonts w:ascii="Arial" w:cs="Arial" w:eastAsia="Arial" w:hAnsi="Arial"/>
                <w:sz w:val="16"/>
                <w:szCs w:val="16"/>
                <w:color w:val="auto"/>
              </w:rPr>
              <w:t>U.S. Treasury notes</w:t>
            </w:r>
          </w:p>
        </w:tc>
        <w:tc>
          <w:tcPr>
            <w:tcW w:w="2220" w:type="dxa"/>
            <w:vAlign w:val="bottom"/>
            <w:gridSpan w:val="2"/>
            <w:shd w:val="clear" w:color="auto" w:fill="CFF0FC"/>
          </w:tcPr>
          <w:p>
            <w:pPr>
              <w:jc w:val="right"/>
              <w:ind w:right="7"/>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106,648</w:t>
            </w:r>
          </w:p>
        </w:tc>
        <w:tc>
          <w:tcPr>
            <w:tcW w:w="1060" w:type="dxa"/>
            <w:vAlign w:val="bottom"/>
            <w:gridSpan w:val="2"/>
            <w:shd w:val="clear" w:color="auto" w:fill="CFF0FC"/>
          </w:tcPr>
          <w:p>
            <w:pPr>
              <w:jc w:val="right"/>
              <w:ind w:right="695"/>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29</w:t>
            </w:r>
          </w:p>
        </w:tc>
        <w:tc>
          <w:tcPr>
            <w:tcW w:w="940" w:type="dxa"/>
            <w:vAlign w:val="bottom"/>
            <w:gridSpan w:val="3"/>
            <w:shd w:val="clear" w:color="auto" w:fill="CFF0FC"/>
          </w:tcPr>
          <w:p>
            <w:pPr>
              <w:jc w:val="right"/>
              <w:ind w:right="601"/>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w:t>
            </w: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106,670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300" w:type="dxa"/>
            <w:vAlign w:val="bottom"/>
          </w:tcPr>
          <w:p>
            <w:pPr>
              <w:spacing w:after="0"/>
              <w:rPr>
                <w:sz w:val="20"/>
                <w:szCs w:val="20"/>
                <w:color w:val="auto"/>
              </w:rPr>
            </w:pPr>
            <w:r>
              <w:rPr>
                <w:rFonts w:ascii="Arial" w:cs="Arial" w:eastAsia="Arial" w:hAnsi="Arial"/>
                <w:sz w:val="16"/>
                <w:szCs w:val="16"/>
                <w:color w:val="auto"/>
              </w:rPr>
              <w:t>Commercial paper</w:t>
            </w:r>
          </w:p>
        </w:tc>
        <w:tc>
          <w:tcPr>
            <w:tcW w:w="2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100,829</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100,829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00" w:type="dxa"/>
            <w:vAlign w:val="bottom"/>
            <w:shd w:val="clear" w:color="auto" w:fill="CFF0FC"/>
          </w:tcPr>
          <w:p>
            <w:pPr>
              <w:spacing w:after="0"/>
              <w:rPr>
                <w:sz w:val="20"/>
                <w:szCs w:val="20"/>
                <w:color w:val="auto"/>
              </w:rPr>
            </w:pPr>
            <w:r>
              <w:rPr>
                <w:rFonts w:ascii="Arial" w:cs="Arial" w:eastAsia="Arial" w:hAnsi="Arial"/>
                <w:sz w:val="16"/>
                <w:szCs w:val="16"/>
                <w:color w:val="auto"/>
              </w:rPr>
              <w:t>Corporate bonds</w:t>
            </w:r>
          </w:p>
        </w:tc>
        <w:tc>
          <w:tcPr>
            <w:tcW w:w="20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73,225</w:t>
            </w: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49</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4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w w:val="96"/>
              </w:rPr>
              <w:t>(136)</w:t>
            </w: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73,138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280,702</w:t>
            </w:r>
          </w:p>
        </w:tc>
        <w:tc>
          <w:tcPr>
            <w:tcW w:w="220" w:type="dxa"/>
            <w:vAlign w:val="bottom"/>
          </w:tcPr>
          <w:p>
            <w:pPr>
              <w:spacing w:after="0"/>
              <w:rPr>
                <w:sz w:val="16"/>
                <w:szCs w:val="16"/>
                <w:color w:val="auto"/>
              </w:rPr>
            </w:pPr>
          </w:p>
        </w:tc>
        <w:tc>
          <w:tcPr>
            <w:tcW w:w="840" w:type="dxa"/>
            <w:vAlign w:val="bottom"/>
            <w:tcBorders>
              <w:top w:val="single" w:sz="8" w:color="auto"/>
              <w:bottom w:val="single" w:sz="8" w:color="auto"/>
            </w:tcBorders>
          </w:tcPr>
          <w:p>
            <w:pPr>
              <w:jc w:val="right"/>
              <w:ind w:right="695"/>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78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Borders>
              <w:top w:val="single" w:sz="8" w:color="auto"/>
              <w:bottom w:val="single" w:sz="8" w:color="auto"/>
            </w:tcBorders>
          </w:tcPr>
          <w:p>
            <w:pPr>
              <w:jc w:val="right"/>
              <w:ind w:right="601"/>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0"/>
              </w:rPr>
              <w:t>(143)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280,637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5"/>
          </w:tcPr>
          <w:p>
            <w:pPr>
              <w:jc w:val="center"/>
              <w:ind w:left="255"/>
              <w:spacing w:after="0"/>
              <w:rPr>
                <w:sz w:val="20"/>
                <w:szCs w:val="20"/>
                <w:color w:val="auto"/>
              </w:rPr>
            </w:pPr>
            <w:r>
              <w:rPr>
                <w:rFonts w:ascii="Arial" w:cs="Arial" w:eastAsia="Arial" w:hAnsi="Arial"/>
                <w:sz w:val="13"/>
                <w:szCs w:val="13"/>
                <w:b w:val="1"/>
                <w:bCs w:val="1"/>
                <w:color w:val="auto"/>
                <w:w w:val="87"/>
              </w:rPr>
              <w:t>September 30, 2018</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30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vMerge w:val="restart"/>
          </w:tcPr>
          <w:p>
            <w:pPr>
              <w:jc w:val="center"/>
              <w:ind w:right="106"/>
              <w:spacing w:after="0"/>
              <w:rPr>
                <w:sz w:val="20"/>
                <w:szCs w:val="20"/>
                <w:color w:val="auto"/>
              </w:rPr>
            </w:pPr>
            <w:r>
              <w:rPr>
                <w:rFonts w:ascii="Arial" w:cs="Arial" w:eastAsia="Arial" w:hAnsi="Arial"/>
                <w:sz w:val="13"/>
                <w:szCs w:val="13"/>
                <w:b w:val="1"/>
                <w:bCs w:val="1"/>
                <w:color w:val="auto"/>
                <w:w w:val="91"/>
              </w:rPr>
              <w:t>Amortized</w:t>
            </w:r>
          </w:p>
        </w:tc>
        <w:tc>
          <w:tcPr>
            <w:tcW w:w="220" w:type="dxa"/>
            <w:vAlign w:val="bottom"/>
          </w:tcPr>
          <w:p>
            <w:pPr>
              <w:spacing w:after="0"/>
              <w:rPr>
                <w:sz w:val="9"/>
                <w:szCs w:val="9"/>
                <w:color w:val="auto"/>
              </w:rPr>
            </w:pPr>
          </w:p>
        </w:tc>
        <w:tc>
          <w:tcPr>
            <w:tcW w:w="840" w:type="dxa"/>
            <w:vAlign w:val="bottom"/>
          </w:tcPr>
          <w:p>
            <w:pPr>
              <w:jc w:val="center"/>
              <w:ind w:left="115"/>
              <w:spacing w:after="0" w:line="114" w:lineRule="exact"/>
              <w:rPr>
                <w:sz w:val="20"/>
                <w:szCs w:val="20"/>
                <w:color w:val="auto"/>
              </w:rPr>
            </w:pPr>
            <w:r>
              <w:rPr>
                <w:rFonts w:ascii="Arial" w:cs="Arial" w:eastAsia="Arial" w:hAnsi="Arial"/>
                <w:sz w:val="13"/>
                <w:szCs w:val="13"/>
                <w:b w:val="1"/>
                <w:bCs w:val="1"/>
                <w:color w:val="auto"/>
                <w:w w:val="79"/>
              </w:rPr>
              <w:t>Gross</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jc w:val="center"/>
              <w:ind w:left="241"/>
              <w:spacing w:after="0" w:line="114" w:lineRule="exact"/>
              <w:rPr>
                <w:sz w:val="20"/>
                <w:szCs w:val="20"/>
                <w:color w:val="auto"/>
              </w:rPr>
            </w:pPr>
            <w:r>
              <w:rPr>
                <w:rFonts w:ascii="Arial" w:cs="Arial" w:eastAsia="Arial" w:hAnsi="Arial"/>
                <w:sz w:val="13"/>
                <w:szCs w:val="13"/>
                <w:b w:val="1"/>
                <w:bCs w:val="1"/>
                <w:color w:val="auto"/>
                <w:w w:val="79"/>
              </w:rPr>
              <w:t>Gross</w:t>
            </w: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jc w:val="center"/>
              <w:ind w:left="115"/>
              <w:spacing w:after="0" w:line="130" w:lineRule="exact"/>
              <w:rPr>
                <w:sz w:val="20"/>
                <w:szCs w:val="20"/>
                <w:color w:val="auto"/>
              </w:rPr>
            </w:pPr>
            <w:r>
              <w:rPr>
                <w:rFonts w:ascii="Arial" w:cs="Arial" w:eastAsia="Arial" w:hAnsi="Arial"/>
                <w:sz w:val="13"/>
                <w:szCs w:val="13"/>
                <w:b w:val="1"/>
                <w:bCs w:val="1"/>
                <w:color w:val="auto"/>
                <w:w w:val="88"/>
              </w:rPr>
              <w:t>Unrealized</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3"/>
          </w:tcPr>
          <w:p>
            <w:pPr>
              <w:jc w:val="center"/>
              <w:ind w:right="120"/>
              <w:spacing w:after="0" w:line="130" w:lineRule="exact"/>
              <w:rPr>
                <w:sz w:val="20"/>
                <w:szCs w:val="20"/>
                <w:color w:val="auto"/>
              </w:rPr>
            </w:pPr>
            <w:r>
              <w:rPr>
                <w:rFonts w:ascii="Arial" w:cs="Arial" w:eastAsia="Arial" w:hAnsi="Arial"/>
                <w:sz w:val="13"/>
                <w:szCs w:val="13"/>
                <w:b w:val="1"/>
                <w:bCs w:val="1"/>
                <w:color w:val="auto"/>
                <w:w w:val="88"/>
              </w:rPr>
              <w:t>Unrealized</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center"/>
              <w:ind w:right="86"/>
              <w:spacing w:after="0"/>
              <w:rPr>
                <w:sz w:val="20"/>
                <w:szCs w:val="20"/>
                <w:color w:val="auto"/>
              </w:rPr>
            </w:pPr>
            <w:r>
              <w:rPr>
                <w:rFonts w:ascii="Arial" w:cs="Arial" w:eastAsia="Arial" w:hAnsi="Arial"/>
                <w:sz w:val="13"/>
                <w:szCs w:val="13"/>
                <w:b w:val="1"/>
                <w:bCs w:val="1"/>
                <w:color w:val="auto"/>
                <w:w w:val="82"/>
              </w:rPr>
              <w:t>Cost</w:t>
            </w:r>
          </w:p>
        </w:tc>
        <w:tc>
          <w:tcPr>
            <w:tcW w:w="220" w:type="dxa"/>
            <w:vAlign w:val="bottom"/>
          </w:tcPr>
          <w:p>
            <w:pPr>
              <w:spacing w:after="0"/>
              <w:rPr>
                <w:sz w:val="13"/>
                <w:szCs w:val="13"/>
                <w:color w:val="auto"/>
              </w:rPr>
            </w:pPr>
          </w:p>
        </w:tc>
        <w:tc>
          <w:tcPr>
            <w:tcW w:w="840" w:type="dxa"/>
            <w:vAlign w:val="bottom"/>
          </w:tcPr>
          <w:p>
            <w:pPr>
              <w:jc w:val="center"/>
              <w:ind w:left="95"/>
              <w:spacing w:after="0"/>
              <w:rPr>
                <w:sz w:val="20"/>
                <w:szCs w:val="20"/>
                <w:color w:val="auto"/>
              </w:rPr>
            </w:pPr>
            <w:r>
              <w:rPr>
                <w:rFonts w:ascii="Arial" w:cs="Arial" w:eastAsia="Arial" w:hAnsi="Arial"/>
                <w:sz w:val="13"/>
                <w:szCs w:val="13"/>
                <w:b w:val="1"/>
                <w:bCs w:val="1"/>
                <w:color w:val="auto"/>
                <w:w w:val="88"/>
              </w:rPr>
              <w:t>Gains</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center"/>
              <w:ind w:left="241"/>
              <w:spacing w:after="0"/>
              <w:rPr>
                <w:sz w:val="20"/>
                <w:szCs w:val="20"/>
                <w:color w:val="auto"/>
              </w:rPr>
            </w:pPr>
            <w:r>
              <w:rPr>
                <w:rFonts w:ascii="Arial" w:cs="Arial" w:eastAsia="Arial" w:hAnsi="Arial"/>
                <w:sz w:val="13"/>
                <w:szCs w:val="13"/>
                <w:b w:val="1"/>
                <w:bCs w:val="1"/>
                <w:color w:val="auto"/>
                <w:w w:val="75"/>
              </w:rPr>
              <w:t>Losses</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980" w:type="dxa"/>
            <w:vAlign w:val="bottom"/>
            <w:tcBorders>
              <w:top w:val="single" w:sz="8" w:color="auto"/>
            </w:tcBorders>
            <w:gridSpan w:val="5"/>
          </w:tcPr>
          <w:p>
            <w:pPr>
              <w:jc w:val="center"/>
              <w:ind w:left="235"/>
              <w:spacing w:after="0"/>
              <w:rPr>
                <w:sz w:val="20"/>
                <w:szCs w:val="20"/>
                <w:color w:val="auto"/>
              </w:rPr>
            </w:pPr>
            <w:r>
              <w:rPr>
                <w:rFonts w:ascii="Arial" w:cs="Arial" w:eastAsia="Arial" w:hAnsi="Arial"/>
                <w:sz w:val="13"/>
                <w:szCs w:val="13"/>
                <w:b w:val="1"/>
                <w:bCs w:val="1"/>
                <w:color w:val="auto"/>
                <w:w w:val="84"/>
              </w:rPr>
              <w:t>(in thousands)</w:t>
            </w:r>
          </w:p>
        </w:tc>
        <w:tc>
          <w:tcPr>
            <w:tcW w:w="3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300" w:type="dxa"/>
            <w:vAlign w:val="bottom"/>
            <w:shd w:val="clear" w:color="auto" w:fill="CFF0FC"/>
          </w:tcPr>
          <w:p>
            <w:pPr>
              <w:spacing w:after="0"/>
              <w:rPr>
                <w:sz w:val="20"/>
                <w:szCs w:val="20"/>
                <w:color w:val="auto"/>
              </w:rPr>
            </w:pPr>
            <w:r>
              <w:rPr>
                <w:rFonts w:ascii="Arial" w:cs="Arial" w:eastAsia="Arial" w:hAnsi="Arial"/>
                <w:sz w:val="16"/>
                <w:szCs w:val="16"/>
                <w:color w:val="auto"/>
              </w:rPr>
              <w:t>Commercial paper</w:t>
            </w:r>
          </w:p>
        </w:tc>
        <w:tc>
          <w:tcPr>
            <w:tcW w:w="2220" w:type="dxa"/>
            <w:vAlign w:val="bottom"/>
            <w:gridSpan w:val="2"/>
            <w:shd w:val="clear" w:color="auto" w:fill="CFF0FC"/>
          </w:tcPr>
          <w:p>
            <w:pPr>
              <w:jc w:val="right"/>
              <w:ind w:right="7"/>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113,885</w:t>
            </w:r>
          </w:p>
        </w:tc>
        <w:tc>
          <w:tcPr>
            <w:tcW w:w="220" w:type="dxa"/>
            <w:vAlign w:val="bottom"/>
            <w:shd w:val="clear" w:color="auto" w:fill="CFF0FC"/>
          </w:tcPr>
          <w:p>
            <w:pPr>
              <w:spacing w:after="0"/>
              <w:rPr>
                <w:sz w:val="17"/>
                <w:szCs w:val="17"/>
                <w:color w:val="auto"/>
              </w:rPr>
            </w:pPr>
          </w:p>
        </w:tc>
        <w:tc>
          <w:tcPr>
            <w:tcW w:w="840" w:type="dxa"/>
            <w:vAlign w:val="bottom"/>
            <w:shd w:val="clear" w:color="auto" w:fill="CFF2FC"/>
          </w:tcPr>
          <w:p>
            <w:pPr>
              <w:jc w:val="right"/>
              <w:ind w:right="695"/>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FF2FC"/>
          </w:tcPr>
          <w:p>
            <w:pPr>
              <w:jc w:val="right"/>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FF2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20" w:type="dxa"/>
            <w:vAlign w:val="bottom"/>
            <w:shd w:val="clear" w:color="auto" w:fill="CFF2FC"/>
          </w:tcPr>
          <w:p>
            <w:pPr>
              <w:jc w:val="right"/>
              <w:ind w:right="601"/>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FF2FC"/>
          </w:tcPr>
          <w:p>
            <w:pPr>
              <w:jc w:val="right"/>
              <w:ind w:right="120"/>
              <w:spacing w:after="0"/>
              <w:rPr>
                <w:sz w:val="20"/>
                <w:szCs w:val="20"/>
                <w:color w:val="auto"/>
              </w:rPr>
            </w:pPr>
            <w:r>
              <w:rPr>
                <w:rFonts w:ascii="Arial" w:cs="Arial" w:eastAsia="Arial" w:hAnsi="Arial"/>
                <w:sz w:val="16"/>
                <w:szCs w:val="16"/>
                <w:color w:val="auto"/>
              </w:rPr>
              <w:t>—</w:t>
            </w:r>
          </w:p>
        </w:tc>
        <w:tc>
          <w:tcPr>
            <w:tcW w:w="280" w:type="dxa"/>
            <w:vAlign w:val="bottom"/>
            <w:gridSpan w:val="3"/>
            <w:shd w:val="clear" w:color="auto" w:fill="CFF0FC"/>
          </w:tcPr>
          <w:p>
            <w:pPr>
              <w:jc w:val="right"/>
              <w:ind w:right="29"/>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113,885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300" w:type="dxa"/>
            <w:vAlign w:val="bottom"/>
          </w:tcPr>
          <w:p>
            <w:pPr>
              <w:spacing w:after="0"/>
              <w:rPr>
                <w:sz w:val="20"/>
                <w:szCs w:val="20"/>
                <w:color w:val="auto"/>
              </w:rPr>
            </w:pPr>
            <w:r>
              <w:rPr>
                <w:rFonts w:ascii="Arial" w:cs="Arial" w:eastAsia="Arial" w:hAnsi="Arial"/>
                <w:sz w:val="16"/>
                <w:szCs w:val="16"/>
                <w:color w:val="auto"/>
              </w:rPr>
              <w:t>Corporate bonds</w:t>
            </w:r>
          </w:p>
        </w:tc>
        <w:tc>
          <w:tcPr>
            <w:tcW w:w="2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105,105</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6"/>
                <w:szCs w:val="16"/>
                <w:color w:val="auto"/>
                <w:w w:val="96"/>
              </w:rPr>
              <w:t>(477)</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104,629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00" w:type="dxa"/>
            <w:vAlign w:val="bottom"/>
            <w:shd w:val="clear" w:color="auto" w:fill="CFF0FC"/>
          </w:tcPr>
          <w:p>
            <w:pPr>
              <w:spacing w:after="0"/>
              <w:rPr>
                <w:sz w:val="20"/>
                <w:szCs w:val="20"/>
                <w:color w:val="auto"/>
              </w:rPr>
            </w:pPr>
            <w:r>
              <w:rPr>
                <w:rFonts w:ascii="Arial" w:cs="Arial" w:eastAsia="Arial" w:hAnsi="Arial"/>
                <w:sz w:val="16"/>
                <w:szCs w:val="16"/>
                <w:color w:val="auto"/>
              </w:rPr>
              <w:t>U.S. Treasury notes</w:t>
            </w:r>
          </w:p>
        </w:tc>
        <w:tc>
          <w:tcPr>
            <w:tcW w:w="20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42,801</w:t>
            </w: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4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(98)</w:t>
            </w: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42,703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261,791</w:t>
            </w:r>
          </w:p>
        </w:tc>
        <w:tc>
          <w:tcPr>
            <w:tcW w:w="220" w:type="dxa"/>
            <w:vAlign w:val="bottom"/>
          </w:tcPr>
          <w:p>
            <w:pPr>
              <w:spacing w:after="0"/>
              <w:rPr>
                <w:sz w:val="16"/>
                <w:szCs w:val="16"/>
                <w:color w:val="auto"/>
              </w:rPr>
            </w:pPr>
          </w:p>
        </w:tc>
        <w:tc>
          <w:tcPr>
            <w:tcW w:w="840" w:type="dxa"/>
            <w:vAlign w:val="bottom"/>
            <w:tcBorders>
              <w:top w:val="single" w:sz="8" w:color="auto"/>
            </w:tcBorders>
          </w:tcPr>
          <w:p>
            <w:pPr>
              <w:jc w:val="right"/>
              <w:ind w:right="695"/>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20" w:type="dxa"/>
            <w:vAlign w:val="bottom"/>
            <w:gridSpan w:val="2"/>
          </w:tcPr>
          <w:p>
            <w:pPr>
              <w:spacing w:after="0"/>
              <w:rPr>
                <w:sz w:val="16"/>
                <w:szCs w:val="16"/>
                <w:color w:val="auto"/>
              </w:rPr>
            </w:pPr>
          </w:p>
        </w:tc>
        <w:tc>
          <w:tcPr>
            <w:tcW w:w="720" w:type="dxa"/>
            <w:vAlign w:val="bottom"/>
            <w:tcBorders>
              <w:top w:val="single" w:sz="8" w:color="auto"/>
            </w:tcBorders>
          </w:tcPr>
          <w:p>
            <w:pPr>
              <w:jc w:val="right"/>
              <w:ind w:right="601"/>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0"/>
              </w:rPr>
              <w:t>(575)</w:t>
            </w:r>
          </w:p>
        </w:tc>
        <w:tc>
          <w:tcPr>
            <w:tcW w:w="100" w:type="dxa"/>
            <w:vAlign w:val="bottom"/>
          </w:tcPr>
          <w:p>
            <w:pPr>
              <w:spacing w:after="0"/>
              <w:rPr>
                <w:sz w:val="16"/>
                <w:szCs w:val="16"/>
                <w:color w:val="auto"/>
              </w:rPr>
            </w:pPr>
          </w:p>
        </w:tc>
        <w:tc>
          <w:tcPr>
            <w:tcW w:w="140" w:type="dxa"/>
            <w:vAlign w:val="bottom"/>
            <w:gridSpan w:val="2"/>
          </w:tcPr>
          <w:p>
            <w:pPr>
              <w:spacing w:after="0"/>
              <w:rPr>
                <w:sz w:val="16"/>
                <w:szCs w:val="16"/>
                <w:color w:val="auto"/>
              </w:rPr>
            </w:pPr>
          </w:p>
        </w:tc>
        <w:tc>
          <w:tcPr>
            <w:tcW w:w="140" w:type="dxa"/>
            <w:vAlign w:val="bottom"/>
            <w:tcBorders>
              <w:top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261,217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6" w:lineRule="exact"/>
        <w:rPr>
          <w:sz w:val="20"/>
          <w:szCs w:val="20"/>
          <w:color w:val="auto"/>
        </w:rPr>
      </w:pPr>
    </w:p>
    <w:p>
      <w:pPr>
        <w:ind w:left="5" w:right="160"/>
        <w:spacing w:after="0" w:line="302" w:lineRule="auto"/>
        <w:rPr>
          <w:sz w:val="20"/>
          <w:szCs w:val="20"/>
          <w:color w:val="auto"/>
        </w:rPr>
      </w:pPr>
      <w:r>
        <w:rPr>
          <w:rFonts w:ascii="Arial" w:cs="Arial" w:eastAsia="Arial" w:hAnsi="Arial"/>
          <w:sz w:val="15"/>
          <w:szCs w:val="15"/>
          <w:color w:val="auto"/>
        </w:rPr>
        <w:t>As of March 31, 2019, marketable securities consisted of short-term marketable securities, which are investments that mature within one year, and long-term marketable securities, with an aggregate fair value of $16,510, which consist of certain corporate bonds that have maturities of more than one year but not more than three years.</w:t>
      </w:r>
    </w:p>
    <w:p>
      <w:pPr>
        <w:spacing w:after="0" w:line="224" w:lineRule="exact"/>
        <w:rPr>
          <w:sz w:val="20"/>
          <w:szCs w:val="20"/>
          <w:color w:val="auto"/>
        </w:rPr>
      </w:pPr>
    </w:p>
    <w:p>
      <w:pPr>
        <w:ind w:left="505" w:hanging="505"/>
        <w:spacing w:after="0"/>
        <w:tabs>
          <w:tab w:leader="none" w:pos="505"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Accrued Expenses and Other Long-Term Liabilities</w:t>
      </w:r>
    </w:p>
    <w:p>
      <w:pPr>
        <w:spacing w:after="0" w:line="199" w:lineRule="exact"/>
        <w:rPr>
          <w:sz w:val="20"/>
          <w:szCs w:val="20"/>
          <w:color w:val="auto"/>
        </w:rPr>
      </w:pPr>
    </w:p>
    <w:p>
      <w:pPr>
        <w:ind w:left="5"/>
        <w:spacing w:after="0"/>
        <w:rPr>
          <w:sz w:val="20"/>
          <w:szCs w:val="20"/>
          <w:color w:val="auto"/>
        </w:rPr>
      </w:pPr>
      <w:r>
        <w:rPr>
          <w:rFonts w:ascii="Arial" w:cs="Arial" w:eastAsia="Arial" w:hAnsi="Arial"/>
          <w:sz w:val="16"/>
          <w:szCs w:val="16"/>
          <w:color w:val="auto"/>
        </w:rPr>
        <w:t>Accrued expenses and other current liabilities as well as other long-term liabilities consisted of the following as of March 31, 2019 and September 30, 2018:</w:t>
      </w:r>
    </w:p>
    <w:p>
      <w:pPr>
        <w:spacing w:after="0" w:line="251" w:lineRule="exact"/>
        <w:rPr>
          <w:sz w:val="20"/>
          <w:szCs w:val="20"/>
          <w:color w:val="auto"/>
        </w:rPr>
      </w:pPr>
    </w:p>
    <w:tbl>
      <w:tblPr>
        <w:tblLayout w:type="fixed"/>
        <w:tblInd w:w="5" w:type="dxa"/>
        <w:tblCellMar>
          <w:top w:w="0" w:type="dxa"/>
          <w:left w:w="0" w:type="dxa"/>
          <w:bottom w:w="0" w:type="dxa"/>
          <w:right w:w="0" w:type="dxa"/>
        </w:tblCellMar>
      </w:tblPr>
      <w:tr>
        <w:trPr>
          <w:trHeight w:val="149"/>
        </w:trPr>
        <w:tc>
          <w:tcPr>
            <w:tcW w:w="172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March 31,</w:t>
            </w: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gridSpan w:val="2"/>
          </w:tcPr>
          <w:p>
            <w:pPr>
              <w:ind w:left="40"/>
              <w:spacing w:after="0"/>
              <w:rPr>
                <w:sz w:val="20"/>
                <w:szCs w:val="20"/>
                <w:color w:val="auto"/>
              </w:rPr>
            </w:pPr>
            <w:r>
              <w:rPr>
                <w:rFonts w:ascii="Arial" w:cs="Arial" w:eastAsia="Arial" w:hAnsi="Arial"/>
                <w:sz w:val="13"/>
                <w:szCs w:val="13"/>
                <w:b w:val="1"/>
                <w:bCs w:val="1"/>
                <w:color w:val="auto"/>
              </w:rPr>
              <w:t>September 30,</w:t>
            </w: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72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2560" w:type="dxa"/>
            <w:vAlign w:val="bottom"/>
            <w:gridSpan w:val="2"/>
          </w:tcPr>
          <w:p>
            <w:pPr>
              <w:jc w:val="right"/>
              <w:ind w:right="85"/>
              <w:spacing w:after="0"/>
              <w:rPr>
                <w:sz w:val="20"/>
                <w:szCs w:val="20"/>
                <w:color w:val="auto"/>
              </w:rPr>
            </w:pPr>
            <w:r>
              <w:rPr>
                <w:rFonts w:ascii="Arial" w:cs="Arial" w:eastAsia="Arial" w:hAnsi="Arial"/>
                <w:sz w:val="13"/>
                <w:szCs w:val="13"/>
                <w:b w:val="1"/>
                <w:bCs w:val="1"/>
                <w:color w:val="auto"/>
              </w:rPr>
              <w:t>2019</w:t>
            </w: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jc w:val="right"/>
              <w:ind w:right="524"/>
              <w:spacing w:after="0"/>
              <w:rPr>
                <w:sz w:val="20"/>
                <w:szCs w:val="20"/>
                <w:color w:val="auto"/>
              </w:rPr>
            </w:pPr>
            <w:r>
              <w:rPr>
                <w:rFonts w:ascii="Arial" w:cs="Arial" w:eastAsia="Arial" w:hAnsi="Arial"/>
                <w:sz w:val="13"/>
                <w:szCs w:val="13"/>
                <w:b w:val="1"/>
                <w:bCs w:val="1"/>
                <w:color w:val="auto"/>
              </w:rPr>
              <w:t>2018</w:t>
            </w:r>
          </w:p>
        </w:tc>
        <w:tc>
          <w:tcPr>
            <w:tcW w:w="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17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3"/>
          </w:tcPr>
          <w:p>
            <w:pPr>
              <w:jc w:val="right"/>
              <w:spacing w:after="0" w:line="134" w:lineRule="exact"/>
              <w:rPr>
                <w:sz w:val="20"/>
                <w:szCs w:val="20"/>
                <w:color w:val="auto"/>
              </w:rPr>
            </w:pPr>
            <w:r>
              <w:rPr>
                <w:rFonts w:ascii="Arial" w:cs="Arial" w:eastAsia="Arial" w:hAnsi="Arial"/>
                <w:sz w:val="13"/>
                <w:szCs w:val="13"/>
                <w:b w:val="1"/>
                <w:bCs w:val="1"/>
                <w:color w:val="auto"/>
              </w:rPr>
              <w:t>(in thousands)</w:t>
            </w:r>
          </w:p>
        </w:tc>
        <w:tc>
          <w:tcPr>
            <w:tcW w:w="11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1720" w:type="dxa"/>
            <w:vAlign w:val="bottom"/>
          </w:tcPr>
          <w:p>
            <w:pPr>
              <w:spacing w:after="0"/>
              <w:rPr>
                <w:sz w:val="17"/>
                <w:szCs w:val="17"/>
                <w:color w:val="auto"/>
              </w:rPr>
            </w:pPr>
          </w:p>
        </w:tc>
        <w:tc>
          <w:tcPr>
            <w:tcW w:w="32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Accrued expenses:</w:t>
            </w:r>
          </w:p>
        </w:tc>
        <w:tc>
          <w:tcPr>
            <w:tcW w:w="16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720" w:type="dxa"/>
            <w:vAlign w:val="bottom"/>
          </w:tcPr>
          <w:p>
            <w:pPr>
              <w:spacing w:after="0"/>
              <w:rPr>
                <w:sz w:val="17"/>
                <w:szCs w:val="17"/>
                <w:color w:val="auto"/>
              </w:rPr>
            </w:pPr>
          </w:p>
        </w:tc>
        <w:tc>
          <w:tcPr>
            <w:tcW w:w="3260" w:type="dxa"/>
            <w:vAlign w:val="bottom"/>
          </w:tcPr>
          <w:p>
            <w:pPr>
              <w:spacing w:after="0"/>
              <w:rPr>
                <w:sz w:val="20"/>
                <w:szCs w:val="20"/>
                <w:color w:val="auto"/>
              </w:rPr>
            </w:pPr>
            <w:r>
              <w:rPr>
                <w:rFonts w:ascii="Arial" w:cs="Arial" w:eastAsia="Arial" w:hAnsi="Arial"/>
                <w:sz w:val="16"/>
                <w:szCs w:val="16"/>
                <w:color w:val="auto"/>
              </w:rPr>
              <w:t>Accrued preclinical and clinical expenses</w:t>
            </w:r>
          </w:p>
        </w:tc>
        <w:tc>
          <w:tcPr>
            <w:tcW w:w="2560" w:type="dxa"/>
            <w:vAlign w:val="bottom"/>
            <w:gridSpan w:val="2"/>
          </w:tcPr>
          <w:p>
            <w:pPr>
              <w:jc w:val="right"/>
              <w:ind w:right="845"/>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5,530</w:t>
            </w:r>
          </w:p>
        </w:tc>
        <w:tc>
          <w:tcPr>
            <w:tcW w:w="500" w:type="dxa"/>
            <w:vAlign w:val="bottom"/>
            <w:gridSpan w:val="2"/>
          </w:tcPr>
          <w:p>
            <w:pPr>
              <w:jc w:val="right"/>
              <w:ind w:right="16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3,617</w:t>
            </w:r>
          </w:p>
        </w:tc>
        <w:tc>
          <w:tcPr>
            <w:tcW w:w="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720" w:type="dxa"/>
            <w:vAlign w:val="bottom"/>
          </w:tcPr>
          <w:p>
            <w:pPr>
              <w:spacing w:after="0"/>
              <w:rPr>
                <w:sz w:val="17"/>
                <w:szCs w:val="17"/>
                <w:color w:val="auto"/>
              </w:rPr>
            </w:pPr>
          </w:p>
        </w:tc>
        <w:tc>
          <w:tcPr>
            <w:tcW w:w="3260" w:type="dxa"/>
            <w:vAlign w:val="bottom"/>
            <w:shd w:val="clear" w:color="auto" w:fill="CFF0FC"/>
          </w:tcPr>
          <w:p>
            <w:pPr>
              <w:spacing w:after="0"/>
              <w:rPr>
                <w:sz w:val="20"/>
                <w:szCs w:val="20"/>
                <w:color w:val="auto"/>
              </w:rPr>
            </w:pPr>
            <w:r>
              <w:rPr>
                <w:rFonts w:ascii="Arial" w:cs="Arial" w:eastAsia="Arial" w:hAnsi="Arial"/>
                <w:sz w:val="16"/>
                <w:szCs w:val="16"/>
                <w:color w:val="auto"/>
              </w:rPr>
              <w:t>Accrued payroll and related expenses</w:t>
            </w:r>
          </w:p>
        </w:tc>
        <w:tc>
          <w:tcPr>
            <w:tcW w:w="16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1,720</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3,274</w:t>
            </w:r>
          </w:p>
        </w:tc>
        <w:tc>
          <w:tcPr>
            <w:tcW w:w="80" w:type="dxa"/>
            <w:vAlign w:val="bottom"/>
            <w:shd w:val="clear" w:color="auto" w:fill="CFF0FC"/>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720" w:type="dxa"/>
            <w:vAlign w:val="bottom"/>
          </w:tcPr>
          <w:p>
            <w:pPr>
              <w:spacing w:after="0"/>
              <w:rPr>
                <w:sz w:val="17"/>
                <w:szCs w:val="17"/>
                <w:color w:val="auto"/>
              </w:rPr>
            </w:pPr>
          </w:p>
        </w:tc>
        <w:tc>
          <w:tcPr>
            <w:tcW w:w="3260" w:type="dxa"/>
            <w:vAlign w:val="bottom"/>
          </w:tcPr>
          <w:p>
            <w:pPr>
              <w:spacing w:after="0"/>
              <w:rPr>
                <w:sz w:val="20"/>
                <w:szCs w:val="20"/>
                <w:color w:val="auto"/>
              </w:rPr>
            </w:pPr>
            <w:r>
              <w:rPr>
                <w:rFonts w:ascii="Arial" w:cs="Arial" w:eastAsia="Arial" w:hAnsi="Arial"/>
                <w:sz w:val="16"/>
                <w:szCs w:val="16"/>
                <w:color w:val="auto"/>
              </w:rPr>
              <w:t>Accrued vendor manufacturing</w:t>
            </w:r>
          </w:p>
        </w:tc>
        <w:tc>
          <w:tcPr>
            <w:tcW w:w="1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2,695</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1,901</w:t>
            </w:r>
          </w:p>
        </w:tc>
        <w:tc>
          <w:tcPr>
            <w:tcW w:w="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720" w:type="dxa"/>
            <w:vAlign w:val="bottom"/>
          </w:tcPr>
          <w:p>
            <w:pPr>
              <w:spacing w:after="0"/>
              <w:rPr>
                <w:sz w:val="17"/>
                <w:szCs w:val="17"/>
                <w:color w:val="auto"/>
              </w:rPr>
            </w:pPr>
          </w:p>
        </w:tc>
        <w:tc>
          <w:tcPr>
            <w:tcW w:w="3260" w:type="dxa"/>
            <w:vAlign w:val="bottom"/>
            <w:shd w:val="clear" w:color="auto" w:fill="CFF0FC"/>
          </w:tcPr>
          <w:p>
            <w:pPr>
              <w:spacing w:after="0"/>
              <w:rPr>
                <w:sz w:val="20"/>
                <w:szCs w:val="20"/>
                <w:color w:val="auto"/>
              </w:rPr>
            </w:pPr>
            <w:r>
              <w:rPr>
                <w:rFonts w:ascii="Arial" w:cs="Arial" w:eastAsia="Arial" w:hAnsi="Arial"/>
                <w:sz w:val="16"/>
                <w:szCs w:val="16"/>
                <w:color w:val="auto"/>
              </w:rPr>
              <w:t>Accrued professional fees</w:t>
            </w:r>
          </w:p>
        </w:tc>
        <w:tc>
          <w:tcPr>
            <w:tcW w:w="16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742</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507</w:t>
            </w:r>
          </w:p>
        </w:tc>
        <w:tc>
          <w:tcPr>
            <w:tcW w:w="80" w:type="dxa"/>
            <w:vAlign w:val="bottom"/>
            <w:shd w:val="clear" w:color="auto" w:fill="CFF0FC"/>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720" w:type="dxa"/>
            <w:vAlign w:val="bottom"/>
          </w:tcPr>
          <w:p>
            <w:pPr>
              <w:spacing w:after="0"/>
              <w:rPr>
                <w:sz w:val="17"/>
                <w:szCs w:val="17"/>
                <w:color w:val="auto"/>
              </w:rPr>
            </w:pPr>
          </w:p>
        </w:tc>
        <w:tc>
          <w:tcPr>
            <w:tcW w:w="32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Accrued other</w:t>
            </w:r>
          </w:p>
        </w:tc>
        <w:tc>
          <w:tcPr>
            <w:tcW w:w="1600" w:type="dxa"/>
            <w:vAlign w:val="bottom"/>
            <w:tcBorders>
              <w:bottom w:val="single" w:sz="8" w:color="CFF0FC"/>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920</w:t>
            </w:r>
          </w:p>
        </w:tc>
        <w:tc>
          <w:tcPr>
            <w:tcW w:w="22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593</w:t>
            </w:r>
          </w:p>
        </w:tc>
        <w:tc>
          <w:tcPr>
            <w:tcW w:w="80" w:type="dxa"/>
            <w:vAlign w:val="bottom"/>
            <w:tcBorders>
              <w:bottom w:val="single" w:sz="8" w:color="CFF0FC"/>
            </w:tcBorders>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720" w:type="dxa"/>
            <w:vAlign w:val="bottom"/>
          </w:tcPr>
          <w:p>
            <w:pPr>
              <w:spacing w:after="0"/>
              <w:rPr>
                <w:sz w:val="16"/>
                <w:szCs w:val="16"/>
                <w:color w:val="auto"/>
              </w:rPr>
            </w:pPr>
          </w:p>
        </w:tc>
        <w:tc>
          <w:tcPr>
            <w:tcW w:w="3260" w:type="dxa"/>
            <w:vAlign w:val="bottom"/>
            <w:tcBorders>
              <w:bottom w:val="single" w:sz="8" w:color="CFF0FC"/>
            </w:tcBorders>
            <w:shd w:val="clear" w:color="auto" w:fill="CFF0FC"/>
          </w:tcPr>
          <w:p>
            <w:pPr>
              <w:spacing w:after="0"/>
              <w:rPr>
                <w:sz w:val="16"/>
                <w:szCs w:val="16"/>
                <w:color w:val="auto"/>
              </w:rPr>
            </w:pPr>
          </w:p>
        </w:tc>
        <w:tc>
          <w:tcPr>
            <w:tcW w:w="1600" w:type="dxa"/>
            <w:vAlign w:val="bottom"/>
            <w:tcBorders>
              <w:bottom w:val="single" w:sz="8" w:color="CFF0FC"/>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ind w:right="845"/>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5"/>
              </w:rPr>
              <w:t>11,607</w:t>
            </w:r>
          </w:p>
        </w:tc>
        <w:tc>
          <w:tcPr>
            <w:tcW w:w="22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jc w:val="right"/>
              <w:ind w:right="169"/>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9,892</w:t>
            </w:r>
          </w:p>
        </w:tc>
        <w:tc>
          <w:tcPr>
            <w:tcW w:w="80" w:type="dxa"/>
            <w:vAlign w:val="bottom"/>
            <w:tcBorders>
              <w:bottom w:val="single" w:sz="8" w:color="CFF0FC"/>
            </w:tcBorders>
            <w:shd w:val="clear" w:color="auto" w:fill="CFF0FC"/>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720" w:type="dxa"/>
            <w:vAlign w:val="bottom"/>
            <w:vMerge w:val="restart"/>
          </w:tcPr>
          <w:p>
            <w:pPr>
              <w:spacing w:after="0"/>
              <w:rPr>
                <w:sz w:val="15"/>
                <w:szCs w:val="15"/>
                <w:color w:val="auto"/>
              </w:rPr>
            </w:pPr>
          </w:p>
        </w:tc>
        <w:tc>
          <w:tcPr>
            <w:tcW w:w="32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720" w:type="dxa"/>
            <w:vAlign w:val="bottom"/>
            <w:vMerge w:val="continue"/>
          </w:tcPr>
          <w:p>
            <w:pPr>
              <w:spacing w:after="0"/>
              <w:rPr>
                <w:sz w:val="17"/>
                <w:szCs w:val="17"/>
                <w:color w:val="auto"/>
              </w:rPr>
            </w:pPr>
          </w:p>
        </w:tc>
        <w:tc>
          <w:tcPr>
            <w:tcW w:w="32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Other long-term liabilities:</w:t>
            </w:r>
          </w:p>
        </w:tc>
        <w:tc>
          <w:tcPr>
            <w:tcW w:w="16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720" w:type="dxa"/>
            <w:vAlign w:val="bottom"/>
          </w:tcPr>
          <w:p>
            <w:pPr>
              <w:spacing w:after="0"/>
              <w:rPr>
                <w:sz w:val="17"/>
                <w:szCs w:val="17"/>
                <w:color w:val="auto"/>
              </w:rPr>
            </w:pPr>
          </w:p>
        </w:tc>
        <w:tc>
          <w:tcPr>
            <w:tcW w:w="3260" w:type="dxa"/>
            <w:vAlign w:val="bottom"/>
          </w:tcPr>
          <w:p>
            <w:pPr>
              <w:spacing w:after="0"/>
              <w:rPr>
                <w:sz w:val="20"/>
                <w:szCs w:val="20"/>
                <w:color w:val="auto"/>
              </w:rPr>
            </w:pPr>
            <w:r>
              <w:rPr>
                <w:rFonts w:ascii="Arial" w:cs="Arial" w:eastAsia="Arial" w:hAnsi="Arial"/>
                <w:sz w:val="16"/>
                <w:szCs w:val="16"/>
                <w:color w:val="auto"/>
              </w:rPr>
              <w:t>Uncertain tax positions</w:t>
            </w:r>
          </w:p>
        </w:tc>
        <w:tc>
          <w:tcPr>
            <w:tcW w:w="2560" w:type="dxa"/>
            <w:vAlign w:val="bottom"/>
            <w:gridSpan w:val="2"/>
          </w:tcPr>
          <w:p>
            <w:pPr>
              <w:jc w:val="right"/>
              <w:ind w:right="845"/>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1,922</w:t>
            </w:r>
          </w:p>
        </w:tc>
        <w:tc>
          <w:tcPr>
            <w:tcW w:w="500" w:type="dxa"/>
            <w:vAlign w:val="bottom"/>
            <w:gridSpan w:val="2"/>
          </w:tcPr>
          <w:p>
            <w:pPr>
              <w:jc w:val="right"/>
              <w:ind w:right="16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1,792</w:t>
            </w:r>
          </w:p>
        </w:tc>
        <w:tc>
          <w:tcPr>
            <w:tcW w:w="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720" w:type="dxa"/>
            <w:vAlign w:val="bottom"/>
          </w:tcPr>
          <w:p>
            <w:pPr>
              <w:spacing w:after="0"/>
              <w:rPr>
                <w:sz w:val="17"/>
                <w:szCs w:val="17"/>
                <w:color w:val="auto"/>
              </w:rPr>
            </w:pPr>
          </w:p>
        </w:tc>
        <w:tc>
          <w:tcPr>
            <w:tcW w:w="3260" w:type="dxa"/>
            <w:vAlign w:val="bottom"/>
            <w:shd w:val="clear" w:color="auto" w:fill="CFF0FC"/>
          </w:tcPr>
          <w:p>
            <w:pPr>
              <w:spacing w:after="0"/>
              <w:rPr>
                <w:sz w:val="20"/>
                <w:szCs w:val="20"/>
                <w:color w:val="auto"/>
              </w:rPr>
            </w:pPr>
            <w:r>
              <w:rPr>
                <w:rFonts w:ascii="Arial" w:cs="Arial" w:eastAsia="Arial" w:hAnsi="Arial"/>
                <w:sz w:val="16"/>
                <w:szCs w:val="16"/>
                <w:color w:val="auto"/>
              </w:rPr>
              <w:t>Accrued rent expense</w:t>
            </w:r>
          </w:p>
        </w:tc>
        <w:tc>
          <w:tcPr>
            <w:tcW w:w="16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842</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593</w:t>
            </w:r>
          </w:p>
        </w:tc>
        <w:tc>
          <w:tcPr>
            <w:tcW w:w="80" w:type="dxa"/>
            <w:vAlign w:val="bottom"/>
            <w:shd w:val="clear" w:color="auto" w:fill="CFF0FC"/>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720" w:type="dxa"/>
            <w:vAlign w:val="bottom"/>
          </w:tcPr>
          <w:p>
            <w:pPr>
              <w:spacing w:after="0"/>
              <w:rPr>
                <w:sz w:val="17"/>
                <w:szCs w:val="17"/>
                <w:color w:val="auto"/>
              </w:rPr>
            </w:pPr>
          </w:p>
        </w:tc>
        <w:tc>
          <w:tcPr>
            <w:tcW w:w="3260" w:type="dxa"/>
            <w:vAlign w:val="bottom"/>
          </w:tcPr>
          <w:p>
            <w:pPr>
              <w:spacing w:after="0"/>
              <w:rPr>
                <w:sz w:val="20"/>
                <w:szCs w:val="20"/>
                <w:color w:val="auto"/>
              </w:rPr>
            </w:pPr>
            <w:r>
              <w:rPr>
                <w:rFonts w:ascii="Arial" w:cs="Arial" w:eastAsia="Arial" w:hAnsi="Arial"/>
                <w:sz w:val="16"/>
                <w:szCs w:val="16"/>
                <w:color w:val="auto"/>
              </w:rPr>
              <w:t>Capital lease obligation</w:t>
            </w:r>
          </w:p>
        </w:tc>
        <w:tc>
          <w:tcPr>
            <w:tcW w:w="1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249</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293</w:t>
            </w:r>
          </w:p>
        </w:tc>
        <w:tc>
          <w:tcPr>
            <w:tcW w:w="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720" w:type="dxa"/>
            <w:vAlign w:val="bottom"/>
          </w:tcPr>
          <w:p>
            <w:pPr>
              <w:spacing w:after="0"/>
              <w:rPr>
                <w:sz w:val="17"/>
                <w:szCs w:val="17"/>
                <w:color w:val="auto"/>
              </w:rPr>
            </w:pPr>
          </w:p>
        </w:tc>
        <w:tc>
          <w:tcPr>
            <w:tcW w:w="3260" w:type="dxa"/>
            <w:vAlign w:val="bottom"/>
            <w:shd w:val="clear" w:color="auto" w:fill="CFF0FC"/>
          </w:tcPr>
          <w:p>
            <w:pPr>
              <w:spacing w:after="0"/>
              <w:rPr>
                <w:sz w:val="20"/>
                <w:szCs w:val="20"/>
                <w:color w:val="auto"/>
              </w:rPr>
            </w:pPr>
            <w:r>
              <w:rPr>
                <w:rFonts w:ascii="Arial" w:cs="Arial" w:eastAsia="Arial" w:hAnsi="Arial"/>
                <w:sz w:val="16"/>
                <w:szCs w:val="16"/>
                <w:color w:val="auto"/>
              </w:rPr>
              <w:t>Asset retirement obligation</w:t>
            </w:r>
          </w:p>
        </w:tc>
        <w:tc>
          <w:tcPr>
            <w:tcW w:w="1600" w:type="dxa"/>
            <w:vAlign w:val="bottom"/>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236</w:t>
            </w:r>
          </w:p>
        </w:tc>
        <w:tc>
          <w:tcPr>
            <w:tcW w:w="220" w:type="dxa"/>
            <w:vAlign w:val="bottom"/>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217</w:t>
            </w:r>
          </w:p>
        </w:tc>
        <w:tc>
          <w:tcPr>
            <w:tcW w:w="80" w:type="dxa"/>
            <w:vAlign w:val="bottom"/>
            <w:shd w:val="clear" w:color="auto" w:fill="CFF0FC"/>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7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960" w:type="dxa"/>
            <w:vAlign w:val="bottom"/>
            <w:tcBorders>
              <w:bottom w:val="single" w:sz="8" w:color="auto"/>
            </w:tcBorders>
          </w:tcPr>
          <w:p>
            <w:pPr>
              <w:jc w:val="right"/>
              <w:ind w:right="845"/>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3,249</w:t>
            </w:r>
          </w:p>
        </w:tc>
        <w:tc>
          <w:tcPr>
            <w:tcW w:w="220" w:type="dxa"/>
            <w:vAlign w:val="bottom"/>
          </w:tcPr>
          <w:p>
            <w:pPr>
              <w:spacing w:after="0"/>
              <w:rPr>
                <w:sz w:val="16"/>
                <w:szCs w:val="16"/>
                <w:color w:val="auto"/>
              </w:rPr>
            </w:pP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2,895</w:t>
            </w:r>
          </w:p>
        </w:tc>
        <w:tc>
          <w:tcPr>
            <w:tcW w:w="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600" w:type="dxa"/>
            <w:vAlign w:val="bottom"/>
            <w:vMerge w:val="restart"/>
          </w:tcPr>
          <w:p>
            <w:pPr>
              <w:jc w:val="right"/>
              <w:ind w:right="705"/>
              <w:spacing w:after="0"/>
              <w:rPr>
                <w:sz w:val="20"/>
                <w:szCs w:val="20"/>
                <w:color w:val="auto"/>
              </w:rPr>
            </w:pPr>
            <w:r>
              <w:rPr>
                <w:rFonts w:ascii="Arial" w:cs="Arial" w:eastAsia="Arial" w:hAnsi="Arial"/>
                <w:sz w:val="16"/>
                <w:szCs w:val="16"/>
                <w:color w:val="auto"/>
              </w:rPr>
              <w:t>12</w:t>
            </w: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3"/>
        </w:trPr>
        <w:tc>
          <w:tcPr>
            <w:tcW w:w="17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1720" w:type="dxa"/>
            <w:vAlign w:val="bottom"/>
            <w:tcBorders>
              <w:bottom w:val="single" w:sz="8" w:color="9A9A9A"/>
            </w:tcBorders>
          </w:tcPr>
          <w:p>
            <w:pPr>
              <w:spacing w:after="0"/>
              <w:rPr>
                <w:sz w:val="8"/>
                <w:szCs w:val="8"/>
                <w:color w:val="auto"/>
              </w:rPr>
            </w:pPr>
          </w:p>
        </w:tc>
        <w:tc>
          <w:tcPr>
            <w:tcW w:w="3260" w:type="dxa"/>
            <w:vAlign w:val="bottom"/>
            <w:tcBorders>
              <w:bottom w:val="single" w:sz="8" w:color="9A9A9A"/>
            </w:tcBorders>
          </w:tcPr>
          <w:p>
            <w:pPr>
              <w:spacing w:after="0"/>
              <w:rPr>
                <w:sz w:val="8"/>
                <w:szCs w:val="8"/>
                <w:color w:val="auto"/>
              </w:rPr>
            </w:pPr>
          </w:p>
        </w:tc>
        <w:tc>
          <w:tcPr>
            <w:tcW w:w="160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7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-27305</wp:posOffset>
            </wp:positionV>
            <wp:extent cx="33020"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5"/>
          </w:cols>
          <w:pgMar w:left="235" w:top="442" w:right="199" w:bottom="1440" w:gutter="0" w:footer="0" w:header="0"/>
        </w:sectPr>
      </w:pPr>
    </w:p>
    <w:bookmarkStart w:id="12" w:name="page13"/>
    <w:bookmarkEnd w:id="12"/>
    <w:p>
      <w:pPr>
        <w:ind w:left="5" w:right="8560" w:hanging="5"/>
        <w:spacing w:after="0" w:line="496" w:lineRule="auto"/>
        <w:tabs>
          <w:tab w:leader="none" w:pos="514"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Ongoing Collaboration Agreements AbbVie Collaboration</w:t>
      </w:r>
    </w:p>
    <w:p>
      <w:pPr>
        <w:spacing w:after="0" w:line="1" w:lineRule="exact"/>
        <w:rPr>
          <w:sz w:val="20"/>
          <w:szCs w:val="20"/>
          <w:color w:val="auto"/>
        </w:rPr>
      </w:pPr>
    </w:p>
    <w:p>
      <w:pPr>
        <w:ind w:left="5" w:right="40"/>
        <w:spacing w:after="0" w:line="269" w:lineRule="auto"/>
        <w:rPr>
          <w:sz w:val="20"/>
          <w:szCs w:val="20"/>
          <w:color w:val="auto"/>
        </w:rPr>
      </w:pPr>
      <w:r>
        <w:rPr>
          <w:rFonts w:ascii="Arial" w:cs="Arial" w:eastAsia="Arial" w:hAnsi="Arial"/>
          <w:sz w:val="15"/>
          <w:szCs w:val="15"/>
          <w:color w:val="auto"/>
        </w:rPr>
        <w:t>The Company has a Collaborative Development and License Agreement (as amended, the “AbbVie Agreement”), with AbbVie to identify, develop and commercialize HCV NS3 and NS3/4A protease inhibitor compounds, including paritaprevir and glecaprevir, under which the Company has received license payments, proceeds from a sale of preferred stock, research funding payments, milestone payments and royalties totaling approximately $787,000 through March 31, 2019. Since the Company satisfied all of its performance obligations under the AbbVie Agreement by the end of fiscal 2011, all milestone payments received since then have been recognized as revenue when the milestones were achieved by AbbVie. During the six months ended March 31, 2018, the Company earned and recognized milestone revenue of $15,000 upon AbbVie’s achievement of commercialization regulatory approval in Japan for MAVIRET™, the final milestone payment under this agreement. As of October 1, 2018, the adoption date of ASC 606, there were no remaining milestone payments to be earned under this agreement.</w:t>
      </w:r>
    </w:p>
    <w:p>
      <w:pPr>
        <w:spacing w:after="0" w:line="161" w:lineRule="exact"/>
        <w:rPr>
          <w:sz w:val="20"/>
          <w:szCs w:val="20"/>
          <w:color w:val="auto"/>
        </w:rPr>
      </w:pPr>
    </w:p>
    <w:p>
      <w:pPr>
        <w:ind w:left="5" w:right="160"/>
        <w:spacing w:after="0" w:line="311" w:lineRule="auto"/>
        <w:rPr>
          <w:sz w:val="20"/>
          <w:szCs w:val="20"/>
          <w:color w:val="auto"/>
        </w:rPr>
      </w:pPr>
      <w:r>
        <w:rPr>
          <w:rFonts w:ascii="Arial" w:cs="Arial" w:eastAsia="Arial" w:hAnsi="Arial"/>
          <w:sz w:val="14"/>
          <w:szCs w:val="14"/>
          <w:color w:val="auto"/>
        </w:rPr>
        <w:t>The Company is also receiving annually tiered royalties per Company protease inhibitor product ranging from ten percent up to twenty percent, or on a blended basis from ten percent up to the high teens, on the portion of AbbVie’s calendar year net sales of each HCV regimen that is allocated to the protease inhibitor in the regimen. Beginning with each January 1, the cumulative net sales of a given royalty-bearing protease inhibitor product start at zero for purposes of calculating the tiered royalties on a product-by-product basis.</w:t>
      </w:r>
    </w:p>
    <w:p>
      <w:pPr>
        <w:spacing w:after="0" w:line="222" w:lineRule="exact"/>
        <w:rPr>
          <w:sz w:val="20"/>
          <w:szCs w:val="20"/>
          <w:color w:val="auto"/>
        </w:rPr>
      </w:pPr>
    </w:p>
    <w:p>
      <w:pPr>
        <w:ind w:left="505" w:hanging="505"/>
        <w:spacing w:after="0"/>
        <w:tabs>
          <w:tab w:leader="none" w:pos="505"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Series 1 Nonconvertible Preferred Stock</w:t>
      </w:r>
    </w:p>
    <w:p>
      <w:pPr>
        <w:spacing w:after="0" w:line="234" w:lineRule="exact"/>
        <w:rPr>
          <w:sz w:val="20"/>
          <w:szCs w:val="20"/>
          <w:color w:val="auto"/>
        </w:rPr>
      </w:pPr>
    </w:p>
    <w:p>
      <w:pPr>
        <w:ind w:left="5" w:right="320"/>
        <w:spacing w:after="0" w:line="268" w:lineRule="auto"/>
        <w:rPr>
          <w:sz w:val="20"/>
          <w:szCs w:val="20"/>
          <w:color w:val="auto"/>
        </w:rPr>
      </w:pPr>
      <w:r>
        <w:rPr>
          <w:rFonts w:ascii="Arial" w:cs="Arial" w:eastAsia="Arial" w:hAnsi="Arial"/>
          <w:sz w:val="16"/>
          <w:szCs w:val="16"/>
          <w:color w:val="auto"/>
        </w:rPr>
        <w:t>As of March 31, 2019, 1,931 shares of Series 1 nonconvertible preferred stock were issued and outstanding. Since these shares qualify as a derivative, the outstanding shares are carried at fair value as a liability on the Company’s consolidated balance sheet.</w:t>
      </w:r>
    </w:p>
    <w:p>
      <w:pPr>
        <w:spacing w:after="0" w:line="248" w:lineRule="exact"/>
        <w:rPr>
          <w:sz w:val="20"/>
          <w:szCs w:val="20"/>
          <w:color w:val="auto"/>
        </w:rPr>
      </w:pPr>
    </w:p>
    <w:p>
      <w:pPr>
        <w:ind w:left="505" w:hanging="505"/>
        <w:spacing w:after="0"/>
        <w:tabs>
          <w:tab w:leader="none" w:pos="505"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Stock-Based Awards</w:t>
      </w:r>
    </w:p>
    <w:p>
      <w:pPr>
        <w:spacing w:after="0" w:line="199" w:lineRule="exact"/>
        <w:rPr>
          <w:sz w:val="20"/>
          <w:szCs w:val="20"/>
          <w:color w:val="auto"/>
        </w:rPr>
      </w:pPr>
    </w:p>
    <w:p>
      <w:pPr>
        <w:jc w:val="both"/>
        <w:ind w:left="5" w:right="120"/>
        <w:spacing w:after="0" w:line="257" w:lineRule="auto"/>
        <w:rPr>
          <w:sz w:val="20"/>
          <w:szCs w:val="20"/>
          <w:color w:val="auto"/>
        </w:rPr>
      </w:pPr>
      <w:r>
        <w:rPr>
          <w:rFonts w:ascii="Arial" w:cs="Arial" w:eastAsia="Arial" w:hAnsi="Arial"/>
          <w:sz w:val="16"/>
          <w:szCs w:val="16"/>
          <w:color w:val="auto"/>
        </w:rPr>
        <w:t>The Company grants stock-based awards, including stock options and unit awards under its 2019 Equity Incentive Plan (the “2019 Plan”), which was approved by our stockholders on February 28, 2019. The Company also has outstanding unit awards, stock options and restricted stock unit awards under its 2012 Equity Incentive Plan (the “2012 Plan”) and its amended and restated 1995 Equity Incentive Plan (the “1995 Plan”), but is no longer granting awards under these plans.</w:t>
      </w:r>
    </w:p>
    <w:p>
      <w:pPr>
        <w:spacing w:after="0" w:line="166" w:lineRule="exact"/>
        <w:rPr>
          <w:sz w:val="20"/>
          <w:szCs w:val="20"/>
          <w:color w:val="auto"/>
        </w:rPr>
      </w:pPr>
    </w:p>
    <w:p>
      <w:pPr>
        <w:ind w:left="5"/>
        <w:spacing w:after="0"/>
        <w:rPr>
          <w:sz w:val="20"/>
          <w:szCs w:val="20"/>
          <w:color w:val="auto"/>
        </w:rPr>
      </w:pPr>
      <w:r>
        <w:rPr>
          <w:rFonts w:ascii="Arial" w:cs="Arial" w:eastAsia="Arial" w:hAnsi="Arial"/>
          <w:sz w:val="16"/>
          <w:szCs w:val="16"/>
          <w:color w:val="auto"/>
        </w:rPr>
        <w:t>The following table summarizes stock option activity, including performance-based options, for the year-to-date period ending March 31, 2019:</w:t>
      </w:r>
    </w:p>
    <w:p>
      <w:pPr>
        <w:spacing w:after="0" w:line="180" w:lineRule="exact"/>
        <w:rPr>
          <w:sz w:val="20"/>
          <w:szCs w:val="20"/>
          <w:color w:val="auto"/>
        </w:rPr>
      </w:pPr>
    </w:p>
    <w:tbl>
      <w:tblPr>
        <w:tblLayout w:type="fixed"/>
        <w:tblInd w:w="5" w:type="dxa"/>
        <w:tblCellMar>
          <w:top w:w="0" w:type="dxa"/>
          <w:left w:w="0" w:type="dxa"/>
          <w:bottom w:w="0" w:type="dxa"/>
          <w:right w:w="0" w:type="dxa"/>
        </w:tblCellMar>
      </w:tblPr>
      <w:tr>
        <w:trPr>
          <w:trHeight w:val="149"/>
        </w:trPr>
        <w:tc>
          <w:tcPr>
            <w:tcW w:w="58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146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87"/>
              </w:rPr>
              <w:t>Shares</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vMerge w:val="restart"/>
          </w:tcPr>
          <w:p>
            <w:pPr>
              <w:jc w:val="center"/>
              <w:ind w:right="480"/>
              <w:spacing w:after="0"/>
              <w:rPr>
                <w:sz w:val="20"/>
                <w:szCs w:val="20"/>
                <w:color w:val="auto"/>
              </w:rPr>
            </w:pPr>
            <w:r>
              <w:rPr>
                <w:rFonts w:ascii="Arial" w:cs="Arial" w:eastAsia="Arial" w:hAnsi="Arial"/>
                <w:sz w:val="13"/>
                <w:szCs w:val="13"/>
                <w:b w:val="1"/>
                <w:bCs w:val="1"/>
                <w:color w:val="auto"/>
                <w:w w:val="85"/>
              </w:rPr>
              <w:t>Weighted</w:t>
            </w: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w w:val="85"/>
              </w:rPr>
              <w:t>Weighted</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58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24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85"/>
              </w:rPr>
              <w:t>Average</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83"/>
              </w:rPr>
              <w:t>Aggregate</w:t>
            </w: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58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1460" w:type="dxa"/>
            <w:vAlign w:val="bottom"/>
            <w:gridSpan w:val="2"/>
          </w:tcPr>
          <w:p>
            <w:pPr>
              <w:jc w:val="center"/>
              <w:ind w:right="180"/>
              <w:spacing w:after="0" w:line="130" w:lineRule="exact"/>
              <w:rPr>
                <w:sz w:val="20"/>
                <w:szCs w:val="20"/>
                <w:color w:val="auto"/>
              </w:rPr>
            </w:pPr>
            <w:r>
              <w:rPr>
                <w:rFonts w:ascii="Arial" w:cs="Arial" w:eastAsia="Arial" w:hAnsi="Arial"/>
                <w:sz w:val="13"/>
                <w:szCs w:val="13"/>
                <w:b w:val="1"/>
                <w:bCs w:val="1"/>
                <w:color w:val="auto"/>
                <w:w w:val="84"/>
              </w:rPr>
              <w:t>Issuable</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jc w:val="center"/>
              <w:ind w:right="500"/>
              <w:spacing w:after="0" w:line="130" w:lineRule="exact"/>
              <w:rPr>
                <w:sz w:val="20"/>
                <w:szCs w:val="20"/>
                <w:color w:val="auto"/>
              </w:rPr>
            </w:pPr>
            <w:r>
              <w:rPr>
                <w:rFonts w:ascii="Arial" w:cs="Arial" w:eastAsia="Arial" w:hAnsi="Arial"/>
                <w:sz w:val="13"/>
                <w:szCs w:val="13"/>
                <w:b w:val="1"/>
                <w:bCs w:val="1"/>
                <w:color w:val="auto"/>
                <w:w w:val="85"/>
              </w:rPr>
              <w:t>Average</w:t>
            </w:r>
          </w:p>
        </w:tc>
        <w:tc>
          <w:tcPr>
            <w:tcW w:w="124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87"/>
              </w:rPr>
              <w:t>Remaining</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58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1460" w:type="dxa"/>
            <w:vAlign w:val="bottom"/>
            <w:gridSpan w:val="2"/>
          </w:tcPr>
          <w:p>
            <w:pPr>
              <w:jc w:val="center"/>
              <w:ind w:right="160"/>
              <w:spacing w:after="0" w:line="130" w:lineRule="exact"/>
              <w:rPr>
                <w:sz w:val="20"/>
                <w:szCs w:val="20"/>
                <w:color w:val="auto"/>
              </w:rPr>
            </w:pPr>
            <w:r>
              <w:rPr>
                <w:rFonts w:ascii="Arial" w:cs="Arial" w:eastAsia="Arial" w:hAnsi="Arial"/>
                <w:sz w:val="13"/>
                <w:szCs w:val="13"/>
                <w:b w:val="1"/>
                <w:bCs w:val="1"/>
                <w:color w:val="auto"/>
                <w:w w:val="90"/>
              </w:rPr>
              <w:t>Under</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jc w:val="center"/>
              <w:ind w:right="480"/>
              <w:spacing w:after="0" w:line="130" w:lineRule="exact"/>
              <w:rPr>
                <w:sz w:val="20"/>
                <w:szCs w:val="20"/>
                <w:color w:val="auto"/>
              </w:rPr>
            </w:pPr>
            <w:r>
              <w:rPr>
                <w:rFonts w:ascii="Arial" w:cs="Arial" w:eastAsia="Arial" w:hAnsi="Arial"/>
                <w:sz w:val="13"/>
                <w:szCs w:val="13"/>
                <w:b w:val="1"/>
                <w:bCs w:val="1"/>
                <w:color w:val="auto"/>
                <w:w w:val="85"/>
              </w:rPr>
              <w:t>Exercise</w:t>
            </w:r>
          </w:p>
        </w:tc>
        <w:tc>
          <w:tcPr>
            <w:tcW w:w="124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1"/>
              </w:rPr>
              <w:t>Contractual</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jc w:val="center"/>
              <w:ind w:right="260"/>
              <w:spacing w:after="0" w:line="130" w:lineRule="exact"/>
              <w:rPr>
                <w:sz w:val="20"/>
                <w:szCs w:val="20"/>
                <w:color w:val="auto"/>
              </w:rPr>
            </w:pPr>
            <w:r>
              <w:rPr>
                <w:rFonts w:ascii="Arial" w:cs="Arial" w:eastAsia="Arial" w:hAnsi="Arial"/>
                <w:sz w:val="13"/>
                <w:szCs w:val="13"/>
                <w:b w:val="1"/>
                <w:bCs w:val="1"/>
                <w:color w:val="auto"/>
                <w:w w:val="90"/>
              </w:rPr>
              <w:t>Intrinsic</w:t>
            </w: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58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Options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187"/>
              <w:spacing w:after="0"/>
              <w:rPr>
                <w:sz w:val="20"/>
                <w:szCs w:val="20"/>
                <w:color w:val="auto"/>
              </w:rPr>
            </w:pPr>
            <w:r>
              <w:rPr>
                <w:rFonts w:ascii="Arial" w:cs="Arial" w:eastAsia="Arial" w:hAnsi="Arial"/>
                <w:sz w:val="13"/>
                <w:szCs w:val="13"/>
                <w:b w:val="1"/>
                <w:bCs w:val="1"/>
                <w:color w:val="auto"/>
                <w:w w:val="87"/>
              </w:rPr>
              <w:t>Price</w:t>
            </w:r>
          </w:p>
        </w:tc>
        <w:tc>
          <w:tcPr>
            <w:tcW w:w="240" w:type="dxa"/>
            <w:vAlign w:val="bottom"/>
          </w:tcPr>
          <w:p>
            <w:pPr>
              <w:spacing w:after="0"/>
              <w:rPr>
                <w:sz w:val="13"/>
                <w:szCs w:val="13"/>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Term in years</w:t>
            </w: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109"/>
              <w:spacing w:after="0"/>
              <w:rPr>
                <w:sz w:val="20"/>
                <w:szCs w:val="20"/>
                <w:color w:val="auto"/>
              </w:rPr>
            </w:pPr>
            <w:r>
              <w:rPr>
                <w:rFonts w:ascii="Arial" w:cs="Arial" w:eastAsia="Arial" w:hAnsi="Arial"/>
                <w:sz w:val="13"/>
                <w:szCs w:val="13"/>
                <w:b w:val="1"/>
                <w:bCs w:val="1"/>
                <w:color w:val="auto"/>
                <w:w w:val="86"/>
              </w:rPr>
              <w:t>Value</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5000" w:type="dxa"/>
            <w:vAlign w:val="bottom"/>
            <w:gridSpan w:val="2"/>
            <w:vMerge w:val="restart"/>
          </w:tcPr>
          <w:p>
            <w:pPr>
              <w:ind w:left="560"/>
              <w:spacing w:after="0"/>
              <w:rPr>
                <w:sz w:val="20"/>
                <w:szCs w:val="20"/>
                <w:color w:val="auto"/>
              </w:rPr>
            </w:pPr>
            <w:r>
              <w:rPr>
                <w:rFonts w:ascii="Arial" w:cs="Arial" w:eastAsia="Arial" w:hAnsi="Arial"/>
                <w:sz w:val="16"/>
                <w:szCs w:val="16"/>
                <w:b w:val="1"/>
                <w:bCs w:val="1"/>
                <w:color w:val="auto"/>
              </w:rPr>
              <w:t>Outstanding as of September 30, 2018</w:t>
            </w:r>
          </w:p>
        </w:tc>
        <w:tc>
          <w:tcPr>
            <w:tcW w:w="1460" w:type="dxa"/>
            <w:vAlign w:val="bottom"/>
            <w:gridSpan w:val="2"/>
          </w:tcPr>
          <w:p>
            <w:pPr>
              <w:jc w:val="center"/>
              <w:ind w:right="160"/>
              <w:spacing w:after="0" w:line="145" w:lineRule="exact"/>
              <w:rPr>
                <w:sz w:val="20"/>
                <w:szCs w:val="20"/>
                <w:color w:val="auto"/>
              </w:rPr>
            </w:pPr>
            <w:r>
              <w:rPr>
                <w:rFonts w:ascii="Arial" w:cs="Arial" w:eastAsia="Arial" w:hAnsi="Arial"/>
                <w:sz w:val="13"/>
                <w:szCs w:val="13"/>
                <w:b w:val="1"/>
                <w:bCs w:val="1"/>
                <w:color w:val="auto"/>
                <w:w w:val="87"/>
              </w:rPr>
              <w:t>(in thousands)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60"/>
              <w:spacing w:after="0" w:line="145" w:lineRule="exact"/>
              <w:rPr>
                <w:sz w:val="20"/>
                <w:szCs w:val="20"/>
                <w:color w:val="auto"/>
              </w:rPr>
            </w:pPr>
            <w:r>
              <w:rPr>
                <w:rFonts w:ascii="Arial" w:cs="Arial" w:eastAsia="Arial" w:hAnsi="Arial"/>
                <w:sz w:val="13"/>
                <w:szCs w:val="13"/>
                <w:b w:val="1"/>
                <w:bCs w:val="1"/>
                <w:color w:val="auto"/>
                <w:w w:val="87"/>
              </w:rPr>
              <w:t>(in thousands)</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5000" w:type="dxa"/>
            <w:vAlign w:val="bottom"/>
            <w:gridSpan w:val="2"/>
            <w:vMerge w:val="continue"/>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2,624</w:t>
            </w:r>
          </w:p>
        </w:tc>
        <w:tc>
          <w:tcPr>
            <w:tcW w:w="140" w:type="dxa"/>
            <w:vAlign w:val="bottom"/>
          </w:tcPr>
          <w:p>
            <w:pPr>
              <w:spacing w:after="0"/>
              <w:rPr>
                <w:sz w:val="17"/>
                <w:szCs w:val="17"/>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36.65</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7.1</w:t>
            </w:r>
          </w:p>
        </w:tc>
        <w:tc>
          <w:tcPr>
            <w:tcW w:w="3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129,115</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44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Granted</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537</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82.21</w:t>
            </w:r>
          </w:p>
        </w:tc>
        <w:tc>
          <w:tcPr>
            <w:tcW w:w="2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80" w:type="dxa"/>
            <w:vAlign w:val="bottom"/>
          </w:tcPr>
          <w:p>
            <w:pPr>
              <w:spacing w:after="0"/>
              <w:rPr>
                <w:sz w:val="17"/>
                <w:szCs w:val="17"/>
                <w:color w:val="auto"/>
              </w:rPr>
            </w:pPr>
          </w:p>
        </w:tc>
        <w:tc>
          <w:tcPr>
            <w:tcW w:w="4420" w:type="dxa"/>
            <w:vAlign w:val="bottom"/>
          </w:tcPr>
          <w:p>
            <w:pPr>
              <w:ind w:left="200"/>
              <w:spacing w:after="0"/>
              <w:rPr>
                <w:sz w:val="20"/>
                <w:szCs w:val="20"/>
                <w:color w:val="auto"/>
              </w:rPr>
            </w:pPr>
            <w:r>
              <w:rPr>
                <w:rFonts w:ascii="Arial" w:cs="Arial" w:eastAsia="Arial" w:hAnsi="Arial"/>
                <w:sz w:val="16"/>
                <w:szCs w:val="16"/>
                <w:color w:val="auto"/>
              </w:rPr>
              <w:t>Exercised</w:t>
            </w:r>
          </w:p>
        </w:tc>
        <w:tc>
          <w:tcPr>
            <w:tcW w:w="1460" w:type="dxa"/>
            <w:vAlign w:val="bottom"/>
            <w:gridSpan w:val="2"/>
          </w:tcPr>
          <w:p>
            <w:pPr>
              <w:jc w:val="right"/>
              <w:ind w:right="100"/>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28.59</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80" w:type="dxa"/>
            <w:vAlign w:val="bottom"/>
          </w:tcPr>
          <w:p>
            <w:pPr>
              <w:spacing w:after="0"/>
              <w:rPr>
                <w:sz w:val="17"/>
                <w:szCs w:val="17"/>
                <w:color w:val="auto"/>
              </w:rPr>
            </w:pPr>
          </w:p>
        </w:tc>
        <w:tc>
          <w:tcPr>
            <w:tcW w:w="44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Forfeited</w:t>
            </w:r>
          </w:p>
        </w:tc>
        <w:tc>
          <w:tcPr>
            <w:tcW w:w="14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70.59</w:t>
            </w:r>
          </w:p>
        </w:tc>
        <w:tc>
          <w:tcPr>
            <w:tcW w:w="2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5000" w:type="dxa"/>
            <w:vAlign w:val="bottom"/>
            <w:gridSpan w:val="2"/>
          </w:tcPr>
          <w:p>
            <w:pPr>
              <w:ind w:left="560"/>
              <w:spacing w:after="0"/>
              <w:rPr>
                <w:sz w:val="20"/>
                <w:szCs w:val="20"/>
                <w:color w:val="auto"/>
              </w:rPr>
            </w:pPr>
            <w:r>
              <w:rPr>
                <w:rFonts w:ascii="Arial" w:cs="Arial" w:eastAsia="Arial" w:hAnsi="Arial"/>
                <w:sz w:val="16"/>
                <w:szCs w:val="16"/>
                <w:b w:val="1"/>
                <w:bCs w:val="1"/>
                <w:color w:val="auto"/>
              </w:rPr>
              <w:t>Outstanding as of March 31, 2019</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2,932</w:t>
            </w:r>
          </w:p>
        </w:tc>
        <w:tc>
          <w:tcPr>
            <w:tcW w:w="140" w:type="dxa"/>
            <w:vAlign w:val="bottom"/>
          </w:tcPr>
          <w:p>
            <w:pPr>
              <w:spacing w:after="0"/>
              <w:rPr>
                <w:sz w:val="20"/>
                <w:szCs w:val="20"/>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45.17</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7.2</w:t>
            </w:r>
          </w:p>
        </w:tc>
        <w:tc>
          <w:tcPr>
            <w:tcW w:w="3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148,329</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580" w:type="dxa"/>
            <w:vAlign w:val="bottom"/>
          </w:tcPr>
          <w:p>
            <w:pPr>
              <w:spacing w:after="0"/>
              <w:rPr>
                <w:sz w:val="15"/>
                <w:szCs w:val="15"/>
                <w:color w:val="auto"/>
              </w:rPr>
            </w:pPr>
          </w:p>
        </w:tc>
        <w:tc>
          <w:tcPr>
            <w:tcW w:w="4420" w:type="dxa"/>
            <w:vAlign w:val="bottom"/>
            <w:tcBorders>
              <w:top w:val="single" w:sz="8" w:color="CFF2FC"/>
              <w:bottom w:val="single" w:sz="8" w:color="CFF2FC"/>
            </w:tcBorders>
            <w:shd w:val="clear" w:color="auto" w:fill="CFF2FC"/>
          </w:tcPr>
          <w:p>
            <w:pPr>
              <w:spacing w:after="0" w:line="176" w:lineRule="exact"/>
              <w:rPr>
                <w:sz w:val="20"/>
                <w:szCs w:val="20"/>
                <w:color w:val="auto"/>
              </w:rPr>
            </w:pPr>
            <w:r>
              <w:rPr>
                <w:rFonts w:ascii="Arial" w:cs="Arial" w:eastAsia="Arial" w:hAnsi="Arial"/>
                <w:sz w:val="16"/>
                <w:szCs w:val="16"/>
                <w:b w:val="1"/>
                <w:bCs w:val="1"/>
                <w:color w:val="auto"/>
              </w:rPr>
              <w:t>Options vested and expected to vest as of March 31, 2019</w:t>
            </w:r>
          </w:p>
        </w:tc>
        <w:tc>
          <w:tcPr>
            <w:tcW w:w="1320" w:type="dxa"/>
            <w:vAlign w:val="bottom"/>
            <w:tcBorders>
              <w:top w:val="single" w:sz="8" w:color="auto"/>
              <w:bottom w:val="single" w:sz="8" w:color="auto"/>
            </w:tcBorders>
            <w:shd w:val="clear" w:color="auto" w:fill="CFF2FC"/>
          </w:tcPr>
          <w:p>
            <w:pPr>
              <w:jc w:val="right"/>
              <w:spacing w:after="0" w:line="177" w:lineRule="exact"/>
              <w:rPr>
                <w:sz w:val="20"/>
                <w:szCs w:val="20"/>
                <w:color w:val="auto"/>
              </w:rPr>
            </w:pPr>
            <w:r>
              <w:rPr>
                <w:rFonts w:ascii="Arial" w:cs="Arial" w:eastAsia="Arial" w:hAnsi="Arial"/>
                <w:sz w:val="16"/>
                <w:szCs w:val="16"/>
                <w:color w:val="auto"/>
              </w:rPr>
              <w:t>2,932</w:t>
            </w:r>
          </w:p>
        </w:tc>
        <w:tc>
          <w:tcPr>
            <w:tcW w:w="140" w:type="dxa"/>
            <w:vAlign w:val="bottom"/>
            <w:tcBorders>
              <w:top w:val="single" w:sz="8" w:color="CFF2FC"/>
              <w:bottom w:val="single" w:sz="8" w:color="CFF2FC"/>
            </w:tcBorders>
            <w:shd w:val="clear" w:color="auto" w:fill="CFF2FC"/>
          </w:tcPr>
          <w:p>
            <w:pPr>
              <w:spacing w:after="0"/>
              <w:rPr>
                <w:sz w:val="15"/>
                <w:szCs w:val="15"/>
                <w:color w:val="auto"/>
              </w:rPr>
            </w:pPr>
          </w:p>
        </w:tc>
        <w:tc>
          <w:tcPr>
            <w:tcW w:w="320" w:type="dxa"/>
            <w:vAlign w:val="bottom"/>
            <w:tcBorders>
              <w:top w:val="single" w:sz="8" w:color="CFF2FC"/>
              <w:bottom w:val="single" w:sz="8" w:color="CFF2FC"/>
            </w:tcBorders>
            <w:gridSpan w:val="2"/>
            <w:shd w:val="clear" w:color="auto" w:fill="CFF2FC"/>
          </w:tcPr>
          <w:p>
            <w:pPr>
              <w:jc w:val="right"/>
              <w:ind w:right="140"/>
              <w:spacing w:after="0" w:line="176" w:lineRule="exact"/>
              <w:rPr>
                <w:sz w:val="20"/>
                <w:szCs w:val="20"/>
                <w:color w:val="auto"/>
              </w:rPr>
            </w:pPr>
            <w:r>
              <w:rPr>
                <w:rFonts w:ascii="Arial" w:cs="Arial" w:eastAsia="Arial" w:hAnsi="Arial"/>
                <w:sz w:val="16"/>
                <w:szCs w:val="16"/>
                <w:color w:val="auto"/>
              </w:rPr>
              <w:t>$</w:t>
            </w:r>
          </w:p>
        </w:tc>
        <w:tc>
          <w:tcPr>
            <w:tcW w:w="1020" w:type="dxa"/>
            <w:vAlign w:val="bottom"/>
            <w:tcBorders>
              <w:top w:val="single" w:sz="8" w:color="CFF2FC"/>
              <w:bottom w:val="single" w:sz="8" w:color="CFF2FC"/>
            </w:tcBorders>
            <w:shd w:val="clear" w:color="auto" w:fill="CFF2FC"/>
          </w:tcPr>
          <w:p>
            <w:pPr>
              <w:jc w:val="right"/>
              <w:spacing w:after="0" w:line="176" w:lineRule="exact"/>
              <w:rPr>
                <w:sz w:val="20"/>
                <w:szCs w:val="20"/>
                <w:color w:val="auto"/>
              </w:rPr>
            </w:pPr>
            <w:r>
              <w:rPr>
                <w:rFonts w:ascii="Arial" w:cs="Arial" w:eastAsia="Arial" w:hAnsi="Arial"/>
                <w:sz w:val="16"/>
                <w:szCs w:val="16"/>
                <w:color w:val="auto"/>
              </w:rPr>
              <w:t>45.17</w:t>
            </w:r>
          </w:p>
        </w:tc>
        <w:tc>
          <w:tcPr>
            <w:tcW w:w="240" w:type="dxa"/>
            <w:vAlign w:val="bottom"/>
            <w:tcBorders>
              <w:top w:val="single" w:sz="8" w:color="CFF2FC"/>
              <w:bottom w:val="single" w:sz="8" w:color="CFF2FC"/>
            </w:tcBorders>
            <w:shd w:val="clear" w:color="auto" w:fill="CFF2FC"/>
          </w:tcPr>
          <w:p>
            <w:pPr>
              <w:spacing w:after="0"/>
              <w:rPr>
                <w:sz w:val="15"/>
                <w:szCs w:val="15"/>
                <w:color w:val="auto"/>
              </w:rPr>
            </w:pPr>
          </w:p>
        </w:tc>
        <w:tc>
          <w:tcPr>
            <w:tcW w:w="1240" w:type="dxa"/>
            <w:vAlign w:val="bottom"/>
            <w:tcBorders>
              <w:top w:val="single" w:sz="8" w:color="CFF2FC"/>
              <w:bottom w:val="single" w:sz="8" w:color="CFF2FC"/>
            </w:tcBorders>
            <w:shd w:val="clear" w:color="auto" w:fill="CFF2FC"/>
          </w:tcPr>
          <w:p>
            <w:pPr>
              <w:jc w:val="right"/>
              <w:spacing w:after="0" w:line="176" w:lineRule="exact"/>
              <w:rPr>
                <w:sz w:val="20"/>
                <w:szCs w:val="20"/>
                <w:color w:val="auto"/>
              </w:rPr>
            </w:pPr>
            <w:r>
              <w:rPr>
                <w:rFonts w:ascii="Arial" w:cs="Arial" w:eastAsia="Arial" w:hAnsi="Arial"/>
                <w:sz w:val="16"/>
                <w:szCs w:val="16"/>
                <w:color w:val="auto"/>
              </w:rPr>
              <w:t>7.2</w:t>
            </w:r>
          </w:p>
        </w:tc>
        <w:tc>
          <w:tcPr>
            <w:tcW w:w="380" w:type="dxa"/>
            <w:vAlign w:val="bottom"/>
            <w:tcBorders>
              <w:top w:val="single" w:sz="8" w:color="CFF2FC"/>
              <w:bottom w:val="single" w:sz="8" w:color="CFF2FC"/>
            </w:tcBorders>
            <w:gridSpan w:val="2"/>
            <w:shd w:val="clear" w:color="auto" w:fill="CFF2FC"/>
          </w:tcPr>
          <w:p>
            <w:pPr>
              <w:jc w:val="right"/>
              <w:ind w:right="60"/>
              <w:spacing w:after="0" w:line="176" w:lineRule="exact"/>
              <w:rPr>
                <w:sz w:val="20"/>
                <w:szCs w:val="20"/>
                <w:color w:val="auto"/>
              </w:rPr>
            </w:pPr>
            <w:r>
              <w:rPr>
                <w:rFonts w:ascii="Arial" w:cs="Arial" w:eastAsia="Arial" w:hAnsi="Arial"/>
                <w:sz w:val="16"/>
                <w:szCs w:val="16"/>
                <w:color w:val="auto"/>
              </w:rPr>
              <w:t>$</w:t>
            </w:r>
          </w:p>
        </w:tc>
        <w:tc>
          <w:tcPr>
            <w:tcW w:w="1120" w:type="dxa"/>
            <w:vAlign w:val="bottom"/>
            <w:tcBorders>
              <w:top w:val="single" w:sz="8" w:color="CFF2FC"/>
              <w:bottom w:val="single" w:sz="8" w:color="CFF2FC"/>
            </w:tcBorders>
            <w:shd w:val="clear" w:color="auto" w:fill="CFF2FC"/>
          </w:tcPr>
          <w:p>
            <w:pPr>
              <w:jc w:val="right"/>
              <w:spacing w:after="0" w:line="176" w:lineRule="exact"/>
              <w:rPr>
                <w:sz w:val="20"/>
                <w:szCs w:val="20"/>
                <w:color w:val="auto"/>
              </w:rPr>
            </w:pPr>
            <w:r>
              <w:rPr>
                <w:rFonts w:ascii="Arial" w:cs="Arial" w:eastAsia="Arial" w:hAnsi="Arial"/>
                <w:sz w:val="16"/>
                <w:szCs w:val="16"/>
                <w:color w:val="auto"/>
              </w:rPr>
              <w:t>148,329</w:t>
            </w:r>
          </w:p>
        </w:tc>
        <w:tc>
          <w:tcPr>
            <w:tcW w:w="80" w:type="dxa"/>
            <w:vAlign w:val="bottom"/>
            <w:tcBorders>
              <w:top w:val="single" w:sz="8" w:color="CFF2FC"/>
              <w:bottom w:val="single" w:sz="8" w:color="CFF2FC"/>
            </w:tcBorders>
            <w:shd w:val="clear" w:color="auto" w:fill="CFF2FC"/>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ind w:left="560"/>
              <w:spacing w:after="0"/>
              <w:rPr>
                <w:sz w:val="20"/>
                <w:szCs w:val="20"/>
                <w:color w:val="auto"/>
              </w:rPr>
            </w:pPr>
            <w:r>
              <w:rPr>
                <w:rFonts w:ascii="Arial" w:cs="Arial" w:eastAsia="Arial" w:hAnsi="Arial"/>
                <w:sz w:val="16"/>
                <w:szCs w:val="16"/>
                <w:b w:val="1"/>
                <w:bCs w:val="1"/>
                <w:color w:val="auto"/>
              </w:rPr>
              <w:t>Options exercisable as of March 31, 2019</w:t>
            </w: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34.47</w:t>
            </w:r>
          </w:p>
        </w:tc>
        <w:tc>
          <w:tcPr>
            <w:tcW w:w="240" w:type="dxa"/>
            <w:vAlign w:val="bottom"/>
          </w:tcPr>
          <w:p>
            <w:pPr>
              <w:spacing w:after="0" w:line="20" w:lineRule="exact"/>
              <w:rPr>
                <w:sz w:val="1"/>
                <w:szCs w:val="1"/>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6.1</w:t>
            </w:r>
          </w:p>
        </w:tc>
        <w:tc>
          <w:tcPr>
            <w:tcW w:w="38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105,171</w:t>
            </w: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000" w:type="dxa"/>
            <w:vAlign w:val="bottom"/>
            <w:gridSpan w:val="2"/>
            <w:vMerge w:val="continue"/>
          </w:tcPr>
          <w:p>
            <w:pPr>
              <w:spacing w:after="0"/>
              <w:rPr>
                <w:sz w:val="15"/>
                <w:szCs w:val="15"/>
                <w:color w:val="auto"/>
              </w:rPr>
            </w:pPr>
          </w:p>
        </w:tc>
        <w:tc>
          <w:tcPr>
            <w:tcW w:w="1320" w:type="dxa"/>
            <w:vAlign w:val="bottom"/>
            <w:tcBorders>
              <w:bottom w:val="single" w:sz="8" w:color="auto"/>
            </w:tcBorders>
          </w:tcPr>
          <w:p>
            <w:pPr>
              <w:jc w:val="right"/>
              <w:spacing w:after="0" w:line="177" w:lineRule="exact"/>
              <w:rPr>
                <w:sz w:val="20"/>
                <w:szCs w:val="20"/>
                <w:color w:val="auto"/>
              </w:rPr>
            </w:pPr>
            <w:r>
              <w:rPr>
                <w:rFonts w:ascii="Arial" w:cs="Arial" w:eastAsia="Arial" w:hAnsi="Arial"/>
                <w:sz w:val="16"/>
                <w:szCs w:val="16"/>
                <w:color w:val="auto"/>
              </w:rPr>
              <w:t>1,722</w:t>
            </w:r>
          </w:p>
        </w:tc>
        <w:tc>
          <w:tcPr>
            <w:tcW w:w="140" w:type="dxa"/>
            <w:vAlign w:val="bottom"/>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380" w:type="dxa"/>
            <w:vAlign w:val="bottom"/>
            <w:gridSpan w:val="2"/>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58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320" w:type="dxa"/>
            <w:vAlign w:val="bottom"/>
          </w:tcPr>
          <w:p>
            <w:pPr>
              <w:jc w:val="right"/>
              <w:ind w:right="447"/>
              <w:spacing w:after="0"/>
              <w:rPr>
                <w:sz w:val="20"/>
                <w:szCs w:val="20"/>
                <w:color w:val="auto"/>
              </w:rPr>
            </w:pPr>
            <w:r>
              <w:rPr>
                <w:rFonts w:ascii="Arial" w:cs="Arial" w:eastAsia="Arial" w:hAnsi="Arial"/>
                <w:sz w:val="16"/>
                <w:szCs w:val="16"/>
                <w:color w:val="auto"/>
              </w:rPr>
              <w:t>13</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580" w:type="dxa"/>
            <w:vAlign w:val="bottom"/>
            <w:tcBorders>
              <w:bottom w:val="single" w:sz="8" w:color="9A9A9A"/>
            </w:tcBorders>
          </w:tcPr>
          <w:p>
            <w:pPr>
              <w:spacing w:after="0"/>
              <w:rPr>
                <w:sz w:val="8"/>
                <w:szCs w:val="8"/>
                <w:color w:val="auto"/>
              </w:rPr>
            </w:pPr>
          </w:p>
        </w:tc>
        <w:tc>
          <w:tcPr>
            <w:tcW w:w="442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-27305</wp:posOffset>
            </wp:positionV>
            <wp:extent cx="33020"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5"/>
          </w:cols>
          <w:pgMar w:left="235" w:top="502" w:right="19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color w:val="auto"/>
        </w:rPr>
        <w:t>Market and Performance-Based Stock Unit Awards</w:t>
      </w:r>
    </w:p>
    <w:p>
      <w:pPr>
        <w:spacing w:after="0" w:line="199" w:lineRule="exact"/>
        <w:rPr>
          <w:sz w:val="20"/>
          <w:szCs w:val="20"/>
          <w:color w:val="auto"/>
        </w:rPr>
      </w:pPr>
    </w:p>
    <w:p>
      <w:pPr>
        <w:ind w:right="40"/>
        <w:spacing w:after="0" w:line="282" w:lineRule="auto"/>
        <w:rPr>
          <w:sz w:val="20"/>
          <w:szCs w:val="20"/>
          <w:color w:val="auto"/>
        </w:rPr>
      </w:pPr>
      <w:r>
        <w:rPr>
          <w:rFonts w:ascii="Arial" w:cs="Arial" w:eastAsia="Arial" w:hAnsi="Arial"/>
          <w:sz w:val="15"/>
          <w:szCs w:val="15"/>
          <w:color w:val="auto"/>
        </w:rPr>
        <w:t>The Company awards both performance share units, or PSUs, and relative total stockholder return units, or rTSRUs, to its executive officers. The number of units represents the target number of shares of common stock that may be earned; however, the actual number of shares that may be earned ranges from 0% to 200% of the target number. The following table summarizes PSU and rTSRU activity based on the targeted number of shares for the year-to-date period ending March 31, 2019:</w:t>
      </w:r>
    </w:p>
    <w:p>
      <w:pPr>
        <w:spacing w:after="0" w:line="225" w:lineRule="exact"/>
        <w:rPr>
          <w:sz w:val="20"/>
          <w:szCs w:val="20"/>
          <w:color w:val="auto"/>
        </w:rPr>
      </w:pPr>
    </w:p>
    <w:tbl>
      <w:tblPr>
        <w:tblLayout w:type="fixed"/>
        <w:tblInd w:w="56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PSUs</w:t>
            </w:r>
          </w:p>
        </w:tc>
        <w:tc>
          <w:tcPr>
            <w:tcW w:w="8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rTSRUs</w:t>
            </w:r>
          </w:p>
        </w:tc>
        <w:tc>
          <w:tcPr>
            <w:tcW w:w="11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4420" w:type="dxa"/>
            <w:vAlign w:val="bottom"/>
          </w:tcPr>
          <w:p>
            <w:pPr>
              <w:spacing w:after="0"/>
              <w:rPr>
                <w:sz w:val="9"/>
                <w:szCs w:val="9"/>
                <w:color w:val="auto"/>
              </w:rPr>
            </w:pPr>
          </w:p>
        </w:tc>
        <w:tc>
          <w:tcPr>
            <w:tcW w:w="9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gridSpan w:val="2"/>
          </w:tcPr>
          <w:p>
            <w:pPr>
              <w:jc w:val="center"/>
              <w:spacing w:after="0" w:line="114" w:lineRule="exact"/>
              <w:rPr>
                <w:sz w:val="20"/>
                <w:szCs w:val="20"/>
                <w:color w:val="auto"/>
              </w:rPr>
            </w:pPr>
            <w:r>
              <w:rPr>
                <w:rFonts w:ascii="Arial" w:cs="Arial" w:eastAsia="Arial" w:hAnsi="Arial"/>
                <w:sz w:val="13"/>
                <w:szCs w:val="13"/>
                <w:b w:val="1"/>
                <w:bCs w:val="1"/>
                <w:color w:val="auto"/>
                <w:w w:val="86"/>
              </w:rPr>
              <w:t>Weighted Average</w:t>
            </w: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jc w:val="center"/>
              <w:ind w:right="67"/>
              <w:spacing w:after="0" w:line="114" w:lineRule="exact"/>
              <w:rPr>
                <w:sz w:val="20"/>
                <w:szCs w:val="20"/>
                <w:color w:val="auto"/>
              </w:rPr>
            </w:pPr>
            <w:r>
              <w:rPr>
                <w:rFonts w:ascii="Arial" w:cs="Arial" w:eastAsia="Arial" w:hAnsi="Arial"/>
                <w:sz w:val="13"/>
                <w:szCs w:val="13"/>
                <w:b w:val="1"/>
                <w:bCs w:val="1"/>
                <w:color w:val="auto"/>
                <w:w w:val="86"/>
              </w:rPr>
              <w:t>Weighted Average</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960" w:type="dxa"/>
            <w:vAlign w:val="bottom"/>
            <w:vMerge w:val="restart"/>
          </w:tcPr>
          <w:p>
            <w:pPr>
              <w:ind w:left="460"/>
              <w:spacing w:after="0"/>
              <w:rPr>
                <w:sz w:val="20"/>
                <w:szCs w:val="20"/>
                <w:color w:val="auto"/>
              </w:rPr>
            </w:pPr>
            <w:r>
              <w:rPr>
                <w:rFonts w:ascii="Arial" w:cs="Arial" w:eastAsia="Arial" w:hAnsi="Arial"/>
                <w:sz w:val="13"/>
                <w:szCs w:val="13"/>
                <w:b w:val="1"/>
                <w:bCs w:val="1"/>
                <w:color w:val="auto"/>
              </w:rPr>
              <w:t>Shares</w:t>
            </w: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20" w:type="dxa"/>
            <w:vAlign w:val="bottom"/>
            <w:gridSpan w:val="4"/>
          </w:tcPr>
          <w:p>
            <w:pPr>
              <w:jc w:val="center"/>
              <w:ind w:right="1097"/>
              <w:spacing w:after="0" w:line="130" w:lineRule="exact"/>
              <w:rPr>
                <w:sz w:val="20"/>
                <w:szCs w:val="20"/>
                <w:color w:val="auto"/>
              </w:rPr>
            </w:pPr>
            <w:r>
              <w:rPr>
                <w:rFonts w:ascii="Arial" w:cs="Arial" w:eastAsia="Arial" w:hAnsi="Arial"/>
                <w:sz w:val="13"/>
                <w:szCs w:val="13"/>
                <w:b w:val="1"/>
                <w:bCs w:val="1"/>
                <w:color w:val="auto"/>
                <w:w w:val="91"/>
              </w:rPr>
              <w:t>Grant Date Fair</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jc w:val="center"/>
              <w:ind w:right="220"/>
              <w:spacing w:after="0" w:line="130" w:lineRule="exact"/>
              <w:rPr>
                <w:sz w:val="20"/>
                <w:szCs w:val="20"/>
                <w:color w:val="auto"/>
              </w:rPr>
            </w:pPr>
            <w:r>
              <w:rPr>
                <w:rFonts w:ascii="Arial" w:cs="Arial" w:eastAsia="Arial" w:hAnsi="Arial"/>
                <w:sz w:val="13"/>
                <w:szCs w:val="13"/>
                <w:b w:val="1"/>
                <w:bCs w:val="1"/>
                <w:color w:val="auto"/>
                <w:w w:val="91"/>
              </w:rPr>
              <w:t>Grant Date Fair</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left="352"/>
              <w:spacing w:after="0"/>
              <w:rPr>
                <w:sz w:val="20"/>
                <w:szCs w:val="20"/>
                <w:color w:val="auto"/>
              </w:rPr>
            </w:pPr>
            <w:r>
              <w:rPr>
                <w:rFonts w:ascii="Arial" w:cs="Arial" w:eastAsia="Arial" w:hAnsi="Arial"/>
                <w:sz w:val="13"/>
                <w:szCs w:val="13"/>
                <w:b w:val="1"/>
                <w:bCs w:val="1"/>
                <w:color w:val="auto"/>
                <w:w w:val="86"/>
              </w:rPr>
              <w:t>Value</w:t>
            </w: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ind w:left="420"/>
              <w:spacing w:after="0"/>
              <w:rPr>
                <w:sz w:val="20"/>
                <w:szCs w:val="20"/>
                <w:color w:val="auto"/>
              </w:rPr>
            </w:pPr>
            <w:r>
              <w:rPr>
                <w:rFonts w:ascii="Arial" w:cs="Arial" w:eastAsia="Arial" w:hAnsi="Arial"/>
                <w:sz w:val="13"/>
                <w:szCs w:val="13"/>
                <w:b w:val="1"/>
                <w:bCs w:val="1"/>
                <w:color w:val="auto"/>
              </w:rPr>
              <w:t>Shares</w:t>
            </w:r>
          </w:p>
        </w:tc>
        <w:tc>
          <w:tcPr>
            <w:tcW w:w="3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67"/>
              <w:spacing w:after="0"/>
              <w:rPr>
                <w:sz w:val="20"/>
                <w:szCs w:val="20"/>
                <w:color w:val="auto"/>
              </w:rPr>
            </w:pPr>
            <w:r>
              <w:rPr>
                <w:rFonts w:ascii="Arial" w:cs="Arial" w:eastAsia="Arial" w:hAnsi="Arial"/>
                <w:sz w:val="13"/>
                <w:szCs w:val="13"/>
                <w:b w:val="1"/>
                <w:bCs w:val="1"/>
                <w:color w:val="auto"/>
                <w:w w:val="86"/>
              </w:rPr>
              <w:t>Value</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540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Unvested at September 30, 2018</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20" w:type="dxa"/>
            <w:vAlign w:val="bottom"/>
            <w:gridSpan w:val="4"/>
          </w:tcPr>
          <w:p>
            <w:pPr>
              <w:ind w:left="340"/>
              <w:spacing w:after="0"/>
              <w:rPr>
                <w:sz w:val="20"/>
                <w:szCs w:val="20"/>
                <w:color w:val="auto"/>
              </w:rPr>
            </w:pPr>
            <w:r>
              <w:rPr>
                <w:rFonts w:ascii="Arial" w:cs="Arial" w:eastAsia="Arial" w:hAnsi="Arial"/>
                <w:sz w:val="13"/>
                <w:szCs w:val="13"/>
                <w:b w:val="1"/>
                <w:bCs w:val="1"/>
                <w:color w:val="auto"/>
                <w:w w:val="89"/>
              </w:rPr>
              <w:t>(in thousands, except per share data)</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400" w:type="dxa"/>
            <w:vAlign w:val="bottom"/>
            <w:gridSpan w:val="3"/>
            <w:vMerge w:val="continue"/>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70</w:t>
            </w:r>
          </w:p>
        </w:tc>
        <w:tc>
          <w:tcPr>
            <w:tcW w:w="220" w:type="dxa"/>
            <w:vAlign w:val="bottom"/>
          </w:tcPr>
          <w:p>
            <w:pPr>
              <w:spacing w:after="0"/>
              <w:rPr>
                <w:sz w:val="17"/>
                <w:szCs w:val="17"/>
                <w:color w:val="auto"/>
              </w:rPr>
            </w:pPr>
          </w:p>
        </w:tc>
        <w:tc>
          <w:tcPr>
            <w:tcW w:w="840" w:type="dxa"/>
            <w:vAlign w:val="bottom"/>
          </w:tcPr>
          <w:p>
            <w:pPr>
              <w:jc w:val="right"/>
              <w:ind w:right="672"/>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w w:val="94"/>
              </w:rPr>
              <w:t>50.97</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70</w:t>
            </w:r>
          </w:p>
        </w:tc>
        <w:tc>
          <w:tcPr>
            <w:tcW w:w="14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59.96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8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Granted</w:t>
            </w: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4"/>
              </w:rPr>
              <w:t>67.13</w:t>
            </w: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47.42</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380" w:type="dxa"/>
            <w:vAlign w:val="bottom"/>
            <w:gridSpan w:val="2"/>
          </w:tcPr>
          <w:p>
            <w:pPr>
              <w:ind w:left="200"/>
              <w:spacing w:after="0"/>
              <w:rPr>
                <w:sz w:val="20"/>
                <w:szCs w:val="20"/>
                <w:color w:val="auto"/>
              </w:rPr>
            </w:pPr>
            <w:r>
              <w:rPr>
                <w:rFonts w:ascii="Arial" w:cs="Arial" w:eastAsia="Arial" w:hAnsi="Arial"/>
                <w:sz w:val="16"/>
                <w:szCs w:val="16"/>
                <w:color w:val="auto"/>
              </w:rPr>
              <w:t>Vested</w:t>
            </w: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(36)</w:t>
            </w:r>
          </w:p>
        </w:tc>
        <w:tc>
          <w:tcPr>
            <w:tcW w:w="8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94"/>
              </w:rPr>
              <w:t>35.89</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6"/>
                <w:szCs w:val="16"/>
                <w:color w:val="auto"/>
              </w:rPr>
              <w:t>(45)</w:t>
            </w: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46.11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38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Cancelled</w:t>
            </w:r>
          </w:p>
        </w:tc>
        <w:tc>
          <w:tcPr>
            <w:tcW w:w="5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(9)</w:t>
            </w:r>
          </w:p>
        </w:tc>
        <w:tc>
          <w:tcPr>
            <w:tcW w:w="84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4"/>
              </w:rPr>
              <w:t>35.89</w:t>
            </w: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4440" w:type="dxa"/>
            <w:vAlign w:val="bottom"/>
            <w:gridSpan w:val="2"/>
          </w:tcPr>
          <w:p>
            <w:pPr>
              <w:spacing w:after="0"/>
              <w:rPr>
                <w:sz w:val="20"/>
                <w:szCs w:val="20"/>
                <w:color w:val="auto"/>
              </w:rPr>
            </w:pPr>
            <w:r>
              <w:rPr>
                <w:rFonts w:ascii="Arial" w:cs="Arial" w:eastAsia="Arial" w:hAnsi="Arial"/>
                <w:sz w:val="16"/>
                <w:szCs w:val="16"/>
                <w:b w:val="1"/>
                <w:bCs w:val="1"/>
                <w:color w:val="auto"/>
              </w:rPr>
              <w:t>Unvested at March 31, 2019</w:t>
            </w:r>
          </w:p>
        </w:tc>
        <w:tc>
          <w:tcPr>
            <w:tcW w:w="960" w:type="dxa"/>
            <w:vAlign w:val="bottom"/>
            <w:tcBorders>
              <w:top w:val="single" w:sz="8" w:color="auto"/>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220" w:type="dxa"/>
            <w:vAlign w:val="bottom"/>
          </w:tcPr>
          <w:p>
            <w:pPr>
              <w:spacing w:after="0"/>
              <w:rPr>
                <w:sz w:val="16"/>
                <w:szCs w:val="16"/>
                <w:color w:val="auto"/>
              </w:rPr>
            </w:pPr>
          </w:p>
        </w:tc>
        <w:tc>
          <w:tcPr>
            <w:tcW w:w="840" w:type="dxa"/>
            <w:vAlign w:val="bottom"/>
          </w:tcPr>
          <w:p>
            <w:pPr>
              <w:jc w:val="right"/>
              <w:ind w:right="672"/>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w w:val="94"/>
              </w:rPr>
              <w:t>73.03</w:t>
            </w:r>
          </w:p>
        </w:tc>
        <w:tc>
          <w:tcPr>
            <w:tcW w:w="240" w:type="dxa"/>
            <w:vAlign w:val="bottom"/>
          </w:tcPr>
          <w:p>
            <w:pPr>
              <w:spacing w:after="0"/>
              <w:rPr>
                <w:sz w:val="16"/>
                <w:szCs w:val="16"/>
                <w:color w:val="auto"/>
              </w:rPr>
            </w:pPr>
          </w:p>
        </w:tc>
        <w:tc>
          <w:tcPr>
            <w:tcW w:w="920" w:type="dxa"/>
            <w:vAlign w:val="bottom"/>
            <w:tcBorders>
              <w:top w:val="single" w:sz="8" w:color="auto"/>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4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67.80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5" w:lineRule="exact"/>
        <w:rPr>
          <w:sz w:val="20"/>
          <w:szCs w:val="20"/>
          <w:color w:val="auto"/>
        </w:rPr>
      </w:pPr>
    </w:p>
    <w:p>
      <w:pPr>
        <w:ind w:right="460"/>
        <w:spacing w:after="0" w:line="268" w:lineRule="auto"/>
        <w:rPr>
          <w:sz w:val="20"/>
          <w:szCs w:val="20"/>
          <w:color w:val="auto"/>
        </w:rPr>
      </w:pPr>
      <w:r>
        <w:rPr>
          <w:rFonts w:ascii="Arial" w:cs="Arial" w:eastAsia="Arial" w:hAnsi="Arial"/>
          <w:sz w:val="16"/>
          <w:szCs w:val="16"/>
          <w:color w:val="auto"/>
        </w:rPr>
        <w:t>During the six months ended March 31, 2019, a total of 80% of the target PSUs and 200% of the target rTSRUs granted in January 2017 vested, resulting in the issuance of an aggregate of 77 common shares, net of share withholding.</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Restricted Stock Units</w:t>
      </w:r>
    </w:p>
    <w:p>
      <w:pPr>
        <w:spacing w:after="0" w:line="199"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During the three months ended December 31, 2016, the Company awarded restricted stock units to its employees, which vest 50% in three years and 50% in four years, provided the employee remains employed with the Company at the time of vesting. The fair value per share of these awards is determined based on the intrinsic value of the stock on the date of grant and will be recognized as stock-based compensation expense over the requisite service period. The following table summarizes the restricted stock unit activity for the year-to-date period ending March 31, 2019:</w:t>
      </w:r>
    </w:p>
    <w:p>
      <w:pPr>
        <w:spacing w:after="0" w:line="153"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48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5"/>
              </w:rPr>
              <w:t>Weighted</w:t>
            </w:r>
          </w:p>
        </w:tc>
        <w:tc>
          <w:tcPr>
            <w:tcW w:w="0" w:type="dxa"/>
            <w:vAlign w:val="bottom"/>
          </w:tcPr>
          <w:p>
            <w:pPr>
              <w:spacing w:after="0"/>
              <w:rPr>
                <w:sz w:val="1"/>
                <w:szCs w:val="1"/>
                <w:color w:val="auto"/>
              </w:rPr>
            </w:pPr>
          </w:p>
        </w:tc>
      </w:tr>
      <w:tr>
        <w:trPr>
          <w:trHeight w:val="130"/>
        </w:trPr>
        <w:tc>
          <w:tcPr>
            <w:tcW w:w="4800" w:type="dxa"/>
            <w:vAlign w:val="bottom"/>
          </w:tcPr>
          <w:p>
            <w:pPr>
              <w:spacing w:after="0"/>
              <w:rPr>
                <w:sz w:val="11"/>
                <w:szCs w:val="11"/>
                <w:color w:val="auto"/>
              </w:rPr>
            </w:pPr>
          </w:p>
        </w:tc>
        <w:tc>
          <w:tcPr>
            <w:tcW w:w="1180" w:type="dxa"/>
            <w:vAlign w:val="bottom"/>
            <w:vMerge w:val="restart"/>
          </w:tcPr>
          <w:p>
            <w:pPr>
              <w:jc w:val="center"/>
              <w:ind w:left="197"/>
              <w:spacing w:after="0"/>
              <w:rPr>
                <w:sz w:val="20"/>
                <w:szCs w:val="20"/>
                <w:color w:val="auto"/>
              </w:rPr>
            </w:pPr>
            <w:r>
              <w:rPr>
                <w:rFonts w:ascii="Arial" w:cs="Arial" w:eastAsia="Arial" w:hAnsi="Arial"/>
                <w:sz w:val="13"/>
                <w:szCs w:val="13"/>
                <w:b w:val="1"/>
                <w:bCs w:val="1"/>
                <w:color w:val="auto"/>
                <w:w w:val="85"/>
              </w:rPr>
              <w:t>Restricted Stock</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gridSpan w:val="2"/>
          </w:tcPr>
          <w:p>
            <w:pPr>
              <w:jc w:val="center"/>
              <w:ind w:right="280"/>
              <w:spacing w:after="0" w:line="130" w:lineRule="exact"/>
              <w:rPr>
                <w:sz w:val="20"/>
                <w:szCs w:val="20"/>
                <w:color w:val="auto"/>
              </w:rPr>
            </w:pPr>
            <w:r>
              <w:rPr>
                <w:rFonts w:ascii="Arial" w:cs="Arial" w:eastAsia="Arial" w:hAnsi="Arial"/>
                <w:sz w:val="13"/>
                <w:szCs w:val="13"/>
                <w:b w:val="1"/>
                <w:bCs w:val="1"/>
                <w:color w:val="auto"/>
                <w:w w:val="89"/>
              </w:rPr>
              <w:t>Average Grant</w:t>
            </w:r>
          </w:p>
        </w:tc>
        <w:tc>
          <w:tcPr>
            <w:tcW w:w="0" w:type="dxa"/>
            <w:vAlign w:val="bottom"/>
          </w:tcPr>
          <w:p>
            <w:pPr>
              <w:spacing w:after="0"/>
              <w:rPr>
                <w:sz w:val="1"/>
                <w:szCs w:val="1"/>
                <w:color w:val="auto"/>
              </w:rPr>
            </w:pPr>
          </w:p>
        </w:tc>
      </w:tr>
      <w:tr>
        <w:trPr>
          <w:trHeight w:val="130"/>
        </w:trPr>
        <w:tc>
          <w:tcPr>
            <w:tcW w:w="480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gridSpan w:val="2"/>
          </w:tcPr>
          <w:p>
            <w:pPr>
              <w:jc w:val="center"/>
              <w:ind w:right="280"/>
              <w:spacing w:after="0" w:line="130" w:lineRule="exact"/>
              <w:rPr>
                <w:sz w:val="20"/>
                <w:szCs w:val="20"/>
                <w:color w:val="auto"/>
              </w:rPr>
            </w:pPr>
            <w:r>
              <w:rPr>
                <w:rFonts w:ascii="Arial" w:cs="Arial" w:eastAsia="Arial" w:hAnsi="Arial"/>
                <w:sz w:val="13"/>
                <w:szCs w:val="13"/>
                <w:b w:val="1"/>
                <w:bCs w:val="1"/>
                <w:color w:val="auto"/>
                <w:w w:val="93"/>
              </w:rPr>
              <w:t>Date Fair</w:t>
            </w:r>
          </w:p>
        </w:tc>
        <w:tc>
          <w:tcPr>
            <w:tcW w:w="0" w:type="dxa"/>
            <w:vAlign w:val="bottom"/>
          </w:tcPr>
          <w:p>
            <w:pPr>
              <w:spacing w:after="0"/>
              <w:rPr>
                <w:sz w:val="1"/>
                <w:szCs w:val="1"/>
                <w:color w:val="auto"/>
              </w:rPr>
            </w:pPr>
          </w:p>
        </w:tc>
      </w:tr>
      <w:tr>
        <w:trPr>
          <w:trHeight w:val="150"/>
        </w:trPr>
        <w:tc>
          <w:tcPr>
            <w:tcW w:w="4800" w:type="dxa"/>
            <w:vAlign w:val="bottom"/>
          </w:tcPr>
          <w:p>
            <w:pPr>
              <w:spacing w:after="0"/>
              <w:rPr>
                <w:sz w:val="13"/>
                <w:szCs w:val="13"/>
                <w:color w:val="auto"/>
              </w:rPr>
            </w:pPr>
          </w:p>
        </w:tc>
        <w:tc>
          <w:tcPr>
            <w:tcW w:w="1180" w:type="dxa"/>
            <w:vAlign w:val="bottom"/>
            <w:tcBorders>
              <w:bottom w:val="single" w:sz="8" w:color="auto"/>
            </w:tcBorders>
          </w:tcPr>
          <w:p>
            <w:pPr>
              <w:jc w:val="center"/>
              <w:ind w:left="197"/>
              <w:spacing w:after="0"/>
              <w:rPr>
                <w:sz w:val="20"/>
                <w:szCs w:val="20"/>
                <w:color w:val="auto"/>
              </w:rPr>
            </w:pPr>
            <w:r>
              <w:rPr>
                <w:rFonts w:ascii="Arial" w:cs="Arial" w:eastAsia="Arial" w:hAnsi="Arial"/>
                <w:sz w:val="13"/>
                <w:szCs w:val="13"/>
                <w:b w:val="1"/>
                <w:bCs w:val="1"/>
                <w:color w:val="auto"/>
                <w:w w:val="86"/>
              </w:rPr>
              <w:t>Units</w:t>
            </w:r>
          </w:p>
        </w:tc>
        <w:tc>
          <w:tcPr>
            <w:tcW w:w="3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right="148"/>
              <w:spacing w:after="0"/>
              <w:rPr>
                <w:sz w:val="20"/>
                <w:szCs w:val="20"/>
                <w:color w:val="auto"/>
              </w:rPr>
            </w:pPr>
            <w:r>
              <w:rPr>
                <w:rFonts w:ascii="Arial" w:cs="Arial" w:eastAsia="Arial" w:hAnsi="Arial"/>
                <w:sz w:val="13"/>
                <w:szCs w:val="13"/>
                <w:b w:val="1"/>
                <w:bCs w:val="1"/>
                <w:color w:val="auto"/>
                <w:w w:val="86"/>
              </w:rPr>
              <w:t>Value</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4800" w:type="dxa"/>
            <w:vAlign w:val="bottom"/>
          </w:tcPr>
          <w:p>
            <w:pPr>
              <w:spacing w:after="0"/>
              <w:rPr>
                <w:sz w:val="17"/>
                <w:szCs w:val="17"/>
                <w:color w:val="auto"/>
              </w:rPr>
            </w:pPr>
          </w:p>
        </w:tc>
        <w:tc>
          <w:tcPr>
            <w:tcW w:w="3200" w:type="dxa"/>
            <w:vAlign w:val="bottom"/>
            <w:gridSpan w:val="6"/>
          </w:tcPr>
          <w:p>
            <w:pPr>
              <w:ind w:left="560"/>
              <w:spacing w:after="0"/>
              <w:rPr>
                <w:sz w:val="20"/>
                <w:szCs w:val="20"/>
                <w:color w:val="auto"/>
              </w:rPr>
            </w:pPr>
            <w:r>
              <w:rPr>
                <w:rFonts w:ascii="Arial" w:cs="Arial" w:eastAsia="Arial" w:hAnsi="Arial"/>
                <w:sz w:val="13"/>
                <w:szCs w:val="13"/>
                <w:b w:val="1"/>
                <w:bCs w:val="1"/>
                <w:color w:val="auto"/>
              </w:rPr>
              <w:t>(in thousands, except per share data)</w:t>
            </w:r>
          </w:p>
        </w:tc>
        <w:tc>
          <w:tcPr>
            <w:tcW w:w="0" w:type="dxa"/>
            <w:vAlign w:val="bottom"/>
          </w:tcPr>
          <w:p>
            <w:pPr>
              <w:spacing w:after="0"/>
              <w:rPr>
                <w:sz w:val="1"/>
                <w:szCs w:val="1"/>
                <w:color w:val="auto"/>
              </w:rPr>
            </w:pPr>
          </w:p>
        </w:tc>
      </w:tr>
      <w:tr>
        <w:trPr>
          <w:trHeight w:val="205"/>
        </w:trPr>
        <w:tc>
          <w:tcPr>
            <w:tcW w:w="5980" w:type="dxa"/>
            <w:vAlign w:val="bottom"/>
            <w:gridSpan w:val="2"/>
          </w:tcPr>
          <w:p>
            <w:pPr>
              <w:spacing w:after="0"/>
              <w:rPr>
                <w:sz w:val="20"/>
                <w:szCs w:val="20"/>
                <w:color w:val="auto"/>
              </w:rPr>
            </w:pPr>
            <w:r>
              <w:rPr>
                <w:rFonts w:ascii="Arial" w:cs="Arial" w:eastAsia="Arial" w:hAnsi="Arial"/>
                <w:sz w:val="16"/>
                <w:szCs w:val="16"/>
                <w:b w:val="1"/>
                <w:bCs w:val="1"/>
                <w:color w:val="auto"/>
              </w:rPr>
              <w:t>Unvested at September 30, 2018</w:t>
            </w:r>
          </w:p>
        </w:tc>
        <w:tc>
          <w:tcPr>
            <w:tcW w:w="300" w:type="dxa"/>
            <w:vAlign w:val="bottom"/>
          </w:tcPr>
          <w:p>
            <w:pPr>
              <w:jc w:val="right"/>
              <w:spacing w:after="0"/>
              <w:rPr>
                <w:sz w:val="20"/>
                <w:szCs w:val="20"/>
                <w:color w:val="auto"/>
              </w:rPr>
            </w:pPr>
            <w:r>
              <w:rPr>
                <w:rFonts w:ascii="Arial" w:cs="Arial" w:eastAsia="Arial" w:hAnsi="Arial"/>
                <w:sz w:val="16"/>
                <w:szCs w:val="16"/>
                <w:color w:val="auto"/>
                <w:w w:val="97"/>
              </w:rPr>
              <w:t>109</w:t>
            </w:r>
          </w:p>
        </w:tc>
        <w:tc>
          <w:tcPr>
            <w:tcW w:w="120" w:type="dxa"/>
            <w:vAlign w:val="bottom"/>
          </w:tcPr>
          <w:p>
            <w:pPr>
              <w:spacing w:after="0"/>
              <w:rPr>
                <w:sz w:val="17"/>
                <w:szCs w:val="17"/>
                <w:color w:val="auto"/>
              </w:rPr>
            </w:pPr>
          </w:p>
        </w:tc>
        <w:tc>
          <w:tcPr>
            <w:tcW w:w="2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30.00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98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Granted</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5980" w:type="dxa"/>
            <w:vAlign w:val="bottom"/>
            <w:gridSpan w:val="2"/>
          </w:tcPr>
          <w:p>
            <w:pPr>
              <w:ind w:left="220"/>
              <w:spacing w:after="0"/>
              <w:rPr>
                <w:sz w:val="20"/>
                <w:szCs w:val="20"/>
                <w:color w:val="auto"/>
              </w:rPr>
            </w:pPr>
            <w:r>
              <w:rPr>
                <w:rFonts w:ascii="Arial" w:cs="Arial" w:eastAsia="Arial" w:hAnsi="Arial"/>
                <w:sz w:val="16"/>
                <w:szCs w:val="16"/>
                <w:color w:val="auto"/>
              </w:rPr>
              <w:t>Vested</w:t>
            </w:r>
          </w:p>
        </w:tc>
        <w:tc>
          <w:tcPr>
            <w:tcW w:w="4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598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Cancelled</w:t>
            </w: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w:t>
            </w:r>
          </w:p>
        </w:tc>
        <w:tc>
          <w:tcPr>
            <w:tcW w:w="2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30.00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800" w:type="dxa"/>
            <w:vAlign w:val="bottom"/>
          </w:tcPr>
          <w:p>
            <w:pPr>
              <w:spacing w:after="0"/>
              <w:rPr>
                <w:sz w:val="20"/>
                <w:szCs w:val="20"/>
                <w:color w:val="auto"/>
              </w:rPr>
            </w:pPr>
            <w:r>
              <w:rPr>
                <w:rFonts w:ascii="Arial" w:cs="Arial" w:eastAsia="Arial" w:hAnsi="Arial"/>
                <w:sz w:val="16"/>
                <w:szCs w:val="16"/>
                <w:b w:val="1"/>
                <w:bCs w:val="1"/>
                <w:color w:val="auto"/>
              </w:rPr>
              <w:t>Unvested at March 31, 2019</w:t>
            </w:r>
          </w:p>
        </w:tc>
        <w:tc>
          <w:tcPr>
            <w:tcW w:w="1180" w:type="dxa"/>
            <w:vAlign w:val="bottom"/>
            <w:tcBorders>
              <w:top w:val="single" w:sz="8" w:color="auto"/>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7"/>
              </w:rPr>
              <w:t>108</w:t>
            </w:r>
          </w:p>
        </w:tc>
        <w:tc>
          <w:tcPr>
            <w:tcW w:w="120" w:type="dxa"/>
            <w:vAlign w:val="bottom"/>
          </w:tcPr>
          <w:p>
            <w:pPr>
              <w:spacing w:after="0"/>
              <w:rPr>
                <w:sz w:val="16"/>
                <w:szCs w:val="16"/>
                <w:color w:val="auto"/>
              </w:rPr>
            </w:pPr>
          </w:p>
        </w:tc>
        <w:tc>
          <w:tcPr>
            <w:tcW w:w="2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30.00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Stock-Based Compensation Expense</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During the six months ended March 31, 2019 and 2018, the Company recognized the following stock-based compensation expense:</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17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20" w:type="dxa"/>
            <w:vAlign w:val="bottom"/>
            <w:gridSpan w:val="4"/>
          </w:tcPr>
          <w:p>
            <w:pPr>
              <w:jc w:val="center"/>
              <w:ind w:left="272"/>
              <w:spacing w:after="0"/>
              <w:rPr>
                <w:sz w:val="20"/>
                <w:szCs w:val="20"/>
                <w:color w:val="auto"/>
              </w:rPr>
            </w:pPr>
            <w:r>
              <w:rPr>
                <w:rFonts w:ascii="Arial" w:cs="Arial" w:eastAsia="Arial" w:hAnsi="Arial"/>
                <w:sz w:val="13"/>
                <w:szCs w:val="13"/>
                <w:b w:val="1"/>
                <w:bCs w:val="1"/>
                <w:color w:val="auto"/>
                <w:w w:val="88"/>
              </w:rPr>
              <w:t>Three Months ended</w:t>
            </w: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0" w:type="dxa"/>
            <w:vAlign w:val="bottom"/>
            <w:gridSpan w:val="5"/>
          </w:tcPr>
          <w:p>
            <w:pPr>
              <w:ind w:left="340"/>
              <w:spacing w:after="0"/>
              <w:rPr>
                <w:sz w:val="20"/>
                <w:szCs w:val="20"/>
                <w:color w:val="auto"/>
              </w:rPr>
            </w:pPr>
            <w:r>
              <w:rPr>
                <w:rFonts w:ascii="Arial" w:cs="Arial" w:eastAsia="Arial" w:hAnsi="Arial"/>
                <w:sz w:val="13"/>
                <w:szCs w:val="13"/>
                <w:b w:val="1"/>
                <w:bCs w:val="1"/>
                <w:color w:val="auto"/>
              </w:rPr>
              <w:t>Six Months Ended</w:t>
            </w:r>
          </w:p>
        </w:tc>
        <w:tc>
          <w:tcPr>
            <w:tcW w:w="1740" w:type="dxa"/>
            <w:vAlign w:val="bottom"/>
          </w:tcPr>
          <w:p>
            <w:pPr>
              <w:spacing w:after="0"/>
              <w:rPr>
                <w:sz w:val="13"/>
                <w:szCs w:val="13"/>
                <w:color w:val="auto"/>
              </w:rPr>
            </w:pPr>
          </w:p>
        </w:tc>
      </w:tr>
      <w:tr>
        <w:trPr>
          <w:trHeight w:val="150"/>
        </w:trPr>
        <w:tc>
          <w:tcPr>
            <w:tcW w:w="17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jc w:val="center"/>
              <w:ind w:right="247"/>
              <w:spacing w:after="0"/>
              <w:rPr>
                <w:sz w:val="20"/>
                <w:szCs w:val="20"/>
                <w:color w:val="auto"/>
              </w:rPr>
            </w:pPr>
            <w:r>
              <w:rPr>
                <w:rFonts w:ascii="Arial" w:cs="Arial" w:eastAsia="Arial" w:hAnsi="Arial"/>
                <w:sz w:val="13"/>
                <w:szCs w:val="13"/>
                <w:b w:val="1"/>
                <w:bCs w:val="1"/>
                <w:color w:val="auto"/>
                <w:w w:val="93"/>
              </w:rPr>
              <w:t>March 31,</w:t>
            </w:r>
          </w:p>
        </w:tc>
        <w:tc>
          <w:tcPr>
            <w:tcW w:w="3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3"/>
                <w:szCs w:val="13"/>
                <w:b w:val="1"/>
                <w:bCs w:val="1"/>
                <w:color w:val="auto"/>
              </w:rPr>
              <w:t>March 31,</w:t>
            </w:r>
          </w:p>
        </w:tc>
        <w:tc>
          <w:tcPr>
            <w:tcW w:w="7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146"/>
        </w:trPr>
        <w:tc>
          <w:tcPr>
            <w:tcW w:w="17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520" w:type="dxa"/>
            <w:vAlign w:val="bottom"/>
            <w:gridSpan w:val="2"/>
          </w:tcPr>
          <w:p>
            <w:pPr>
              <w:jc w:val="right"/>
              <w:spacing w:after="0" w:line="146" w:lineRule="exact"/>
              <w:rPr>
                <w:sz w:val="20"/>
                <w:szCs w:val="20"/>
                <w:color w:val="auto"/>
              </w:rPr>
            </w:pPr>
            <w:r>
              <w:rPr>
                <w:rFonts w:ascii="Arial" w:cs="Arial" w:eastAsia="Arial" w:hAnsi="Arial"/>
                <w:sz w:val="13"/>
                <w:szCs w:val="13"/>
                <w:b w:val="1"/>
                <w:bCs w:val="1"/>
                <w:color w:val="auto"/>
              </w:rPr>
              <w:t>2019</w:t>
            </w:r>
          </w:p>
        </w:tc>
        <w:tc>
          <w:tcPr>
            <w:tcW w:w="380" w:type="dxa"/>
            <w:vAlign w:val="bottom"/>
          </w:tcPr>
          <w:p>
            <w:pPr>
              <w:spacing w:after="0"/>
              <w:rPr>
                <w:sz w:val="12"/>
                <w:szCs w:val="12"/>
                <w:color w:val="auto"/>
              </w:rPr>
            </w:pPr>
          </w:p>
        </w:tc>
        <w:tc>
          <w:tcPr>
            <w:tcW w:w="780" w:type="dxa"/>
            <w:vAlign w:val="bottom"/>
            <w:gridSpan w:val="2"/>
          </w:tcPr>
          <w:p>
            <w:pPr>
              <w:jc w:val="right"/>
              <w:spacing w:after="0" w:line="146" w:lineRule="exact"/>
              <w:rPr>
                <w:sz w:val="20"/>
                <w:szCs w:val="20"/>
                <w:color w:val="auto"/>
              </w:rPr>
            </w:pPr>
            <w:r>
              <w:rPr>
                <w:rFonts w:ascii="Arial" w:cs="Arial" w:eastAsia="Arial" w:hAnsi="Arial"/>
                <w:sz w:val="13"/>
                <w:szCs w:val="13"/>
                <w:b w:val="1"/>
                <w:bCs w:val="1"/>
                <w:color w:val="auto"/>
              </w:rPr>
              <w:t>2018</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289"/>
              <w:spacing w:after="0" w:line="146" w:lineRule="exact"/>
              <w:rPr>
                <w:sz w:val="20"/>
                <w:szCs w:val="20"/>
                <w:color w:val="auto"/>
              </w:rPr>
            </w:pPr>
            <w:r>
              <w:rPr>
                <w:rFonts w:ascii="Arial" w:cs="Arial" w:eastAsia="Arial" w:hAnsi="Arial"/>
                <w:sz w:val="13"/>
                <w:szCs w:val="13"/>
                <w:b w:val="1"/>
                <w:bCs w:val="1"/>
                <w:color w:val="auto"/>
              </w:rPr>
              <w:t>2019</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jc w:val="right"/>
              <w:ind w:right="285"/>
              <w:spacing w:after="0" w:line="146" w:lineRule="exact"/>
              <w:rPr>
                <w:sz w:val="20"/>
                <w:szCs w:val="20"/>
                <w:color w:val="auto"/>
              </w:rPr>
            </w:pPr>
            <w:r>
              <w:rPr>
                <w:rFonts w:ascii="Arial" w:cs="Arial" w:eastAsia="Arial" w:hAnsi="Arial"/>
                <w:sz w:val="13"/>
                <w:szCs w:val="13"/>
                <w:b w:val="1"/>
                <w:bCs w:val="1"/>
                <w:color w:val="auto"/>
              </w:rPr>
              <w:t>2018</w:t>
            </w: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133"/>
        </w:trPr>
        <w:tc>
          <w:tcPr>
            <w:tcW w:w="17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3"/>
          </w:tcPr>
          <w:p>
            <w:pPr>
              <w:jc w:val="center"/>
              <w:ind w:right="247"/>
              <w:spacing w:after="0" w:line="133" w:lineRule="exact"/>
              <w:rPr>
                <w:sz w:val="20"/>
                <w:szCs w:val="20"/>
                <w:color w:val="auto"/>
              </w:rPr>
            </w:pPr>
            <w:r>
              <w:rPr>
                <w:rFonts w:ascii="Arial" w:cs="Arial" w:eastAsia="Arial" w:hAnsi="Arial"/>
                <w:sz w:val="13"/>
                <w:szCs w:val="13"/>
                <w:b w:val="1"/>
                <w:bCs w:val="1"/>
                <w:color w:val="auto"/>
                <w:w w:val="84"/>
              </w:rPr>
              <w:t>(in thousands)</w:t>
            </w:r>
          </w:p>
        </w:tc>
        <w:tc>
          <w:tcPr>
            <w:tcW w:w="3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740" w:type="dxa"/>
            <w:vAlign w:val="bottom"/>
          </w:tcPr>
          <w:p>
            <w:pPr>
              <w:spacing w:after="0"/>
              <w:rPr>
                <w:sz w:val="11"/>
                <w:szCs w:val="11"/>
                <w:color w:val="auto"/>
              </w:rPr>
            </w:pPr>
          </w:p>
        </w:tc>
      </w:tr>
      <w:tr>
        <w:trPr>
          <w:trHeight w:val="200"/>
        </w:trPr>
        <w:tc>
          <w:tcPr>
            <w:tcW w:w="4280" w:type="dxa"/>
            <w:vAlign w:val="bottom"/>
            <w:gridSpan w:val="2"/>
          </w:tcPr>
          <w:p>
            <w:pPr>
              <w:ind w:left="1720"/>
              <w:spacing w:after="0"/>
              <w:rPr>
                <w:sz w:val="20"/>
                <w:szCs w:val="20"/>
                <w:color w:val="auto"/>
              </w:rPr>
            </w:pPr>
            <w:r>
              <w:rPr>
                <w:rFonts w:ascii="Arial" w:cs="Arial" w:eastAsia="Arial" w:hAnsi="Arial"/>
                <w:sz w:val="16"/>
                <w:szCs w:val="16"/>
                <w:color w:val="auto"/>
              </w:rPr>
              <w:t>Research and development</w:t>
            </w:r>
          </w:p>
        </w:tc>
        <w:tc>
          <w:tcPr>
            <w:tcW w:w="1520" w:type="dxa"/>
            <w:vAlign w:val="bottom"/>
            <w:gridSpan w:val="2"/>
          </w:tcPr>
          <w:p>
            <w:pPr>
              <w:jc w:val="right"/>
              <w:ind w:right="512"/>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w w:val="84"/>
              </w:rPr>
              <w:t>2,194</w:t>
            </w:r>
          </w:p>
        </w:tc>
        <w:tc>
          <w:tcPr>
            <w:tcW w:w="780" w:type="dxa"/>
            <w:vAlign w:val="bottom"/>
            <w:gridSpan w:val="2"/>
          </w:tcPr>
          <w:p>
            <w:pPr>
              <w:jc w:val="right"/>
              <w:ind w:right="447"/>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w w:val="84"/>
              </w:rPr>
              <w:t>1,429</w:t>
            </w:r>
          </w:p>
        </w:tc>
        <w:tc>
          <w:tcPr>
            <w:tcW w:w="400" w:type="dxa"/>
            <w:vAlign w:val="bottom"/>
            <w:gridSpan w:val="2"/>
          </w:tcPr>
          <w:p>
            <w:pPr>
              <w:jc w:val="right"/>
              <w:ind w:right="67"/>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4,468</w:t>
            </w:r>
          </w:p>
        </w:tc>
        <w:tc>
          <w:tcPr>
            <w:tcW w:w="440" w:type="dxa"/>
            <w:vAlign w:val="bottom"/>
            <w:gridSpan w:val="2"/>
          </w:tcPr>
          <w:p>
            <w:pPr>
              <w:jc w:val="right"/>
              <w:ind w:right="107"/>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2,900</w:t>
            </w:r>
          </w:p>
        </w:tc>
        <w:tc>
          <w:tcPr>
            <w:tcW w:w="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2"/>
        </w:trPr>
        <w:tc>
          <w:tcPr>
            <w:tcW w:w="1720" w:type="dxa"/>
            <w:vAlign w:val="bottom"/>
          </w:tcPr>
          <w:p>
            <w:pPr>
              <w:spacing w:after="0"/>
              <w:rPr>
                <w:sz w:val="17"/>
                <w:szCs w:val="17"/>
                <w:color w:val="auto"/>
              </w:rPr>
            </w:pPr>
          </w:p>
        </w:tc>
        <w:tc>
          <w:tcPr>
            <w:tcW w:w="2560" w:type="dxa"/>
            <w:vAlign w:val="bottom"/>
            <w:shd w:val="clear" w:color="auto" w:fill="CFF0FC"/>
          </w:tcPr>
          <w:p>
            <w:pPr>
              <w:spacing w:after="0"/>
              <w:rPr>
                <w:sz w:val="20"/>
                <w:szCs w:val="20"/>
                <w:color w:val="auto"/>
              </w:rPr>
            </w:pPr>
            <w:r>
              <w:rPr>
                <w:rFonts w:ascii="Arial" w:cs="Arial" w:eastAsia="Arial" w:hAnsi="Arial"/>
                <w:sz w:val="16"/>
                <w:szCs w:val="16"/>
                <w:color w:val="auto"/>
              </w:rPr>
              <w:t>General and administrative</w:t>
            </w:r>
          </w:p>
        </w:tc>
        <w:tc>
          <w:tcPr>
            <w:tcW w:w="860" w:type="dxa"/>
            <w:vAlign w:val="bottom"/>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4"/>
              </w:rPr>
              <w:t>2,513</w:t>
            </w:r>
          </w:p>
        </w:tc>
        <w:tc>
          <w:tcPr>
            <w:tcW w:w="180" w:type="dxa"/>
            <w:vAlign w:val="bottom"/>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4"/>
              </w:rPr>
              <w:t>2,161</w:t>
            </w:r>
          </w:p>
        </w:tc>
        <w:tc>
          <w:tcPr>
            <w:tcW w:w="18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6,082</w:t>
            </w:r>
          </w:p>
        </w:tc>
        <w:tc>
          <w:tcPr>
            <w:tcW w:w="180" w:type="dxa"/>
            <w:vAlign w:val="bottom"/>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4,810</w:t>
            </w:r>
          </w:p>
        </w:tc>
        <w:tc>
          <w:tcPr>
            <w:tcW w:w="80" w:type="dxa"/>
            <w:vAlign w:val="bottom"/>
            <w:shd w:val="clear" w:color="auto" w:fill="CFF0FC"/>
          </w:tcPr>
          <w:p>
            <w:pPr>
              <w:spacing w:after="0"/>
              <w:rPr>
                <w:sz w:val="17"/>
                <w:szCs w:val="17"/>
                <w:color w:val="auto"/>
              </w:rPr>
            </w:pPr>
          </w:p>
        </w:tc>
        <w:tc>
          <w:tcPr>
            <w:tcW w:w="1740" w:type="dxa"/>
            <w:vAlign w:val="bottom"/>
          </w:tcPr>
          <w:p>
            <w:pPr>
              <w:spacing w:after="0"/>
              <w:rPr>
                <w:sz w:val="17"/>
                <w:szCs w:val="17"/>
                <w:color w:val="auto"/>
              </w:rPr>
            </w:pPr>
          </w:p>
        </w:tc>
      </w:tr>
      <w:tr>
        <w:trPr>
          <w:trHeight w:val="193"/>
        </w:trPr>
        <w:tc>
          <w:tcPr>
            <w:tcW w:w="17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60" w:type="dxa"/>
            <w:vAlign w:val="bottom"/>
            <w:tcBorders>
              <w:bottom w:val="single" w:sz="8" w:color="auto"/>
            </w:tcBorders>
          </w:tcPr>
          <w:p>
            <w:pPr>
              <w:jc w:val="right"/>
              <w:ind w:right="512"/>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4"/>
              </w:rPr>
              <w:t>4,707</w:t>
            </w:r>
          </w:p>
        </w:tc>
        <w:tc>
          <w:tcPr>
            <w:tcW w:w="180" w:type="dxa"/>
            <w:vAlign w:val="bottom"/>
          </w:tcPr>
          <w:p>
            <w:pPr>
              <w:spacing w:after="0"/>
              <w:rPr>
                <w:sz w:val="16"/>
                <w:szCs w:val="16"/>
                <w:color w:val="auto"/>
              </w:rPr>
            </w:pPr>
          </w:p>
        </w:tc>
        <w:tc>
          <w:tcPr>
            <w:tcW w:w="600" w:type="dxa"/>
            <w:vAlign w:val="bottom"/>
            <w:tcBorders>
              <w:bottom w:val="single" w:sz="8" w:color="auto"/>
            </w:tcBorders>
          </w:tcPr>
          <w:p>
            <w:pPr>
              <w:jc w:val="right"/>
              <w:ind w:right="447"/>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4"/>
              </w:rPr>
              <w:t>3,590</w:t>
            </w:r>
          </w:p>
        </w:tc>
        <w:tc>
          <w:tcPr>
            <w:tcW w:w="180" w:type="dxa"/>
            <w:vAlign w:val="bottom"/>
          </w:tcPr>
          <w:p>
            <w:pPr>
              <w:spacing w:after="0"/>
              <w:rPr>
                <w:sz w:val="16"/>
                <w:szCs w:val="16"/>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10,550</w:t>
            </w:r>
          </w:p>
        </w:tc>
        <w:tc>
          <w:tcPr>
            <w:tcW w:w="180" w:type="dxa"/>
            <w:vAlign w:val="bottom"/>
          </w:tcPr>
          <w:p>
            <w:pPr>
              <w:spacing w:after="0"/>
              <w:rPr>
                <w:sz w:val="16"/>
                <w:szCs w:val="16"/>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7,710</w:t>
            </w:r>
          </w:p>
        </w:tc>
        <w:tc>
          <w:tcPr>
            <w:tcW w:w="8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20"/>
        </w:trPr>
        <w:tc>
          <w:tcPr>
            <w:tcW w:w="17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353"/>
        </w:trPr>
        <w:tc>
          <w:tcPr>
            <w:tcW w:w="17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14</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00"/>
        </w:trPr>
        <w:tc>
          <w:tcPr>
            <w:tcW w:w="1720" w:type="dxa"/>
            <w:vAlign w:val="bottom"/>
            <w:tcBorders>
              <w:bottom w:val="single" w:sz="8" w:color="9A9A9A"/>
            </w:tcBorders>
          </w:tcPr>
          <w:p>
            <w:pPr>
              <w:spacing w:after="0"/>
              <w:rPr>
                <w:sz w:val="8"/>
                <w:szCs w:val="8"/>
                <w:color w:val="auto"/>
              </w:rPr>
            </w:pPr>
          </w:p>
        </w:tc>
        <w:tc>
          <w:tcPr>
            <w:tcW w:w="256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7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7254875</wp:posOffset>
            </wp:positionH>
            <wp:positionV relativeFrom="paragraph">
              <wp:posOffset>-27305</wp:posOffset>
            </wp:positionV>
            <wp:extent cx="33020"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0"/>
          </w:cols>
          <w:pgMar w:left="240" w:top="442" w:right="199" w:bottom="1440" w:gutter="0" w:footer="0" w:header="0"/>
        </w:sectPr>
      </w:pPr>
    </w:p>
    <w:bookmarkStart w:id="14" w:name="page15"/>
    <w:bookmarkEnd w:id="14"/>
    <w:tbl>
      <w:tblPr>
        <w:tblLayout w:type="fixed"/>
        <w:tblInd w:w="1725" w:type="dxa"/>
        <w:tblCellMar>
          <w:top w:w="0" w:type="dxa"/>
          <w:left w:w="0" w:type="dxa"/>
          <w:bottom w:w="0" w:type="dxa"/>
          <w:right w:w="0" w:type="dxa"/>
        </w:tblCellMar>
      </w:tblPr>
      <w:tr>
        <w:trPr>
          <w:trHeight w:val="154"/>
        </w:trPr>
        <w:tc>
          <w:tcPr>
            <w:tcW w:w="24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20" w:type="dxa"/>
            <w:vAlign w:val="bottom"/>
            <w:gridSpan w:val="4"/>
          </w:tcPr>
          <w:p>
            <w:pPr>
              <w:jc w:val="center"/>
              <w:ind w:left="272"/>
              <w:spacing w:after="0"/>
              <w:rPr>
                <w:sz w:val="20"/>
                <w:szCs w:val="20"/>
                <w:color w:val="auto"/>
              </w:rPr>
            </w:pPr>
            <w:r>
              <w:rPr>
                <w:rFonts w:ascii="Arial" w:cs="Arial" w:eastAsia="Arial" w:hAnsi="Arial"/>
                <w:sz w:val="13"/>
                <w:szCs w:val="13"/>
                <w:b w:val="1"/>
                <w:bCs w:val="1"/>
                <w:color w:val="auto"/>
                <w:w w:val="88"/>
              </w:rPr>
              <w:t>Three Months ended</w:t>
            </w: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0" w:type="dxa"/>
            <w:vAlign w:val="bottom"/>
            <w:gridSpan w:val="6"/>
          </w:tcPr>
          <w:p>
            <w:pPr>
              <w:ind w:left="340"/>
              <w:spacing w:after="0"/>
              <w:rPr>
                <w:sz w:val="20"/>
                <w:szCs w:val="20"/>
                <w:color w:val="auto"/>
              </w:rPr>
            </w:pPr>
            <w:r>
              <w:rPr>
                <w:rFonts w:ascii="Arial" w:cs="Arial" w:eastAsia="Arial" w:hAnsi="Arial"/>
                <w:sz w:val="13"/>
                <w:szCs w:val="13"/>
                <w:b w:val="1"/>
                <w:bCs w:val="1"/>
                <w:color w:val="auto"/>
              </w:rPr>
              <w:t>Six Months Ended</w:t>
            </w:r>
          </w:p>
        </w:tc>
      </w:tr>
      <w:tr>
        <w:trPr>
          <w:trHeight w:val="150"/>
        </w:trPr>
        <w:tc>
          <w:tcPr>
            <w:tcW w:w="24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jc w:val="center"/>
              <w:ind w:right="246"/>
              <w:spacing w:after="0"/>
              <w:rPr>
                <w:sz w:val="20"/>
                <w:szCs w:val="20"/>
                <w:color w:val="auto"/>
              </w:rPr>
            </w:pPr>
            <w:r>
              <w:rPr>
                <w:rFonts w:ascii="Arial" w:cs="Arial" w:eastAsia="Arial" w:hAnsi="Arial"/>
                <w:sz w:val="13"/>
                <w:szCs w:val="13"/>
                <w:b w:val="1"/>
                <w:bCs w:val="1"/>
                <w:color w:val="auto"/>
                <w:w w:val="93"/>
              </w:rPr>
              <w:t>March 31,</w:t>
            </w:r>
          </w:p>
        </w:tc>
        <w:tc>
          <w:tcPr>
            <w:tcW w:w="3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4"/>
          </w:tcPr>
          <w:p>
            <w:pPr>
              <w:jc w:val="right"/>
              <w:ind w:right="29"/>
              <w:spacing w:after="0"/>
              <w:rPr>
                <w:sz w:val="20"/>
                <w:szCs w:val="20"/>
                <w:color w:val="auto"/>
              </w:rPr>
            </w:pPr>
            <w:r>
              <w:rPr>
                <w:rFonts w:ascii="Arial" w:cs="Arial" w:eastAsia="Arial" w:hAnsi="Arial"/>
                <w:sz w:val="13"/>
                <w:szCs w:val="13"/>
                <w:b w:val="1"/>
                <w:bCs w:val="1"/>
                <w:color w:val="auto"/>
              </w:rPr>
              <w:t>March 31,</w:t>
            </w:r>
          </w:p>
        </w:tc>
        <w:tc>
          <w:tcPr>
            <w:tcW w:w="7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46"/>
        </w:trPr>
        <w:tc>
          <w:tcPr>
            <w:tcW w:w="2460" w:type="dxa"/>
            <w:vAlign w:val="bottom"/>
          </w:tcPr>
          <w:p>
            <w:pPr>
              <w:spacing w:after="0"/>
              <w:rPr>
                <w:sz w:val="12"/>
                <w:szCs w:val="12"/>
                <w:color w:val="auto"/>
              </w:rPr>
            </w:pPr>
          </w:p>
        </w:tc>
        <w:tc>
          <w:tcPr>
            <w:tcW w:w="1620" w:type="dxa"/>
            <w:vAlign w:val="bottom"/>
            <w:gridSpan w:val="2"/>
          </w:tcPr>
          <w:p>
            <w:pPr>
              <w:jc w:val="right"/>
              <w:spacing w:after="0" w:line="146" w:lineRule="exact"/>
              <w:rPr>
                <w:sz w:val="20"/>
                <w:szCs w:val="20"/>
                <w:color w:val="auto"/>
              </w:rPr>
            </w:pPr>
            <w:r>
              <w:rPr>
                <w:rFonts w:ascii="Arial" w:cs="Arial" w:eastAsia="Arial" w:hAnsi="Arial"/>
                <w:sz w:val="13"/>
                <w:szCs w:val="13"/>
                <w:b w:val="1"/>
                <w:bCs w:val="1"/>
                <w:color w:val="auto"/>
              </w:rPr>
              <w:t>2019</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6" w:lineRule="exact"/>
              <w:rPr>
                <w:sz w:val="20"/>
                <w:szCs w:val="20"/>
                <w:color w:val="auto"/>
              </w:rPr>
            </w:pPr>
            <w:r>
              <w:rPr>
                <w:rFonts w:ascii="Arial" w:cs="Arial" w:eastAsia="Arial" w:hAnsi="Arial"/>
                <w:sz w:val="13"/>
                <w:szCs w:val="13"/>
                <w:b w:val="1"/>
                <w:bCs w:val="1"/>
                <w:color w:val="auto"/>
              </w:rPr>
              <w:t>2018</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287"/>
              <w:spacing w:after="0" w:line="146" w:lineRule="exact"/>
              <w:rPr>
                <w:sz w:val="20"/>
                <w:szCs w:val="20"/>
                <w:color w:val="auto"/>
              </w:rPr>
            </w:pPr>
            <w:r>
              <w:rPr>
                <w:rFonts w:ascii="Arial" w:cs="Arial" w:eastAsia="Arial" w:hAnsi="Arial"/>
                <w:sz w:val="13"/>
                <w:szCs w:val="13"/>
                <w:b w:val="1"/>
                <w:bCs w:val="1"/>
                <w:color w:val="auto"/>
              </w:rPr>
              <w:t>2019</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jc w:val="right"/>
              <w:ind w:right="284"/>
              <w:spacing w:after="0" w:line="146" w:lineRule="exact"/>
              <w:rPr>
                <w:sz w:val="20"/>
                <w:szCs w:val="20"/>
                <w:color w:val="auto"/>
              </w:rPr>
            </w:pPr>
            <w:r>
              <w:rPr>
                <w:rFonts w:ascii="Arial" w:cs="Arial" w:eastAsia="Arial" w:hAnsi="Arial"/>
                <w:sz w:val="13"/>
                <w:szCs w:val="13"/>
                <w:b w:val="1"/>
                <w:bCs w:val="1"/>
                <w:color w:val="auto"/>
              </w:rPr>
              <w:t>2018</w:t>
            </w:r>
          </w:p>
        </w:tc>
        <w:tc>
          <w:tcPr>
            <w:tcW w:w="80" w:type="dxa"/>
            <w:vAlign w:val="bottom"/>
          </w:tcPr>
          <w:p>
            <w:pPr>
              <w:spacing w:after="0"/>
              <w:rPr>
                <w:sz w:val="12"/>
                <w:szCs w:val="12"/>
                <w:color w:val="auto"/>
              </w:rPr>
            </w:pPr>
          </w:p>
        </w:tc>
      </w:tr>
      <w:tr>
        <w:trPr>
          <w:trHeight w:val="133"/>
        </w:trPr>
        <w:tc>
          <w:tcPr>
            <w:tcW w:w="24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3"/>
          </w:tcPr>
          <w:p>
            <w:pPr>
              <w:jc w:val="center"/>
              <w:ind w:right="246"/>
              <w:spacing w:after="0" w:line="133" w:lineRule="exact"/>
              <w:rPr>
                <w:sz w:val="20"/>
                <w:szCs w:val="20"/>
                <w:color w:val="auto"/>
              </w:rPr>
            </w:pPr>
            <w:r>
              <w:rPr>
                <w:rFonts w:ascii="Arial" w:cs="Arial" w:eastAsia="Arial" w:hAnsi="Arial"/>
                <w:sz w:val="13"/>
                <w:szCs w:val="13"/>
                <w:b w:val="1"/>
                <w:bCs w:val="1"/>
                <w:color w:val="auto"/>
                <w:w w:val="84"/>
              </w:rPr>
              <w:t>(in thousands)</w:t>
            </w:r>
          </w:p>
        </w:tc>
        <w:tc>
          <w:tcPr>
            <w:tcW w:w="3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200"/>
        </w:trPr>
        <w:tc>
          <w:tcPr>
            <w:tcW w:w="2460" w:type="dxa"/>
            <w:vAlign w:val="bottom"/>
          </w:tcPr>
          <w:p>
            <w:pPr>
              <w:spacing w:after="0"/>
              <w:rPr>
                <w:sz w:val="20"/>
                <w:szCs w:val="20"/>
                <w:color w:val="auto"/>
              </w:rPr>
            </w:pPr>
            <w:r>
              <w:rPr>
                <w:rFonts w:ascii="Arial" w:cs="Arial" w:eastAsia="Arial" w:hAnsi="Arial"/>
                <w:sz w:val="16"/>
                <w:szCs w:val="16"/>
                <w:color w:val="auto"/>
              </w:rPr>
              <w:t>Stock options</w:t>
            </w:r>
          </w:p>
        </w:tc>
        <w:tc>
          <w:tcPr>
            <w:tcW w:w="1620" w:type="dxa"/>
            <w:vAlign w:val="bottom"/>
            <w:gridSpan w:val="2"/>
          </w:tcPr>
          <w:p>
            <w:pPr>
              <w:jc w:val="right"/>
              <w:ind w:right="512"/>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w w:val="84"/>
              </w:rPr>
              <w:t>3,949</w:t>
            </w:r>
          </w:p>
        </w:tc>
        <w:tc>
          <w:tcPr>
            <w:tcW w:w="80" w:type="dxa"/>
            <w:vAlign w:val="bottom"/>
          </w:tcPr>
          <w:p>
            <w:pPr>
              <w:spacing w:after="0"/>
              <w:rPr>
                <w:sz w:val="17"/>
                <w:szCs w:val="17"/>
                <w:color w:val="auto"/>
              </w:rPr>
            </w:pPr>
          </w:p>
        </w:tc>
        <w:tc>
          <w:tcPr>
            <w:tcW w:w="700" w:type="dxa"/>
            <w:vAlign w:val="bottom"/>
          </w:tcPr>
          <w:p>
            <w:pPr>
              <w:jc w:val="right"/>
              <w:ind w:right="446"/>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w w:val="84"/>
              </w:rPr>
              <w:t>3,030</w:t>
            </w:r>
          </w:p>
        </w:tc>
        <w:tc>
          <w:tcPr>
            <w:tcW w:w="400" w:type="dxa"/>
            <w:vAlign w:val="bottom"/>
            <w:gridSpan w:val="2"/>
          </w:tcPr>
          <w:p>
            <w:pPr>
              <w:jc w:val="right"/>
              <w:ind w:right="67"/>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7,853</w:t>
            </w:r>
          </w:p>
        </w:tc>
        <w:tc>
          <w:tcPr>
            <w:tcW w:w="180" w:type="dxa"/>
            <w:vAlign w:val="bottom"/>
          </w:tcPr>
          <w:p>
            <w:pPr>
              <w:spacing w:after="0"/>
              <w:rPr>
                <w:sz w:val="17"/>
                <w:szCs w:val="17"/>
                <w:color w:val="auto"/>
              </w:rPr>
            </w:pPr>
          </w:p>
        </w:tc>
        <w:tc>
          <w:tcPr>
            <w:tcW w:w="260" w:type="dxa"/>
            <w:vAlign w:val="bottom"/>
            <w:gridSpan w:val="2"/>
          </w:tcPr>
          <w:p>
            <w:pPr>
              <w:jc w:val="right"/>
              <w:ind w:right="129"/>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5,978</w:t>
            </w:r>
          </w:p>
        </w:tc>
        <w:tc>
          <w:tcPr>
            <w:tcW w:w="80" w:type="dxa"/>
            <w:vAlign w:val="bottom"/>
          </w:tcPr>
          <w:p>
            <w:pPr>
              <w:spacing w:after="0"/>
              <w:rPr>
                <w:sz w:val="17"/>
                <w:szCs w:val="17"/>
                <w:color w:val="auto"/>
              </w:rPr>
            </w:pPr>
          </w:p>
        </w:tc>
      </w:tr>
      <w:tr>
        <w:trPr>
          <w:trHeight w:val="202"/>
        </w:trPr>
        <w:tc>
          <w:tcPr>
            <w:tcW w:w="2460" w:type="dxa"/>
            <w:vAlign w:val="bottom"/>
            <w:shd w:val="clear" w:color="auto" w:fill="CFF0FC"/>
          </w:tcPr>
          <w:p>
            <w:pPr>
              <w:spacing w:after="0"/>
              <w:rPr>
                <w:sz w:val="20"/>
                <w:szCs w:val="20"/>
                <w:color w:val="auto"/>
              </w:rPr>
            </w:pPr>
            <w:r>
              <w:rPr>
                <w:rFonts w:ascii="Arial" w:cs="Arial" w:eastAsia="Arial" w:hAnsi="Arial"/>
                <w:sz w:val="16"/>
                <w:szCs w:val="16"/>
                <w:color w:val="auto"/>
              </w:rPr>
              <w:t>Performance stock units</w:t>
            </w:r>
          </w:p>
        </w:tc>
        <w:tc>
          <w:tcPr>
            <w:tcW w:w="9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w:t>
            </w:r>
          </w:p>
        </w:tc>
        <w:tc>
          <w:tcPr>
            <w:tcW w:w="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1,278</w:t>
            </w: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641</w:t>
            </w:r>
          </w:p>
        </w:tc>
        <w:tc>
          <w:tcPr>
            <w:tcW w:w="80" w:type="dxa"/>
            <w:vAlign w:val="bottom"/>
            <w:shd w:val="clear" w:color="auto" w:fill="CFF0FC"/>
          </w:tcPr>
          <w:p>
            <w:pPr>
              <w:spacing w:after="0"/>
              <w:rPr>
                <w:sz w:val="17"/>
                <w:szCs w:val="17"/>
                <w:color w:val="auto"/>
              </w:rPr>
            </w:pPr>
          </w:p>
        </w:tc>
      </w:tr>
      <w:tr>
        <w:trPr>
          <w:trHeight w:val="200"/>
        </w:trPr>
        <w:tc>
          <w:tcPr>
            <w:tcW w:w="2460" w:type="dxa"/>
            <w:vAlign w:val="bottom"/>
          </w:tcPr>
          <w:p>
            <w:pPr>
              <w:spacing w:after="0"/>
              <w:rPr>
                <w:sz w:val="20"/>
                <w:szCs w:val="20"/>
                <w:color w:val="auto"/>
              </w:rPr>
            </w:pPr>
            <w:r>
              <w:rPr>
                <w:rFonts w:ascii="Arial" w:cs="Arial" w:eastAsia="Arial" w:hAnsi="Arial"/>
                <w:sz w:val="16"/>
                <w:szCs w:val="16"/>
                <w:color w:val="auto"/>
              </w:rPr>
              <w:t>rTSRUs</w:t>
            </w:r>
          </w:p>
        </w:tc>
        <w:tc>
          <w:tcPr>
            <w:tcW w:w="9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493</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332</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1,025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694</w:t>
            </w:r>
          </w:p>
        </w:tc>
        <w:tc>
          <w:tcPr>
            <w:tcW w:w="80" w:type="dxa"/>
            <w:vAlign w:val="bottom"/>
          </w:tcPr>
          <w:p>
            <w:pPr>
              <w:spacing w:after="0"/>
              <w:rPr>
                <w:sz w:val="17"/>
                <w:szCs w:val="17"/>
                <w:color w:val="auto"/>
              </w:rPr>
            </w:pPr>
          </w:p>
        </w:tc>
      </w:tr>
      <w:tr>
        <w:trPr>
          <w:trHeight w:val="202"/>
        </w:trPr>
        <w:tc>
          <w:tcPr>
            <w:tcW w:w="2460" w:type="dxa"/>
            <w:vAlign w:val="bottom"/>
            <w:shd w:val="clear" w:color="auto" w:fill="CFF0FC"/>
          </w:tcPr>
          <w:p>
            <w:pPr>
              <w:spacing w:after="0"/>
              <w:rPr>
                <w:sz w:val="20"/>
                <w:szCs w:val="20"/>
                <w:color w:val="auto"/>
              </w:rPr>
            </w:pPr>
            <w:r>
              <w:rPr>
                <w:rFonts w:ascii="Arial" w:cs="Arial" w:eastAsia="Arial" w:hAnsi="Arial"/>
                <w:sz w:val="16"/>
                <w:szCs w:val="16"/>
                <w:color w:val="auto"/>
              </w:rPr>
              <w:t>Restricted stock units</w:t>
            </w:r>
          </w:p>
        </w:tc>
        <w:tc>
          <w:tcPr>
            <w:tcW w:w="960" w:type="dxa"/>
            <w:vAlign w:val="bottom"/>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193</w:t>
            </w:r>
          </w:p>
        </w:tc>
        <w:tc>
          <w:tcPr>
            <w:tcW w:w="80" w:type="dxa"/>
            <w:vAlign w:val="bottom"/>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193</w:t>
            </w:r>
          </w:p>
        </w:tc>
        <w:tc>
          <w:tcPr>
            <w:tcW w:w="18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394</w:t>
            </w: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397</w:t>
            </w:r>
          </w:p>
        </w:tc>
        <w:tc>
          <w:tcPr>
            <w:tcW w:w="80" w:type="dxa"/>
            <w:vAlign w:val="bottom"/>
            <w:shd w:val="clear" w:color="auto" w:fill="CFF0FC"/>
          </w:tcPr>
          <w:p>
            <w:pPr>
              <w:spacing w:after="0"/>
              <w:rPr>
                <w:sz w:val="17"/>
                <w:szCs w:val="17"/>
                <w:color w:val="auto"/>
              </w:rPr>
            </w:pPr>
          </w:p>
        </w:tc>
      </w:tr>
      <w:tr>
        <w:trPr>
          <w:trHeight w:val="193"/>
        </w:trPr>
        <w:tc>
          <w:tcPr>
            <w:tcW w:w="2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60" w:type="dxa"/>
            <w:vAlign w:val="bottom"/>
            <w:tcBorders>
              <w:bottom w:val="single" w:sz="8" w:color="auto"/>
            </w:tcBorders>
          </w:tcPr>
          <w:p>
            <w:pPr>
              <w:jc w:val="right"/>
              <w:ind w:right="512"/>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4"/>
              </w:rPr>
              <w:t>4,707</w:t>
            </w:r>
          </w:p>
        </w:tc>
        <w:tc>
          <w:tcPr>
            <w:tcW w:w="80" w:type="dxa"/>
            <w:vAlign w:val="bottom"/>
          </w:tcPr>
          <w:p>
            <w:pPr>
              <w:spacing w:after="0"/>
              <w:rPr>
                <w:sz w:val="16"/>
                <w:szCs w:val="16"/>
                <w:color w:val="auto"/>
              </w:rPr>
            </w:pPr>
          </w:p>
        </w:tc>
        <w:tc>
          <w:tcPr>
            <w:tcW w:w="700" w:type="dxa"/>
            <w:vAlign w:val="bottom"/>
            <w:tcBorders>
              <w:bottom w:val="single" w:sz="8" w:color="auto"/>
            </w:tcBorders>
          </w:tcPr>
          <w:p>
            <w:pPr>
              <w:jc w:val="right"/>
              <w:ind w:right="446"/>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4"/>
              </w:rPr>
              <w:t>3,590</w:t>
            </w:r>
          </w:p>
        </w:tc>
        <w:tc>
          <w:tcPr>
            <w:tcW w:w="180" w:type="dxa"/>
            <w:vAlign w:val="bottom"/>
          </w:tcPr>
          <w:p>
            <w:pPr>
              <w:spacing w:after="0"/>
              <w:rPr>
                <w:sz w:val="16"/>
                <w:szCs w:val="16"/>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10,550</w:t>
            </w:r>
          </w:p>
        </w:tc>
        <w:tc>
          <w:tcPr>
            <w:tcW w:w="1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7,710</w:t>
            </w:r>
          </w:p>
        </w:tc>
        <w:tc>
          <w:tcPr>
            <w:tcW w:w="80" w:type="dxa"/>
            <w:vAlign w:val="bottom"/>
          </w:tcPr>
          <w:p>
            <w:pPr>
              <w:spacing w:after="0"/>
              <w:rPr>
                <w:sz w:val="16"/>
                <w:szCs w:val="16"/>
                <w:color w:val="auto"/>
              </w:rPr>
            </w:pPr>
          </w:p>
        </w:tc>
      </w:tr>
      <w:tr>
        <w:trPr>
          <w:trHeight w:val="20"/>
        </w:trPr>
        <w:tc>
          <w:tcPr>
            <w:tcW w:w="2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66" w:lineRule="exact"/>
        <w:rPr>
          <w:sz w:val="20"/>
          <w:szCs w:val="20"/>
          <w:color w:val="auto"/>
        </w:rPr>
      </w:pPr>
    </w:p>
    <w:p>
      <w:pPr>
        <w:ind w:left="5" w:right="60"/>
        <w:spacing w:after="0" w:line="268" w:lineRule="auto"/>
        <w:rPr>
          <w:sz w:val="20"/>
          <w:szCs w:val="20"/>
          <w:color w:val="auto"/>
        </w:rPr>
      </w:pPr>
      <w:r>
        <w:rPr>
          <w:rFonts w:ascii="Arial" w:cs="Arial" w:eastAsia="Arial" w:hAnsi="Arial"/>
          <w:sz w:val="16"/>
          <w:szCs w:val="16"/>
          <w:color w:val="auto"/>
        </w:rPr>
        <w:t>During the six months ended March 31, 2019 and 2018, the Company recognized stock-based compensation expense for PSUs and performance-based options upon achievement of performance-based targets that occurred during their respective periods.</w:t>
      </w:r>
    </w:p>
    <w:p>
      <w:pPr>
        <w:spacing w:after="0" w:line="157" w:lineRule="exact"/>
        <w:rPr>
          <w:sz w:val="20"/>
          <w:szCs w:val="20"/>
          <w:color w:val="auto"/>
        </w:rPr>
      </w:pPr>
    </w:p>
    <w:p>
      <w:pPr>
        <w:ind w:left="5" w:right="380"/>
        <w:spacing w:after="0" w:line="268" w:lineRule="auto"/>
        <w:rPr>
          <w:sz w:val="20"/>
          <w:szCs w:val="20"/>
          <w:color w:val="auto"/>
        </w:rPr>
      </w:pPr>
      <w:r>
        <w:rPr>
          <w:rFonts w:ascii="Arial" w:cs="Arial" w:eastAsia="Arial" w:hAnsi="Arial"/>
          <w:sz w:val="16"/>
          <w:szCs w:val="16"/>
          <w:color w:val="auto"/>
        </w:rPr>
        <w:t>As of March 31, 2019, the Company had an aggregate of $44,379 of unrecognized stock-based compensation cost, which is expected to be recognized over a weighted average period of 2.6 years.</w:t>
      </w:r>
    </w:p>
    <w:p>
      <w:pPr>
        <w:spacing w:after="0" w:line="248" w:lineRule="exact"/>
        <w:rPr>
          <w:sz w:val="20"/>
          <w:szCs w:val="20"/>
          <w:color w:val="auto"/>
        </w:rPr>
      </w:pPr>
    </w:p>
    <w:p>
      <w:pPr>
        <w:ind w:left="505" w:hanging="505"/>
        <w:spacing w:after="0"/>
        <w:tabs>
          <w:tab w:leader="none" w:pos="505"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Net Income Per Share</w:t>
      </w:r>
    </w:p>
    <w:p>
      <w:pPr>
        <w:spacing w:after="0" w:line="199" w:lineRule="exact"/>
        <w:rPr>
          <w:sz w:val="20"/>
          <w:szCs w:val="20"/>
          <w:color w:val="auto"/>
        </w:rPr>
      </w:pPr>
    </w:p>
    <w:p>
      <w:pPr>
        <w:ind w:left="5" w:right="360"/>
        <w:spacing w:after="0" w:line="268" w:lineRule="auto"/>
        <w:rPr>
          <w:sz w:val="20"/>
          <w:szCs w:val="20"/>
          <w:color w:val="auto"/>
        </w:rPr>
      </w:pPr>
      <w:r>
        <w:rPr>
          <w:rFonts w:ascii="Arial" w:cs="Arial" w:eastAsia="Arial" w:hAnsi="Arial"/>
          <w:sz w:val="16"/>
          <w:szCs w:val="16"/>
          <w:color w:val="auto"/>
        </w:rPr>
        <w:t>Basic and diluted net income per share attributable to common stockholders was calculated as follows for six months ended March 31, 2019 and 2018 (in thousands, except per share data):</w:t>
      </w:r>
    </w:p>
    <w:p>
      <w:pPr>
        <w:spacing w:after="0" w:line="154" w:lineRule="exact"/>
        <w:rPr>
          <w:sz w:val="20"/>
          <w:szCs w:val="20"/>
          <w:color w:val="auto"/>
        </w:rPr>
      </w:pPr>
    </w:p>
    <w:tbl>
      <w:tblPr>
        <w:tblLayout w:type="fixed"/>
        <w:tblInd w:w="5" w:type="dxa"/>
        <w:tblCellMar>
          <w:top w:w="0" w:type="dxa"/>
          <w:left w:w="0" w:type="dxa"/>
          <w:bottom w:w="0" w:type="dxa"/>
          <w:right w:w="0" w:type="dxa"/>
        </w:tblCellMar>
      </w:tblPr>
      <w:tr>
        <w:trPr>
          <w:trHeight w:val="149"/>
        </w:trPr>
        <w:tc>
          <w:tcPr>
            <w:tcW w:w="5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60" w:type="dxa"/>
            <w:vAlign w:val="bottom"/>
            <w:gridSpan w:val="3"/>
          </w:tcPr>
          <w:p>
            <w:pPr>
              <w:jc w:val="right"/>
              <w:spacing w:after="0"/>
              <w:rPr>
                <w:sz w:val="20"/>
                <w:szCs w:val="20"/>
                <w:color w:val="auto"/>
              </w:rPr>
            </w:pPr>
            <w:r>
              <w:rPr>
                <w:rFonts w:ascii="Arial" w:cs="Arial" w:eastAsia="Arial" w:hAnsi="Arial"/>
                <w:sz w:val="13"/>
                <w:szCs w:val="13"/>
                <w:b w:val="1"/>
                <w:bCs w:val="1"/>
                <w:color w:val="auto"/>
              </w:rPr>
              <w:t>Three Months Ended</w:t>
            </w: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gridSpan w:val="3"/>
          </w:tcPr>
          <w:p>
            <w:pPr>
              <w:jc w:val="right"/>
              <w:ind w:right="7"/>
              <w:spacing w:after="0"/>
              <w:rPr>
                <w:sz w:val="20"/>
                <w:szCs w:val="20"/>
                <w:color w:val="auto"/>
              </w:rPr>
            </w:pPr>
            <w:r>
              <w:rPr>
                <w:rFonts w:ascii="Arial" w:cs="Arial" w:eastAsia="Arial" w:hAnsi="Arial"/>
                <w:sz w:val="13"/>
                <w:szCs w:val="13"/>
                <w:b w:val="1"/>
                <w:bCs w:val="1"/>
                <w:color w:val="auto"/>
              </w:rPr>
              <w:t>Six Months Ended</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54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tcPr>
          <w:p>
            <w:pPr>
              <w:jc w:val="right"/>
              <w:ind w:right="227"/>
              <w:spacing w:after="0"/>
              <w:rPr>
                <w:sz w:val="20"/>
                <w:szCs w:val="20"/>
                <w:color w:val="auto"/>
              </w:rPr>
            </w:pPr>
            <w:r>
              <w:rPr>
                <w:rFonts w:ascii="Arial" w:cs="Arial" w:eastAsia="Arial" w:hAnsi="Arial"/>
                <w:sz w:val="13"/>
                <w:szCs w:val="13"/>
                <w:b w:val="1"/>
                <w:bCs w:val="1"/>
                <w:color w:val="auto"/>
              </w:rPr>
              <w:t>March 31,</w:t>
            </w:r>
          </w:p>
        </w:tc>
        <w:tc>
          <w:tcPr>
            <w:tcW w:w="82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3"/>
          </w:tcPr>
          <w:p>
            <w:pPr>
              <w:jc w:val="right"/>
              <w:ind w:right="227"/>
              <w:spacing w:after="0"/>
              <w:rPr>
                <w:sz w:val="20"/>
                <w:szCs w:val="20"/>
                <w:color w:val="auto"/>
              </w:rPr>
            </w:pPr>
            <w:r>
              <w:rPr>
                <w:rFonts w:ascii="Arial" w:cs="Arial" w:eastAsia="Arial" w:hAnsi="Arial"/>
                <w:sz w:val="13"/>
                <w:szCs w:val="13"/>
                <w:b w:val="1"/>
                <w:bCs w:val="1"/>
                <w:color w:val="auto"/>
              </w:rPr>
              <w:t>March 31,</w:t>
            </w:r>
          </w:p>
        </w:tc>
        <w:tc>
          <w:tcPr>
            <w:tcW w:w="8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54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425"/>
              <w:spacing w:after="0" w:line="134" w:lineRule="exact"/>
              <w:rPr>
                <w:sz w:val="20"/>
                <w:szCs w:val="20"/>
                <w:color w:val="auto"/>
              </w:rPr>
            </w:pPr>
            <w:r>
              <w:rPr>
                <w:rFonts w:ascii="Arial" w:cs="Arial" w:eastAsia="Arial" w:hAnsi="Arial"/>
                <w:sz w:val="13"/>
                <w:szCs w:val="13"/>
                <w:b w:val="1"/>
                <w:bCs w:val="1"/>
                <w:color w:val="auto"/>
              </w:rPr>
              <w:t>2019</w:t>
            </w:r>
          </w:p>
        </w:tc>
        <w:tc>
          <w:tcPr>
            <w:tcW w:w="3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404"/>
              <w:spacing w:after="0" w:line="134" w:lineRule="exact"/>
              <w:rPr>
                <w:sz w:val="20"/>
                <w:szCs w:val="20"/>
                <w:color w:val="auto"/>
              </w:rPr>
            </w:pPr>
            <w:r>
              <w:rPr>
                <w:rFonts w:ascii="Arial" w:cs="Arial" w:eastAsia="Arial" w:hAnsi="Arial"/>
                <w:sz w:val="13"/>
                <w:szCs w:val="13"/>
                <w:b w:val="1"/>
                <w:bCs w:val="1"/>
                <w:color w:val="auto"/>
              </w:rPr>
              <w:t>2018</w:t>
            </w:r>
          </w:p>
        </w:tc>
        <w:tc>
          <w:tcPr>
            <w:tcW w:w="3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425"/>
              <w:spacing w:after="0" w:line="134" w:lineRule="exact"/>
              <w:rPr>
                <w:sz w:val="20"/>
                <w:szCs w:val="20"/>
                <w:color w:val="auto"/>
              </w:rPr>
            </w:pPr>
            <w:r>
              <w:rPr>
                <w:rFonts w:ascii="Arial" w:cs="Arial" w:eastAsia="Arial" w:hAnsi="Arial"/>
                <w:sz w:val="13"/>
                <w:szCs w:val="13"/>
                <w:b w:val="1"/>
                <w:bCs w:val="1"/>
                <w:color w:val="auto"/>
              </w:rPr>
              <w:t>2019</w:t>
            </w:r>
          </w:p>
        </w:tc>
        <w:tc>
          <w:tcPr>
            <w:tcW w:w="3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423"/>
              <w:spacing w:after="0" w:line="134" w:lineRule="exact"/>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5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380" w:type="dxa"/>
            <w:vAlign w:val="bottom"/>
            <w:gridSpan w:val="4"/>
          </w:tcPr>
          <w:p>
            <w:pPr>
              <w:jc w:val="right"/>
              <w:ind w:right="325"/>
              <w:spacing w:after="0" w:line="134" w:lineRule="exact"/>
              <w:rPr>
                <w:sz w:val="20"/>
                <w:szCs w:val="20"/>
                <w:color w:val="auto"/>
              </w:rPr>
            </w:pPr>
            <w:r>
              <w:rPr>
                <w:rFonts w:ascii="Arial" w:cs="Arial" w:eastAsia="Arial" w:hAnsi="Arial"/>
                <w:sz w:val="13"/>
                <w:szCs w:val="13"/>
                <w:b w:val="1"/>
                <w:bCs w:val="1"/>
                <w:color w:val="auto"/>
                <w:w w:val="85"/>
              </w:rPr>
              <w:t>(in thousands, except per share data)</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5420" w:type="dxa"/>
            <w:vAlign w:val="bottom"/>
            <w:shd w:val="clear" w:color="auto" w:fill="CFF0FC"/>
          </w:tcPr>
          <w:p>
            <w:pPr>
              <w:spacing w:after="0"/>
              <w:rPr>
                <w:sz w:val="20"/>
                <w:szCs w:val="20"/>
                <w:color w:val="auto"/>
              </w:rPr>
            </w:pPr>
            <w:r>
              <w:rPr>
                <w:rFonts w:ascii="Arial" w:cs="Arial" w:eastAsia="Arial" w:hAnsi="Arial"/>
                <w:sz w:val="16"/>
                <w:szCs w:val="16"/>
                <w:color w:val="auto"/>
              </w:rPr>
              <w:t>Basic net income per share:</w:t>
            </w: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420" w:type="dxa"/>
            <w:vAlign w:val="bottom"/>
          </w:tcPr>
          <w:p>
            <w:pPr>
              <w:ind w:left="220"/>
              <w:spacing w:after="0"/>
              <w:rPr>
                <w:sz w:val="20"/>
                <w:szCs w:val="20"/>
                <w:color w:val="auto"/>
              </w:rPr>
            </w:pPr>
            <w:r>
              <w:rPr>
                <w:rFonts w:ascii="Arial" w:cs="Arial" w:eastAsia="Arial" w:hAnsi="Arial"/>
                <w:sz w:val="16"/>
                <w:szCs w:val="16"/>
                <w:color w:val="auto"/>
              </w:rPr>
              <w:t>Numerator:</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420" w:type="dxa"/>
            <w:vAlign w:val="bottom"/>
            <w:shd w:val="clear" w:color="auto" w:fill="CFF0FC"/>
          </w:tcPr>
          <w:p>
            <w:pPr>
              <w:ind w:left="420"/>
              <w:spacing w:after="0"/>
              <w:rPr>
                <w:sz w:val="20"/>
                <w:szCs w:val="20"/>
                <w:color w:val="auto"/>
              </w:rPr>
            </w:pPr>
            <w:r>
              <w:rPr>
                <w:rFonts w:ascii="Arial" w:cs="Arial" w:eastAsia="Arial" w:hAnsi="Arial"/>
                <w:sz w:val="16"/>
                <w:szCs w:val="16"/>
                <w:color w:val="auto"/>
              </w:rPr>
              <w:t>Net income</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4,145</w:t>
            </w:r>
          </w:p>
        </w:tc>
        <w:tc>
          <w:tcPr>
            <w:tcW w:w="320" w:type="dxa"/>
            <w:vAlign w:val="bottom"/>
            <w:shd w:val="clear" w:color="auto" w:fill="CFF0FC"/>
          </w:tcPr>
          <w:p>
            <w:pPr>
              <w:spacing w:after="0"/>
              <w:rPr>
                <w:sz w:val="17"/>
                <w:szCs w:val="17"/>
                <w:color w:val="auto"/>
              </w:rPr>
            </w:pPr>
          </w:p>
        </w:tc>
        <w:tc>
          <w:tcPr>
            <w:tcW w:w="400" w:type="dxa"/>
            <w:vAlign w:val="bottom"/>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12,555</w:t>
            </w:r>
          </w:p>
        </w:tc>
        <w:tc>
          <w:tcPr>
            <w:tcW w:w="34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30,156</w:t>
            </w:r>
          </w:p>
        </w:tc>
        <w:tc>
          <w:tcPr>
            <w:tcW w:w="740" w:type="dxa"/>
            <w:vAlign w:val="bottom"/>
            <w:gridSpan w:val="2"/>
            <w:shd w:val="clear" w:color="auto" w:fill="CFF0FC"/>
          </w:tcPr>
          <w:p>
            <w:pPr>
              <w:jc w:val="right"/>
              <w:ind w:right="247"/>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24,248</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420" w:type="dxa"/>
            <w:vAlign w:val="bottom"/>
          </w:tcPr>
          <w:p>
            <w:pPr>
              <w:ind w:left="220"/>
              <w:spacing w:after="0"/>
              <w:rPr>
                <w:sz w:val="20"/>
                <w:szCs w:val="20"/>
                <w:color w:val="auto"/>
              </w:rPr>
            </w:pPr>
            <w:r>
              <w:rPr>
                <w:rFonts w:ascii="Arial" w:cs="Arial" w:eastAsia="Arial" w:hAnsi="Arial"/>
                <w:sz w:val="16"/>
                <w:szCs w:val="16"/>
                <w:color w:val="auto"/>
              </w:rPr>
              <w:t>Denominator:</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420" w:type="dxa"/>
            <w:vAlign w:val="bottom"/>
            <w:tcBorders>
              <w:bottom w:val="single" w:sz="8" w:color="CFF0FC"/>
            </w:tcBorders>
            <w:shd w:val="clear" w:color="auto" w:fill="CFF0FC"/>
          </w:tcPr>
          <w:p>
            <w:pPr>
              <w:ind w:left="420"/>
              <w:spacing w:after="0"/>
              <w:rPr>
                <w:sz w:val="20"/>
                <w:szCs w:val="20"/>
                <w:color w:val="auto"/>
              </w:rPr>
            </w:pPr>
            <w:r>
              <w:rPr>
                <w:rFonts w:ascii="Arial" w:cs="Arial" w:eastAsia="Arial" w:hAnsi="Arial"/>
                <w:sz w:val="16"/>
                <w:szCs w:val="16"/>
                <w:color w:val="auto"/>
              </w:rPr>
              <w:t>Weighted average common shares outstanding—basic</w:t>
            </w:r>
          </w:p>
        </w:tc>
        <w:tc>
          <w:tcPr>
            <w:tcW w:w="28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19,549</w:t>
            </w:r>
          </w:p>
        </w:tc>
        <w:tc>
          <w:tcPr>
            <w:tcW w:w="32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19,206</w:t>
            </w:r>
          </w:p>
        </w:tc>
        <w:tc>
          <w:tcPr>
            <w:tcW w:w="3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19,487</w:t>
            </w:r>
          </w:p>
        </w:tc>
        <w:tc>
          <w:tcPr>
            <w:tcW w:w="34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19,167</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tcPr>
          <w:p>
            <w:pPr>
              <w:ind w:left="220"/>
              <w:spacing w:after="0"/>
              <w:rPr>
                <w:sz w:val="20"/>
                <w:szCs w:val="20"/>
                <w:color w:val="auto"/>
              </w:rPr>
            </w:pPr>
            <w:r>
              <w:rPr>
                <w:rFonts w:ascii="Arial" w:cs="Arial" w:eastAsia="Arial" w:hAnsi="Arial"/>
                <w:sz w:val="16"/>
                <w:szCs w:val="16"/>
                <w:color w:val="auto"/>
              </w:rPr>
              <w:t>Net income per share common share—basic</w:t>
            </w: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420" w:type="dxa"/>
            <w:vAlign w:val="bottom"/>
            <w:tcBorders>
              <w:bottom w:val="single" w:sz="8" w:color="CFF0FC"/>
            </w:tcBorders>
            <w:vMerge w:val="continue"/>
          </w:tcPr>
          <w:p>
            <w:pPr>
              <w:spacing w:after="0"/>
              <w:rPr>
                <w:sz w:val="18"/>
                <w:szCs w:val="18"/>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line="177" w:lineRule="exact"/>
              <w:rPr>
                <w:sz w:val="20"/>
                <w:szCs w:val="20"/>
                <w:color w:val="auto"/>
              </w:rPr>
            </w:pPr>
            <w:r>
              <w:rPr>
                <w:rFonts w:ascii="Arial" w:cs="Arial" w:eastAsia="Arial" w:hAnsi="Arial"/>
                <w:sz w:val="16"/>
                <w:szCs w:val="16"/>
                <w:color w:val="auto"/>
              </w:rPr>
              <w:t>0.21</w:t>
            </w:r>
          </w:p>
        </w:tc>
        <w:tc>
          <w:tcPr>
            <w:tcW w:w="320" w:type="dxa"/>
            <w:vAlign w:val="bottom"/>
            <w:tcBorders>
              <w:bottom w:val="single" w:sz="8" w:color="CFF0FC"/>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line="177" w:lineRule="exact"/>
              <w:rPr>
                <w:sz w:val="20"/>
                <w:szCs w:val="20"/>
                <w:color w:val="auto"/>
              </w:rPr>
            </w:pPr>
            <w:r>
              <w:rPr>
                <w:rFonts w:ascii="Arial" w:cs="Arial" w:eastAsia="Arial" w:hAnsi="Arial"/>
                <w:sz w:val="16"/>
                <w:szCs w:val="16"/>
                <w:color w:val="auto"/>
              </w:rPr>
              <w:t>0.65</w:t>
            </w:r>
          </w:p>
        </w:tc>
        <w:tc>
          <w:tcPr>
            <w:tcW w:w="340" w:type="dxa"/>
            <w:vAlign w:val="bottom"/>
            <w:tcBorders>
              <w:bottom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line="177" w:lineRule="exact"/>
              <w:rPr>
                <w:sz w:val="20"/>
                <w:szCs w:val="20"/>
                <w:color w:val="auto"/>
              </w:rPr>
            </w:pPr>
            <w:r>
              <w:rPr>
                <w:rFonts w:ascii="Arial" w:cs="Arial" w:eastAsia="Arial" w:hAnsi="Arial"/>
                <w:sz w:val="16"/>
                <w:szCs w:val="16"/>
                <w:color w:val="auto"/>
              </w:rPr>
              <w:t>1.55</w:t>
            </w:r>
          </w:p>
        </w:tc>
        <w:tc>
          <w:tcPr>
            <w:tcW w:w="340" w:type="dxa"/>
            <w:vAlign w:val="bottom"/>
            <w:tcBorders>
              <w:bottom w:val="single" w:sz="8" w:color="CFF0FC"/>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177" w:lineRule="exact"/>
              <w:rPr>
                <w:sz w:val="20"/>
                <w:szCs w:val="20"/>
                <w:color w:val="auto"/>
              </w:rPr>
            </w:pPr>
            <w:r>
              <w:rPr>
                <w:rFonts w:ascii="Arial" w:cs="Arial" w:eastAsia="Arial" w:hAnsi="Arial"/>
                <w:sz w:val="16"/>
                <w:szCs w:val="16"/>
                <w:color w:val="auto"/>
              </w:rPr>
              <w:t>1.27</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5420" w:type="dxa"/>
            <w:vAlign w:val="bottom"/>
            <w:shd w:val="clear" w:color="auto" w:fill="CFF0FC"/>
          </w:tcPr>
          <w:p>
            <w:pPr>
              <w:spacing w:after="0" w:line="176" w:lineRule="exact"/>
              <w:rPr>
                <w:sz w:val="20"/>
                <w:szCs w:val="20"/>
                <w:color w:val="auto"/>
              </w:rPr>
            </w:pPr>
            <w:r>
              <w:rPr>
                <w:rFonts w:ascii="Arial" w:cs="Arial" w:eastAsia="Arial" w:hAnsi="Arial"/>
                <w:sz w:val="16"/>
                <w:szCs w:val="16"/>
                <w:color w:val="auto"/>
              </w:rPr>
              <w:t>Diluted net income per share:</w:t>
            </w:r>
          </w:p>
        </w:tc>
        <w:tc>
          <w:tcPr>
            <w:tcW w:w="2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420" w:type="dxa"/>
            <w:vAlign w:val="bottom"/>
          </w:tcPr>
          <w:p>
            <w:pPr>
              <w:ind w:left="220"/>
              <w:spacing w:after="0"/>
              <w:rPr>
                <w:sz w:val="20"/>
                <w:szCs w:val="20"/>
                <w:color w:val="auto"/>
              </w:rPr>
            </w:pPr>
            <w:r>
              <w:rPr>
                <w:rFonts w:ascii="Arial" w:cs="Arial" w:eastAsia="Arial" w:hAnsi="Arial"/>
                <w:sz w:val="16"/>
                <w:szCs w:val="16"/>
                <w:color w:val="auto"/>
              </w:rPr>
              <w:t>Numerator:</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420" w:type="dxa"/>
            <w:vAlign w:val="bottom"/>
            <w:shd w:val="clear" w:color="auto" w:fill="CFF0FC"/>
          </w:tcPr>
          <w:p>
            <w:pPr>
              <w:ind w:left="420"/>
              <w:spacing w:after="0"/>
              <w:rPr>
                <w:sz w:val="20"/>
                <w:szCs w:val="20"/>
                <w:color w:val="auto"/>
              </w:rPr>
            </w:pPr>
            <w:r>
              <w:rPr>
                <w:rFonts w:ascii="Arial" w:cs="Arial" w:eastAsia="Arial" w:hAnsi="Arial"/>
                <w:sz w:val="16"/>
                <w:szCs w:val="16"/>
                <w:color w:val="auto"/>
              </w:rPr>
              <w:t>Net income</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4,145</w:t>
            </w:r>
          </w:p>
        </w:tc>
        <w:tc>
          <w:tcPr>
            <w:tcW w:w="320" w:type="dxa"/>
            <w:vAlign w:val="bottom"/>
            <w:shd w:val="clear" w:color="auto" w:fill="CFF0FC"/>
          </w:tcPr>
          <w:p>
            <w:pPr>
              <w:spacing w:after="0"/>
              <w:rPr>
                <w:sz w:val="17"/>
                <w:szCs w:val="17"/>
                <w:color w:val="auto"/>
              </w:rPr>
            </w:pPr>
          </w:p>
        </w:tc>
        <w:tc>
          <w:tcPr>
            <w:tcW w:w="400" w:type="dxa"/>
            <w:vAlign w:val="bottom"/>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12,555</w:t>
            </w:r>
          </w:p>
        </w:tc>
        <w:tc>
          <w:tcPr>
            <w:tcW w:w="34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30,156</w:t>
            </w:r>
          </w:p>
        </w:tc>
        <w:tc>
          <w:tcPr>
            <w:tcW w:w="740" w:type="dxa"/>
            <w:vAlign w:val="bottom"/>
            <w:gridSpan w:val="2"/>
            <w:shd w:val="clear" w:color="auto" w:fill="CFF0FC"/>
          </w:tcPr>
          <w:p>
            <w:pPr>
              <w:jc w:val="right"/>
              <w:ind w:right="247"/>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24,248</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420" w:type="dxa"/>
            <w:vAlign w:val="bottom"/>
          </w:tcPr>
          <w:p>
            <w:pPr>
              <w:ind w:left="220"/>
              <w:spacing w:after="0"/>
              <w:rPr>
                <w:sz w:val="20"/>
                <w:szCs w:val="20"/>
                <w:color w:val="auto"/>
              </w:rPr>
            </w:pPr>
            <w:r>
              <w:rPr>
                <w:rFonts w:ascii="Arial" w:cs="Arial" w:eastAsia="Arial" w:hAnsi="Arial"/>
                <w:sz w:val="16"/>
                <w:szCs w:val="16"/>
                <w:color w:val="auto"/>
              </w:rPr>
              <w:t>Denominator:</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420" w:type="dxa"/>
            <w:vAlign w:val="bottom"/>
            <w:shd w:val="clear" w:color="auto" w:fill="CFF0FC"/>
          </w:tcPr>
          <w:p>
            <w:pPr>
              <w:ind w:left="420"/>
              <w:spacing w:after="0"/>
              <w:rPr>
                <w:sz w:val="20"/>
                <w:szCs w:val="20"/>
                <w:color w:val="auto"/>
              </w:rPr>
            </w:pPr>
            <w:r>
              <w:rPr>
                <w:rFonts w:ascii="Arial" w:cs="Arial" w:eastAsia="Arial" w:hAnsi="Arial"/>
                <w:sz w:val="16"/>
                <w:szCs w:val="16"/>
                <w:color w:val="auto"/>
              </w:rPr>
              <w:t>Weighted average common shares outstanding—basic</w:t>
            </w: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19,549</w:t>
            </w:r>
          </w:p>
        </w:tc>
        <w:tc>
          <w:tcPr>
            <w:tcW w:w="3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19,206</w:t>
            </w:r>
          </w:p>
        </w:tc>
        <w:tc>
          <w:tcPr>
            <w:tcW w:w="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19,487</w:t>
            </w:r>
          </w:p>
        </w:tc>
        <w:tc>
          <w:tcPr>
            <w:tcW w:w="3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19,167</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420" w:type="dxa"/>
            <w:vAlign w:val="bottom"/>
            <w:tcBorders>
              <w:bottom w:val="single" w:sz="8" w:color="CFF0FC"/>
            </w:tcBorders>
          </w:tcPr>
          <w:p>
            <w:pPr>
              <w:ind w:left="420"/>
              <w:spacing w:after="0"/>
              <w:rPr>
                <w:sz w:val="20"/>
                <w:szCs w:val="20"/>
                <w:color w:val="auto"/>
              </w:rPr>
            </w:pPr>
            <w:r>
              <w:rPr>
                <w:rFonts w:ascii="Arial" w:cs="Arial" w:eastAsia="Arial" w:hAnsi="Arial"/>
                <w:sz w:val="16"/>
                <w:szCs w:val="16"/>
                <w:color w:val="auto"/>
              </w:rPr>
              <w:t>Dilutive effect of common stock equivalents</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1,535</w:t>
            </w:r>
          </w:p>
        </w:tc>
        <w:tc>
          <w:tcPr>
            <w:tcW w:w="320" w:type="dxa"/>
            <w:vAlign w:val="bottom"/>
            <w:tcBorders>
              <w:bottom w:val="single" w:sz="8" w:color="CFF0FC"/>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1,395</w:t>
            </w:r>
          </w:p>
        </w:tc>
        <w:tc>
          <w:tcPr>
            <w:tcW w:w="34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1,459</w:t>
            </w:r>
          </w:p>
        </w:tc>
        <w:tc>
          <w:tcPr>
            <w:tcW w:w="340" w:type="dxa"/>
            <w:vAlign w:val="bottom"/>
            <w:tcBorders>
              <w:bottom w:val="single" w:sz="8" w:color="CFF0FC"/>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1,089</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420" w:type="dxa"/>
            <w:vAlign w:val="bottom"/>
            <w:tcBorders>
              <w:bottom w:val="single" w:sz="8" w:color="CFF0FC"/>
            </w:tcBorders>
            <w:shd w:val="clear" w:color="auto" w:fill="CFF0FC"/>
          </w:tcPr>
          <w:p>
            <w:pPr>
              <w:ind w:left="420"/>
              <w:spacing w:after="0"/>
              <w:rPr>
                <w:sz w:val="20"/>
                <w:szCs w:val="20"/>
                <w:color w:val="auto"/>
              </w:rPr>
            </w:pPr>
            <w:r>
              <w:rPr>
                <w:rFonts w:ascii="Arial" w:cs="Arial" w:eastAsia="Arial" w:hAnsi="Arial"/>
                <w:sz w:val="16"/>
                <w:szCs w:val="16"/>
                <w:color w:val="auto"/>
              </w:rPr>
              <w:t>Weighted average common shares outstanding—diluted</w:t>
            </w:r>
          </w:p>
        </w:tc>
        <w:tc>
          <w:tcPr>
            <w:tcW w:w="28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21,084</w:t>
            </w:r>
          </w:p>
        </w:tc>
        <w:tc>
          <w:tcPr>
            <w:tcW w:w="320" w:type="dxa"/>
            <w:vAlign w:val="bottom"/>
            <w:tcBorders>
              <w:bottom w:val="single" w:sz="8" w:color="CFF0FC"/>
            </w:tcBorders>
            <w:shd w:val="clear" w:color="auto" w:fill="CFF0FC"/>
          </w:tcPr>
          <w:p>
            <w:pPr>
              <w:spacing w:after="0"/>
              <w:rPr>
                <w:sz w:val="16"/>
                <w:szCs w:val="16"/>
                <w:color w:val="auto"/>
              </w:rPr>
            </w:pPr>
          </w:p>
        </w:tc>
        <w:tc>
          <w:tcPr>
            <w:tcW w:w="400" w:type="dxa"/>
            <w:vAlign w:val="bottom"/>
            <w:tcBorders>
              <w:bottom w:val="single" w:sz="8" w:color="auto"/>
            </w:tcBorders>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20,601</w:t>
            </w:r>
          </w:p>
        </w:tc>
        <w:tc>
          <w:tcPr>
            <w:tcW w:w="34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20,946</w:t>
            </w:r>
          </w:p>
        </w:tc>
        <w:tc>
          <w:tcPr>
            <w:tcW w:w="340" w:type="dxa"/>
            <w:vAlign w:val="bottom"/>
            <w:tcBorders>
              <w:bottom w:val="single" w:sz="8" w:color="CFF0FC"/>
            </w:tcBorders>
            <w:shd w:val="clear" w:color="auto" w:fill="CFF0FC"/>
          </w:tcPr>
          <w:p>
            <w:pPr>
              <w:spacing w:after="0"/>
              <w:rPr>
                <w:sz w:val="16"/>
                <w:szCs w:val="16"/>
                <w:color w:val="auto"/>
              </w:rPr>
            </w:pPr>
          </w:p>
        </w:tc>
        <w:tc>
          <w:tcPr>
            <w:tcW w:w="40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20,256</w:t>
            </w: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tcPr>
          <w:p>
            <w:pPr>
              <w:ind w:left="220"/>
              <w:spacing w:after="0"/>
              <w:rPr>
                <w:sz w:val="20"/>
                <w:szCs w:val="20"/>
                <w:color w:val="auto"/>
              </w:rPr>
            </w:pPr>
            <w:r>
              <w:rPr>
                <w:rFonts w:ascii="Arial" w:cs="Arial" w:eastAsia="Arial" w:hAnsi="Arial"/>
                <w:sz w:val="16"/>
                <w:szCs w:val="16"/>
                <w:color w:val="auto"/>
              </w:rPr>
              <w:t>Net income per share common share—diluted</w:t>
            </w: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420" w:type="dxa"/>
            <w:vAlign w:val="bottom"/>
            <w:tcBorders>
              <w:bottom w:val="single" w:sz="8" w:color="CFF0FC"/>
            </w:tcBorders>
            <w:vMerge w:val="continue"/>
          </w:tcPr>
          <w:p>
            <w:pPr>
              <w:spacing w:after="0"/>
              <w:rPr>
                <w:sz w:val="18"/>
                <w:szCs w:val="18"/>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line="177" w:lineRule="exact"/>
              <w:rPr>
                <w:sz w:val="20"/>
                <w:szCs w:val="20"/>
                <w:color w:val="auto"/>
              </w:rPr>
            </w:pPr>
            <w:r>
              <w:rPr>
                <w:rFonts w:ascii="Arial" w:cs="Arial" w:eastAsia="Arial" w:hAnsi="Arial"/>
                <w:sz w:val="16"/>
                <w:szCs w:val="16"/>
                <w:color w:val="auto"/>
              </w:rPr>
              <w:t>0.20</w:t>
            </w:r>
          </w:p>
        </w:tc>
        <w:tc>
          <w:tcPr>
            <w:tcW w:w="320" w:type="dxa"/>
            <w:vAlign w:val="bottom"/>
            <w:tcBorders>
              <w:bottom w:val="single" w:sz="8" w:color="CFF0FC"/>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line="177" w:lineRule="exact"/>
              <w:rPr>
                <w:sz w:val="20"/>
                <w:szCs w:val="20"/>
                <w:color w:val="auto"/>
              </w:rPr>
            </w:pPr>
            <w:r>
              <w:rPr>
                <w:rFonts w:ascii="Arial" w:cs="Arial" w:eastAsia="Arial" w:hAnsi="Arial"/>
                <w:sz w:val="16"/>
                <w:szCs w:val="16"/>
                <w:color w:val="auto"/>
              </w:rPr>
              <w:t>0.61</w:t>
            </w:r>
          </w:p>
        </w:tc>
        <w:tc>
          <w:tcPr>
            <w:tcW w:w="340" w:type="dxa"/>
            <w:vAlign w:val="bottom"/>
            <w:tcBorders>
              <w:bottom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line="177" w:lineRule="exact"/>
              <w:rPr>
                <w:sz w:val="20"/>
                <w:szCs w:val="20"/>
                <w:color w:val="auto"/>
              </w:rPr>
            </w:pPr>
            <w:r>
              <w:rPr>
                <w:rFonts w:ascii="Arial" w:cs="Arial" w:eastAsia="Arial" w:hAnsi="Arial"/>
                <w:sz w:val="16"/>
                <w:szCs w:val="16"/>
                <w:color w:val="auto"/>
              </w:rPr>
              <w:t>1.44</w:t>
            </w:r>
          </w:p>
        </w:tc>
        <w:tc>
          <w:tcPr>
            <w:tcW w:w="340" w:type="dxa"/>
            <w:vAlign w:val="bottom"/>
            <w:tcBorders>
              <w:bottom w:val="single" w:sz="8" w:color="CFF0FC"/>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177" w:lineRule="exact"/>
              <w:rPr>
                <w:sz w:val="20"/>
                <w:szCs w:val="20"/>
                <w:color w:val="auto"/>
              </w:rPr>
            </w:pPr>
            <w:r>
              <w:rPr>
                <w:rFonts w:ascii="Arial" w:cs="Arial" w:eastAsia="Arial" w:hAnsi="Arial"/>
                <w:sz w:val="16"/>
                <w:szCs w:val="16"/>
                <w:color w:val="auto"/>
              </w:rPr>
              <w:t>1.20</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5420" w:type="dxa"/>
            <w:vAlign w:val="bottom"/>
            <w:shd w:val="clear" w:color="auto" w:fill="CFF0FC"/>
          </w:tcPr>
          <w:p>
            <w:pPr>
              <w:ind w:left="220"/>
              <w:spacing w:after="0" w:line="176" w:lineRule="exact"/>
              <w:rPr>
                <w:sz w:val="20"/>
                <w:szCs w:val="20"/>
                <w:color w:val="auto"/>
              </w:rPr>
            </w:pPr>
            <w:r>
              <w:rPr>
                <w:rFonts w:ascii="Arial" w:cs="Arial" w:eastAsia="Arial" w:hAnsi="Arial"/>
                <w:sz w:val="16"/>
                <w:szCs w:val="16"/>
                <w:color w:val="auto"/>
              </w:rPr>
              <w:t>Anti-dilutive common stock equivalents excluded from above</w:t>
            </w:r>
          </w:p>
        </w:tc>
        <w:tc>
          <w:tcPr>
            <w:tcW w:w="28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77" w:lineRule="exact"/>
              <w:rPr>
                <w:sz w:val="20"/>
                <w:szCs w:val="20"/>
                <w:color w:val="auto"/>
              </w:rPr>
            </w:pPr>
            <w:r>
              <w:rPr>
                <w:rFonts w:ascii="Arial" w:cs="Arial" w:eastAsia="Arial" w:hAnsi="Arial"/>
                <w:sz w:val="16"/>
                <w:szCs w:val="16"/>
                <w:color w:val="auto"/>
              </w:rPr>
              <w:t>784</w:t>
            </w:r>
          </w:p>
        </w:tc>
        <w:tc>
          <w:tcPr>
            <w:tcW w:w="3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line="177" w:lineRule="exact"/>
              <w:rPr>
                <w:sz w:val="20"/>
                <w:szCs w:val="20"/>
                <w:color w:val="auto"/>
              </w:rPr>
            </w:pPr>
            <w:r>
              <w:rPr>
                <w:rFonts w:ascii="Arial" w:cs="Arial" w:eastAsia="Arial" w:hAnsi="Arial"/>
                <w:sz w:val="16"/>
                <w:szCs w:val="16"/>
                <w:color w:val="auto"/>
              </w:rPr>
              <w:t>46</w:t>
            </w:r>
          </w:p>
        </w:tc>
        <w:tc>
          <w:tcPr>
            <w:tcW w:w="3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77" w:lineRule="exact"/>
              <w:rPr>
                <w:sz w:val="20"/>
                <w:szCs w:val="20"/>
                <w:color w:val="auto"/>
              </w:rPr>
            </w:pPr>
            <w:r>
              <w:rPr>
                <w:rFonts w:ascii="Arial" w:cs="Arial" w:eastAsia="Arial" w:hAnsi="Arial"/>
                <w:sz w:val="16"/>
                <w:szCs w:val="16"/>
                <w:color w:val="auto"/>
              </w:rPr>
              <w:t>694</w:t>
            </w:r>
          </w:p>
        </w:tc>
        <w:tc>
          <w:tcPr>
            <w:tcW w:w="3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line="177" w:lineRule="exact"/>
              <w:rPr>
                <w:sz w:val="20"/>
                <w:szCs w:val="20"/>
                <w:color w:val="auto"/>
              </w:rPr>
            </w:pPr>
            <w:r>
              <w:rPr>
                <w:rFonts w:ascii="Arial" w:cs="Arial" w:eastAsia="Arial" w:hAnsi="Arial"/>
                <w:sz w:val="16"/>
                <w:szCs w:val="16"/>
                <w:color w:val="auto"/>
              </w:rPr>
              <w:t>449</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7" w:lineRule="exact"/>
        <w:rPr>
          <w:sz w:val="20"/>
          <w:szCs w:val="20"/>
          <w:color w:val="auto"/>
        </w:rPr>
      </w:pPr>
    </w:p>
    <w:p>
      <w:pPr>
        <w:ind w:left="505" w:hanging="505"/>
        <w:spacing w:after="0"/>
        <w:tabs>
          <w:tab w:leader="none" w:pos="505"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Income Taxes</w:t>
      </w:r>
    </w:p>
    <w:p>
      <w:pPr>
        <w:spacing w:after="0" w:line="199" w:lineRule="exact"/>
        <w:rPr>
          <w:sz w:val="20"/>
          <w:szCs w:val="20"/>
          <w:color w:val="auto"/>
        </w:rPr>
      </w:pPr>
    </w:p>
    <w:p>
      <w:pPr>
        <w:ind w:left="5" w:right="40"/>
        <w:spacing w:after="0" w:line="273" w:lineRule="auto"/>
        <w:rPr>
          <w:sz w:val="20"/>
          <w:szCs w:val="20"/>
          <w:color w:val="auto"/>
        </w:rPr>
      </w:pPr>
      <w:r>
        <w:rPr>
          <w:rFonts w:ascii="Arial" w:cs="Arial" w:eastAsia="Arial" w:hAnsi="Arial"/>
          <w:sz w:val="15"/>
          <w:szCs w:val="15"/>
          <w:color w:val="auto"/>
        </w:rPr>
        <w:t>For the three months ended March 31, 2019 and 2018, the Company recorded an income tax benefit of $3,204 and income tax (expense) of ($5,370) respectively, both of which were attributable to the Company’s domestic operations. During the three months ended March 31, 2019, the Company recorded an income tax benefit, despite its pre-tax income, due to tax deductions for employee stock award-related activity during the quarter. For the six months ended March 31, 2019 and 2018, the Company recorded income tax (expense) of ($526) and ($9,014), respectively, representing effective tax rates of 1.7% and 27.1%, respectively. The effective tax rate for the six months ended March 31, 2019 differs from the federal statutory rate of 21.0% due to federal research and development tax</w:t>
      </w:r>
    </w:p>
    <w:p>
      <w:pPr>
        <w:spacing w:after="0" w:line="155"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58420</wp:posOffset>
            </wp:positionV>
            <wp:extent cx="7303770"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569" w:right="219" w:bottom="1440" w:gutter="0" w:footer="0" w:header="0"/>
        </w:sectPr>
      </w:pPr>
    </w:p>
    <w:bookmarkStart w:id="15" w:name="page16"/>
    <w:bookmarkEnd w:id="15"/>
    <w:p>
      <w:pPr>
        <w:jc w:val="both"/>
        <w:ind w:left="5" w:right="120"/>
        <w:spacing w:after="0" w:line="257" w:lineRule="auto"/>
        <w:rPr>
          <w:sz w:val="20"/>
          <w:szCs w:val="20"/>
          <w:color w:val="auto"/>
        </w:rPr>
      </w:pPr>
      <w:r>
        <w:rPr>
          <w:rFonts w:ascii="Arial" w:cs="Arial" w:eastAsia="Arial" w:hAnsi="Arial"/>
          <w:sz w:val="16"/>
          <w:szCs w:val="16"/>
          <w:color w:val="auto"/>
        </w:rPr>
        <w:t>credits and tax deductions from employee stock award-related activity during the year, both of which reduced the effective tax rate below the federal rate. The effective tax rate for the six months ended March 31, 2018 includes a revaluation adjustment against deferred tax assets of ($3,859) due to a decrease in the federal corporate income tax rate as enacted under the U.S. Tax Cuts and Jobs Act (the “Tax Act”).</w:t>
      </w:r>
    </w:p>
    <w:p>
      <w:pPr>
        <w:spacing w:after="0" w:line="166" w:lineRule="exact"/>
        <w:rPr>
          <w:sz w:val="20"/>
          <w:szCs w:val="20"/>
          <w:color w:val="auto"/>
        </w:rPr>
      </w:pPr>
    </w:p>
    <w:p>
      <w:pPr>
        <w:ind w:left="5" w:right="20"/>
        <w:spacing w:after="0" w:line="291" w:lineRule="auto"/>
        <w:rPr>
          <w:sz w:val="20"/>
          <w:szCs w:val="20"/>
          <w:color w:val="auto"/>
        </w:rPr>
      </w:pPr>
      <w:r>
        <w:rPr>
          <w:rFonts w:ascii="Arial" w:cs="Arial" w:eastAsia="Arial" w:hAnsi="Arial"/>
          <w:sz w:val="14"/>
          <w:szCs w:val="14"/>
          <w:color w:val="auto"/>
        </w:rPr>
        <w:t>The Company files tax returns as prescribed by the tax laws of the jurisdictions in which it operates. In the normal course of business, the Company is subject to examination by federal and state jurisdictions, where applicable. The Company’s tax years are still open under statute from 2014 to the present. Earlier years may be examined to the extent that tax credit or net operating loss carryforwards are used in future periods. During 2018, the Company received notice of examination by the Internal Revenue Service (“IRS”) for the year ending September 30, 2016. The Company received and agreed to a notice of proposed adjustment from the IRS which was paid in September 2018, the amount of which was immaterial to the financial statements. The Company is in the process of finalizing the completion of the IRS audit. During October 2018, the Company received notice of examination by the Massachusetts Department of Revenue (“DOR”) for the years ending September 30, 2015 and September 30, 2016. No adjustments have been proposed to date. The Company has not received notice of examination by any other jurisdictions for any other tax year open under statute.</w:t>
      </w:r>
    </w:p>
    <w:p>
      <w:pPr>
        <w:spacing w:after="0" w:line="148" w:lineRule="exact"/>
        <w:rPr>
          <w:sz w:val="20"/>
          <w:szCs w:val="20"/>
          <w:color w:val="auto"/>
        </w:rPr>
      </w:pPr>
    </w:p>
    <w:p>
      <w:pPr>
        <w:ind w:left="5" w:right="120"/>
        <w:spacing w:after="0" w:line="341" w:lineRule="auto"/>
        <w:rPr>
          <w:sz w:val="20"/>
          <w:szCs w:val="20"/>
          <w:color w:val="auto"/>
        </w:rPr>
      </w:pPr>
      <w:r>
        <w:rPr>
          <w:rFonts w:ascii="Arial" w:cs="Arial" w:eastAsia="Arial" w:hAnsi="Arial"/>
          <w:sz w:val="14"/>
          <w:szCs w:val="14"/>
          <w:color w:val="auto"/>
        </w:rPr>
        <w:t>The Company had an unrecognized tax benefit of $1,922 and $1,792 as of March 31, 2019 and September 30, 2018, respectively. Unrecognized tax benefits represent tax positions for which reserves have been established. The Company’s policy is to record interest and penalties related to uncertain tax positions as part of its income tax provision.</w:t>
      </w:r>
    </w:p>
    <w:p>
      <w:pPr>
        <w:spacing w:after="0" w:line="201" w:lineRule="exact"/>
        <w:rPr>
          <w:sz w:val="20"/>
          <w:szCs w:val="20"/>
          <w:color w:val="auto"/>
        </w:rPr>
      </w:pPr>
    </w:p>
    <w:p>
      <w:pPr>
        <w:ind w:left="505" w:hanging="505"/>
        <w:spacing w:after="0"/>
        <w:tabs>
          <w:tab w:leader="none" w:pos="505"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Commitments and Contingencies</w:t>
      </w:r>
    </w:p>
    <w:p>
      <w:pPr>
        <w:spacing w:after="0" w:line="99" w:lineRule="exact"/>
        <w:rPr>
          <w:rFonts w:ascii="Arial" w:cs="Arial" w:eastAsia="Arial" w:hAnsi="Arial"/>
          <w:sz w:val="16"/>
          <w:szCs w:val="16"/>
          <w:b w:val="1"/>
          <w:bCs w:val="1"/>
          <w:color w:val="auto"/>
        </w:rPr>
      </w:pPr>
    </w:p>
    <w:p>
      <w:pPr>
        <w:ind w:left="5"/>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Leases</w:t>
      </w:r>
    </w:p>
    <w:p>
      <w:pPr>
        <w:spacing w:after="0" w:line="199" w:lineRule="exact"/>
        <w:rPr>
          <w:sz w:val="20"/>
          <w:szCs w:val="20"/>
          <w:color w:val="auto"/>
        </w:rPr>
      </w:pPr>
    </w:p>
    <w:p>
      <w:pPr>
        <w:ind w:left="5" w:right="480"/>
        <w:spacing w:after="0" w:line="257" w:lineRule="auto"/>
        <w:rPr>
          <w:sz w:val="20"/>
          <w:szCs w:val="20"/>
          <w:color w:val="auto"/>
        </w:rPr>
      </w:pPr>
      <w:r>
        <w:rPr>
          <w:rFonts w:ascii="Arial" w:cs="Arial" w:eastAsia="Arial" w:hAnsi="Arial"/>
          <w:sz w:val="16"/>
          <w:szCs w:val="16"/>
          <w:color w:val="auto"/>
        </w:rPr>
        <w:t>The Company has two leases for office and laboratory space located in Watertown, Massachusetts that expire in September 2022 and August 2024. Free rent and payment escalations specified in the lease agreements are accrued such that rent expense is recognized on a straight-line basis over the term of occupancy. The Company recorded rent expense of $1,246 and $1,013 for the six months ended March 31, 2019 and 2018, respectively.</w:t>
      </w:r>
    </w:p>
    <w:p>
      <w:pPr>
        <w:spacing w:after="0" w:line="166" w:lineRule="exact"/>
        <w:rPr>
          <w:sz w:val="20"/>
          <w:szCs w:val="20"/>
          <w:color w:val="auto"/>
        </w:rPr>
      </w:pPr>
    </w:p>
    <w:p>
      <w:pPr>
        <w:ind w:left="5"/>
        <w:spacing w:after="0" w:line="341" w:lineRule="auto"/>
        <w:rPr>
          <w:sz w:val="20"/>
          <w:szCs w:val="20"/>
          <w:color w:val="auto"/>
        </w:rPr>
      </w:pPr>
      <w:r>
        <w:rPr>
          <w:rFonts w:ascii="Arial" w:cs="Arial" w:eastAsia="Arial" w:hAnsi="Arial"/>
          <w:sz w:val="14"/>
          <w:szCs w:val="14"/>
          <w:color w:val="auto"/>
        </w:rPr>
        <w:t>In connection with one of the leases, the Company has an outstanding letter of credit in the amount of $608 as of March 31, 2019 and September 30, 2018, collateralized by a money market account. As of March 31, 2019 and September 30, 2018, the Company classified the $608 related to the money market account as long-term restricted cash.</w:t>
      </w:r>
    </w:p>
    <w:p>
      <w:pPr>
        <w:spacing w:after="0" w:line="201"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Litigation and Contingencies Related to Use of Intellectual Property</w:t>
      </w:r>
    </w:p>
    <w:p>
      <w:pPr>
        <w:spacing w:after="0" w:line="199" w:lineRule="exact"/>
        <w:rPr>
          <w:sz w:val="20"/>
          <w:szCs w:val="20"/>
          <w:color w:val="auto"/>
        </w:rPr>
      </w:pPr>
    </w:p>
    <w:p>
      <w:pPr>
        <w:ind w:left="5" w:right="40"/>
        <w:spacing w:after="0" w:line="250" w:lineRule="auto"/>
        <w:rPr>
          <w:sz w:val="20"/>
          <w:szCs w:val="20"/>
          <w:color w:val="auto"/>
        </w:rPr>
      </w:pPr>
      <w:r>
        <w:rPr>
          <w:rFonts w:ascii="Arial" w:cs="Arial" w:eastAsia="Arial" w:hAnsi="Arial"/>
          <w:sz w:val="16"/>
          <w:szCs w:val="16"/>
          <w:color w:val="auto"/>
        </w:rPr>
        <w:t>From time to time, the Company may become subject to legal proceedings, claims and litigation arising in the ordinary course of business. The Company currently is not a party to any threatened or pending litigation. However, third parties might allege that the Company or its collaborators are infringing their patent rights or that the Company is otherwise violating their intellectual property rights. Such third parties may resort to litigation against the Company or its collaborators, which the Company has agreed to indemnify. With respect to some of these patents, the Company expects that it could be required to obtain licenses and could be required to pay license fees or royalties, or both. These licenses may not be available on acceptable terms, or at all. A costly license, or inability to obtain a necessary license, would have a material adverse effect on the Company’s financial condition, results of operations or cash flows. The Company accrues contingent liabilities when it is probable that future expenditures will be made and such expenditures can be reasonably estimated.</w:t>
      </w:r>
    </w:p>
    <w:p>
      <w:pPr>
        <w:spacing w:after="0" w:line="263"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Indemnification Agreements</w:t>
      </w:r>
    </w:p>
    <w:p>
      <w:pPr>
        <w:spacing w:after="0" w:line="199" w:lineRule="exact"/>
        <w:rPr>
          <w:sz w:val="20"/>
          <w:szCs w:val="20"/>
          <w:color w:val="auto"/>
        </w:rPr>
      </w:pPr>
    </w:p>
    <w:p>
      <w:pPr>
        <w:ind w:left="5" w:right="60"/>
        <w:spacing w:after="0" w:line="268" w:lineRule="auto"/>
        <w:rPr>
          <w:sz w:val="20"/>
          <w:szCs w:val="20"/>
          <w:color w:val="auto"/>
        </w:rPr>
      </w:pPr>
      <w:r>
        <w:rPr>
          <w:rFonts w:ascii="Arial" w:cs="Arial" w:eastAsia="Arial" w:hAnsi="Arial"/>
          <w:sz w:val="15"/>
          <w:szCs w:val="15"/>
          <w:color w:val="auto"/>
        </w:rPr>
        <w:t>In the ordinary course of business, the Company may provide indemnifications of varying scope and terms to customers, vendors, lessors, business partners, and other parties with respect to certain matters including, but not limited to, losses arising out of breach of such agreements or from services to be provided to the Company, or from intellectual property infringement claims made by third parties. In addition, the Company has entered into indemnification agreements with members of its board of directors and its executive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In addition, the Company maintains officers and directors insurance coverage. The Company does not believe that the outcome of any claims under indemnification arrangements will have a material effect on its financial position, results of operations or cash flows, and it has not accrued any liabilities related to such obligations in its financial statements as of March 31, 2019.</w:t>
      </w:r>
    </w:p>
    <w:p>
      <w:pPr>
        <w:spacing w:after="0" w:line="163"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58420</wp:posOffset>
            </wp:positionV>
            <wp:extent cx="7303770" cy="40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25"/>
          </w:cols>
          <w:pgMar w:left="235" w:top="506" w:right="239" w:bottom="1440" w:gutter="0" w:footer="0" w:header="0"/>
        </w:sectPr>
      </w:pPr>
    </w:p>
    <w:bookmarkStart w:id="16" w:name="page17"/>
    <w:bookmarkEnd w:id="16"/>
    <w:p>
      <w:pPr>
        <w:spacing w:after="0"/>
        <w:tabs>
          <w:tab w:leader="none" w:pos="1140"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104" w:lineRule="exact"/>
        <w:rPr>
          <w:sz w:val="20"/>
          <w:szCs w:val="20"/>
          <w:color w:val="auto"/>
        </w:rPr>
      </w:pPr>
    </w:p>
    <w:p>
      <w:pPr>
        <w:spacing w:after="0" w:line="254"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the unaudited consolidated financial statements and notes thereto included elsewhere in this Quarterly Report on Form 10-Q and the audited consolidated financial statements and notes thereto for our fiscal year ended September 30, 2018 included in our Annual Report on Form 10-K for that fiscal year which is referred to as our 2018 Form 10-K. Please refer to our note regarding forward-looking statements on page 2 of this Form 10-Q, which is incorporated herein by this reference.</w:t>
      </w:r>
    </w:p>
    <w:p>
      <w:pPr>
        <w:spacing w:after="0" w:line="73" w:lineRule="exact"/>
        <w:rPr>
          <w:sz w:val="20"/>
          <w:szCs w:val="20"/>
          <w:color w:val="auto"/>
        </w:rPr>
      </w:pPr>
    </w:p>
    <w:p>
      <w:pPr>
        <w:spacing w:after="0" w:line="268" w:lineRule="auto"/>
        <w:rPr>
          <w:sz w:val="20"/>
          <w:szCs w:val="20"/>
          <w:color w:val="auto"/>
        </w:rPr>
      </w:pPr>
      <w:r>
        <w:rPr>
          <w:rFonts w:ascii="Arial" w:cs="Arial" w:eastAsia="Arial" w:hAnsi="Arial"/>
          <w:sz w:val="16"/>
          <w:szCs w:val="16"/>
          <w:i w:val="1"/>
          <w:iCs w:val="1"/>
          <w:color w:val="auto"/>
        </w:rPr>
        <w:t>The Enanta name and logo are our trademarks. This Quarterly Report also includes trademarks, trade names and service marks of other persons. All other trademarks, trade names and service marks appearing in this Quarterly Report are the property of their respective owners.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04" w:lineRule="exact"/>
        <w:rPr>
          <w:sz w:val="20"/>
          <w:szCs w:val="20"/>
          <w:color w:val="auto"/>
        </w:rPr>
      </w:pPr>
    </w:p>
    <w:p>
      <w:pPr>
        <w:ind w:right="80"/>
        <w:spacing w:after="0" w:line="273" w:lineRule="auto"/>
        <w:rPr>
          <w:sz w:val="20"/>
          <w:szCs w:val="20"/>
          <w:color w:val="auto"/>
        </w:rPr>
      </w:pPr>
      <w:r>
        <w:rPr>
          <w:rFonts w:ascii="Arial" w:cs="Arial" w:eastAsia="Arial" w:hAnsi="Arial"/>
          <w:sz w:val="15"/>
          <w:szCs w:val="15"/>
          <w:color w:val="auto"/>
        </w:rPr>
        <w:t>We are a biotechnology company that uses our robust, chemistry-driven approach and drug discovery capabilities to create small molecule drugs primarily for the treatment of viral infections and liver diseases. We discovered glecaprevir, the second of two protease inhibitors discovered and developed through our collaboration with AbbVie for the treatment of chronic hepatitis C virus, or HCV. Glecaprevir is co-formulated as part of AbbVie’s newest direct-acting antiviral (DAA) combination and marketed under the tradenames MAVYRET™ (U.S.) or MAVIRET™ (ex-U.S.) (glecaprevir/pibrentasvir). Our royalties from our AbbVie collaboration and our existing financial resources provide us funding to support our wholly-owned research and development programs, which are currently focused on the following disease targets:</w:t>
      </w:r>
    </w:p>
    <w:p>
      <w:pPr>
        <w:spacing w:after="0" w:line="60" w:lineRule="exact"/>
        <w:rPr>
          <w:sz w:val="20"/>
          <w:szCs w:val="20"/>
          <w:color w:val="auto"/>
        </w:rPr>
      </w:pPr>
    </w:p>
    <w:p>
      <w:pPr>
        <w:ind w:left="1020" w:right="240" w:hanging="517"/>
        <w:spacing w:after="0" w:line="282" w:lineRule="auto"/>
        <w:tabs>
          <w:tab w:leader="none" w:pos="10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respiratory syncytial virus (or RSV) infection is the most common cause of bronchiolitis and pneumonia in young children and a significant cause of respiratory illness in older adults, with estimates suggesting that approximately 200,000 hospitalizations in the U.S. and EU occur each year in children under the age of two and approximately 170,000 hospitalizations in these regions occur in each year in adults over the age of 65;</w:t>
      </w:r>
    </w:p>
    <w:p>
      <w:pPr>
        <w:spacing w:after="0" w:line="54" w:lineRule="exact"/>
        <w:rPr>
          <w:rFonts w:ascii="Arial" w:cs="Arial" w:eastAsia="Arial" w:hAnsi="Arial"/>
          <w:sz w:val="15"/>
          <w:szCs w:val="15"/>
          <w:color w:val="auto"/>
        </w:rPr>
      </w:pPr>
    </w:p>
    <w:p>
      <w:pPr>
        <w:ind w:left="1020" w:right="20" w:hanging="517"/>
        <w:spacing w:after="0" w:line="268" w:lineRule="auto"/>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non-alcoholic steatohepatitis, or NASH, a liver disease estimated to affect approximately 1.5% to 6.5% of the population in the developed world (which translates to approximately 5 to 20 million individuals in the U.S. alone);</w:t>
      </w:r>
    </w:p>
    <w:p>
      <w:pPr>
        <w:spacing w:after="0" w:line="62" w:lineRule="exact"/>
        <w:rPr>
          <w:rFonts w:ascii="Arial" w:cs="Arial" w:eastAsia="Arial" w:hAnsi="Arial"/>
          <w:sz w:val="16"/>
          <w:szCs w:val="16"/>
          <w:color w:val="auto"/>
        </w:rPr>
      </w:pPr>
    </w:p>
    <w:p>
      <w:pPr>
        <w:ind w:left="1020" w:hanging="517"/>
        <w:spacing w:after="0"/>
        <w:tabs>
          <w:tab w:leader="none" w:pos="10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primary biliary cholangitis, or PBC, a chronic liver disease that slowly destroys bile ducts in the liver and affects an estimated 17,000 individuals in the U.S.; and</w:t>
      </w:r>
    </w:p>
    <w:p>
      <w:pPr>
        <w:spacing w:after="0" w:line="122" w:lineRule="exact"/>
        <w:rPr>
          <w:rFonts w:ascii="Arial" w:cs="Arial" w:eastAsia="Arial" w:hAnsi="Arial"/>
          <w:sz w:val="14"/>
          <w:szCs w:val="14"/>
          <w:color w:val="auto"/>
        </w:rPr>
      </w:pPr>
    </w:p>
    <w:p>
      <w:pPr>
        <w:ind w:left="1020" w:hanging="517"/>
        <w:spacing w:after="0"/>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hepatitis B virus, or HBV, the most prevalent chronic hepatitis, which is estimated to affect approximately 250 million individuals worldwide.</w:t>
      </w:r>
    </w:p>
    <w:p>
      <w:pPr>
        <w:spacing w:after="0" w:line="195" w:lineRule="exact"/>
        <w:rPr>
          <w:sz w:val="20"/>
          <w:szCs w:val="20"/>
          <w:color w:val="auto"/>
        </w:rPr>
      </w:pPr>
    </w:p>
    <w:p>
      <w:pPr>
        <w:ind w:right="480"/>
        <w:spacing w:after="0" w:line="268" w:lineRule="auto"/>
        <w:rPr>
          <w:sz w:val="20"/>
          <w:szCs w:val="20"/>
          <w:color w:val="auto"/>
        </w:rPr>
      </w:pPr>
      <w:r>
        <w:rPr>
          <w:rFonts w:ascii="Arial" w:cs="Arial" w:eastAsia="Arial" w:hAnsi="Arial"/>
          <w:sz w:val="16"/>
          <w:szCs w:val="16"/>
          <w:color w:val="auto"/>
        </w:rPr>
        <w:t>We had $386.7 million in cash and marketable securities at March 31, 2019. We expect our existing financial resources and cash flows from continuing royalties on our HCV products will allow us to continue to fund our wholly-owned research and development programs for the foreseeable future.</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Wholly-Owned Programs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Our wholly-owned research and development programs are in virology, namely RSV and HBV, and in liver disease (non-virology), namely NASH and PBC:</w:t>
      </w:r>
    </w:p>
    <w:p>
      <w:pPr>
        <w:spacing w:after="0" w:line="100" w:lineRule="exact"/>
        <w:rPr>
          <w:sz w:val="20"/>
          <w:szCs w:val="20"/>
          <w:color w:val="auto"/>
        </w:rPr>
      </w:pPr>
    </w:p>
    <w:p>
      <w:pPr>
        <w:ind w:left="1020" w:right="40" w:hanging="517"/>
        <w:spacing w:after="0" w:line="282" w:lineRule="auto"/>
        <w:tabs>
          <w:tab w:leader="none" w:pos="1020" w:val="left"/>
        </w:tabs>
        <w:numPr>
          <w:ilvl w:val="0"/>
          <w:numId w:val="15"/>
        </w:numPr>
        <w:rPr>
          <w:rFonts w:ascii="Arial" w:cs="Arial" w:eastAsia="Arial" w:hAnsi="Arial"/>
          <w:sz w:val="15"/>
          <w:szCs w:val="15"/>
          <w:color w:val="auto"/>
        </w:rPr>
      </w:pPr>
      <w:r>
        <w:rPr>
          <w:rFonts w:ascii="Arial" w:cs="Arial" w:eastAsia="Arial" w:hAnsi="Arial"/>
          <w:sz w:val="15"/>
          <w:szCs w:val="15"/>
          <w:u w:val="single" w:color="auto"/>
          <w:color w:val="auto"/>
        </w:rPr>
        <w:t>RSV:</w:t>
      </w:r>
      <w:r>
        <w:rPr>
          <w:rFonts w:ascii="Arial" w:cs="Arial" w:eastAsia="Arial" w:hAnsi="Arial"/>
          <w:sz w:val="15"/>
          <w:szCs w:val="15"/>
          <w:color w:val="auto"/>
        </w:rPr>
        <w:t xml:space="preserve"> We discovered EDP-938, a potent N-protein inhibitor of activity of both major subgroups of RSV, referred to as RSV-A and RSV-B, and have tested it as our first clinical candidate for RSV. We believe EDP-938 is differentiated from fusion inhibitors currently in development for RSV because N-protein inhibitors directly target the viral replication process of RSV and have demonstrated high barriers to resistance against RSV </w:t>
      </w:r>
      <w:r>
        <w:rPr>
          <w:rFonts w:ascii="Arial" w:cs="Arial" w:eastAsia="Arial" w:hAnsi="Arial"/>
          <w:sz w:val="15"/>
          <w:szCs w:val="15"/>
          <w:i w:val="1"/>
          <w:iCs w:val="1"/>
          <w:color w:val="auto"/>
        </w:rPr>
        <w:t>in vitro</w:t>
      </w:r>
      <w:r>
        <w:rPr>
          <w:rFonts w:ascii="Arial" w:cs="Arial" w:eastAsia="Arial" w:hAnsi="Arial"/>
          <w:sz w:val="15"/>
          <w:szCs w:val="15"/>
          <w:color w:val="auto"/>
        </w:rPr>
        <w:t>.</w:t>
      </w:r>
    </w:p>
    <w:p>
      <w:pPr>
        <w:spacing w:after="0" w:line="54" w:lineRule="exact"/>
        <w:rPr>
          <w:rFonts w:ascii="Arial" w:cs="Arial" w:eastAsia="Arial" w:hAnsi="Arial"/>
          <w:sz w:val="15"/>
          <w:szCs w:val="15"/>
          <w:color w:val="auto"/>
        </w:rPr>
      </w:pPr>
    </w:p>
    <w:p>
      <w:pPr>
        <w:ind w:left="1540" w:right="260" w:hanging="509"/>
        <w:spacing w:after="0" w:line="268" w:lineRule="auto"/>
        <w:rPr>
          <w:rFonts w:ascii="Arial" w:cs="Arial" w:eastAsia="Arial" w:hAnsi="Arial"/>
          <w:sz w:val="15"/>
          <w:szCs w:val="15"/>
          <w:color w:val="auto"/>
        </w:rPr>
      </w:pPr>
      <w:r>
        <w:rPr>
          <w:rFonts w:ascii="Courier New" w:cs="Courier New" w:eastAsia="Courier New" w:hAnsi="Courier New"/>
          <w:sz w:val="16"/>
          <w:szCs w:val="16"/>
          <w:color w:val="auto"/>
        </w:rPr>
        <w:t>o</w:t>
      </w:r>
      <w:r>
        <w:rPr>
          <w:rFonts w:ascii="Arial" w:cs="Arial" w:eastAsia="Arial" w:hAnsi="Arial"/>
          <w:sz w:val="16"/>
          <w:szCs w:val="16"/>
          <w:color w:val="auto"/>
        </w:rPr>
        <w:t>In fiscal 2018, we completed a Phase 1 clinical study demonstrating that EDP-938 was generally safe and well tolerated over a broad range of single and multiple doses with good pharmacokinetic data.</w:t>
      </w:r>
    </w:p>
    <w:p>
      <w:pPr>
        <w:spacing w:after="0" w:line="62" w:lineRule="exact"/>
        <w:rPr>
          <w:rFonts w:ascii="Arial" w:cs="Arial" w:eastAsia="Arial" w:hAnsi="Arial"/>
          <w:sz w:val="15"/>
          <w:szCs w:val="15"/>
          <w:color w:val="auto"/>
        </w:rPr>
      </w:pPr>
    </w:p>
    <w:p>
      <w:pPr>
        <w:ind w:left="1540" w:right="160" w:hanging="509"/>
        <w:spacing w:after="0" w:line="254" w:lineRule="auto"/>
        <w:rPr>
          <w:rFonts w:ascii="Arial" w:cs="Arial" w:eastAsia="Arial" w:hAnsi="Arial"/>
          <w:sz w:val="15"/>
          <w:szCs w:val="15"/>
          <w:color w:val="auto"/>
        </w:rPr>
      </w:pPr>
      <w:r>
        <w:rPr>
          <w:rFonts w:ascii="Courier New" w:cs="Courier New" w:eastAsia="Courier New" w:hAnsi="Courier New"/>
          <w:sz w:val="16"/>
          <w:szCs w:val="16"/>
          <w:color w:val="auto"/>
        </w:rPr>
        <w:t>o</w:t>
      </w:r>
      <w:r>
        <w:rPr>
          <w:rFonts w:ascii="Arial" w:cs="Arial" w:eastAsia="Arial" w:hAnsi="Arial"/>
          <w:sz w:val="16"/>
          <w:szCs w:val="16"/>
          <w:color w:val="auto"/>
        </w:rPr>
        <w:t>We initiated a Phase 2a challenge study of EDP-938 in October 2018. The challenge study is testing the effect of EDP-938 on healthy volunteers who are infected with RSV and then treated with EDP-938 or placebo during the course of the study. Primary and secondary outcome measures include changes in viral load measurements and change of baseline symptoms. Enrollment of the Phase 2a study is complete and we expect to have top-line results in mid-calendar 2019.</w:t>
      </w:r>
    </w:p>
    <w:p>
      <w:pPr>
        <w:spacing w:after="0" w:line="85" w:lineRule="exact"/>
        <w:rPr>
          <w:rFonts w:ascii="Arial" w:cs="Arial" w:eastAsia="Arial" w:hAnsi="Arial"/>
          <w:sz w:val="15"/>
          <w:szCs w:val="15"/>
          <w:color w:val="auto"/>
        </w:rPr>
      </w:pPr>
    </w:p>
    <w:p>
      <w:pPr>
        <w:ind w:left="1020" w:right="220" w:hanging="517"/>
        <w:spacing w:after="0" w:line="245" w:lineRule="auto"/>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NASH and PBC:</w:t>
      </w:r>
      <w:r>
        <w:rPr>
          <w:rFonts w:ascii="Arial" w:cs="Arial" w:eastAsia="Arial" w:hAnsi="Arial"/>
          <w:sz w:val="1"/>
          <w:szCs w:val="1"/>
          <w:color w:val="auto"/>
        </w:rPr>
        <w:drawing>
          <wp:inline distT="0" distB="0" distL="0" distR="0">
            <wp:extent cx="29845" cy="1143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9845" cy="114300"/>
                    </a:xfrm>
                    <a:prstGeom prst="rect">
                      <a:avLst/>
                    </a:prstGeom>
                    <a:noFill/>
                    <a:ln>
                      <a:noFill/>
                    </a:ln>
                  </pic:spPr>
                </pic:pic>
              </a:graphicData>
            </a:graphic>
          </wp:inline>
        </w:drawing>
      </w:r>
      <w:r>
        <w:rPr>
          <w:rFonts w:ascii="Arial" w:cs="Arial" w:eastAsia="Arial" w:hAnsi="Arial"/>
          <w:sz w:val="16"/>
          <w:szCs w:val="16"/>
          <w:color w:val="auto"/>
        </w:rPr>
        <w:t>We are working on multiple compounds that selectively bind to and activate the farnesoid X receptor, or FXR. We plan to develop these compounds, referred to as FXR agonists, for use in the treatment of NASH and PBC, both of which are liver diseases with very few therapeutic options. Our lead FXR agonist, EDP-305, represents a new class of</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58420</wp:posOffset>
            </wp:positionV>
            <wp:extent cx="7303770" cy="40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20"/>
          </w:cols>
          <w:pgMar w:left="240" w:top="312" w:right="239" w:bottom="1440" w:gutter="0" w:footer="0" w:header="0"/>
        </w:sectPr>
      </w:pPr>
    </w:p>
    <w:bookmarkStart w:id="17" w:name="page18"/>
    <w:bookmarkEnd w:id="17"/>
    <w:p>
      <w:pPr>
        <w:ind w:left="1020" w:right="40"/>
        <w:spacing w:after="0" w:line="268" w:lineRule="auto"/>
        <w:rPr>
          <w:sz w:val="20"/>
          <w:szCs w:val="20"/>
          <w:color w:val="auto"/>
        </w:rPr>
      </w:pPr>
      <w:r>
        <w:rPr>
          <w:rFonts w:ascii="Arial" w:cs="Arial" w:eastAsia="Arial" w:hAnsi="Arial"/>
          <w:sz w:val="16"/>
          <w:szCs w:val="16"/>
          <w:color w:val="auto"/>
        </w:rPr>
        <w:t>FXR agonists designed to take advantage of increased binding interactions with the receptor. We believe this class is significantly different from other FXR agonists in clinical development.</w:t>
      </w:r>
    </w:p>
    <w:p>
      <w:pPr>
        <w:spacing w:after="0" w:line="62" w:lineRule="exact"/>
        <w:rPr>
          <w:sz w:val="20"/>
          <w:szCs w:val="20"/>
          <w:color w:val="auto"/>
        </w:rPr>
      </w:pPr>
    </w:p>
    <w:p>
      <w:pPr>
        <w:ind w:left="1540" w:right="60" w:hanging="516"/>
        <w:spacing w:after="0" w:line="247" w:lineRule="auto"/>
        <w:tabs>
          <w:tab w:leader="none" w:pos="1540" w:val="left"/>
        </w:tabs>
        <w:numPr>
          <w:ilvl w:val="1"/>
          <w:numId w:val="16"/>
        </w:numPr>
        <w:rPr>
          <w:rFonts w:ascii="Courier New" w:cs="Courier New" w:eastAsia="Courier New" w:hAnsi="Courier New"/>
          <w:sz w:val="16"/>
          <w:szCs w:val="16"/>
          <w:color w:val="auto"/>
        </w:rPr>
      </w:pPr>
      <w:r>
        <w:rPr>
          <w:rFonts w:ascii="Arial" w:cs="Arial" w:eastAsia="Arial" w:hAnsi="Arial"/>
          <w:sz w:val="16"/>
          <w:szCs w:val="16"/>
          <w:color w:val="auto"/>
        </w:rPr>
        <w:t>In October 2017, we announced results of a Phase 1a/b clinical study of EDP-305, which was generally safe and well tolerated over a broad range of single and multiple doses, with pharmacokinetic data supporting once daily oral dosing. Additional data from this study were also presented at the 2018 NASH-TAG conference and the International Liver Congress</w:t>
      </w:r>
      <w:r>
        <w:rPr>
          <w:rFonts w:ascii="Arial" w:cs="Arial" w:eastAsia="Arial" w:hAnsi="Arial"/>
          <w:sz w:val="13"/>
          <w:szCs w:val="13"/>
          <w:color w:val="auto"/>
        </w:rPr>
        <w:t>TM</w:t>
      </w:r>
      <w:r>
        <w:rPr>
          <w:rFonts w:ascii="Arial" w:cs="Arial" w:eastAsia="Arial" w:hAnsi="Arial"/>
          <w:sz w:val="16"/>
          <w:szCs w:val="16"/>
          <w:color w:val="auto"/>
        </w:rPr>
        <w:t xml:space="preserve"> (ILC) 2018. The study included 98 healthy volunteer subjects, or HV subjects, and 48 subjects who were obese and with or without pre-diabetes or type 2 diabetes, whom we refer to as subjects with presumptive non-alcoholic fatty liver disease, or PN subjects.</w:t>
      </w:r>
    </w:p>
    <w:p>
      <w:pPr>
        <w:spacing w:after="0" w:line="79" w:lineRule="exact"/>
        <w:rPr>
          <w:rFonts w:ascii="Courier New" w:cs="Courier New" w:eastAsia="Courier New" w:hAnsi="Courier New"/>
          <w:sz w:val="16"/>
          <w:szCs w:val="16"/>
          <w:color w:val="auto"/>
        </w:rPr>
      </w:pPr>
    </w:p>
    <w:p>
      <w:pPr>
        <w:ind w:left="1540" w:right="40" w:hanging="516"/>
        <w:spacing w:after="0" w:line="300" w:lineRule="auto"/>
        <w:tabs>
          <w:tab w:leader="none" w:pos="1540" w:val="left"/>
        </w:tabs>
        <w:numPr>
          <w:ilvl w:val="1"/>
          <w:numId w:val="16"/>
        </w:numPr>
        <w:rPr>
          <w:rFonts w:ascii="Courier New" w:cs="Courier New" w:eastAsia="Courier New" w:hAnsi="Courier New"/>
          <w:sz w:val="14"/>
          <w:szCs w:val="14"/>
          <w:color w:val="auto"/>
        </w:rPr>
      </w:pPr>
      <w:r>
        <w:rPr>
          <w:rFonts w:ascii="Arial" w:cs="Arial" w:eastAsia="Arial" w:hAnsi="Arial"/>
          <w:sz w:val="14"/>
          <w:szCs w:val="14"/>
          <w:color w:val="auto"/>
        </w:rPr>
        <w:t xml:space="preserve">We have presented data at the 2017 and 2018 annual meetings of the American Association for the Study of Liver Diseases (AASLD), the 2017 and 2018 NASH-TAG conferences and the 2017 and 2018 ILC conferences that demonstrated that EDP-305 is a highly selective FXR agonist and shows more potent activity in a variety of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and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NASH models compared to the most advanced NASH candidate in development today, obeticholic acid, or OCA.</w:t>
      </w:r>
    </w:p>
    <w:p>
      <w:pPr>
        <w:spacing w:after="0" w:line="43" w:lineRule="exact"/>
        <w:rPr>
          <w:rFonts w:ascii="Courier New" w:cs="Courier New" w:eastAsia="Courier New" w:hAnsi="Courier New"/>
          <w:sz w:val="14"/>
          <w:szCs w:val="14"/>
          <w:color w:val="auto"/>
        </w:rPr>
      </w:pPr>
    </w:p>
    <w:p>
      <w:pPr>
        <w:ind w:left="1540" w:right="180" w:hanging="516"/>
        <w:spacing w:after="0" w:line="300" w:lineRule="auto"/>
        <w:tabs>
          <w:tab w:leader="none" w:pos="1540" w:val="left"/>
        </w:tabs>
        <w:numPr>
          <w:ilvl w:val="1"/>
          <w:numId w:val="16"/>
        </w:numPr>
        <w:rPr>
          <w:rFonts w:ascii="Courier New" w:cs="Courier New" w:eastAsia="Courier New" w:hAnsi="Courier New"/>
          <w:sz w:val="14"/>
          <w:szCs w:val="14"/>
          <w:color w:val="auto"/>
        </w:rPr>
      </w:pPr>
      <w:r>
        <w:rPr>
          <w:rFonts w:ascii="Arial" w:cs="Arial" w:eastAsia="Arial" w:hAnsi="Arial"/>
          <w:sz w:val="14"/>
          <w:szCs w:val="14"/>
          <w:color w:val="auto"/>
        </w:rPr>
        <w:t>We have two ongoing Phase 2 clinical studies of EDP-305, one known as ARGON-1, in NASH patients and the other, known as INTREPID, in PBC patients. In March 2019 we completed enrollment in the ARGON-1 study. Given the 12-week treatment duration in the study protocol, we expect top-line data by the end of the third quarter of calendar 2019. Enrollment in the INTREPID study is ongoing and is expected to continue into calendar 2020.</w:t>
      </w:r>
    </w:p>
    <w:p>
      <w:pPr>
        <w:spacing w:after="0" w:line="43" w:lineRule="exact"/>
        <w:rPr>
          <w:rFonts w:ascii="Courier New" w:cs="Courier New" w:eastAsia="Courier New" w:hAnsi="Courier New"/>
          <w:sz w:val="14"/>
          <w:szCs w:val="14"/>
          <w:color w:val="auto"/>
        </w:rPr>
      </w:pPr>
    </w:p>
    <w:p>
      <w:pPr>
        <w:ind w:left="1540" w:right="120" w:hanging="516"/>
        <w:spacing w:after="0" w:line="249" w:lineRule="auto"/>
        <w:tabs>
          <w:tab w:leader="none" w:pos="1540" w:val="left"/>
        </w:tabs>
        <w:numPr>
          <w:ilvl w:val="1"/>
          <w:numId w:val="16"/>
        </w:numPr>
        <w:rPr>
          <w:rFonts w:ascii="Courier New" w:cs="Courier New" w:eastAsia="Courier New" w:hAnsi="Courier New"/>
          <w:sz w:val="16"/>
          <w:szCs w:val="16"/>
          <w:color w:val="auto"/>
        </w:rPr>
      </w:pPr>
      <w:r>
        <w:rPr>
          <w:rFonts w:ascii="Arial" w:cs="Arial" w:eastAsia="Arial" w:hAnsi="Arial"/>
          <w:sz w:val="16"/>
          <w:szCs w:val="16"/>
          <w:color w:val="auto"/>
        </w:rPr>
        <w:t>EDP-305 has been granted Fast Track designation by the U.S. Food and Drug Administration (FDA) for the treatment of NASH patients with liver fibrosis and separately for the treatment of PBC.</w:t>
      </w:r>
    </w:p>
    <w:p>
      <w:pPr>
        <w:spacing w:after="0" w:line="76" w:lineRule="exact"/>
        <w:rPr>
          <w:rFonts w:ascii="Courier New" w:cs="Courier New" w:eastAsia="Courier New" w:hAnsi="Courier New"/>
          <w:sz w:val="16"/>
          <w:szCs w:val="16"/>
          <w:color w:val="auto"/>
        </w:rPr>
      </w:pPr>
    </w:p>
    <w:p>
      <w:pPr>
        <w:ind w:left="1540" w:right="200" w:hanging="516"/>
        <w:spacing w:after="0" w:line="249" w:lineRule="auto"/>
        <w:tabs>
          <w:tab w:leader="none" w:pos="1540" w:val="left"/>
        </w:tabs>
        <w:numPr>
          <w:ilvl w:val="1"/>
          <w:numId w:val="16"/>
        </w:numPr>
        <w:rPr>
          <w:rFonts w:ascii="Courier New" w:cs="Courier New" w:eastAsia="Courier New" w:hAnsi="Courier New"/>
          <w:sz w:val="16"/>
          <w:szCs w:val="16"/>
          <w:color w:val="auto"/>
        </w:rPr>
      </w:pPr>
      <w:r>
        <w:rPr>
          <w:rFonts w:ascii="Arial" w:cs="Arial" w:eastAsia="Arial" w:hAnsi="Arial"/>
          <w:sz w:val="16"/>
          <w:szCs w:val="16"/>
          <w:color w:val="auto"/>
        </w:rPr>
        <w:t>In addition, we are pursuing research in other classes of FXR agonists as well as other mechanisms that may provide therapeutic benefit in NASH, any of which could be used in combination therapies for NASH.</w:t>
      </w:r>
    </w:p>
    <w:p>
      <w:pPr>
        <w:spacing w:after="0" w:line="76" w:lineRule="exact"/>
        <w:rPr>
          <w:rFonts w:ascii="Courier New" w:cs="Courier New" w:eastAsia="Courier New" w:hAnsi="Courier New"/>
          <w:sz w:val="16"/>
          <w:szCs w:val="16"/>
          <w:color w:val="auto"/>
        </w:rPr>
      </w:pPr>
    </w:p>
    <w:p>
      <w:pPr>
        <w:ind w:left="1020" w:right="140" w:hanging="517"/>
        <w:spacing w:after="0" w:line="268" w:lineRule="auto"/>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HBV:</w:t>
      </w:r>
      <w:r>
        <w:rPr>
          <w:rFonts w:ascii="Arial" w:cs="Arial" w:eastAsia="Arial" w:hAnsi="Arial"/>
          <w:sz w:val="16"/>
          <w:szCs w:val="16"/>
          <w:color w:val="auto"/>
        </w:rPr>
        <w:t xml:space="preserve"> In November 2018, we announced EDP-514, our first clinical candidate for HBV. EDP-514 is an HBV core inhibitor, also known as a core protein allosteric modulator or capsid assembly modulator.</w:t>
      </w:r>
    </w:p>
    <w:p>
      <w:pPr>
        <w:spacing w:after="0" w:line="62" w:lineRule="exact"/>
        <w:rPr>
          <w:rFonts w:ascii="Arial" w:cs="Arial" w:eastAsia="Arial" w:hAnsi="Arial"/>
          <w:sz w:val="16"/>
          <w:szCs w:val="16"/>
          <w:color w:val="auto"/>
        </w:rPr>
      </w:pPr>
    </w:p>
    <w:p>
      <w:pPr>
        <w:ind w:left="1540" w:right="40" w:hanging="516"/>
        <w:spacing w:after="0" w:line="267" w:lineRule="auto"/>
        <w:tabs>
          <w:tab w:leader="none" w:pos="1540" w:val="left"/>
        </w:tabs>
        <w:numPr>
          <w:ilvl w:val="1"/>
          <w:numId w:val="16"/>
        </w:numPr>
        <w:rPr>
          <w:rFonts w:ascii="Courier New" w:cs="Courier New" w:eastAsia="Courier New" w:hAnsi="Courier New"/>
          <w:sz w:val="15"/>
          <w:szCs w:val="15"/>
          <w:color w:val="auto"/>
        </w:rPr>
      </w:pPr>
      <w:r>
        <w:rPr>
          <w:rFonts w:ascii="Arial" w:cs="Arial" w:eastAsia="Arial" w:hAnsi="Arial"/>
          <w:sz w:val="15"/>
          <w:szCs w:val="15"/>
          <w:color w:val="auto"/>
        </w:rPr>
        <w:t xml:space="preserve">EDP-514 was selected from our lead class of HBV compounds that are characterized by potent antiviral activity. </w:t>
      </w:r>
      <w:r>
        <w:rPr>
          <w:rFonts w:ascii="Arial" w:cs="Arial" w:eastAsia="Arial" w:hAnsi="Arial"/>
          <w:sz w:val="15"/>
          <w:szCs w:val="15"/>
          <w:i w:val="1"/>
          <w:iCs w:val="1"/>
          <w:color w:val="auto"/>
        </w:rPr>
        <w:t>In vitro</w:t>
      </w:r>
      <w:r>
        <w:rPr>
          <w:rFonts w:ascii="Arial" w:cs="Arial" w:eastAsia="Arial" w:hAnsi="Arial"/>
          <w:sz w:val="15"/>
          <w:szCs w:val="15"/>
          <w:color w:val="auto"/>
        </w:rPr>
        <w:t>, they are capable of preventing the establishment of cccDNA, are pan-genotypic, are active against known nucleos(t)ide resistant mutants, and are additive to synergistic with nucleoside analogs and other core inhibitors. Members of this class have also demonstrated excellent reduction in HBV titers in a chimeric mouse model with human liver cells. We expect to initiate a Phase 1 study of EDP-514 in the third quarter of calendar 2019. The design of this study will evaluate single and multiple doses of EDP-514 in healthy volunteers and will incorporate a Phase 1b arm in patients with chronic HBV infection.</w:t>
      </w:r>
    </w:p>
    <w:p>
      <w:pPr>
        <w:spacing w:after="0" w:line="66" w:lineRule="exact"/>
        <w:rPr>
          <w:rFonts w:ascii="Courier New" w:cs="Courier New" w:eastAsia="Courier New" w:hAnsi="Courier New"/>
          <w:sz w:val="15"/>
          <w:szCs w:val="15"/>
          <w:color w:val="auto"/>
        </w:rPr>
      </w:pPr>
    </w:p>
    <w:p>
      <w:pPr>
        <w:ind w:left="1540" w:right="20" w:hanging="516"/>
        <w:spacing w:after="0" w:line="248" w:lineRule="auto"/>
        <w:tabs>
          <w:tab w:leader="none" w:pos="1540" w:val="left"/>
        </w:tabs>
        <w:numPr>
          <w:ilvl w:val="1"/>
          <w:numId w:val="16"/>
        </w:numPr>
        <w:rPr>
          <w:rFonts w:ascii="Courier New" w:cs="Courier New" w:eastAsia="Courier New" w:hAnsi="Courier New"/>
          <w:sz w:val="16"/>
          <w:szCs w:val="16"/>
          <w:color w:val="auto"/>
        </w:rPr>
      </w:pPr>
      <w:r>
        <w:rPr>
          <w:rFonts w:ascii="Arial" w:cs="Arial" w:eastAsia="Arial" w:hAnsi="Arial"/>
          <w:sz w:val="16"/>
          <w:szCs w:val="16"/>
          <w:color w:val="auto"/>
        </w:rPr>
        <w:t>In addition, we are also seeking patent protection and conducting preclinical experiments with compounds we have discovered that use other mechanisms to target HBV. We believe that it may be necessary to utilize more than one compound/mechanism for the treatment of HBV and therefore we are pursuing multiple approaches.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We have utilized our internal chemistry and drug discovery capabilities to generate all of our development-stage programs.</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Out-Licensed Products</w:t>
      </w:r>
    </w:p>
    <w:p>
      <w:pPr>
        <w:spacing w:after="0" w:line="100"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Through our Collaborative Development and License Agreement with AbbVie, we have discovered and out-licensed to AbbVie two protease inhibitor compounds that have been clinically tested, manufactured, and commercialized by AbbVie. To date, we have earned all $330.0 million milestone payments under the agreement related to clinical development and commercialization regulatory approvals of these regimens in major markets.</w:t>
      </w:r>
    </w:p>
    <w:p>
      <w:pPr>
        <w:spacing w:after="0" w:line="71" w:lineRule="exact"/>
        <w:rPr>
          <w:sz w:val="20"/>
          <w:szCs w:val="20"/>
          <w:color w:val="auto"/>
        </w:rPr>
      </w:pPr>
    </w:p>
    <w:p>
      <w:pPr>
        <w:ind w:left="1020" w:right="40" w:hanging="517"/>
        <w:spacing w:after="0" w:line="252" w:lineRule="auto"/>
        <w:tabs>
          <w:tab w:leader="none" w:pos="1020"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Glecaprevir:</w:t>
      </w:r>
      <w:r>
        <w:rPr>
          <w:rFonts w:ascii="Arial" w:cs="Arial" w:eastAsia="Arial" w:hAnsi="Arial"/>
          <w:sz w:val="16"/>
          <w:szCs w:val="16"/>
          <w:color w:val="auto"/>
        </w:rPr>
        <w:t xml:space="preserve"> Glecaprevir is the protease inhibitor we discovered that was developed by AbbVie in a fixed-dose combination with its NS5A inhibitor, pibrentasvir, for the treatment of HCV. This combination, currently marketed under the brand names MAVYRET™ (U.S.) and MAVIRET™ (ex-U.S.) and referred to in this report as MAVYRET/MAVIRET, is a novel, once daily, all oral, fixed-dose, ribavirin-free treatment for HCV genotypes 1-6, or GT1-6, which is referred to as being pan-genotypic. In the U.S., EU and Japan it was approved as an 8-week treatment for patients without cirrhosis and new to treatment. Today, these patients are estimated to represent the majority of HCV patients in developed country markets.</w:t>
      </w:r>
    </w:p>
    <w:p>
      <w:pPr>
        <w:spacing w:after="0" w:line="75" w:lineRule="exact"/>
        <w:rPr>
          <w:rFonts w:ascii="Arial" w:cs="Arial" w:eastAsia="Arial" w:hAnsi="Arial"/>
          <w:sz w:val="16"/>
          <w:szCs w:val="16"/>
          <w:color w:val="auto"/>
        </w:rPr>
      </w:pPr>
    </w:p>
    <w:p>
      <w:pPr>
        <w:ind w:left="1040"/>
        <w:spacing w:after="0" w:line="254" w:lineRule="auto"/>
        <w:rPr>
          <w:rFonts w:ascii="Arial" w:cs="Arial" w:eastAsia="Arial" w:hAnsi="Arial"/>
          <w:sz w:val="16"/>
          <w:szCs w:val="16"/>
          <w:color w:val="auto"/>
        </w:rPr>
      </w:pPr>
      <w:r>
        <w:rPr>
          <w:rFonts w:ascii="Arial" w:cs="Arial" w:eastAsia="Arial" w:hAnsi="Arial"/>
          <w:sz w:val="16"/>
          <w:szCs w:val="16"/>
          <w:color w:val="auto"/>
        </w:rPr>
        <w:t>Since August 2017, substantially all of our royalty revenue has been derived from AbbVie’s net sales of MAVYRET/MAVIRET. Our ongoing royalty revenues from this regimen consist of annually tiered, double-digit, per-product royalties on 50% of the calendar year net sales of the 2-DAA glecaprevir/pibrentasvir combination in MAVYRET/MAVIRET. These royalties are calculated separately from the royalties on AbbVie’s paritaprevir-containing regimens, and the annual royalty tiers return to the lowest tier for sales on and after each January 1.</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58420</wp:posOffset>
            </wp:positionV>
            <wp:extent cx="7303770"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18" w:name="page19"/>
    <w:bookmarkEnd w:id="18"/>
    <w:p>
      <w:pPr>
        <w:ind w:left="1020" w:right="260" w:hanging="517"/>
        <w:spacing w:after="0" w:line="276" w:lineRule="auto"/>
        <w:tabs>
          <w:tab w:leader="none" w:pos="1020" w:val="left"/>
        </w:tabs>
        <w:numPr>
          <w:ilvl w:val="0"/>
          <w:numId w:val="18"/>
        </w:numPr>
        <w:rPr>
          <w:rFonts w:ascii="Arial" w:cs="Arial" w:eastAsia="Arial" w:hAnsi="Arial"/>
          <w:sz w:val="15"/>
          <w:szCs w:val="15"/>
          <w:color w:val="auto"/>
        </w:rPr>
      </w:pPr>
      <w:r>
        <w:rPr>
          <w:rFonts w:ascii="Arial" w:cs="Arial" w:eastAsia="Arial" w:hAnsi="Arial"/>
          <w:sz w:val="15"/>
          <w:szCs w:val="15"/>
          <w:u w:val="single" w:color="auto"/>
          <w:color w:val="auto"/>
        </w:rPr>
        <w:t>Paritaprevir</w:t>
      </w:r>
      <w:r>
        <w:rPr>
          <w:rFonts w:ascii="Arial" w:cs="Arial" w:eastAsia="Arial" w:hAnsi="Arial"/>
          <w:sz w:val="15"/>
          <w:szCs w:val="15"/>
          <w:color w:val="auto"/>
        </w:rPr>
        <w:t>: Paritaprevir is the protease inhibitor contained in AbbVie’s initial HCV treatment regimens sold under the tradenames VIEKIRAX</w:t>
      </w:r>
      <w:r>
        <w:rPr>
          <w:rFonts w:ascii="Arial" w:cs="Arial" w:eastAsia="Arial" w:hAnsi="Arial"/>
          <w:sz w:val="12"/>
          <w:szCs w:val="12"/>
          <w:color w:val="auto"/>
        </w:rPr>
        <w:t>®</w:t>
      </w:r>
      <w:r>
        <w:rPr>
          <w:rFonts w:ascii="Arial" w:cs="Arial" w:eastAsia="Arial" w:hAnsi="Arial"/>
          <w:sz w:val="15"/>
          <w:szCs w:val="15"/>
          <w:color w:val="auto"/>
        </w:rPr>
        <w:t xml:space="preserve"> (ex-U.S.) and VIEKIRA PAK</w:t>
      </w:r>
      <w:r>
        <w:rPr>
          <w:rFonts w:ascii="Arial" w:cs="Arial" w:eastAsia="Arial" w:hAnsi="Arial"/>
          <w:sz w:val="12"/>
          <w:szCs w:val="12"/>
          <w:color w:val="auto"/>
        </w:rPr>
        <w:t>®</w:t>
      </w:r>
      <w:r>
        <w:rPr>
          <w:rFonts w:ascii="Arial" w:cs="Arial" w:eastAsia="Arial" w:hAnsi="Arial"/>
          <w:sz w:val="15"/>
          <w:szCs w:val="15"/>
          <w:color w:val="auto"/>
        </w:rPr>
        <w:t xml:space="preserve"> (U.S.) (paritaprevir/ritonavir/ ombitasvir/dasabuvir). These regimens are no longer being actively marketed in regions where MAVYRET/MAVIRET is approved and reimbursed. AbbVie’s paritaprevir-containing regimens were first approved and sold in the U.S. in December 2014. Through our 2017 fiscal year end, our royalty revenues were generated substantially through worldwide net sales of these regimens.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product development pipeline in our liver disease and virology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131445</wp:posOffset>
            </wp:positionV>
            <wp:extent cx="5400675" cy="4627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400675" cy="4627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Operations Overview</w:t>
      </w:r>
    </w:p>
    <w:p>
      <w:pPr>
        <w:spacing w:after="0" w:line="104" w:lineRule="exact"/>
        <w:rPr>
          <w:sz w:val="20"/>
          <w:szCs w:val="20"/>
          <w:color w:val="auto"/>
        </w:rPr>
      </w:pPr>
    </w:p>
    <w:p>
      <w:pPr>
        <w:spacing w:after="0" w:line="271" w:lineRule="auto"/>
        <w:rPr>
          <w:sz w:val="20"/>
          <w:szCs w:val="20"/>
          <w:color w:val="auto"/>
        </w:rPr>
      </w:pPr>
      <w:r>
        <w:rPr>
          <w:rFonts w:ascii="Arial" w:cs="Arial" w:eastAsia="Arial" w:hAnsi="Arial"/>
          <w:sz w:val="15"/>
          <w:szCs w:val="15"/>
          <w:color w:val="auto"/>
        </w:rPr>
        <w:t>We are currently funding all research and development for our wholly-owned programs, which are targeted towards the discovery and development of novel compounds for the treatment of viral infections and liver diseases. In fiscal 2018, we initiated two Phase 2 studies of EDP-305, one in PBC patients, known as the INTREPID study, and one in NASH patients, known as the ARGON-1 study. We also initiated a Phase 2a clinical study of our lead RSV candidate, EDP-938, in October 2018. In November 2018 we announced our selection of EDP-514 as our first candidate for HBV and expect to initiate a Phase 1 study for this candidate in the third quarter of calendar 2019. As a result of these efforts as well as efforts to advance other compounds into substantial preclinical development, we expect to incur substantially greater expenses in fiscal 2019 as we continue to advance our FXR agonist program as well as our RSV and HBV programs.</w:t>
      </w:r>
    </w:p>
    <w:p>
      <w:pPr>
        <w:spacing w:after="0" w:line="15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58420</wp:posOffset>
            </wp:positionV>
            <wp:extent cx="7303770" cy="40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340"/>
          </w:cols>
          <w:pgMar w:left="240" w:top="410" w:right="319" w:bottom="1440" w:gutter="0" w:footer="0" w:header="0"/>
        </w:sectPr>
      </w:pPr>
    </w:p>
    <w:bookmarkStart w:id="19" w:name="page20"/>
    <w:bookmarkEnd w:id="19"/>
    <w:p>
      <w:pPr>
        <w:jc w:val="both"/>
        <w:ind w:right="80"/>
        <w:spacing w:after="0" w:line="341" w:lineRule="auto"/>
        <w:rPr>
          <w:sz w:val="20"/>
          <w:szCs w:val="20"/>
          <w:color w:val="auto"/>
        </w:rPr>
      </w:pPr>
      <w:r>
        <w:rPr>
          <w:rFonts w:ascii="Arial" w:cs="Arial" w:eastAsia="Arial" w:hAnsi="Arial"/>
          <w:sz w:val="14"/>
          <w:szCs w:val="14"/>
          <w:color w:val="auto"/>
        </w:rPr>
        <w:t>We are now funding our operations through payments received under our collaboration agreement with AbbVie. Our revenue from our collaboration agreement has resulted in our reporting net income in each of our past nine fiscal years. Our revenue is primarily dependent on royalty payments we receive from AbbVie on its sales of MAVYRET/MAVIRET.</w:t>
      </w:r>
    </w:p>
    <w:p>
      <w:pPr>
        <w:spacing w:after="0" w:line="110" w:lineRule="exact"/>
        <w:rPr>
          <w:sz w:val="20"/>
          <w:szCs w:val="20"/>
          <w:color w:val="auto"/>
        </w:rPr>
      </w:pPr>
    </w:p>
    <w:p>
      <w:pPr>
        <w:ind w:right="20"/>
        <w:spacing w:after="0" w:line="276" w:lineRule="auto"/>
        <w:rPr>
          <w:sz w:val="20"/>
          <w:szCs w:val="20"/>
          <w:color w:val="auto"/>
        </w:rPr>
      </w:pPr>
      <w:r>
        <w:rPr>
          <w:rFonts w:ascii="Arial" w:cs="Arial" w:eastAsia="Arial" w:hAnsi="Arial"/>
          <w:sz w:val="15"/>
          <w:szCs w:val="15"/>
          <w:color w:val="auto"/>
        </w:rPr>
        <w:t>For its MAVYRET/MAVIRET regimen, which in the majority of chronic HCV patients only requires 8 weeks of treatment compared to 12 weeks with VIEKIRA PAK</w:t>
      </w:r>
      <w:r>
        <w:rPr>
          <w:rFonts w:ascii="Arial" w:cs="Arial" w:eastAsia="Arial" w:hAnsi="Arial"/>
          <w:sz w:val="12"/>
          <w:szCs w:val="12"/>
          <w:color w:val="auto"/>
        </w:rPr>
        <w:t>®</w:t>
      </w:r>
      <w:r>
        <w:rPr>
          <w:rFonts w:ascii="Arial" w:cs="Arial" w:eastAsia="Arial" w:hAnsi="Arial"/>
          <w:sz w:val="15"/>
          <w:szCs w:val="15"/>
          <w:color w:val="auto"/>
        </w:rPr>
        <w:t xml:space="preserve"> and other HCV regimens, AbbVie initially set a lower list price compared to its original HCV regimens and other HCV products on the market. In 2018, AbbVie reported increasing MAVYRET/MAVIRET market share and became the leading HCV treatment in the U.S. and several market geographies in developed countries where it is approved. However, the market for HCV therapies remains very dynamic in several jurisdictions and we cannot predict how that market will continue to evolve.</w:t>
      </w:r>
    </w:p>
    <w:p>
      <w:pPr>
        <w:spacing w:after="0" w:line="153"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Given the uncertainty regarding the level of AbbVie’s future MAVYRET/MAVIRET sales that will generate our royalty revenue and the development risks affecting the extent and timing of our future expenditures for the advancement of our internally developed compounds, it is uncertain whether we will continue to report net income in fiscal 2019 and thereafter.</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w:t>
      </w:r>
    </w:p>
    <w:p>
      <w:pPr>
        <w:spacing w:after="0" w:line="195" w:lineRule="exact"/>
        <w:rPr>
          <w:sz w:val="20"/>
          <w:szCs w:val="20"/>
          <w:color w:val="auto"/>
        </w:rPr>
      </w:pPr>
    </w:p>
    <w:p>
      <w:pPr>
        <w:ind w:right="680"/>
        <w:spacing w:after="0" w:line="268" w:lineRule="auto"/>
        <w:rPr>
          <w:sz w:val="20"/>
          <w:szCs w:val="20"/>
          <w:color w:val="auto"/>
        </w:rPr>
      </w:pPr>
      <w:r>
        <w:rPr>
          <w:rFonts w:ascii="Arial" w:cs="Arial" w:eastAsia="Arial" w:hAnsi="Arial"/>
          <w:sz w:val="16"/>
          <w:szCs w:val="16"/>
          <w:color w:val="auto"/>
        </w:rPr>
        <w:t>Our revenue is derived from our collaboration agreement with AbbVie. For the periods shown below, substantially all our royalty revenues are now derived from sales of MAVYRET/MAVIRET, which has replaced AbbVie’s first HCV regimens in all its major HCV markets.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is a summary of revenue recognized from our collaboration agreement for the three and six months ended March 31, 2019 and 2018:</w:t>
      </w:r>
    </w:p>
    <w:p>
      <w:pPr>
        <w:spacing w:after="0" w:line="200" w:lineRule="exact"/>
        <w:rPr>
          <w:sz w:val="20"/>
          <w:szCs w:val="20"/>
          <w:color w:val="auto"/>
        </w:rPr>
      </w:pPr>
    </w:p>
    <w:p>
      <w:pPr>
        <w:spacing w:after="0" w:line="24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40" w:type="dxa"/>
            <w:vAlign w:val="bottom"/>
            <w:gridSpan w:val="3"/>
          </w:tcPr>
          <w:p>
            <w:pPr>
              <w:jc w:val="right"/>
              <w:spacing w:after="0"/>
              <w:rPr>
                <w:sz w:val="20"/>
                <w:szCs w:val="20"/>
                <w:color w:val="auto"/>
              </w:rPr>
            </w:pPr>
            <w:r>
              <w:rPr>
                <w:rFonts w:ascii="Arial" w:cs="Arial" w:eastAsia="Arial" w:hAnsi="Arial"/>
                <w:sz w:val="13"/>
                <w:szCs w:val="13"/>
                <w:b w:val="1"/>
                <w:bCs w:val="1"/>
                <w:color w:val="auto"/>
                <w:w w:val="91"/>
              </w:rPr>
              <w:t>Three Months Ended</w:t>
            </w: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740" w:type="dxa"/>
            <w:vAlign w:val="bottom"/>
            <w:gridSpan w:val="5"/>
          </w:tcPr>
          <w:p>
            <w:pPr>
              <w:jc w:val="right"/>
              <w:ind w:right="49"/>
              <w:spacing w:after="0"/>
              <w:rPr>
                <w:sz w:val="20"/>
                <w:szCs w:val="20"/>
                <w:color w:val="auto"/>
              </w:rPr>
            </w:pPr>
            <w:r>
              <w:rPr>
                <w:rFonts w:ascii="Arial" w:cs="Arial" w:eastAsia="Arial" w:hAnsi="Arial"/>
                <w:sz w:val="13"/>
                <w:szCs w:val="13"/>
                <w:b w:val="1"/>
                <w:bCs w:val="1"/>
                <w:color w:val="auto"/>
              </w:rPr>
              <w:t>Six Months Ended</w:t>
            </w: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0"/>
        </w:trPr>
        <w:tc>
          <w:tcPr>
            <w:tcW w:w="262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3"/>
          </w:tcPr>
          <w:p>
            <w:pPr>
              <w:jc w:val="right"/>
              <w:ind w:right="267"/>
              <w:spacing w:after="0"/>
              <w:rPr>
                <w:sz w:val="20"/>
                <w:szCs w:val="20"/>
                <w:color w:val="auto"/>
              </w:rPr>
            </w:pPr>
            <w:r>
              <w:rPr>
                <w:rFonts w:ascii="Arial" w:cs="Arial" w:eastAsia="Arial" w:hAnsi="Arial"/>
                <w:sz w:val="13"/>
                <w:szCs w:val="13"/>
                <w:b w:val="1"/>
                <w:bCs w:val="1"/>
                <w:color w:val="auto"/>
              </w:rPr>
              <w:t>March 31,</w:t>
            </w:r>
          </w:p>
        </w:tc>
        <w:tc>
          <w:tcPr>
            <w:tcW w:w="84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4"/>
          </w:tcPr>
          <w:p>
            <w:pPr>
              <w:jc w:val="right"/>
              <w:ind w:right="269"/>
              <w:spacing w:after="0"/>
              <w:rPr>
                <w:sz w:val="20"/>
                <w:szCs w:val="20"/>
                <w:color w:val="auto"/>
              </w:rPr>
            </w:pPr>
            <w:r>
              <w:rPr>
                <w:rFonts w:ascii="Arial" w:cs="Arial" w:eastAsia="Arial" w:hAnsi="Arial"/>
                <w:sz w:val="13"/>
                <w:szCs w:val="13"/>
                <w:b w:val="1"/>
                <w:bCs w:val="1"/>
                <w:color w:val="auto"/>
                <w:w w:val="89"/>
              </w:rPr>
              <w:t>March 31,</w:t>
            </w:r>
          </w:p>
        </w:tc>
        <w:tc>
          <w:tcPr>
            <w:tcW w:w="10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34"/>
        </w:trPr>
        <w:tc>
          <w:tcPr>
            <w:tcW w:w="2620" w:type="dxa"/>
            <w:vAlign w:val="bottom"/>
          </w:tcPr>
          <w:p>
            <w:pPr>
              <w:spacing w:after="0"/>
              <w:rPr>
                <w:sz w:val="11"/>
                <w:szCs w:val="11"/>
                <w:color w:val="auto"/>
              </w:rPr>
            </w:pPr>
          </w:p>
        </w:tc>
        <w:tc>
          <w:tcPr>
            <w:tcW w:w="8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rPr>
              <w:t>2019</w:t>
            </w:r>
          </w:p>
        </w:tc>
        <w:tc>
          <w:tcPr>
            <w:tcW w:w="4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467"/>
              <w:spacing w:after="0" w:line="134" w:lineRule="exact"/>
              <w:rPr>
                <w:sz w:val="20"/>
                <w:szCs w:val="20"/>
                <w:color w:val="auto"/>
              </w:rPr>
            </w:pPr>
            <w:r>
              <w:rPr>
                <w:rFonts w:ascii="Arial" w:cs="Arial" w:eastAsia="Arial" w:hAnsi="Arial"/>
                <w:sz w:val="13"/>
                <w:szCs w:val="13"/>
                <w:b w:val="1"/>
                <w:bCs w:val="1"/>
                <w:color w:val="auto"/>
                <w:w w:val="96"/>
              </w:rPr>
              <w:t>2018</w:t>
            </w:r>
          </w:p>
        </w:tc>
        <w:tc>
          <w:tcPr>
            <w:tcW w:w="3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467"/>
              <w:spacing w:after="0" w:line="134" w:lineRule="exact"/>
              <w:rPr>
                <w:sz w:val="20"/>
                <w:szCs w:val="20"/>
                <w:color w:val="auto"/>
              </w:rPr>
            </w:pPr>
            <w:r>
              <w:rPr>
                <w:rFonts w:ascii="Arial" w:cs="Arial" w:eastAsia="Arial" w:hAnsi="Arial"/>
                <w:sz w:val="13"/>
                <w:szCs w:val="13"/>
                <w:b w:val="1"/>
                <w:bCs w:val="1"/>
                <w:color w:val="auto"/>
              </w:rPr>
              <w:t>2019</w:t>
            </w:r>
          </w:p>
        </w:tc>
        <w:tc>
          <w:tcPr>
            <w:tcW w:w="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585"/>
              <w:spacing w:after="0" w:line="134" w:lineRule="exact"/>
              <w:rPr>
                <w:sz w:val="20"/>
                <w:szCs w:val="20"/>
                <w:color w:val="auto"/>
              </w:rPr>
            </w:pPr>
            <w:r>
              <w:rPr>
                <w:rFonts w:ascii="Arial" w:cs="Arial" w:eastAsia="Arial" w:hAnsi="Arial"/>
                <w:sz w:val="13"/>
                <w:szCs w:val="13"/>
                <w:b w:val="1"/>
                <w:bCs w:val="1"/>
                <w:color w:val="auto"/>
              </w:rPr>
              <w:t>2018</w:t>
            </w:r>
          </w:p>
        </w:tc>
        <w:tc>
          <w:tcPr>
            <w:tcW w:w="80" w:type="dxa"/>
            <w:vAlign w:val="bottom"/>
          </w:tcPr>
          <w:p>
            <w:pPr>
              <w:spacing w:after="0"/>
              <w:rPr>
                <w:sz w:val="11"/>
                <w:szCs w:val="11"/>
                <w:color w:val="auto"/>
              </w:rPr>
            </w:pPr>
          </w:p>
        </w:tc>
      </w:tr>
      <w:tr>
        <w:trPr>
          <w:trHeight w:val="134"/>
        </w:trPr>
        <w:tc>
          <w:tcPr>
            <w:tcW w:w="2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20" w:type="dxa"/>
            <w:vAlign w:val="bottom"/>
            <w:gridSpan w:val="3"/>
          </w:tcPr>
          <w:p>
            <w:pPr>
              <w:jc w:val="right"/>
              <w:ind w:right="7"/>
              <w:spacing w:after="0" w:line="134" w:lineRule="exact"/>
              <w:rPr>
                <w:sz w:val="20"/>
                <w:szCs w:val="20"/>
                <w:color w:val="auto"/>
              </w:rPr>
            </w:pPr>
            <w:r>
              <w:rPr>
                <w:rFonts w:ascii="Arial" w:cs="Arial" w:eastAsia="Arial" w:hAnsi="Arial"/>
                <w:sz w:val="13"/>
                <w:szCs w:val="13"/>
                <w:b w:val="1"/>
                <w:bCs w:val="1"/>
                <w:color w:val="auto"/>
              </w:rPr>
              <w:t>(in thousands)</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201"/>
        </w:trPr>
        <w:tc>
          <w:tcPr>
            <w:tcW w:w="2620" w:type="dxa"/>
            <w:vAlign w:val="bottom"/>
            <w:shd w:val="clear" w:color="auto" w:fill="CFF0FC"/>
          </w:tcPr>
          <w:p>
            <w:pPr>
              <w:spacing w:after="0"/>
              <w:rPr>
                <w:sz w:val="20"/>
                <w:szCs w:val="20"/>
                <w:color w:val="auto"/>
              </w:rPr>
            </w:pPr>
            <w:r>
              <w:rPr>
                <w:rFonts w:ascii="Arial" w:cs="Arial" w:eastAsia="Arial" w:hAnsi="Arial"/>
                <w:sz w:val="16"/>
                <w:szCs w:val="16"/>
                <w:color w:val="auto"/>
              </w:rPr>
              <w:t>AbbVie agreement:</w:t>
            </w:r>
          </w:p>
        </w:tc>
        <w:tc>
          <w:tcPr>
            <w:tcW w:w="8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1"/>
        </w:trPr>
        <w:tc>
          <w:tcPr>
            <w:tcW w:w="2620" w:type="dxa"/>
            <w:vAlign w:val="bottom"/>
          </w:tcPr>
          <w:p>
            <w:pPr>
              <w:ind w:left="220"/>
              <w:spacing w:after="0"/>
              <w:rPr>
                <w:sz w:val="20"/>
                <w:szCs w:val="20"/>
                <w:color w:val="auto"/>
              </w:rPr>
            </w:pPr>
            <w:r>
              <w:rPr>
                <w:rFonts w:ascii="Arial" w:cs="Arial" w:eastAsia="Arial" w:hAnsi="Arial"/>
                <w:sz w:val="16"/>
                <w:szCs w:val="16"/>
                <w:color w:val="auto"/>
              </w:rPr>
              <w:t>Royalties</w:t>
            </w:r>
          </w:p>
        </w:tc>
        <w:tc>
          <w:tcPr>
            <w:tcW w:w="820" w:type="dxa"/>
            <w:vAlign w:val="bottom"/>
          </w:tcPr>
          <w:p>
            <w:pPr>
              <w:jc w:val="right"/>
              <w:ind w:right="670"/>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89"/>
              </w:rPr>
              <w:t>39,631</w:t>
            </w:r>
          </w:p>
        </w:tc>
        <w:tc>
          <w:tcPr>
            <w:tcW w:w="760" w:type="dxa"/>
            <w:vAlign w:val="bottom"/>
            <w:gridSpan w:val="2"/>
          </w:tcPr>
          <w:p>
            <w:pPr>
              <w:jc w:val="right"/>
              <w:ind w:right="307"/>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44,049</w:t>
            </w:r>
          </w:p>
        </w:tc>
        <w:tc>
          <w:tcPr>
            <w:tcW w:w="300" w:type="dxa"/>
            <w:vAlign w:val="bottom"/>
          </w:tcPr>
          <w:p>
            <w:pPr>
              <w:spacing w:after="0"/>
              <w:rPr>
                <w:sz w:val="17"/>
                <w:szCs w:val="17"/>
                <w:color w:val="auto"/>
              </w:rPr>
            </w:pPr>
          </w:p>
        </w:tc>
        <w:tc>
          <w:tcPr>
            <w:tcW w:w="480" w:type="dxa"/>
            <w:vAlign w:val="bottom"/>
          </w:tcPr>
          <w:p>
            <w:pPr>
              <w:jc w:val="right"/>
              <w:ind w:right="32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109,517</w:t>
            </w:r>
          </w:p>
        </w:tc>
        <w:tc>
          <w:tcPr>
            <w:tcW w:w="880" w:type="dxa"/>
            <w:vAlign w:val="bottom"/>
            <w:gridSpan w:val="4"/>
          </w:tcPr>
          <w:p>
            <w:pPr>
              <w:jc w:val="right"/>
              <w:ind w:right="42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67,158</w:t>
            </w:r>
          </w:p>
        </w:tc>
        <w:tc>
          <w:tcPr>
            <w:tcW w:w="80" w:type="dxa"/>
            <w:vAlign w:val="bottom"/>
          </w:tcPr>
          <w:p>
            <w:pPr>
              <w:spacing w:after="0"/>
              <w:rPr>
                <w:sz w:val="17"/>
                <w:szCs w:val="17"/>
                <w:color w:val="auto"/>
              </w:rPr>
            </w:pPr>
          </w:p>
        </w:tc>
      </w:tr>
      <w:tr>
        <w:trPr>
          <w:trHeight w:val="201"/>
        </w:trPr>
        <w:tc>
          <w:tcPr>
            <w:tcW w:w="26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Milestones</w:t>
            </w:r>
          </w:p>
        </w:tc>
        <w:tc>
          <w:tcPr>
            <w:tcW w:w="82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4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15,000</w:t>
            </w:r>
          </w:p>
        </w:tc>
        <w:tc>
          <w:tcPr>
            <w:tcW w:w="80" w:type="dxa"/>
            <w:vAlign w:val="bottom"/>
            <w:shd w:val="clear" w:color="auto" w:fill="CFF0FC"/>
          </w:tcPr>
          <w:p>
            <w:pPr>
              <w:spacing w:after="0"/>
              <w:rPr>
                <w:sz w:val="17"/>
                <w:szCs w:val="17"/>
                <w:color w:val="auto"/>
              </w:rPr>
            </w:pPr>
          </w:p>
        </w:tc>
      </w:tr>
      <w:tr>
        <w:trPr>
          <w:trHeight w:val="193"/>
        </w:trPr>
        <w:tc>
          <w:tcPr>
            <w:tcW w:w="2620" w:type="dxa"/>
            <w:vAlign w:val="bottom"/>
          </w:tcPr>
          <w:p>
            <w:pPr>
              <w:ind w:left="220"/>
              <w:spacing w:after="0"/>
              <w:rPr>
                <w:sz w:val="20"/>
                <w:szCs w:val="20"/>
                <w:color w:val="auto"/>
              </w:rPr>
            </w:pPr>
            <w:r>
              <w:rPr>
                <w:rFonts w:ascii="Arial" w:cs="Arial" w:eastAsia="Arial" w:hAnsi="Arial"/>
                <w:sz w:val="16"/>
                <w:szCs w:val="16"/>
                <w:color w:val="auto"/>
              </w:rPr>
              <w:t>Total revenue</w:t>
            </w:r>
          </w:p>
        </w:tc>
        <w:tc>
          <w:tcPr>
            <w:tcW w:w="820" w:type="dxa"/>
            <w:vAlign w:val="bottom"/>
            <w:tcBorders>
              <w:top w:val="single" w:sz="8" w:color="auto"/>
            </w:tcBorders>
          </w:tcPr>
          <w:p>
            <w:pPr>
              <w:jc w:val="right"/>
              <w:ind w:right="670"/>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39,631</w:t>
            </w:r>
          </w:p>
        </w:tc>
        <w:tc>
          <w:tcPr>
            <w:tcW w:w="300" w:type="dxa"/>
            <w:vAlign w:val="bottom"/>
          </w:tcPr>
          <w:p>
            <w:pPr>
              <w:spacing w:after="0"/>
              <w:rPr>
                <w:sz w:val="16"/>
                <w:szCs w:val="16"/>
                <w:color w:val="auto"/>
              </w:rPr>
            </w:pPr>
          </w:p>
        </w:tc>
        <w:tc>
          <w:tcPr>
            <w:tcW w:w="460" w:type="dxa"/>
            <w:vAlign w:val="bottom"/>
            <w:tcBorders>
              <w:top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44,049</w:t>
            </w:r>
          </w:p>
        </w:tc>
        <w:tc>
          <w:tcPr>
            <w:tcW w:w="300" w:type="dxa"/>
            <w:vAlign w:val="bottom"/>
          </w:tcPr>
          <w:p>
            <w:pPr>
              <w:spacing w:after="0"/>
              <w:rPr>
                <w:sz w:val="16"/>
                <w:szCs w:val="16"/>
                <w:color w:val="auto"/>
              </w:rPr>
            </w:pPr>
          </w:p>
        </w:tc>
        <w:tc>
          <w:tcPr>
            <w:tcW w:w="480" w:type="dxa"/>
            <w:vAlign w:val="bottom"/>
            <w:tcBorders>
              <w:top w:val="single" w:sz="8" w:color="auto"/>
            </w:tcBorders>
          </w:tcPr>
          <w:p>
            <w:pPr>
              <w:jc w:val="right"/>
              <w:ind w:right="32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109,517</w:t>
            </w:r>
          </w:p>
        </w:tc>
        <w:tc>
          <w:tcPr>
            <w:tcW w:w="20" w:type="dxa"/>
            <w:vAlign w:val="bottom"/>
            <w:tcBorders>
              <w:top w:val="single" w:sz="8" w:color="auto"/>
            </w:tcBorders>
          </w:tcPr>
          <w:p>
            <w:pPr>
              <w:spacing w:after="0"/>
              <w:rPr>
                <w:sz w:val="16"/>
                <w:szCs w:val="16"/>
                <w:color w:val="auto"/>
              </w:rPr>
            </w:pPr>
          </w:p>
        </w:tc>
        <w:tc>
          <w:tcPr>
            <w:tcW w:w="320" w:type="dxa"/>
            <w:vAlign w:val="bottom"/>
            <w:gridSpan w:val="2"/>
          </w:tcPr>
          <w:p>
            <w:pPr>
              <w:spacing w:after="0"/>
              <w:rPr>
                <w:sz w:val="16"/>
                <w:szCs w:val="16"/>
                <w:color w:val="auto"/>
              </w:rPr>
            </w:pPr>
          </w:p>
        </w:tc>
        <w:tc>
          <w:tcPr>
            <w:tcW w:w="540" w:type="dxa"/>
            <w:vAlign w:val="bottom"/>
            <w:tcBorders>
              <w:top w:val="single" w:sz="8" w:color="auto"/>
            </w:tcBorders>
          </w:tcPr>
          <w:p>
            <w:pPr>
              <w:jc w:val="right"/>
              <w:ind w:right="42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82,158</w:t>
            </w:r>
          </w:p>
        </w:tc>
        <w:tc>
          <w:tcPr>
            <w:tcW w:w="80" w:type="dxa"/>
            <w:vAlign w:val="bottom"/>
          </w:tcPr>
          <w:p>
            <w:pPr>
              <w:spacing w:after="0"/>
              <w:rPr>
                <w:sz w:val="16"/>
                <w:szCs w:val="16"/>
                <w:color w:val="auto"/>
              </w:rPr>
            </w:pPr>
          </w:p>
        </w:tc>
      </w:tr>
      <w:tr>
        <w:trPr>
          <w:trHeight w:val="20"/>
        </w:trPr>
        <w:tc>
          <w:tcPr>
            <w:tcW w:w="26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AbbVie Agreement</w:t>
      </w:r>
    </w:p>
    <w:p>
      <w:pPr>
        <w:spacing w:after="0" w:line="100"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Since all of our research obligations under the AbbVie agreement were concluded by June 30, 2011, all milestone payments received since then have been recognized as revenue upon achievement of each milestone by AbbVie. Additionally, during the three months ended December 31, 2017, we earned and recognized as revenue the last milestone payment for glecaprevir, which was a $15.0 million milestone payment upon AbbVie’s achievement of commercialization regulatory approval of MAVIRET™ in Japan. There are no further milestones available to be earned under our AbbVie agreement.</w:t>
      </w:r>
    </w:p>
    <w:p>
      <w:pPr>
        <w:spacing w:after="0" w:line="167"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We currently receive annually tiered, double-digit royalties per protease inhibitor product on AbbVie’s net sales allocable to either of our collaboration’s protease inhibitor products. Under the terms of our AbbVie agreement, as amended in October 2014, 50% of AbbVie’s net sales of MAVYRET/MAVIRET are allocated to glecaprevir. In the case of regimens containing paritaprevir, 30% of net sales of 3-DAA regimens containing paritaprevir and 45% of net sales of 2-DAA regimens containing paritaprevir are allocated to paritaprevir for purposes of calculating our annually tiered royalties. Beginning with each January 1, the cumulative net sales of each royalty-bearing product start at zero for purposes of calculating the tiered royalties on a product-by-product basis.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We expect all of our revenue in fiscal 2019 to be generated from our collaboration agreement with AbbVie.</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Internal Programs</w:t>
      </w:r>
    </w:p>
    <w:p>
      <w:pPr>
        <w:spacing w:after="0" w:line="195" w:lineRule="exact"/>
        <w:rPr>
          <w:sz w:val="20"/>
          <w:szCs w:val="20"/>
          <w:color w:val="auto"/>
        </w:rPr>
      </w:pPr>
    </w:p>
    <w:p>
      <w:pPr>
        <w:ind w:right="220"/>
        <w:spacing w:after="0" w:line="268" w:lineRule="auto"/>
        <w:rPr>
          <w:sz w:val="20"/>
          <w:szCs w:val="20"/>
          <w:color w:val="auto"/>
        </w:rPr>
      </w:pPr>
      <w:r>
        <w:rPr>
          <w:rFonts w:ascii="Arial" w:cs="Arial" w:eastAsia="Arial" w:hAnsi="Arial"/>
          <w:sz w:val="16"/>
          <w:szCs w:val="16"/>
          <w:color w:val="auto"/>
        </w:rPr>
        <w:t>As our internal product candidates are currently in preclinical or early clinical development, we have not generated any revenue from our own product sales and do not expect to generate any revenue from product sales derived from these product candidates for at least the next several years.</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58420</wp:posOffset>
            </wp:positionV>
            <wp:extent cx="7303770"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360"/>
          </w:cols>
          <w:pgMar w:left="240" w:top="505" w:right="29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operating expenses for the three and six months ended March 31, 2019 and 2018:</w:t>
      </w:r>
    </w:p>
    <w:p>
      <w:pPr>
        <w:spacing w:after="0" w:line="61"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4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40" w:type="dxa"/>
            <w:vAlign w:val="bottom"/>
            <w:gridSpan w:val="5"/>
          </w:tcPr>
          <w:p>
            <w:pPr>
              <w:jc w:val="center"/>
              <w:ind w:right="300"/>
              <w:spacing w:after="0"/>
              <w:rPr>
                <w:sz w:val="20"/>
                <w:szCs w:val="20"/>
                <w:color w:val="auto"/>
              </w:rPr>
            </w:pPr>
            <w:r>
              <w:rPr>
                <w:rFonts w:ascii="Arial" w:cs="Arial" w:eastAsia="Arial" w:hAnsi="Arial"/>
                <w:sz w:val="13"/>
                <w:szCs w:val="13"/>
                <w:b w:val="1"/>
                <w:bCs w:val="1"/>
                <w:color w:val="auto"/>
                <w:w w:val="90"/>
              </w:rPr>
              <w:t>Three Months Ended</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60" w:type="dxa"/>
            <w:vAlign w:val="bottom"/>
            <w:gridSpan w:val="5"/>
          </w:tcPr>
          <w:p>
            <w:pPr>
              <w:ind w:left="340"/>
              <w:spacing w:after="0"/>
              <w:rPr>
                <w:sz w:val="20"/>
                <w:szCs w:val="20"/>
                <w:color w:val="auto"/>
              </w:rPr>
            </w:pPr>
            <w:r>
              <w:rPr>
                <w:rFonts w:ascii="Arial" w:cs="Arial" w:eastAsia="Arial" w:hAnsi="Arial"/>
                <w:sz w:val="13"/>
                <w:szCs w:val="13"/>
                <w:b w:val="1"/>
                <w:bCs w:val="1"/>
                <w:color w:val="auto"/>
              </w:rPr>
              <w:t>Six Months Ended</w:t>
            </w:r>
          </w:p>
        </w:tc>
      </w:tr>
      <w:tr>
        <w:trPr>
          <w:trHeight w:val="150"/>
        </w:trPr>
        <w:tc>
          <w:tcPr>
            <w:tcW w:w="46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3"/>
          </w:tcPr>
          <w:p>
            <w:pPr>
              <w:jc w:val="center"/>
              <w:ind w:left="330"/>
              <w:spacing w:after="0"/>
              <w:rPr>
                <w:sz w:val="20"/>
                <w:szCs w:val="20"/>
                <w:color w:val="auto"/>
              </w:rPr>
            </w:pPr>
            <w:r>
              <w:rPr>
                <w:rFonts w:ascii="Arial" w:cs="Arial" w:eastAsia="Arial" w:hAnsi="Arial"/>
                <w:sz w:val="13"/>
                <w:szCs w:val="13"/>
                <w:b w:val="1"/>
                <w:bCs w:val="1"/>
                <w:color w:val="auto"/>
                <w:w w:val="93"/>
              </w:rPr>
              <w:t>March 31,</w:t>
            </w:r>
          </w:p>
        </w:tc>
        <w:tc>
          <w:tcPr>
            <w:tcW w:w="6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3"/>
                <w:szCs w:val="13"/>
                <w:b w:val="1"/>
                <w:bCs w:val="1"/>
                <w:color w:val="auto"/>
              </w:rPr>
              <w:t>March 31,</w:t>
            </w:r>
          </w:p>
        </w:tc>
        <w:tc>
          <w:tcPr>
            <w:tcW w:w="6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34"/>
        </w:trPr>
        <w:tc>
          <w:tcPr>
            <w:tcW w:w="46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70"/>
              <w:spacing w:after="0" w:line="134" w:lineRule="exact"/>
              <w:rPr>
                <w:sz w:val="20"/>
                <w:szCs w:val="20"/>
                <w:color w:val="auto"/>
              </w:rPr>
            </w:pPr>
            <w:r>
              <w:rPr>
                <w:rFonts w:ascii="Arial" w:cs="Arial" w:eastAsia="Arial" w:hAnsi="Arial"/>
                <w:sz w:val="13"/>
                <w:szCs w:val="13"/>
                <w:b w:val="1"/>
                <w:bCs w:val="1"/>
                <w:color w:val="auto"/>
              </w:rPr>
              <w:t>2019</w:t>
            </w:r>
          </w:p>
        </w:tc>
        <w:tc>
          <w:tcPr>
            <w:tcW w:w="2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265"/>
              <w:spacing w:after="0" w:line="134" w:lineRule="exact"/>
              <w:rPr>
                <w:sz w:val="20"/>
                <w:szCs w:val="20"/>
                <w:color w:val="auto"/>
              </w:rPr>
            </w:pPr>
            <w:r>
              <w:rPr>
                <w:rFonts w:ascii="Arial" w:cs="Arial" w:eastAsia="Arial" w:hAnsi="Arial"/>
                <w:sz w:val="13"/>
                <w:szCs w:val="13"/>
                <w:b w:val="1"/>
                <w:bCs w:val="1"/>
                <w:color w:val="auto"/>
                <w:w w:val="89"/>
              </w:rPr>
              <w:t>2018</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69"/>
              <w:spacing w:after="0" w:line="134" w:lineRule="exact"/>
              <w:rPr>
                <w:sz w:val="20"/>
                <w:szCs w:val="20"/>
                <w:color w:val="auto"/>
              </w:rPr>
            </w:pPr>
            <w:r>
              <w:rPr>
                <w:rFonts w:ascii="Arial" w:cs="Arial" w:eastAsia="Arial" w:hAnsi="Arial"/>
                <w:sz w:val="13"/>
                <w:szCs w:val="13"/>
                <w:b w:val="1"/>
                <w:bCs w:val="1"/>
                <w:color w:val="auto"/>
              </w:rPr>
              <w:t>2019</w:t>
            </w:r>
          </w:p>
        </w:tc>
        <w:tc>
          <w:tcPr>
            <w:tcW w:w="2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65"/>
              <w:spacing w:after="0" w:line="134" w:lineRule="exact"/>
              <w:rPr>
                <w:sz w:val="20"/>
                <w:szCs w:val="20"/>
                <w:color w:val="auto"/>
              </w:rPr>
            </w:pPr>
            <w:r>
              <w:rPr>
                <w:rFonts w:ascii="Arial" w:cs="Arial" w:eastAsia="Arial" w:hAnsi="Arial"/>
                <w:sz w:val="13"/>
                <w:szCs w:val="13"/>
                <w:b w:val="1"/>
                <w:bCs w:val="1"/>
                <w:color w:val="auto"/>
              </w:rPr>
              <w:t>2018</w:t>
            </w:r>
          </w:p>
        </w:tc>
        <w:tc>
          <w:tcPr>
            <w:tcW w:w="80" w:type="dxa"/>
            <w:vAlign w:val="bottom"/>
          </w:tcPr>
          <w:p>
            <w:pPr>
              <w:spacing w:after="0"/>
              <w:rPr>
                <w:sz w:val="11"/>
                <w:szCs w:val="11"/>
                <w:color w:val="auto"/>
              </w:rPr>
            </w:pPr>
          </w:p>
        </w:tc>
      </w:tr>
      <w:tr>
        <w:trPr>
          <w:trHeight w:val="134"/>
        </w:trPr>
        <w:tc>
          <w:tcPr>
            <w:tcW w:w="4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3"/>
          </w:tcPr>
          <w:p>
            <w:pPr>
              <w:jc w:val="center"/>
              <w:ind w:left="330"/>
              <w:spacing w:after="0" w:line="134" w:lineRule="exact"/>
              <w:rPr>
                <w:sz w:val="20"/>
                <w:szCs w:val="20"/>
                <w:color w:val="auto"/>
              </w:rPr>
            </w:pPr>
            <w:r>
              <w:rPr>
                <w:rFonts w:ascii="Arial" w:cs="Arial" w:eastAsia="Arial" w:hAnsi="Arial"/>
                <w:sz w:val="13"/>
                <w:szCs w:val="13"/>
                <w:b w:val="1"/>
                <w:bCs w:val="1"/>
                <w:color w:val="auto"/>
                <w:w w:val="84"/>
              </w:rPr>
              <w:t>(in thousands)</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201"/>
        </w:trPr>
        <w:tc>
          <w:tcPr>
            <w:tcW w:w="46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Research and development</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34,155</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21,484</w:t>
            </w:r>
          </w:p>
        </w:tc>
        <w:tc>
          <w:tcPr>
            <w:tcW w:w="80" w:type="dxa"/>
            <w:vAlign w:val="bottom"/>
            <w:shd w:val="clear" w:color="auto" w:fill="CFF0FC"/>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69,033</w:t>
            </w:r>
          </w:p>
        </w:tc>
        <w:tc>
          <w:tcPr>
            <w:tcW w:w="480" w:type="dxa"/>
            <w:vAlign w:val="bottom"/>
            <w:gridSpan w:val="2"/>
            <w:shd w:val="clear" w:color="auto" w:fill="CFF0FC"/>
          </w:tcPr>
          <w:p>
            <w:pPr>
              <w:jc w:val="right"/>
              <w:ind w:right="87"/>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39,446</w:t>
            </w:r>
          </w:p>
        </w:tc>
        <w:tc>
          <w:tcPr>
            <w:tcW w:w="80" w:type="dxa"/>
            <w:vAlign w:val="bottom"/>
            <w:shd w:val="clear" w:color="auto" w:fill="CFF0FC"/>
          </w:tcPr>
          <w:p>
            <w:pPr>
              <w:spacing w:after="0"/>
              <w:rPr>
                <w:sz w:val="17"/>
                <w:szCs w:val="17"/>
                <w:color w:val="auto"/>
              </w:rPr>
            </w:pPr>
          </w:p>
        </w:tc>
      </w:tr>
      <w:tr>
        <w:trPr>
          <w:trHeight w:val="201"/>
        </w:trPr>
        <w:tc>
          <w:tcPr>
            <w:tcW w:w="4680" w:type="dxa"/>
            <w:vAlign w:val="bottom"/>
          </w:tcPr>
          <w:p>
            <w:pPr>
              <w:ind w:left="220"/>
              <w:spacing w:after="0"/>
              <w:rPr>
                <w:sz w:val="20"/>
                <w:szCs w:val="20"/>
                <w:color w:val="auto"/>
              </w:rPr>
            </w:pPr>
            <w:r>
              <w:rPr>
                <w:rFonts w:ascii="Arial" w:cs="Arial" w:eastAsia="Arial" w:hAnsi="Arial"/>
                <w:sz w:val="16"/>
                <w:szCs w:val="16"/>
                <w:color w:val="auto"/>
              </w:rPr>
              <w:t>General and administrative</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6,780</w:t>
            </w:r>
          </w:p>
        </w:tc>
        <w:tc>
          <w:tcPr>
            <w:tcW w:w="240" w:type="dxa"/>
            <w:vAlign w:val="bottom"/>
          </w:tcPr>
          <w:p>
            <w:pPr>
              <w:spacing w:after="0"/>
              <w:rPr>
                <w:sz w:val="17"/>
                <w:szCs w:val="17"/>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5,706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13,932</w:t>
            </w:r>
          </w:p>
        </w:tc>
        <w:tc>
          <w:tcPr>
            <w:tcW w:w="480" w:type="dxa"/>
            <w:vAlign w:val="bottom"/>
            <w:gridSpan w:val="2"/>
          </w:tcPr>
          <w:p>
            <w:pPr>
              <w:jc w:val="right"/>
              <w:ind w:right="87"/>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11,476</w:t>
            </w:r>
          </w:p>
        </w:tc>
        <w:tc>
          <w:tcPr>
            <w:tcW w:w="80" w:type="dxa"/>
            <w:vAlign w:val="bottom"/>
          </w:tcPr>
          <w:p>
            <w:pPr>
              <w:spacing w:after="0"/>
              <w:rPr>
                <w:sz w:val="17"/>
                <w:szCs w:val="17"/>
                <w:color w:val="auto"/>
              </w:rPr>
            </w:pPr>
          </w:p>
        </w:tc>
      </w:tr>
      <w:tr>
        <w:trPr>
          <w:trHeight w:val="193"/>
        </w:trPr>
        <w:tc>
          <w:tcPr>
            <w:tcW w:w="4680" w:type="dxa"/>
            <w:vAlign w:val="bottom"/>
            <w:tcBorders>
              <w:top w:val="single" w:sz="8" w:color="CFF0FC"/>
              <w:bottom w:val="single" w:sz="8" w:color="CFF0FC"/>
            </w:tcBorders>
            <w:shd w:val="clear" w:color="auto" w:fill="CFF0FC"/>
          </w:tcPr>
          <w:p>
            <w:pPr>
              <w:ind w:left="440"/>
              <w:spacing w:after="0"/>
              <w:rPr>
                <w:sz w:val="20"/>
                <w:szCs w:val="20"/>
                <w:color w:val="auto"/>
              </w:rPr>
            </w:pPr>
            <w:r>
              <w:rPr>
                <w:rFonts w:ascii="Arial" w:cs="Arial" w:eastAsia="Arial" w:hAnsi="Arial"/>
                <w:sz w:val="16"/>
                <w:szCs w:val="16"/>
                <w:color w:val="auto"/>
              </w:rPr>
              <w:t>Total operating expenses</w:t>
            </w: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40,935</w:t>
            </w:r>
          </w:p>
        </w:tc>
        <w:tc>
          <w:tcPr>
            <w:tcW w:w="240" w:type="dxa"/>
            <w:vAlign w:val="bottom"/>
            <w:tcBorders>
              <w:top w:val="single" w:sz="8" w:color="CFF0FC"/>
              <w:bottom w:val="single" w:sz="8" w:color="CFF0FC"/>
            </w:tcBorders>
            <w:shd w:val="clear" w:color="auto" w:fill="CFF0FC"/>
          </w:tcPr>
          <w:p>
            <w:pPr>
              <w:spacing w:after="0"/>
              <w:rPr>
                <w:sz w:val="16"/>
                <w:szCs w:val="16"/>
                <w:color w:val="auto"/>
              </w:rPr>
            </w:pP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27,190</w:t>
            </w:r>
          </w:p>
        </w:tc>
        <w:tc>
          <w:tcPr>
            <w:tcW w:w="80" w:type="dxa"/>
            <w:vAlign w:val="bottom"/>
            <w:tcBorders>
              <w:top w:val="single" w:sz="8" w:color="CFF0FC"/>
              <w:bottom w:val="single" w:sz="8" w:color="CFF0FC"/>
            </w:tcBorders>
            <w:shd w:val="clear" w:color="auto" w:fill="CFF0FC"/>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82,965</w:t>
            </w:r>
          </w:p>
        </w:tc>
        <w:tc>
          <w:tcPr>
            <w:tcW w:w="240" w:type="dxa"/>
            <w:vAlign w:val="bottom"/>
            <w:tcBorders>
              <w:top w:val="single" w:sz="8" w:color="CFF0FC"/>
              <w:bottom w:val="single" w:sz="8" w:color="CFF0FC"/>
            </w:tcBorders>
            <w:shd w:val="clear" w:color="auto" w:fill="CFF0FC"/>
          </w:tcPr>
          <w:p>
            <w:pPr>
              <w:spacing w:after="0"/>
              <w:rPr>
                <w:sz w:val="16"/>
                <w:szCs w:val="16"/>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50,922</w:t>
            </w:r>
          </w:p>
        </w:tc>
        <w:tc>
          <w:tcPr>
            <w:tcW w:w="80" w:type="dxa"/>
            <w:vAlign w:val="bottom"/>
            <w:tcBorders>
              <w:top w:val="single" w:sz="8" w:color="CFF0FC"/>
              <w:bottom w:val="single" w:sz="8" w:color="CFF0FC"/>
            </w:tcBorders>
            <w:shd w:val="clear" w:color="auto" w:fill="CFF0FC"/>
          </w:tcPr>
          <w:p>
            <w:pPr>
              <w:spacing w:after="0"/>
              <w:rPr>
                <w:sz w:val="16"/>
                <w:szCs w:val="16"/>
                <w:color w:val="auto"/>
              </w:rPr>
            </w:pPr>
          </w:p>
        </w:tc>
      </w:tr>
      <w:tr>
        <w:trPr>
          <w:trHeight w:val="20"/>
        </w:trPr>
        <w:tc>
          <w:tcPr>
            <w:tcW w:w="4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Research and Development Expenses</w:t>
      </w:r>
    </w:p>
    <w:p>
      <w:pPr>
        <w:spacing w:after="0" w:line="100" w:lineRule="exact"/>
        <w:rPr>
          <w:sz w:val="20"/>
          <w:szCs w:val="20"/>
          <w:color w:val="auto"/>
        </w:rPr>
      </w:pPr>
    </w:p>
    <w:p>
      <w:pPr>
        <w:ind w:right="80"/>
        <w:spacing w:after="0" w:line="341" w:lineRule="auto"/>
        <w:rPr>
          <w:sz w:val="20"/>
          <w:szCs w:val="20"/>
          <w:color w:val="auto"/>
        </w:rPr>
      </w:pPr>
      <w:r>
        <w:rPr>
          <w:rFonts w:ascii="Arial" w:cs="Arial" w:eastAsia="Arial" w:hAnsi="Arial"/>
          <w:sz w:val="14"/>
          <w:szCs w:val="14"/>
          <w:color w:val="auto"/>
        </w:rPr>
        <w:t>Research and development expenses consist of costs incurred to conduct basic research, such as the discovery and development of novel small molecules as therapeutics, as well as any external expenses of preclinical and clinical development activities. We expense all costs of research and development as incurred. These expenses consist primarily of:</w:t>
      </w:r>
    </w:p>
    <w:p>
      <w:pPr>
        <w:spacing w:after="0" w:line="16" w:lineRule="exact"/>
        <w:rPr>
          <w:sz w:val="20"/>
          <w:szCs w:val="20"/>
          <w:color w:val="auto"/>
        </w:rPr>
      </w:pPr>
    </w:p>
    <w:p>
      <w:pPr>
        <w:ind w:left="1020" w:hanging="517"/>
        <w:spacing w:after="0"/>
        <w:tabs>
          <w:tab w:leader="none" w:pos="10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personnel costs, including salaries, related benefits and stock-based compensation for employees engaged in scientific research and development functions;</w:t>
      </w:r>
    </w:p>
    <w:p>
      <w:pPr>
        <w:spacing w:after="0" w:line="122" w:lineRule="exact"/>
        <w:rPr>
          <w:rFonts w:ascii="Arial" w:cs="Arial" w:eastAsia="Arial" w:hAnsi="Arial"/>
          <w:sz w:val="14"/>
          <w:szCs w:val="14"/>
          <w:color w:val="auto"/>
        </w:rPr>
      </w:pPr>
    </w:p>
    <w:p>
      <w:pPr>
        <w:ind w:left="1020" w:hanging="517"/>
        <w:spacing w:after="0"/>
        <w:tabs>
          <w:tab w:leader="none" w:pos="10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third-party contract costs relating to research, formulation, manufacturing, preclinical study and clinical trial activities;</w:t>
      </w:r>
    </w:p>
    <w:p>
      <w:pPr>
        <w:spacing w:after="0" w:line="99" w:lineRule="exact"/>
        <w:rPr>
          <w:rFonts w:ascii="Arial" w:cs="Arial" w:eastAsia="Arial" w:hAnsi="Arial"/>
          <w:sz w:val="16"/>
          <w:szCs w:val="16"/>
          <w:color w:val="auto"/>
        </w:rPr>
      </w:pPr>
    </w:p>
    <w:p>
      <w:pPr>
        <w:ind w:left="1020" w:hanging="517"/>
        <w:spacing w:after="0"/>
        <w:tabs>
          <w:tab w:leader="none" w:pos="10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third-party license fees;</w:t>
      </w:r>
    </w:p>
    <w:p>
      <w:pPr>
        <w:spacing w:after="0" w:line="99" w:lineRule="exact"/>
        <w:rPr>
          <w:rFonts w:ascii="Arial" w:cs="Arial" w:eastAsia="Arial" w:hAnsi="Arial"/>
          <w:sz w:val="16"/>
          <w:szCs w:val="16"/>
          <w:color w:val="auto"/>
        </w:rPr>
      </w:pPr>
    </w:p>
    <w:p>
      <w:pPr>
        <w:ind w:left="1020" w:hanging="517"/>
        <w:spacing w:after="0"/>
        <w:tabs>
          <w:tab w:leader="none" w:pos="10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laboratory consumables; and</w:t>
      </w:r>
    </w:p>
    <w:p>
      <w:pPr>
        <w:spacing w:after="0" w:line="99" w:lineRule="exact"/>
        <w:rPr>
          <w:rFonts w:ascii="Arial" w:cs="Arial" w:eastAsia="Arial" w:hAnsi="Arial"/>
          <w:sz w:val="16"/>
          <w:szCs w:val="16"/>
          <w:color w:val="auto"/>
        </w:rPr>
      </w:pPr>
    </w:p>
    <w:p>
      <w:pPr>
        <w:ind w:left="1020" w:hanging="517"/>
        <w:spacing w:after="0"/>
        <w:tabs>
          <w:tab w:leader="none" w:pos="10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allocated facility-related costs.</w:t>
      </w:r>
    </w:p>
    <w:p>
      <w:pPr>
        <w:spacing w:after="0" w:line="195"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Project-specific expenses reflect costs directly attributable to our clinical development candidates and preclinical candidates nominated and selected for further development. Remaining research and development expenses are reflected in research and drug discovery, which represents early-stage drug discovery programs. At any given time, we typically have several active early stage research and drug discovery projects. Our internal resources, employees and infrastructure are not directly tied to any individual research or drug discovery project and are typically deployed across multiple projects. As such, we do not report information regarding costs incurred for our early-stage research and drug discovery programs on a project-specific basis. We expect that our research and development expenses will continue to increase in the future as we advance our RSV, NASH, PBC and HBV programs.</w:t>
      </w:r>
    </w:p>
    <w:p>
      <w:pPr>
        <w:spacing w:after="0" w:line="170" w:lineRule="exact"/>
        <w:rPr>
          <w:sz w:val="20"/>
          <w:szCs w:val="20"/>
          <w:color w:val="auto"/>
        </w:rPr>
      </w:pPr>
    </w:p>
    <w:p>
      <w:pPr>
        <w:ind w:right="120"/>
        <w:spacing w:after="0" w:line="293" w:lineRule="auto"/>
        <w:rPr>
          <w:sz w:val="20"/>
          <w:szCs w:val="20"/>
          <w:color w:val="auto"/>
        </w:rPr>
      </w:pPr>
      <w:r>
        <w:rPr>
          <w:rFonts w:ascii="Arial" w:cs="Arial" w:eastAsia="Arial" w:hAnsi="Arial"/>
          <w:sz w:val="14"/>
          <w:szCs w:val="14"/>
          <w:color w:val="auto"/>
        </w:rPr>
        <w:t>Our research and drug discovery programs are at early stages; therefore, the successful development of our product candidates is highly uncertain and may not result in approved products. Completion dates and completion costs can vary significantly for each product candidate and are difficult to predict. Given the uncertainty associated with clinical trial enrollments and the risks inherent in the development process, we are unable to determine the duration and completion costs of the current or future clinical trials of our product candidates or if, or to what extent, we will generate revenue from the commercialization and sale of any of our product candidates. We anticipate that we will make determinations as to which development programs to pursue and how much funding to direct to each program on an ongoing basis in response to the preclinical and clinical success and prospects of each product candidate, as well as ongoing assessments of the commercial potential of each product candidate.</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 and Administrative Expenses</w:t>
      </w:r>
    </w:p>
    <w:p>
      <w:pPr>
        <w:spacing w:after="0" w:line="195" w:lineRule="exact"/>
        <w:rPr>
          <w:sz w:val="20"/>
          <w:szCs w:val="20"/>
          <w:color w:val="auto"/>
        </w:rPr>
      </w:pPr>
    </w:p>
    <w:p>
      <w:pPr>
        <w:ind w:right="60"/>
        <w:spacing w:after="0" w:line="311" w:lineRule="auto"/>
        <w:rPr>
          <w:sz w:val="20"/>
          <w:szCs w:val="20"/>
          <w:color w:val="auto"/>
        </w:rPr>
      </w:pPr>
      <w:r>
        <w:rPr>
          <w:rFonts w:ascii="Arial" w:cs="Arial" w:eastAsia="Arial" w:hAnsi="Arial"/>
          <w:sz w:val="14"/>
          <w:szCs w:val="14"/>
          <w:color w:val="auto"/>
        </w:rPr>
        <w:t>General and administrative expenses consist primarily of personnel costs, which include salaries, related benefits and stock-based compensation, of our executive, finance, business and corporate development and other administrative functions. General and administrative expenses also include travel expenses, allocated facility-related costs not otherwise included in research and development expenses, directors and officers liability insurance premiums, and professional fees for auditing, tax, and legal services and patent expenses.</w:t>
      </w:r>
    </w:p>
    <w:p>
      <w:pPr>
        <w:spacing w:after="0" w:line="131" w:lineRule="exact"/>
        <w:rPr>
          <w:sz w:val="20"/>
          <w:szCs w:val="20"/>
          <w:color w:val="auto"/>
        </w:rPr>
      </w:pPr>
    </w:p>
    <w:p>
      <w:pPr>
        <w:ind w:right="320"/>
        <w:spacing w:after="0" w:line="268" w:lineRule="auto"/>
        <w:rPr>
          <w:sz w:val="20"/>
          <w:szCs w:val="20"/>
          <w:color w:val="auto"/>
        </w:rPr>
      </w:pPr>
      <w:r>
        <w:rPr>
          <w:rFonts w:ascii="Arial" w:cs="Arial" w:eastAsia="Arial" w:hAnsi="Arial"/>
          <w:sz w:val="16"/>
          <w:szCs w:val="16"/>
          <w:color w:val="auto"/>
        </w:rPr>
        <w:t>We expect that general and administrative expenses will increase in the future primarily due to ongoing expansion of our operating activities in support of our own research and development programs, as well as potential additional costs associated with operating a growing publicly traded company.</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Income, Net</w:t>
      </w:r>
    </w:p>
    <w:p>
      <w:pPr>
        <w:spacing w:after="0" w:line="100" w:lineRule="exact"/>
        <w:rPr>
          <w:sz w:val="20"/>
          <w:szCs w:val="20"/>
          <w:color w:val="auto"/>
        </w:rPr>
      </w:pPr>
    </w:p>
    <w:p>
      <w:pPr>
        <w:ind w:right="200"/>
        <w:spacing w:after="0" w:line="268" w:lineRule="auto"/>
        <w:rPr>
          <w:sz w:val="20"/>
          <w:szCs w:val="20"/>
          <w:color w:val="auto"/>
        </w:rPr>
      </w:pPr>
      <w:r>
        <w:rPr>
          <w:rFonts w:ascii="Arial" w:cs="Arial" w:eastAsia="Arial" w:hAnsi="Arial"/>
          <w:sz w:val="16"/>
          <w:szCs w:val="16"/>
          <w:color w:val="auto"/>
        </w:rPr>
        <w:t>Other income, net, consists of interest income, interest expense and the change in fair value of our outstanding Series 1 nonconvertible preferred stock and, during the periods the Series 1 nonconvertible preferred stock warrants were outstanding, the change in fair value</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58420</wp:posOffset>
            </wp:positionV>
            <wp:extent cx="7303770"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00"/>
          </w:cols>
          <w:pgMar w:left="240" w:top="600" w:right="259" w:bottom="1440" w:gutter="0" w:footer="0" w:header="0"/>
        </w:sectPr>
      </w:pPr>
    </w:p>
    <w:bookmarkStart w:id="21" w:name="page22"/>
    <w:bookmarkEnd w:id="21"/>
    <w:p>
      <w:pPr>
        <w:ind w:right="60"/>
        <w:spacing w:after="0" w:line="268" w:lineRule="auto"/>
        <w:rPr>
          <w:sz w:val="20"/>
          <w:szCs w:val="20"/>
          <w:color w:val="auto"/>
        </w:rPr>
      </w:pPr>
      <w:r>
        <w:rPr>
          <w:rFonts w:ascii="Arial" w:cs="Arial" w:eastAsia="Arial" w:hAnsi="Arial"/>
          <w:sz w:val="16"/>
          <w:szCs w:val="16"/>
          <w:color w:val="auto"/>
        </w:rPr>
        <w:t>of our warrant liability. Interest income consists of interest earned on our cash equivalents and short-term and long-term marketable securities balances as well as interest earned for any refunds received from tax authorities. Interest expense consists of interest expense related to our capital lease obligation.</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 (Expense) Benefit</w:t>
      </w:r>
    </w:p>
    <w:p>
      <w:pPr>
        <w:spacing w:after="0" w:line="100" w:lineRule="exact"/>
        <w:rPr>
          <w:sz w:val="20"/>
          <w:szCs w:val="20"/>
          <w:color w:val="auto"/>
        </w:rPr>
      </w:pPr>
    </w:p>
    <w:p>
      <w:pPr>
        <w:ind w:right="200"/>
        <w:spacing w:after="0" w:line="268" w:lineRule="auto"/>
        <w:rPr>
          <w:sz w:val="20"/>
          <w:szCs w:val="20"/>
          <w:color w:val="auto"/>
        </w:rPr>
      </w:pPr>
      <w:r>
        <w:rPr>
          <w:rFonts w:ascii="Arial" w:cs="Arial" w:eastAsia="Arial" w:hAnsi="Arial"/>
          <w:sz w:val="16"/>
          <w:szCs w:val="16"/>
          <w:color w:val="auto"/>
        </w:rPr>
        <w:t>Income tax (expense) benefit is based on our best estimate of applicable income tax rates, net research and development tax credits and deferred income taxes, for the entire fiscal year applied to pre-tax profit or loss reported for the year-to-date period.</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Comparison of Three Months Ended March 31, 2019 and 2018</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00" w:type="dxa"/>
            <w:vAlign w:val="bottom"/>
            <w:gridSpan w:val="5"/>
          </w:tcPr>
          <w:p>
            <w:pPr>
              <w:jc w:val="center"/>
              <w:ind w:right="340"/>
              <w:spacing w:after="0"/>
              <w:rPr>
                <w:sz w:val="20"/>
                <w:szCs w:val="20"/>
                <w:color w:val="auto"/>
              </w:rPr>
            </w:pPr>
            <w:r>
              <w:rPr>
                <w:rFonts w:ascii="Arial" w:cs="Arial" w:eastAsia="Arial" w:hAnsi="Arial"/>
                <w:sz w:val="13"/>
                <w:szCs w:val="13"/>
                <w:b w:val="1"/>
                <w:bCs w:val="1"/>
                <w:color w:val="auto"/>
                <w:w w:val="90"/>
              </w:rPr>
              <w:t>Three Months Ended</w:t>
            </w:r>
          </w:p>
        </w:tc>
      </w:tr>
      <w:tr>
        <w:trPr>
          <w:trHeight w:val="150"/>
        </w:trPr>
        <w:tc>
          <w:tcPr>
            <w:tcW w:w="172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jc w:val="center"/>
              <w:ind w:left="430"/>
              <w:spacing w:after="0"/>
              <w:rPr>
                <w:sz w:val="20"/>
                <w:szCs w:val="20"/>
                <w:color w:val="auto"/>
              </w:rPr>
            </w:pPr>
            <w:r>
              <w:rPr>
                <w:rFonts w:ascii="Arial" w:cs="Arial" w:eastAsia="Arial" w:hAnsi="Arial"/>
                <w:sz w:val="13"/>
                <w:szCs w:val="13"/>
                <w:b w:val="1"/>
                <w:bCs w:val="1"/>
                <w:color w:val="auto"/>
                <w:w w:val="93"/>
              </w:rPr>
              <w:t>March 31,</w:t>
            </w:r>
          </w:p>
        </w:tc>
        <w:tc>
          <w:tcPr>
            <w:tcW w:w="7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34"/>
        </w:trPr>
        <w:tc>
          <w:tcPr>
            <w:tcW w:w="17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430"/>
              <w:spacing w:after="0" w:line="134" w:lineRule="exact"/>
              <w:rPr>
                <w:sz w:val="20"/>
                <w:szCs w:val="20"/>
                <w:color w:val="auto"/>
              </w:rPr>
            </w:pPr>
            <w:r>
              <w:rPr>
                <w:rFonts w:ascii="Arial" w:cs="Arial" w:eastAsia="Arial" w:hAnsi="Arial"/>
                <w:sz w:val="13"/>
                <w:szCs w:val="13"/>
                <w:b w:val="1"/>
                <w:bCs w:val="1"/>
                <w:color w:val="auto"/>
              </w:rPr>
              <w:t>2019</w:t>
            </w:r>
          </w:p>
        </w:tc>
        <w:tc>
          <w:tcPr>
            <w:tcW w:w="2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345"/>
              <w:spacing w:after="0" w:line="134" w:lineRule="exact"/>
              <w:rPr>
                <w:sz w:val="20"/>
                <w:szCs w:val="20"/>
                <w:color w:val="auto"/>
              </w:rPr>
            </w:pPr>
            <w:r>
              <w:rPr>
                <w:rFonts w:ascii="Arial" w:cs="Arial" w:eastAsia="Arial" w:hAnsi="Arial"/>
                <w:sz w:val="13"/>
                <w:szCs w:val="13"/>
                <w:b w:val="1"/>
                <w:bCs w:val="1"/>
                <w:color w:val="auto"/>
              </w:rPr>
              <w:t>2018</w:t>
            </w:r>
          </w:p>
        </w:tc>
        <w:tc>
          <w:tcPr>
            <w:tcW w:w="80" w:type="dxa"/>
            <w:vAlign w:val="bottom"/>
          </w:tcPr>
          <w:p>
            <w:pPr>
              <w:spacing w:after="0"/>
              <w:rPr>
                <w:sz w:val="11"/>
                <w:szCs w:val="11"/>
                <w:color w:val="auto"/>
              </w:rPr>
            </w:pPr>
          </w:p>
        </w:tc>
      </w:tr>
      <w:tr>
        <w:trPr>
          <w:trHeight w:val="134"/>
        </w:trPr>
        <w:tc>
          <w:tcPr>
            <w:tcW w:w="17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gridSpan w:val="3"/>
          </w:tcPr>
          <w:p>
            <w:pPr>
              <w:jc w:val="center"/>
              <w:ind w:left="430"/>
              <w:spacing w:after="0" w:line="134" w:lineRule="exact"/>
              <w:rPr>
                <w:sz w:val="20"/>
                <w:szCs w:val="20"/>
                <w:color w:val="auto"/>
              </w:rPr>
            </w:pPr>
            <w:r>
              <w:rPr>
                <w:rFonts w:ascii="Arial" w:cs="Arial" w:eastAsia="Arial" w:hAnsi="Arial"/>
                <w:sz w:val="13"/>
                <w:szCs w:val="13"/>
                <w:b w:val="1"/>
                <w:bCs w:val="1"/>
                <w:color w:val="auto"/>
                <w:w w:val="84"/>
              </w:rPr>
              <w:t>(in thousands)</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201"/>
        </w:trPr>
        <w:tc>
          <w:tcPr>
            <w:tcW w:w="1720" w:type="dxa"/>
            <w:vAlign w:val="bottom"/>
          </w:tcPr>
          <w:p>
            <w:pPr>
              <w:spacing w:after="0"/>
              <w:rPr>
                <w:sz w:val="17"/>
                <w:szCs w:val="17"/>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6"/>
                <w:szCs w:val="16"/>
                <w:color w:val="auto"/>
              </w:rPr>
              <w:t>Revenue</w:t>
            </w:r>
          </w:p>
        </w:tc>
        <w:tc>
          <w:tcPr>
            <w:tcW w:w="2060" w:type="dxa"/>
            <w:vAlign w:val="bottom"/>
            <w:gridSpan w:val="2"/>
            <w:shd w:val="clear" w:color="auto" w:fill="CFF0FC"/>
          </w:tcPr>
          <w:p>
            <w:pPr>
              <w:jc w:val="right"/>
              <w:ind w:right="129"/>
              <w:spacing w:after="0"/>
              <w:rPr>
                <w:sz w:val="20"/>
                <w:szCs w:val="20"/>
                <w:color w:val="auto"/>
              </w:rPr>
            </w:pPr>
            <w:r>
              <w:rPr>
                <w:rFonts w:ascii="Arial" w:cs="Arial" w:eastAsia="Arial" w:hAnsi="Arial"/>
                <w:sz w:val="16"/>
                <w:szCs w:val="16"/>
                <w:color w:val="auto"/>
              </w:rPr>
              <w:t>$</w:t>
            </w:r>
          </w:p>
        </w:tc>
        <w:tc>
          <w:tcPr>
            <w:tcW w:w="920" w:type="dxa"/>
            <w:vAlign w:val="bottom"/>
            <w:tcBorders>
              <w:right w:val="single" w:sz="8" w:color="CFF0FC"/>
            </w:tcBorders>
            <w:shd w:val="clear" w:color="auto" w:fill="CFF0FC"/>
          </w:tcPr>
          <w:p>
            <w:pPr>
              <w:jc w:val="right"/>
              <w:ind w:right="10"/>
              <w:spacing w:after="0"/>
              <w:rPr>
                <w:sz w:val="20"/>
                <w:szCs w:val="20"/>
                <w:color w:val="auto"/>
              </w:rPr>
            </w:pPr>
            <w:r>
              <w:rPr>
                <w:rFonts w:ascii="Arial" w:cs="Arial" w:eastAsia="Arial" w:hAnsi="Arial"/>
                <w:sz w:val="16"/>
                <w:szCs w:val="16"/>
                <w:color w:val="auto"/>
              </w:rPr>
              <w:t>39,631</w:t>
            </w:r>
          </w:p>
        </w:tc>
        <w:tc>
          <w:tcPr>
            <w:tcW w:w="540" w:type="dxa"/>
            <w:vAlign w:val="bottom"/>
            <w:gridSpan w:val="2"/>
            <w:shd w:val="clear" w:color="auto" w:fill="CFF0FC"/>
          </w:tcPr>
          <w:p>
            <w:pPr>
              <w:jc w:val="right"/>
              <w:ind w:right="187"/>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44,049</w:t>
            </w:r>
          </w:p>
        </w:tc>
        <w:tc>
          <w:tcPr>
            <w:tcW w:w="80" w:type="dxa"/>
            <w:vAlign w:val="bottom"/>
            <w:shd w:val="clear" w:color="auto" w:fill="CFF0FC"/>
          </w:tcPr>
          <w:p>
            <w:pPr>
              <w:spacing w:after="0"/>
              <w:rPr>
                <w:sz w:val="17"/>
                <w:szCs w:val="17"/>
                <w:color w:val="auto"/>
              </w:rPr>
            </w:pPr>
          </w:p>
        </w:tc>
      </w:tr>
      <w:tr>
        <w:trPr>
          <w:trHeight w:val="200"/>
        </w:trPr>
        <w:tc>
          <w:tcPr>
            <w:tcW w:w="172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Arial" w:cs="Arial" w:eastAsia="Arial" w:hAnsi="Arial"/>
                <w:sz w:val="16"/>
                <w:szCs w:val="16"/>
                <w:color w:val="auto"/>
              </w:rPr>
              <w:t>Research and development</w:t>
            </w:r>
          </w:p>
        </w:tc>
        <w:tc>
          <w:tcPr>
            <w:tcW w:w="1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ind w:right="10"/>
              <w:spacing w:after="0"/>
              <w:rPr>
                <w:sz w:val="20"/>
                <w:szCs w:val="20"/>
                <w:color w:val="auto"/>
              </w:rPr>
            </w:pPr>
            <w:r>
              <w:rPr>
                <w:rFonts w:ascii="Arial" w:cs="Arial" w:eastAsia="Arial" w:hAnsi="Arial"/>
                <w:sz w:val="16"/>
                <w:szCs w:val="16"/>
                <w:color w:val="auto"/>
              </w:rPr>
              <w:t>34,155</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21,484</w:t>
            </w:r>
          </w:p>
        </w:tc>
        <w:tc>
          <w:tcPr>
            <w:tcW w:w="80" w:type="dxa"/>
            <w:vAlign w:val="bottom"/>
          </w:tcPr>
          <w:p>
            <w:pPr>
              <w:spacing w:after="0"/>
              <w:rPr>
                <w:sz w:val="17"/>
                <w:szCs w:val="17"/>
                <w:color w:val="auto"/>
              </w:rPr>
            </w:pPr>
          </w:p>
        </w:tc>
      </w:tr>
      <w:tr>
        <w:trPr>
          <w:trHeight w:val="202"/>
        </w:trPr>
        <w:tc>
          <w:tcPr>
            <w:tcW w:w="1720" w:type="dxa"/>
            <w:vAlign w:val="bottom"/>
          </w:tcPr>
          <w:p>
            <w:pPr>
              <w:spacing w:after="0"/>
              <w:rPr>
                <w:sz w:val="17"/>
                <w:szCs w:val="17"/>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6"/>
                <w:szCs w:val="16"/>
                <w:color w:val="auto"/>
              </w:rPr>
              <w:t>General and administrative</w:t>
            </w:r>
          </w:p>
        </w:tc>
        <w:tc>
          <w:tcPr>
            <w:tcW w:w="18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tcBorders>
              <w:right w:val="single" w:sz="8" w:color="CFF0FC"/>
            </w:tcBorders>
            <w:shd w:val="clear" w:color="auto" w:fill="CFF0FC"/>
          </w:tcPr>
          <w:p>
            <w:pPr>
              <w:jc w:val="right"/>
              <w:ind w:right="10"/>
              <w:spacing w:after="0"/>
              <w:rPr>
                <w:sz w:val="20"/>
                <w:szCs w:val="20"/>
                <w:color w:val="auto"/>
              </w:rPr>
            </w:pPr>
            <w:r>
              <w:rPr>
                <w:rFonts w:ascii="Arial" w:cs="Arial" w:eastAsia="Arial" w:hAnsi="Arial"/>
                <w:sz w:val="16"/>
                <w:szCs w:val="16"/>
                <w:color w:val="auto"/>
              </w:rPr>
              <w:t>6,780</w:t>
            </w:r>
          </w:p>
        </w:tc>
        <w:tc>
          <w:tcPr>
            <w:tcW w:w="2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5,706</w:t>
            </w:r>
          </w:p>
        </w:tc>
        <w:tc>
          <w:tcPr>
            <w:tcW w:w="80" w:type="dxa"/>
            <w:vAlign w:val="bottom"/>
            <w:shd w:val="clear" w:color="auto" w:fill="CFF0FC"/>
          </w:tcPr>
          <w:p>
            <w:pPr>
              <w:spacing w:after="0"/>
              <w:rPr>
                <w:sz w:val="17"/>
                <w:szCs w:val="17"/>
                <w:color w:val="auto"/>
              </w:rPr>
            </w:pPr>
          </w:p>
        </w:tc>
      </w:tr>
      <w:tr>
        <w:trPr>
          <w:trHeight w:val="200"/>
        </w:trPr>
        <w:tc>
          <w:tcPr>
            <w:tcW w:w="172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Arial" w:cs="Arial" w:eastAsia="Arial" w:hAnsi="Arial"/>
                <w:sz w:val="16"/>
                <w:szCs w:val="16"/>
                <w:color w:val="auto"/>
              </w:rPr>
              <w:t>Other income, net</w:t>
            </w:r>
          </w:p>
        </w:tc>
        <w:tc>
          <w:tcPr>
            <w:tcW w:w="1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ind w:right="10"/>
              <w:spacing w:after="0"/>
              <w:rPr>
                <w:sz w:val="20"/>
                <w:szCs w:val="20"/>
                <w:color w:val="auto"/>
              </w:rPr>
            </w:pPr>
            <w:r>
              <w:rPr>
                <w:rFonts w:ascii="Arial" w:cs="Arial" w:eastAsia="Arial" w:hAnsi="Arial"/>
                <w:sz w:val="16"/>
                <w:szCs w:val="16"/>
                <w:color w:val="auto"/>
              </w:rPr>
              <w:t>2,245</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1,066</w:t>
            </w:r>
          </w:p>
        </w:tc>
        <w:tc>
          <w:tcPr>
            <w:tcW w:w="80" w:type="dxa"/>
            <w:vAlign w:val="bottom"/>
          </w:tcPr>
          <w:p>
            <w:pPr>
              <w:spacing w:after="0"/>
              <w:rPr>
                <w:sz w:val="17"/>
                <w:szCs w:val="17"/>
                <w:color w:val="auto"/>
              </w:rPr>
            </w:pPr>
          </w:p>
        </w:tc>
      </w:tr>
      <w:tr>
        <w:trPr>
          <w:trHeight w:val="202"/>
        </w:trPr>
        <w:tc>
          <w:tcPr>
            <w:tcW w:w="1720" w:type="dxa"/>
            <w:vAlign w:val="bottom"/>
          </w:tcPr>
          <w:p>
            <w:pPr>
              <w:spacing w:after="0"/>
              <w:rPr>
                <w:sz w:val="17"/>
                <w:szCs w:val="17"/>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6"/>
                <w:szCs w:val="16"/>
                <w:color w:val="auto"/>
              </w:rPr>
              <w:t>Income tax (expense) benefit</w:t>
            </w:r>
          </w:p>
        </w:tc>
        <w:tc>
          <w:tcPr>
            <w:tcW w:w="1820" w:type="dxa"/>
            <w:vAlign w:val="bottom"/>
            <w:shd w:val="clear" w:color="auto" w:fill="CFF0FC"/>
          </w:tcPr>
          <w:p>
            <w:pPr>
              <w:spacing w:after="0"/>
              <w:rPr>
                <w:sz w:val="17"/>
                <w:szCs w:val="17"/>
                <w:color w:val="auto"/>
              </w:rPr>
            </w:pPr>
          </w:p>
        </w:tc>
        <w:tc>
          <w:tcPr>
            <w:tcW w:w="240" w:type="dxa"/>
            <w:vAlign w:val="bottom"/>
            <w:shd w:val="clear" w:color="auto" w:fill="CFF2FC"/>
          </w:tcPr>
          <w:p>
            <w:pPr>
              <w:spacing w:after="0"/>
              <w:rPr>
                <w:sz w:val="17"/>
                <w:szCs w:val="17"/>
                <w:color w:val="auto"/>
              </w:rPr>
            </w:pPr>
          </w:p>
        </w:tc>
        <w:tc>
          <w:tcPr>
            <w:tcW w:w="920" w:type="dxa"/>
            <w:vAlign w:val="bottom"/>
            <w:tcBorders>
              <w:right w:val="single" w:sz="8" w:color="CFF2FC"/>
            </w:tcBorders>
            <w:shd w:val="clear" w:color="auto" w:fill="CFF2FC"/>
          </w:tcPr>
          <w:p>
            <w:pPr>
              <w:jc w:val="right"/>
              <w:ind w:right="10"/>
              <w:spacing w:after="0"/>
              <w:rPr>
                <w:sz w:val="20"/>
                <w:szCs w:val="20"/>
                <w:color w:val="auto"/>
              </w:rPr>
            </w:pPr>
            <w:r>
              <w:rPr>
                <w:rFonts w:ascii="Arial" w:cs="Arial" w:eastAsia="Arial" w:hAnsi="Arial"/>
                <w:sz w:val="16"/>
                <w:szCs w:val="16"/>
                <w:color w:val="auto"/>
              </w:rPr>
              <w:t>3,204</w:t>
            </w:r>
          </w:p>
        </w:tc>
        <w:tc>
          <w:tcPr>
            <w:tcW w:w="2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(5,370)</w:t>
            </w:r>
          </w:p>
        </w:tc>
      </w:tr>
      <w:tr>
        <w:trPr>
          <w:trHeight w:val="507"/>
        </w:trPr>
        <w:tc>
          <w:tcPr>
            <w:tcW w:w="536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Revenue</w:t>
            </w:r>
          </w:p>
        </w:tc>
        <w:tc>
          <w:tcPr>
            <w:tcW w:w="1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24"/>
        </w:trPr>
        <w:tc>
          <w:tcPr>
            <w:tcW w:w="17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00" w:type="dxa"/>
            <w:vAlign w:val="bottom"/>
            <w:gridSpan w:val="5"/>
          </w:tcPr>
          <w:p>
            <w:pPr>
              <w:jc w:val="center"/>
              <w:ind w:right="340"/>
              <w:spacing w:after="0"/>
              <w:rPr>
                <w:sz w:val="20"/>
                <w:szCs w:val="20"/>
                <w:color w:val="auto"/>
              </w:rPr>
            </w:pPr>
            <w:r>
              <w:rPr>
                <w:rFonts w:ascii="Arial" w:cs="Arial" w:eastAsia="Arial" w:hAnsi="Arial"/>
                <w:sz w:val="13"/>
                <w:szCs w:val="13"/>
                <w:b w:val="1"/>
                <w:bCs w:val="1"/>
                <w:color w:val="auto"/>
                <w:w w:val="90"/>
              </w:rPr>
              <w:t>Three Months Ended</w:t>
            </w:r>
          </w:p>
        </w:tc>
      </w:tr>
      <w:tr>
        <w:trPr>
          <w:trHeight w:val="150"/>
        </w:trPr>
        <w:tc>
          <w:tcPr>
            <w:tcW w:w="172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jc w:val="center"/>
              <w:ind w:left="430"/>
              <w:spacing w:after="0"/>
              <w:rPr>
                <w:sz w:val="20"/>
                <w:szCs w:val="20"/>
                <w:color w:val="auto"/>
              </w:rPr>
            </w:pPr>
            <w:r>
              <w:rPr>
                <w:rFonts w:ascii="Arial" w:cs="Arial" w:eastAsia="Arial" w:hAnsi="Arial"/>
                <w:sz w:val="13"/>
                <w:szCs w:val="13"/>
                <w:b w:val="1"/>
                <w:bCs w:val="1"/>
                <w:color w:val="auto"/>
                <w:w w:val="93"/>
              </w:rPr>
              <w:t>March 31,</w:t>
            </w:r>
          </w:p>
        </w:tc>
        <w:tc>
          <w:tcPr>
            <w:tcW w:w="7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34"/>
        </w:trPr>
        <w:tc>
          <w:tcPr>
            <w:tcW w:w="17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430"/>
              <w:spacing w:after="0" w:line="134" w:lineRule="exact"/>
              <w:rPr>
                <w:sz w:val="20"/>
                <w:szCs w:val="20"/>
                <w:color w:val="auto"/>
              </w:rPr>
            </w:pPr>
            <w:r>
              <w:rPr>
                <w:rFonts w:ascii="Arial" w:cs="Arial" w:eastAsia="Arial" w:hAnsi="Arial"/>
                <w:sz w:val="13"/>
                <w:szCs w:val="13"/>
                <w:b w:val="1"/>
                <w:bCs w:val="1"/>
                <w:color w:val="auto"/>
              </w:rPr>
              <w:t>2019</w:t>
            </w:r>
          </w:p>
        </w:tc>
        <w:tc>
          <w:tcPr>
            <w:tcW w:w="2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345"/>
              <w:spacing w:after="0" w:line="134" w:lineRule="exact"/>
              <w:rPr>
                <w:sz w:val="20"/>
                <w:szCs w:val="20"/>
                <w:color w:val="auto"/>
              </w:rPr>
            </w:pPr>
            <w:r>
              <w:rPr>
                <w:rFonts w:ascii="Arial" w:cs="Arial" w:eastAsia="Arial" w:hAnsi="Arial"/>
                <w:sz w:val="13"/>
                <w:szCs w:val="13"/>
                <w:b w:val="1"/>
                <w:bCs w:val="1"/>
                <w:color w:val="auto"/>
              </w:rPr>
              <w:t>2018</w:t>
            </w:r>
          </w:p>
        </w:tc>
        <w:tc>
          <w:tcPr>
            <w:tcW w:w="80" w:type="dxa"/>
            <w:vAlign w:val="bottom"/>
          </w:tcPr>
          <w:p>
            <w:pPr>
              <w:spacing w:after="0"/>
              <w:rPr>
                <w:sz w:val="11"/>
                <w:szCs w:val="11"/>
                <w:color w:val="auto"/>
              </w:rPr>
            </w:pPr>
          </w:p>
        </w:tc>
      </w:tr>
      <w:tr>
        <w:trPr>
          <w:trHeight w:val="134"/>
        </w:trPr>
        <w:tc>
          <w:tcPr>
            <w:tcW w:w="17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gridSpan w:val="3"/>
          </w:tcPr>
          <w:p>
            <w:pPr>
              <w:jc w:val="center"/>
              <w:ind w:left="430"/>
              <w:spacing w:after="0" w:line="134" w:lineRule="exact"/>
              <w:rPr>
                <w:sz w:val="20"/>
                <w:szCs w:val="20"/>
                <w:color w:val="auto"/>
              </w:rPr>
            </w:pPr>
            <w:r>
              <w:rPr>
                <w:rFonts w:ascii="Arial" w:cs="Arial" w:eastAsia="Arial" w:hAnsi="Arial"/>
                <w:sz w:val="13"/>
                <w:szCs w:val="13"/>
                <w:b w:val="1"/>
                <w:bCs w:val="1"/>
                <w:color w:val="auto"/>
                <w:w w:val="84"/>
              </w:rPr>
              <w:t>(in thousands)</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201"/>
        </w:trPr>
        <w:tc>
          <w:tcPr>
            <w:tcW w:w="1720" w:type="dxa"/>
            <w:vAlign w:val="bottom"/>
          </w:tcPr>
          <w:p>
            <w:pPr>
              <w:spacing w:after="0"/>
              <w:rPr>
                <w:sz w:val="17"/>
                <w:szCs w:val="17"/>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6"/>
                <w:szCs w:val="16"/>
                <w:color w:val="auto"/>
              </w:rPr>
              <w:t>AbbVie agreement:</w:t>
            </w:r>
          </w:p>
        </w:tc>
        <w:tc>
          <w:tcPr>
            <w:tcW w:w="18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tcBorders>
              <w:right w:val="single" w:sz="8" w:color="CFF0FC"/>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1"/>
        </w:trPr>
        <w:tc>
          <w:tcPr>
            <w:tcW w:w="1720" w:type="dxa"/>
            <w:vAlign w:val="bottom"/>
          </w:tcPr>
          <w:p>
            <w:pPr>
              <w:spacing w:after="0"/>
              <w:rPr>
                <w:sz w:val="17"/>
                <w:szCs w:val="17"/>
                <w:color w:val="auto"/>
              </w:rPr>
            </w:pPr>
          </w:p>
        </w:tc>
        <w:tc>
          <w:tcPr>
            <w:tcW w:w="3640" w:type="dxa"/>
            <w:vAlign w:val="bottom"/>
          </w:tcPr>
          <w:p>
            <w:pPr>
              <w:ind w:left="220"/>
              <w:spacing w:after="0"/>
              <w:rPr>
                <w:sz w:val="20"/>
                <w:szCs w:val="20"/>
                <w:color w:val="auto"/>
              </w:rPr>
            </w:pPr>
            <w:r>
              <w:rPr>
                <w:rFonts w:ascii="Arial" w:cs="Arial" w:eastAsia="Arial" w:hAnsi="Arial"/>
                <w:sz w:val="16"/>
                <w:szCs w:val="16"/>
                <w:color w:val="auto"/>
              </w:rPr>
              <w:t>Royalties</w:t>
            </w:r>
          </w:p>
        </w:tc>
        <w:tc>
          <w:tcPr>
            <w:tcW w:w="2060" w:type="dxa"/>
            <w:vAlign w:val="bottom"/>
            <w:gridSpan w:val="2"/>
          </w:tcPr>
          <w:p>
            <w:pPr>
              <w:jc w:val="right"/>
              <w:ind w:right="12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0"/>
              <w:spacing w:after="0"/>
              <w:rPr>
                <w:sz w:val="20"/>
                <w:szCs w:val="20"/>
                <w:color w:val="auto"/>
              </w:rPr>
            </w:pPr>
            <w:r>
              <w:rPr>
                <w:rFonts w:ascii="Arial" w:cs="Arial" w:eastAsia="Arial" w:hAnsi="Arial"/>
                <w:sz w:val="16"/>
                <w:szCs w:val="16"/>
                <w:color w:val="auto"/>
              </w:rPr>
              <w:t>39,631</w:t>
            </w:r>
          </w:p>
        </w:tc>
        <w:tc>
          <w:tcPr>
            <w:tcW w:w="540" w:type="dxa"/>
            <w:vAlign w:val="bottom"/>
            <w:gridSpan w:val="2"/>
          </w:tcPr>
          <w:p>
            <w:pPr>
              <w:jc w:val="right"/>
              <w:ind w:right="187"/>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44,049</w:t>
            </w:r>
          </w:p>
        </w:tc>
        <w:tc>
          <w:tcPr>
            <w:tcW w:w="80" w:type="dxa"/>
            <w:vAlign w:val="bottom"/>
          </w:tcPr>
          <w:p>
            <w:pPr>
              <w:spacing w:after="0"/>
              <w:rPr>
                <w:sz w:val="17"/>
                <w:szCs w:val="17"/>
                <w:color w:val="auto"/>
              </w:rPr>
            </w:pPr>
          </w:p>
        </w:tc>
      </w:tr>
      <w:tr>
        <w:trPr>
          <w:trHeight w:val="193"/>
        </w:trPr>
        <w:tc>
          <w:tcPr>
            <w:tcW w:w="1720" w:type="dxa"/>
            <w:vAlign w:val="bottom"/>
          </w:tcPr>
          <w:p>
            <w:pPr>
              <w:spacing w:after="0"/>
              <w:rPr>
                <w:sz w:val="16"/>
                <w:szCs w:val="16"/>
                <w:color w:val="auto"/>
              </w:rPr>
            </w:pPr>
          </w:p>
        </w:tc>
        <w:tc>
          <w:tcPr>
            <w:tcW w:w="3640" w:type="dxa"/>
            <w:vAlign w:val="bottom"/>
            <w:tcBorders>
              <w:top w:val="single" w:sz="8" w:color="CFF0FC"/>
              <w:bottom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Total revenue</w:t>
            </w:r>
          </w:p>
        </w:tc>
        <w:tc>
          <w:tcPr>
            <w:tcW w:w="1820" w:type="dxa"/>
            <w:vAlign w:val="bottom"/>
            <w:tcBorders>
              <w:top w:val="single" w:sz="8" w:color="CFF0FC"/>
              <w:bottom w:val="single" w:sz="8" w:color="CFF0FC"/>
            </w:tcBorders>
            <w:shd w:val="clear" w:color="auto" w:fill="CFF0FC"/>
          </w:tcPr>
          <w:p>
            <w:pPr>
              <w:spacing w:after="0"/>
              <w:rPr>
                <w:sz w:val="16"/>
                <w:szCs w:val="16"/>
                <w:color w:val="auto"/>
              </w:rPr>
            </w:pPr>
          </w:p>
        </w:tc>
        <w:tc>
          <w:tcPr>
            <w:tcW w:w="240" w:type="dxa"/>
            <w:vAlign w:val="bottom"/>
            <w:tcBorders>
              <w:top w:val="single" w:sz="8" w:color="auto"/>
              <w:bottom w:val="single" w:sz="8" w:color="auto"/>
            </w:tcBorders>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right w:val="single" w:sz="8" w:color="CFF0FC"/>
            </w:tcBorders>
            <w:shd w:val="clear" w:color="auto" w:fill="CFF0FC"/>
          </w:tcPr>
          <w:p>
            <w:pPr>
              <w:jc w:val="right"/>
              <w:ind w:right="10"/>
              <w:spacing w:after="0"/>
              <w:rPr>
                <w:sz w:val="20"/>
                <w:szCs w:val="20"/>
                <w:color w:val="auto"/>
              </w:rPr>
            </w:pPr>
            <w:r>
              <w:rPr>
                <w:rFonts w:ascii="Arial" w:cs="Arial" w:eastAsia="Arial" w:hAnsi="Arial"/>
                <w:sz w:val="16"/>
                <w:szCs w:val="16"/>
                <w:color w:val="auto"/>
              </w:rPr>
              <w:t>39,631</w:t>
            </w:r>
          </w:p>
        </w:tc>
        <w:tc>
          <w:tcPr>
            <w:tcW w:w="200" w:type="dxa"/>
            <w:vAlign w:val="bottom"/>
            <w:tcBorders>
              <w:top w:val="single" w:sz="8" w:color="CFF0FC"/>
              <w:bottom w:val="single" w:sz="8" w:color="CFF0FC"/>
            </w:tcBorders>
            <w:shd w:val="clear" w:color="auto" w:fill="CFF0FC"/>
          </w:tcPr>
          <w:p>
            <w:pPr>
              <w:spacing w:after="0"/>
              <w:rPr>
                <w:sz w:val="16"/>
                <w:szCs w:val="16"/>
                <w:color w:val="auto"/>
              </w:rPr>
            </w:pPr>
          </w:p>
        </w:tc>
        <w:tc>
          <w:tcPr>
            <w:tcW w:w="340" w:type="dxa"/>
            <w:vAlign w:val="bottom"/>
            <w:tcBorders>
              <w:top w:val="single" w:sz="8" w:color="auto"/>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44,049</w:t>
            </w:r>
          </w:p>
        </w:tc>
        <w:tc>
          <w:tcPr>
            <w:tcW w:w="80" w:type="dxa"/>
            <w:vAlign w:val="bottom"/>
            <w:tcBorders>
              <w:top w:val="single" w:sz="8" w:color="CFF0FC"/>
              <w:bottom w:val="single" w:sz="8" w:color="CFF0FC"/>
            </w:tcBorders>
            <w:shd w:val="clear" w:color="auto" w:fill="CFF0FC"/>
          </w:tcPr>
          <w:p>
            <w:pPr>
              <w:spacing w:after="0"/>
              <w:rPr>
                <w:sz w:val="16"/>
                <w:szCs w:val="16"/>
                <w:color w:val="auto"/>
              </w:rPr>
            </w:pPr>
          </w:p>
        </w:tc>
      </w:tr>
      <w:tr>
        <w:trPr>
          <w:trHeight w:val="20"/>
        </w:trPr>
        <w:tc>
          <w:tcPr>
            <w:tcW w:w="17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71" w:lineRule="exact"/>
        <w:rPr>
          <w:sz w:val="20"/>
          <w:szCs w:val="20"/>
          <w:color w:val="auto"/>
        </w:rPr>
      </w:pPr>
    </w:p>
    <w:p>
      <w:pPr>
        <w:ind w:right="20"/>
        <w:spacing w:after="0" w:line="273" w:lineRule="auto"/>
        <w:rPr>
          <w:sz w:val="20"/>
          <w:szCs w:val="20"/>
          <w:color w:val="auto"/>
        </w:rPr>
      </w:pPr>
      <w:r>
        <w:rPr>
          <w:rFonts w:ascii="Arial" w:cs="Arial" w:eastAsia="Arial" w:hAnsi="Arial"/>
          <w:sz w:val="15"/>
          <w:szCs w:val="15"/>
          <w:color w:val="auto"/>
        </w:rPr>
        <w:t>Our revenue is generated through our collaboration with AbbVie. Our collaboration’s MAVYRET/MAVIRET regimen, a pan-genotypic treatment combining two DAAs, began commercialization in the third calendar quarter of 2017, following its approval in the EU and the U.S. We are entitled to annually tiered, double-digit, per-product royalties on 50% of all net sales of MAVYRET/MAVIRET. Our royalty revenues eligible to be earned in the future will potentially fluctuate depending on AbbVie’s HCV market share, the pricing of the MAVYRET/MAVIRET regimen and the number of patients treated with that regimen. Beginning with each January 1, the cumulative net sales of each royalty-bearing product start at zero for purposes of calculating the tiered royalties on a product-by-product basis.</w:t>
      </w:r>
    </w:p>
    <w:p>
      <w:pPr>
        <w:spacing w:after="0" w:line="60" w:lineRule="exact"/>
        <w:rPr>
          <w:sz w:val="20"/>
          <w:szCs w:val="20"/>
          <w:color w:val="auto"/>
        </w:rPr>
      </w:pPr>
    </w:p>
    <w:p>
      <w:pPr>
        <w:jc w:val="both"/>
        <w:spacing w:after="0" w:line="301" w:lineRule="auto"/>
        <w:rPr>
          <w:sz w:val="20"/>
          <w:szCs w:val="20"/>
          <w:color w:val="auto"/>
        </w:rPr>
      </w:pPr>
      <w:r>
        <w:rPr>
          <w:rFonts w:ascii="Arial" w:cs="Arial" w:eastAsia="Arial" w:hAnsi="Arial"/>
          <w:sz w:val="14"/>
          <w:szCs w:val="14"/>
          <w:color w:val="auto"/>
        </w:rPr>
        <w:t>We recognized revenue of $39.6 million during the three months ended March 31, 2019 as compared to $44.0 million during the three months ended March 31, 2018. HCV net sales decreased in the three months ended March 31, 2019 as compared to the same period in 2018 due to lower international HCV net sales. Overall, the lower net sales reported thus far in the 2019 period are consistent with AbbVie’s full calendar year HCV sales guidance of $3.3 billion as compared to the reported full calendar year 2018 HCV sales of $3.6 billion. The royalty rate is lowest during the three months ended March 31</w:t>
      </w:r>
      <w:r>
        <w:rPr>
          <w:rFonts w:ascii="Arial" w:cs="Arial" w:eastAsia="Arial" w:hAnsi="Arial"/>
          <w:sz w:val="11"/>
          <w:szCs w:val="11"/>
          <w:color w:val="auto"/>
        </w:rPr>
        <w:t>st</w:t>
      </w:r>
      <w:r>
        <w:rPr>
          <w:rFonts w:ascii="Arial" w:cs="Arial" w:eastAsia="Arial" w:hAnsi="Arial"/>
          <w:sz w:val="14"/>
          <w:szCs w:val="14"/>
          <w:color w:val="auto"/>
        </w:rPr>
        <w:t xml:space="preserve"> because the calculation of royalties earned starts at the lowest royalty tier at the beginning of each calendar year.</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58420</wp:posOffset>
            </wp:positionV>
            <wp:extent cx="7303770" cy="4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191"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4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00" w:type="dxa"/>
            <w:vAlign w:val="bottom"/>
            <w:gridSpan w:val="5"/>
          </w:tcPr>
          <w:p>
            <w:pPr>
              <w:jc w:val="center"/>
              <w:ind w:right="340"/>
              <w:spacing w:after="0"/>
              <w:rPr>
                <w:sz w:val="20"/>
                <w:szCs w:val="20"/>
                <w:color w:val="auto"/>
              </w:rPr>
            </w:pPr>
            <w:r>
              <w:rPr>
                <w:rFonts w:ascii="Arial" w:cs="Arial" w:eastAsia="Arial" w:hAnsi="Arial"/>
                <w:sz w:val="13"/>
                <w:szCs w:val="13"/>
                <w:b w:val="1"/>
                <w:bCs w:val="1"/>
                <w:color w:val="auto"/>
                <w:w w:val="90"/>
              </w:rPr>
              <w:t>Three Months Ended</w:t>
            </w:r>
          </w:p>
        </w:tc>
      </w:tr>
      <w:tr>
        <w:trPr>
          <w:trHeight w:val="150"/>
        </w:trPr>
        <w:tc>
          <w:tcPr>
            <w:tcW w:w="4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jc w:val="center"/>
              <w:ind w:left="429"/>
              <w:spacing w:after="0"/>
              <w:rPr>
                <w:sz w:val="20"/>
                <w:szCs w:val="20"/>
                <w:color w:val="auto"/>
              </w:rPr>
            </w:pPr>
            <w:r>
              <w:rPr>
                <w:rFonts w:ascii="Arial" w:cs="Arial" w:eastAsia="Arial" w:hAnsi="Arial"/>
                <w:sz w:val="13"/>
                <w:szCs w:val="13"/>
                <w:b w:val="1"/>
                <w:bCs w:val="1"/>
                <w:color w:val="auto"/>
                <w:w w:val="93"/>
              </w:rPr>
              <w:t>March 31,</w:t>
            </w:r>
          </w:p>
        </w:tc>
        <w:tc>
          <w:tcPr>
            <w:tcW w:w="7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34"/>
        </w:trPr>
        <w:tc>
          <w:tcPr>
            <w:tcW w:w="41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369"/>
              <w:spacing w:after="0" w:line="134" w:lineRule="exact"/>
              <w:rPr>
                <w:sz w:val="20"/>
                <w:szCs w:val="20"/>
                <w:color w:val="auto"/>
              </w:rPr>
            </w:pPr>
            <w:r>
              <w:rPr>
                <w:rFonts w:ascii="Arial" w:cs="Arial" w:eastAsia="Arial" w:hAnsi="Arial"/>
                <w:sz w:val="13"/>
                <w:szCs w:val="13"/>
                <w:b w:val="1"/>
                <w:bCs w:val="1"/>
                <w:color w:val="auto"/>
              </w:rPr>
              <w:t>2019</w:t>
            </w:r>
          </w:p>
        </w:tc>
        <w:tc>
          <w:tcPr>
            <w:tcW w:w="2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344"/>
              <w:spacing w:after="0" w:line="134" w:lineRule="exact"/>
              <w:rPr>
                <w:sz w:val="20"/>
                <w:szCs w:val="20"/>
                <w:color w:val="auto"/>
              </w:rPr>
            </w:pPr>
            <w:r>
              <w:rPr>
                <w:rFonts w:ascii="Arial" w:cs="Arial" w:eastAsia="Arial" w:hAnsi="Arial"/>
                <w:sz w:val="13"/>
                <w:szCs w:val="13"/>
                <w:b w:val="1"/>
                <w:bCs w:val="1"/>
                <w:color w:val="auto"/>
              </w:rPr>
              <w:t>2018</w:t>
            </w:r>
          </w:p>
        </w:tc>
        <w:tc>
          <w:tcPr>
            <w:tcW w:w="80" w:type="dxa"/>
            <w:vAlign w:val="bottom"/>
          </w:tcPr>
          <w:p>
            <w:pPr>
              <w:spacing w:after="0"/>
              <w:rPr>
                <w:sz w:val="11"/>
                <w:szCs w:val="11"/>
                <w:color w:val="auto"/>
              </w:rPr>
            </w:pPr>
          </w:p>
        </w:tc>
      </w:tr>
      <w:tr>
        <w:trPr>
          <w:trHeight w:val="134"/>
        </w:trPr>
        <w:tc>
          <w:tcPr>
            <w:tcW w:w="41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gridSpan w:val="3"/>
          </w:tcPr>
          <w:p>
            <w:pPr>
              <w:jc w:val="center"/>
              <w:ind w:left="429"/>
              <w:spacing w:after="0" w:line="134" w:lineRule="exact"/>
              <w:rPr>
                <w:sz w:val="20"/>
                <w:szCs w:val="20"/>
                <w:color w:val="auto"/>
              </w:rPr>
            </w:pPr>
            <w:r>
              <w:rPr>
                <w:rFonts w:ascii="Arial" w:cs="Arial" w:eastAsia="Arial" w:hAnsi="Arial"/>
                <w:sz w:val="13"/>
                <w:szCs w:val="13"/>
                <w:b w:val="1"/>
                <w:bCs w:val="1"/>
                <w:color w:val="auto"/>
                <w:w w:val="84"/>
              </w:rPr>
              <w:t>(in thousands)</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201"/>
        </w:trPr>
        <w:tc>
          <w:tcPr>
            <w:tcW w:w="4140" w:type="dxa"/>
            <w:vAlign w:val="bottom"/>
            <w:shd w:val="clear" w:color="auto" w:fill="CFF0FC"/>
          </w:tcPr>
          <w:p>
            <w:pPr>
              <w:spacing w:after="0"/>
              <w:rPr>
                <w:sz w:val="20"/>
                <w:szCs w:val="20"/>
                <w:color w:val="auto"/>
              </w:rPr>
            </w:pPr>
            <w:r>
              <w:rPr>
                <w:rFonts w:ascii="Arial" w:cs="Arial" w:eastAsia="Arial" w:hAnsi="Arial"/>
                <w:sz w:val="16"/>
                <w:szCs w:val="16"/>
                <w:color w:val="auto"/>
              </w:rPr>
              <w:t>R&amp;D programs:</w:t>
            </w:r>
          </w:p>
        </w:tc>
        <w:tc>
          <w:tcPr>
            <w:tcW w:w="1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1"/>
        </w:trPr>
        <w:tc>
          <w:tcPr>
            <w:tcW w:w="4140" w:type="dxa"/>
            <w:vAlign w:val="bottom"/>
          </w:tcPr>
          <w:p>
            <w:pPr>
              <w:ind w:left="220"/>
              <w:spacing w:after="0"/>
              <w:rPr>
                <w:sz w:val="20"/>
                <w:szCs w:val="20"/>
                <w:color w:val="auto"/>
              </w:rPr>
            </w:pPr>
            <w:r>
              <w:rPr>
                <w:rFonts w:ascii="Arial" w:cs="Arial" w:eastAsia="Arial" w:hAnsi="Arial"/>
                <w:sz w:val="16"/>
                <w:szCs w:val="16"/>
                <w:color w:val="auto"/>
              </w:rPr>
              <w:t>Liver disease</w:t>
            </w:r>
          </w:p>
        </w:tc>
        <w:tc>
          <w:tcPr>
            <w:tcW w:w="1560" w:type="dxa"/>
            <w:vAlign w:val="bottom"/>
            <w:gridSpan w:val="2"/>
          </w:tcPr>
          <w:p>
            <w:pPr>
              <w:jc w:val="right"/>
              <w:ind w:right="12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17,063</w:t>
            </w:r>
          </w:p>
        </w:tc>
        <w:tc>
          <w:tcPr>
            <w:tcW w:w="600" w:type="dxa"/>
            <w:vAlign w:val="bottom"/>
            <w:gridSpan w:val="2"/>
          </w:tcPr>
          <w:p>
            <w:pPr>
              <w:jc w:val="right"/>
              <w:ind w:right="187"/>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12,259</w:t>
            </w:r>
          </w:p>
        </w:tc>
        <w:tc>
          <w:tcPr>
            <w:tcW w:w="80" w:type="dxa"/>
            <w:vAlign w:val="bottom"/>
          </w:tcPr>
          <w:p>
            <w:pPr>
              <w:spacing w:after="0"/>
              <w:rPr>
                <w:sz w:val="17"/>
                <w:szCs w:val="17"/>
                <w:color w:val="auto"/>
              </w:rPr>
            </w:pPr>
          </w:p>
        </w:tc>
      </w:tr>
      <w:tr>
        <w:trPr>
          <w:trHeight w:val="201"/>
        </w:trPr>
        <w:tc>
          <w:tcPr>
            <w:tcW w:w="41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Virology</w:t>
            </w:r>
          </w:p>
        </w:tc>
        <w:tc>
          <w:tcPr>
            <w:tcW w:w="1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17,062</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9,186</w:t>
            </w:r>
          </w:p>
        </w:tc>
        <w:tc>
          <w:tcPr>
            <w:tcW w:w="80" w:type="dxa"/>
            <w:vAlign w:val="bottom"/>
            <w:shd w:val="clear" w:color="auto" w:fill="CFF0FC"/>
          </w:tcPr>
          <w:p>
            <w:pPr>
              <w:spacing w:after="0"/>
              <w:rPr>
                <w:sz w:val="17"/>
                <w:szCs w:val="17"/>
                <w:color w:val="auto"/>
              </w:rPr>
            </w:pPr>
          </w:p>
        </w:tc>
      </w:tr>
      <w:tr>
        <w:trPr>
          <w:trHeight w:val="201"/>
        </w:trPr>
        <w:tc>
          <w:tcPr>
            <w:tcW w:w="4140" w:type="dxa"/>
            <w:vAlign w:val="bottom"/>
            <w:tcBorders>
              <w:bottom w:val="single" w:sz="8" w:color="CFF0FC"/>
            </w:tcBorders>
          </w:tcPr>
          <w:p>
            <w:pPr>
              <w:ind w:left="220"/>
              <w:spacing w:after="0"/>
              <w:rPr>
                <w:sz w:val="20"/>
                <w:szCs w:val="20"/>
                <w:color w:val="auto"/>
              </w:rPr>
            </w:pPr>
            <w:r>
              <w:rPr>
                <w:rFonts w:ascii="Arial" w:cs="Arial" w:eastAsia="Arial" w:hAnsi="Arial"/>
                <w:sz w:val="16"/>
                <w:szCs w:val="16"/>
                <w:color w:val="auto"/>
              </w:rPr>
              <w:t>Other</w:t>
            </w:r>
          </w:p>
        </w:tc>
        <w:tc>
          <w:tcPr>
            <w:tcW w:w="132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26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80" w:type="dxa"/>
            <w:vAlign w:val="bottom"/>
            <w:tcBorders>
              <w:bottom w:val="single" w:sz="8" w:color="CFF0FC"/>
            </w:tcBorders>
          </w:tcPr>
          <w:p>
            <w:pPr>
              <w:spacing w:after="0"/>
              <w:rPr>
                <w:sz w:val="17"/>
                <w:szCs w:val="17"/>
                <w:color w:val="auto"/>
              </w:rPr>
            </w:pPr>
          </w:p>
        </w:tc>
      </w:tr>
      <w:tr>
        <w:trPr>
          <w:trHeight w:val="193"/>
        </w:trPr>
        <w:tc>
          <w:tcPr>
            <w:tcW w:w="414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Total research and development expenses</w:t>
            </w:r>
          </w:p>
        </w:tc>
        <w:tc>
          <w:tcPr>
            <w:tcW w:w="132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34,155</w:t>
            </w:r>
          </w:p>
        </w:tc>
        <w:tc>
          <w:tcPr>
            <w:tcW w:w="26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21,484</w:t>
            </w:r>
          </w:p>
        </w:tc>
        <w:tc>
          <w:tcPr>
            <w:tcW w:w="80" w:type="dxa"/>
            <w:vAlign w:val="bottom"/>
            <w:tcBorders>
              <w:bottom w:val="single" w:sz="8" w:color="CFF0FC"/>
            </w:tcBorders>
            <w:shd w:val="clear" w:color="auto" w:fill="CFF0FC"/>
          </w:tcPr>
          <w:p>
            <w:pPr>
              <w:spacing w:after="0"/>
              <w:rPr>
                <w:sz w:val="16"/>
                <w:szCs w:val="16"/>
                <w:color w:val="auto"/>
              </w:rPr>
            </w:pPr>
          </w:p>
        </w:tc>
      </w:tr>
      <w:tr>
        <w:trPr>
          <w:trHeight w:val="20"/>
        </w:trPr>
        <w:tc>
          <w:tcPr>
            <w:tcW w:w="4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2" w:lineRule="exact"/>
        <w:rPr>
          <w:sz w:val="20"/>
          <w:szCs w:val="20"/>
          <w:color w:val="auto"/>
        </w:rPr>
      </w:pPr>
    </w:p>
    <w:p>
      <w:pPr>
        <w:ind w:right="120"/>
        <w:spacing w:after="0" w:line="252" w:lineRule="auto"/>
        <w:rPr>
          <w:sz w:val="20"/>
          <w:szCs w:val="20"/>
          <w:color w:val="auto"/>
        </w:rPr>
      </w:pPr>
      <w:r>
        <w:rPr>
          <w:rFonts w:ascii="Arial" w:cs="Arial" w:eastAsia="Arial" w:hAnsi="Arial"/>
          <w:sz w:val="16"/>
          <w:szCs w:val="16"/>
          <w:color w:val="auto"/>
        </w:rPr>
        <w:t>Research and development expense increased by $12.7 million for the three months ended March 31, 2019 as compared to the same period in 2018. The increase was primarily due to progression of preclinical and clinical activities in our liver disease and virology programs. We currently have three ongoing Phase 2 studies which were initiated during 2018. In addition, we advanced other compounds in preclinical development in our liver disease program and identified a clinical candidate in HBV in late 2018. Increases in our research and development expenses, which were driven by an increase in headcount and external costs for clinical and preclinical activities to support these programs, are expected to continue to increase as our wholly-owned programs advance.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 and administrative expenses</w:t>
      </w:r>
    </w:p>
    <w:p>
      <w:pPr>
        <w:spacing w:after="0" w:line="195" w:lineRule="exact"/>
        <w:rPr>
          <w:sz w:val="20"/>
          <w:szCs w:val="20"/>
          <w:color w:val="auto"/>
        </w:rPr>
      </w:pPr>
    </w:p>
    <w:p>
      <w:pPr>
        <w:ind w:right="140"/>
        <w:spacing w:after="0" w:line="268" w:lineRule="auto"/>
        <w:rPr>
          <w:sz w:val="20"/>
          <w:szCs w:val="20"/>
          <w:color w:val="auto"/>
        </w:rPr>
      </w:pPr>
      <w:r>
        <w:rPr>
          <w:rFonts w:ascii="Arial" w:cs="Arial" w:eastAsia="Arial" w:hAnsi="Arial"/>
          <w:sz w:val="16"/>
          <w:szCs w:val="16"/>
          <w:color w:val="auto"/>
        </w:rPr>
        <w:t>General and administrative expenses increased by $1.1 million for the three months ended March 31, 2019 as compared to the same period in 2018. The increase was primarily due to an increase in compensation expense due to increased headcount.</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income, net</w:t>
      </w:r>
    </w:p>
    <w:p>
      <w:pPr>
        <w:spacing w:after="0" w:line="195" w:lineRule="exact"/>
        <w:rPr>
          <w:sz w:val="20"/>
          <w:szCs w:val="20"/>
          <w:color w:val="auto"/>
        </w:rPr>
      </w:pPr>
    </w:p>
    <w:p>
      <w:pPr>
        <w:ind w:right="140"/>
        <w:spacing w:after="0" w:line="268" w:lineRule="auto"/>
        <w:rPr>
          <w:sz w:val="20"/>
          <w:szCs w:val="20"/>
          <w:color w:val="auto"/>
        </w:rPr>
      </w:pPr>
      <w:r>
        <w:rPr>
          <w:rFonts w:ascii="Arial" w:cs="Arial" w:eastAsia="Arial" w:hAnsi="Arial"/>
          <w:sz w:val="16"/>
          <w:szCs w:val="16"/>
          <w:color w:val="auto"/>
        </w:rPr>
        <w:t>Other income, net, increased $1.2 million for the three months ended March 31, 2019 as compared to the same period in 2018 due to an increase in interest income due primarily to changes in interest rates for the period ended March 31, 2019 as compared to the same period in 2018.</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 (expense) benefit</w:t>
      </w:r>
    </w:p>
    <w:p>
      <w:pPr>
        <w:spacing w:after="0" w:line="195" w:lineRule="exact"/>
        <w:rPr>
          <w:sz w:val="20"/>
          <w:szCs w:val="20"/>
          <w:color w:val="auto"/>
        </w:rPr>
      </w:pPr>
    </w:p>
    <w:p>
      <w:pPr>
        <w:jc w:val="both"/>
        <w:ind w:right="360"/>
        <w:spacing w:after="0" w:line="257" w:lineRule="auto"/>
        <w:rPr>
          <w:sz w:val="20"/>
          <w:szCs w:val="20"/>
          <w:color w:val="auto"/>
        </w:rPr>
      </w:pPr>
      <w:r>
        <w:rPr>
          <w:rFonts w:ascii="Arial" w:cs="Arial" w:eastAsia="Arial" w:hAnsi="Arial"/>
          <w:sz w:val="16"/>
          <w:szCs w:val="16"/>
          <w:color w:val="auto"/>
        </w:rPr>
        <w:t>For the three months ended March 31, 2019 and 2018, we recorded an income tax benefit of $3.2 million and income tax (expense) ($5.4) million, respectively. The income tax benefit for the three months ended March 31, 2019 was driven by tax deductions for employee stock award-related activity during the quarter. Income tax expense for 2018 was driven by our pre-tax income for the quarter.</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Comparison of the Six Months Ended March 31, 2019 and 2018</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gridSpan w:val="4"/>
          </w:tcPr>
          <w:p>
            <w:pPr>
              <w:jc w:val="center"/>
              <w:ind w:left="449"/>
              <w:spacing w:after="0"/>
              <w:rPr>
                <w:sz w:val="20"/>
                <w:szCs w:val="20"/>
                <w:color w:val="auto"/>
              </w:rPr>
            </w:pPr>
            <w:r>
              <w:rPr>
                <w:rFonts w:ascii="Arial" w:cs="Arial" w:eastAsia="Arial" w:hAnsi="Arial"/>
                <w:sz w:val="13"/>
                <w:szCs w:val="13"/>
                <w:b w:val="1"/>
                <w:bCs w:val="1"/>
                <w:color w:val="auto"/>
                <w:w w:val="88"/>
              </w:rPr>
              <w:t>Six Months Ended</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4"/>
          </w:tcPr>
          <w:p>
            <w:pPr>
              <w:jc w:val="center"/>
              <w:ind w:left="449"/>
              <w:spacing w:after="0"/>
              <w:rPr>
                <w:sz w:val="20"/>
                <w:szCs w:val="20"/>
                <w:color w:val="auto"/>
              </w:rPr>
            </w:pPr>
            <w:r>
              <w:rPr>
                <w:rFonts w:ascii="Arial" w:cs="Arial" w:eastAsia="Arial" w:hAnsi="Arial"/>
                <w:sz w:val="13"/>
                <w:szCs w:val="13"/>
                <w:b w:val="1"/>
                <w:bCs w:val="1"/>
                <w:color w:val="auto"/>
                <w:w w:val="93"/>
              </w:rPr>
              <w:t>March 31,</w:t>
            </w:r>
          </w:p>
        </w:tc>
        <w:tc>
          <w:tcPr>
            <w:tcW w:w="8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114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429"/>
              <w:spacing w:after="0" w:line="134" w:lineRule="exact"/>
              <w:rPr>
                <w:sz w:val="20"/>
                <w:szCs w:val="20"/>
                <w:color w:val="auto"/>
              </w:rPr>
            </w:pPr>
            <w:r>
              <w:rPr>
                <w:rFonts w:ascii="Arial" w:cs="Arial" w:eastAsia="Arial" w:hAnsi="Arial"/>
                <w:sz w:val="13"/>
                <w:szCs w:val="13"/>
                <w:b w:val="1"/>
                <w:bCs w:val="1"/>
                <w:color w:val="auto"/>
              </w:rPr>
              <w:t>2019</w:t>
            </w:r>
          </w:p>
        </w:tc>
        <w:tc>
          <w:tcPr>
            <w:tcW w:w="1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444"/>
              <w:spacing w:after="0" w:line="134" w:lineRule="exact"/>
              <w:rPr>
                <w:sz w:val="20"/>
                <w:szCs w:val="20"/>
                <w:color w:val="auto"/>
              </w:rPr>
            </w:pPr>
            <w:r>
              <w:rPr>
                <w:rFonts w:ascii="Arial" w:cs="Arial" w:eastAsia="Arial" w:hAnsi="Arial"/>
                <w:sz w:val="13"/>
                <w:szCs w:val="13"/>
                <w:b w:val="1"/>
                <w:bCs w:val="1"/>
                <w:color w:val="auto"/>
              </w:rPr>
              <w:t>2018</w:t>
            </w: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14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80" w:type="dxa"/>
            <w:vAlign w:val="bottom"/>
            <w:gridSpan w:val="4"/>
          </w:tcPr>
          <w:p>
            <w:pPr>
              <w:jc w:val="center"/>
              <w:ind w:left="449"/>
              <w:spacing w:after="0" w:line="133" w:lineRule="exact"/>
              <w:rPr>
                <w:sz w:val="20"/>
                <w:szCs w:val="20"/>
                <w:color w:val="auto"/>
              </w:rPr>
            </w:pPr>
            <w:r>
              <w:rPr>
                <w:rFonts w:ascii="Arial" w:cs="Arial" w:eastAsia="Arial" w:hAnsi="Arial"/>
                <w:sz w:val="13"/>
                <w:szCs w:val="13"/>
                <w:b w:val="1"/>
                <w:bCs w:val="1"/>
                <w:color w:val="auto"/>
                <w:w w:val="84"/>
              </w:rPr>
              <w:t>(in thousands)</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4240" w:type="dxa"/>
            <w:vAlign w:val="bottom"/>
            <w:gridSpan w:val="2"/>
          </w:tcPr>
          <w:p>
            <w:pPr>
              <w:ind w:left="1140"/>
              <w:spacing w:after="0"/>
              <w:rPr>
                <w:sz w:val="20"/>
                <w:szCs w:val="20"/>
                <w:color w:val="auto"/>
              </w:rPr>
            </w:pPr>
            <w:r>
              <w:rPr>
                <w:rFonts w:ascii="Arial" w:cs="Arial" w:eastAsia="Arial" w:hAnsi="Arial"/>
                <w:sz w:val="16"/>
                <w:szCs w:val="16"/>
                <w:color w:val="auto"/>
              </w:rPr>
              <w:t>Revenue</w:t>
            </w:r>
          </w:p>
        </w:tc>
        <w:tc>
          <w:tcPr>
            <w:tcW w:w="3440" w:type="dxa"/>
            <w:vAlign w:val="bottom"/>
            <w:gridSpan w:val="2"/>
          </w:tcPr>
          <w:p>
            <w:pPr>
              <w:jc w:val="right"/>
              <w:ind w:right="147"/>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109,517</w:t>
            </w:r>
          </w:p>
        </w:tc>
        <w:tc>
          <w:tcPr>
            <w:tcW w:w="180" w:type="dxa"/>
            <w:vAlign w:val="bottom"/>
          </w:tcPr>
          <w:p>
            <w:pPr>
              <w:spacing w:after="0"/>
              <w:rPr>
                <w:sz w:val="17"/>
                <w:szCs w:val="17"/>
                <w:color w:val="auto"/>
              </w:rPr>
            </w:pPr>
          </w:p>
        </w:tc>
        <w:tc>
          <w:tcPr>
            <w:tcW w:w="560" w:type="dxa"/>
            <w:vAlign w:val="bottom"/>
            <w:gridSpan w:val="2"/>
          </w:tcPr>
          <w:p>
            <w:pPr>
              <w:jc w:val="right"/>
              <w:ind w:right="267"/>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82,158</w:t>
            </w: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3100" w:type="dxa"/>
            <w:vAlign w:val="bottom"/>
            <w:shd w:val="clear" w:color="auto" w:fill="CFF0FC"/>
          </w:tcPr>
          <w:p>
            <w:pPr>
              <w:spacing w:after="0"/>
              <w:rPr>
                <w:sz w:val="20"/>
                <w:szCs w:val="20"/>
                <w:color w:val="auto"/>
              </w:rPr>
            </w:pPr>
            <w:r>
              <w:rPr>
                <w:rFonts w:ascii="Arial" w:cs="Arial" w:eastAsia="Arial" w:hAnsi="Arial"/>
                <w:sz w:val="16"/>
                <w:szCs w:val="16"/>
                <w:color w:val="auto"/>
              </w:rPr>
              <w:t>Research and development</w:t>
            </w:r>
          </w:p>
        </w:tc>
        <w:tc>
          <w:tcPr>
            <w:tcW w:w="3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69,033</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39,446</w:t>
            </w:r>
          </w:p>
        </w:tc>
        <w:tc>
          <w:tcPr>
            <w:tcW w:w="80" w:type="dxa"/>
            <w:vAlign w:val="bottom"/>
            <w:shd w:val="clear" w:color="auto" w:fill="CFF0FC"/>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3100" w:type="dxa"/>
            <w:vAlign w:val="bottom"/>
          </w:tcPr>
          <w:p>
            <w:pPr>
              <w:spacing w:after="0"/>
              <w:rPr>
                <w:sz w:val="20"/>
                <w:szCs w:val="20"/>
                <w:color w:val="auto"/>
              </w:rPr>
            </w:pPr>
            <w:r>
              <w:rPr>
                <w:rFonts w:ascii="Arial" w:cs="Arial" w:eastAsia="Arial" w:hAnsi="Arial"/>
                <w:sz w:val="16"/>
                <w:szCs w:val="16"/>
                <w:color w:val="auto"/>
              </w:rPr>
              <w:t>General and administrative</w:t>
            </w:r>
          </w:p>
        </w:tc>
        <w:tc>
          <w:tcPr>
            <w:tcW w:w="3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13,932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11,476</w:t>
            </w: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3100" w:type="dxa"/>
            <w:vAlign w:val="bottom"/>
            <w:shd w:val="clear" w:color="auto" w:fill="CFF0FC"/>
          </w:tcPr>
          <w:p>
            <w:pPr>
              <w:spacing w:after="0"/>
              <w:rPr>
                <w:sz w:val="20"/>
                <w:szCs w:val="20"/>
                <w:color w:val="auto"/>
              </w:rPr>
            </w:pPr>
            <w:r>
              <w:rPr>
                <w:rFonts w:ascii="Arial" w:cs="Arial" w:eastAsia="Arial" w:hAnsi="Arial"/>
                <w:sz w:val="16"/>
                <w:szCs w:val="16"/>
                <w:color w:val="auto"/>
              </w:rPr>
              <w:t>Other income, net</w:t>
            </w:r>
          </w:p>
        </w:tc>
        <w:tc>
          <w:tcPr>
            <w:tcW w:w="3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4,130</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2,026</w:t>
            </w:r>
          </w:p>
        </w:tc>
        <w:tc>
          <w:tcPr>
            <w:tcW w:w="80" w:type="dxa"/>
            <w:vAlign w:val="bottom"/>
            <w:shd w:val="clear" w:color="auto" w:fill="CFF0FC"/>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3100" w:type="dxa"/>
            <w:vAlign w:val="bottom"/>
          </w:tcPr>
          <w:p>
            <w:pPr>
              <w:spacing w:after="0"/>
              <w:rPr>
                <w:sz w:val="20"/>
                <w:szCs w:val="20"/>
                <w:color w:val="auto"/>
              </w:rPr>
            </w:pPr>
            <w:r>
              <w:rPr>
                <w:rFonts w:ascii="Arial" w:cs="Arial" w:eastAsia="Arial" w:hAnsi="Arial"/>
                <w:sz w:val="16"/>
                <w:szCs w:val="16"/>
                <w:color w:val="auto"/>
              </w:rPr>
              <w:t>Income tax (expense)</w:t>
            </w:r>
          </w:p>
        </w:tc>
        <w:tc>
          <w:tcPr>
            <w:tcW w:w="3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(526)</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(9,014)</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7"/>
        </w:trPr>
        <w:tc>
          <w:tcPr>
            <w:tcW w:w="424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Revenue</w:t>
            </w:r>
          </w:p>
        </w:tc>
        <w:tc>
          <w:tcPr>
            <w:tcW w:w="3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80" w:type="dxa"/>
            <w:vAlign w:val="bottom"/>
            <w:gridSpan w:val="4"/>
          </w:tcPr>
          <w:p>
            <w:pPr>
              <w:jc w:val="center"/>
              <w:ind w:left="449"/>
              <w:spacing w:after="0"/>
              <w:rPr>
                <w:sz w:val="20"/>
                <w:szCs w:val="20"/>
                <w:color w:val="auto"/>
              </w:rPr>
            </w:pPr>
            <w:r>
              <w:rPr>
                <w:rFonts w:ascii="Arial" w:cs="Arial" w:eastAsia="Arial" w:hAnsi="Arial"/>
                <w:sz w:val="13"/>
                <w:szCs w:val="13"/>
                <w:b w:val="1"/>
                <w:bCs w:val="1"/>
                <w:color w:val="auto"/>
                <w:w w:val="88"/>
              </w:rPr>
              <w:t>Six Months Ended</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4"/>
          </w:tcPr>
          <w:p>
            <w:pPr>
              <w:jc w:val="center"/>
              <w:ind w:left="449"/>
              <w:spacing w:after="0"/>
              <w:rPr>
                <w:sz w:val="20"/>
                <w:szCs w:val="20"/>
                <w:color w:val="auto"/>
              </w:rPr>
            </w:pPr>
            <w:r>
              <w:rPr>
                <w:rFonts w:ascii="Arial" w:cs="Arial" w:eastAsia="Arial" w:hAnsi="Arial"/>
                <w:sz w:val="13"/>
                <w:szCs w:val="13"/>
                <w:b w:val="1"/>
                <w:bCs w:val="1"/>
                <w:color w:val="auto"/>
                <w:w w:val="93"/>
              </w:rPr>
              <w:t>March 31,</w:t>
            </w:r>
          </w:p>
        </w:tc>
        <w:tc>
          <w:tcPr>
            <w:tcW w:w="8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114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429"/>
              <w:spacing w:after="0" w:line="134" w:lineRule="exact"/>
              <w:rPr>
                <w:sz w:val="20"/>
                <w:szCs w:val="20"/>
                <w:color w:val="auto"/>
              </w:rPr>
            </w:pPr>
            <w:r>
              <w:rPr>
                <w:rFonts w:ascii="Arial" w:cs="Arial" w:eastAsia="Arial" w:hAnsi="Arial"/>
                <w:sz w:val="13"/>
                <w:szCs w:val="13"/>
                <w:b w:val="1"/>
                <w:bCs w:val="1"/>
                <w:color w:val="auto"/>
              </w:rPr>
              <w:t>2019</w:t>
            </w:r>
          </w:p>
        </w:tc>
        <w:tc>
          <w:tcPr>
            <w:tcW w:w="1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444"/>
              <w:spacing w:after="0" w:line="134" w:lineRule="exact"/>
              <w:rPr>
                <w:sz w:val="20"/>
                <w:szCs w:val="20"/>
                <w:color w:val="auto"/>
              </w:rPr>
            </w:pPr>
            <w:r>
              <w:rPr>
                <w:rFonts w:ascii="Arial" w:cs="Arial" w:eastAsia="Arial" w:hAnsi="Arial"/>
                <w:sz w:val="13"/>
                <w:szCs w:val="13"/>
                <w:b w:val="1"/>
                <w:bCs w:val="1"/>
                <w:color w:val="auto"/>
              </w:rPr>
              <w:t>2018</w:t>
            </w: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4240" w:type="dxa"/>
            <w:vAlign w:val="bottom"/>
            <w:gridSpan w:val="2"/>
            <w:vMerge w:val="restart"/>
          </w:tcPr>
          <w:p>
            <w:pPr>
              <w:ind w:left="1140"/>
              <w:spacing w:after="0"/>
              <w:rPr>
                <w:sz w:val="20"/>
                <w:szCs w:val="20"/>
                <w:color w:val="auto"/>
              </w:rPr>
            </w:pPr>
            <w:r>
              <w:rPr>
                <w:rFonts w:ascii="Arial" w:cs="Arial" w:eastAsia="Arial" w:hAnsi="Arial"/>
                <w:sz w:val="16"/>
                <w:szCs w:val="16"/>
                <w:color w:val="auto"/>
              </w:rPr>
              <w:t>AbbVie agreement:</w:t>
            </w:r>
          </w:p>
        </w:tc>
        <w:tc>
          <w:tcPr>
            <w:tcW w:w="3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gridSpan w:val="4"/>
          </w:tcPr>
          <w:p>
            <w:pPr>
              <w:jc w:val="center"/>
              <w:ind w:left="449"/>
              <w:spacing w:after="0"/>
              <w:rPr>
                <w:sz w:val="20"/>
                <w:szCs w:val="20"/>
                <w:color w:val="auto"/>
              </w:rPr>
            </w:pPr>
            <w:r>
              <w:rPr>
                <w:rFonts w:ascii="Arial" w:cs="Arial" w:eastAsia="Arial" w:hAnsi="Arial"/>
                <w:sz w:val="13"/>
                <w:szCs w:val="13"/>
                <w:b w:val="1"/>
                <w:bCs w:val="1"/>
                <w:color w:val="auto"/>
                <w:w w:val="84"/>
              </w:rPr>
              <w:t>(in thousands)</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240" w:type="dxa"/>
            <w:vAlign w:val="bottom"/>
            <w:gridSpan w:val="2"/>
            <w:vMerge w:val="continue"/>
          </w:tcPr>
          <w:p>
            <w:pPr>
              <w:spacing w:after="0"/>
              <w:rPr>
                <w:sz w:val="16"/>
                <w:szCs w:val="16"/>
                <w:color w:val="auto"/>
              </w:rPr>
            </w:pPr>
          </w:p>
        </w:tc>
        <w:tc>
          <w:tcPr>
            <w:tcW w:w="3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3100" w:type="dxa"/>
            <w:vAlign w:val="bottom"/>
            <w:shd w:val="clear" w:color="auto" w:fill="CFF0FC"/>
          </w:tcPr>
          <w:p>
            <w:pPr>
              <w:ind w:left="220"/>
              <w:spacing w:after="0"/>
              <w:rPr>
                <w:sz w:val="20"/>
                <w:szCs w:val="20"/>
                <w:color w:val="auto"/>
              </w:rPr>
            </w:pPr>
            <w:r>
              <w:rPr>
                <w:rFonts w:ascii="Arial" w:cs="Arial" w:eastAsia="Arial" w:hAnsi="Arial"/>
                <w:sz w:val="16"/>
                <w:szCs w:val="16"/>
                <w:color w:val="auto"/>
              </w:rPr>
              <w:t>Royalties</w:t>
            </w:r>
          </w:p>
        </w:tc>
        <w:tc>
          <w:tcPr>
            <w:tcW w:w="3440" w:type="dxa"/>
            <w:vAlign w:val="bottom"/>
            <w:gridSpan w:val="2"/>
            <w:shd w:val="clear" w:color="auto" w:fill="CFF0FC"/>
          </w:tcPr>
          <w:p>
            <w:pPr>
              <w:jc w:val="right"/>
              <w:ind w:right="147"/>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109,517</w:t>
            </w:r>
          </w:p>
        </w:tc>
        <w:tc>
          <w:tcPr>
            <w:tcW w:w="18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ind w:right="267"/>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67,158</w:t>
            </w:r>
          </w:p>
        </w:tc>
        <w:tc>
          <w:tcPr>
            <w:tcW w:w="80" w:type="dxa"/>
            <w:vAlign w:val="bottom"/>
            <w:shd w:val="clear" w:color="auto" w:fill="CFF0FC"/>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140" w:type="dxa"/>
            <w:vAlign w:val="bottom"/>
          </w:tcPr>
          <w:p>
            <w:pPr>
              <w:spacing w:after="0"/>
              <w:rPr>
                <w:sz w:val="17"/>
                <w:szCs w:val="17"/>
                <w:color w:val="auto"/>
              </w:rPr>
            </w:pPr>
          </w:p>
        </w:tc>
        <w:tc>
          <w:tcPr>
            <w:tcW w:w="3100" w:type="dxa"/>
            <w:vAlign w:val="bottom"/>
          </w:tcPr>
          <w:p>
            <w:pPr>
              <w:ind w:left="220"/>
              <w:spacing w:after="0"/>
              <w:rPr>
                <w:sz w:val="20"/>
                <w:szCs w:val="20"/>
                <w:color w:val="auto"/>
              </w:rPr>
            </w:pPr>
            <w:r>
              <w:rPr>
                <w:rFonts w:ascii="Arial" w:cs="Arial" w:eastAsia="Arial" w:hAnsi="Arial"/>
                <w:sz w:val="16"/>
                <w:szCs w:val="16"/>
                <w:color w:val="auto"/>
              </w:rPr>
              <w:t>Milestones</w:t>
            </w:r>
          </w:p>
        </w:tc>
        <w:tc>
          <w:tcPr>
            <w:tcW w:w="3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ind w:right="267"/>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15,000</w:t>
            </w: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140" w:type="dxa"/>
            <w:vAlign w:val="bottom"/>
          </w:tcPr>
          <w:p>
            <w:pPr>
              <w:spacing w:after="0"/>
              <w:rPr>
                <w:sz w:val="16"/>
                <w:szCs w:val="16"/>
                <w:color w:val="auto"/>
              </w:rPr>
            </w:pPr>
          </w:p>
        </w:tc>
        <w:tc>
          <w:tcPr>
            <w:tcW w:w="3100" w:type="dxa"/>
            <w:vAlign w:val="bottom"/>
            <w:tcBorders>
              <w:top w:val="single" w:sz="8" w:color="CFF0FC"/>
              <w:bottom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Total revenue</w:t>
            </w:r>
          </w:p>
        </w:tc>
        <w:tc>
          <w:tcPr>
            <w:tcW w:w="3140" w:type="dxa"/>
            <w:vAlign w:val="bottom"/>
            <w:tcBorders>
              <w:top w:val="single" w:sz="8" w:color="CFF0FC"/>
              <w:bottom w:val="single" w:sz="8" w:color="CFF0FC"/>
            </w:tcBorders>
            <w:shd w:val="clear" w:color="auto" w:fill="CFF0FC"/>
          </w:tcPr>
          <w:p>
            <w:pPr>
              <w:spacing w:after="0"/>
              <w:rPr>
                <w:sz w:val="16"/>
                <w:szCs w:val="16"/>
                <w:color w:val="auto"/>
              </w:rPr>
            </w:pP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109,517</w:t>
            </w:r>
          </w:p>
        </w:tc>
        <w:tc>
          <w:tcPr>
            <w:tcW w:w="180" w:type="dxa"/>
            <w:vAlign w:val="bottom"/>
            <w:tcBorders>
              <w:top w:val="single" w:sz="8" w:color="CFF0FC"/>
              <w:bottom w:val="single" w:sz="8" w:color="CFF0FC"/>
            </w:tcBorders>
            <w:shd w:val="clear" w:color="auto" w:fill="CFF0FC"/>
          </w:tcPr>
          <w:p>
            <w:pPr>
              <w:spacing w:after="0"/>
              <w:rPr>
                <w:sz w:val="16"/>
                <w:szCs w:val="16"/>
                <w:color w:val="auto"/>
              </w:rPr>
            </w:pPr>
          </w:p>
        </w:tc>
        <w:tc>
          <w:tcPr>
            <w:tcW w:w="140" w:type="dxa"/>
            <w:vAlign w:val="bottom"/>
            <w:tcBorders>
              <w:top w:val="single" w:sz="8" w:color="CFF0FC"/>
              <w:bottom w:val="single" w:sz="8" w:color="CFF0FC"/>
            </w:tcBorders>
            <w:shd w:val="clear" w:color="auto" w:fill="CFF0FC"/>
          </w:tcPr>
          <w:p>
            <w:pPr>
              <w:spacing w:after="0"/>
              <w:rPr>
                <w:sz w:val="16"/>
                <w:szCs w:val="16"/>
                <w:color w:val="auto"/>
              </w:rPr>
            </w:pPr>
          </w:p>
        </w:tc>
        <w:tc>
          <w:tcPr>
            <w:tcW w:w="420" w:type="dxa"/>
            <w:vAlign w:val="bottom"/>
            <w:tcBorders>
              <w:top w:val="single" w:sz="8" w:color="auto"/>
              <w:bottom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82,158</w:t>
            </w:r>
          </w:p>
        </w:tc>
        <w:tc>
          <w:tcPr>
            <w:tcW w:w="80" w:type="dxa"/>
            <w:vAlign w:val="bottom"/>
            <w:tcBorders>
              <w:top w:val="single" w:sz="8" w:color="CFF0FC"/>
              <w:bottom w:val="single" w:sz="8" w:color="CFF0FC"/>
            </w:tcBorders>
            <w:shd w:val="clear" w:color="auto" w:fill="CFF0FC"/>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140" w:type="dxa"/>
            <w:vAlign w:val="bottom"/>
            <w:vMerge w:val="restart"/>
          </w:tcPr>
          <w:p>
            <w:pPr>
              <w:jc w:val="right"/>
              <w:ind w:right="1501"/>
              <w:spacing w:after="0"/>
              <w:rPr>
                <w:sz w:val="20"/>
                <w:szCs w:val="20"/>
                <w:color w:val="auto"/>
              </w:rPr>
            </w:pPr>
            <w:r>
              <w:rPr>
                <w:rFonts w:ascii="Arial" w:cs="Arial" w:eastAsia="Arial" w:hAnsi="Arial"/>
                <w:sz w:val="16"/>
                <w:szCs w:val="16"/>
                <w:color w:val="auto"/>
              </w:rPr>
              <w:t>23</w:t>
            </w: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7"/>
        </w:trPr>
        <w:tc>
          <w:tcPr>
            <w:tcW w:w="11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1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1140" w:type="dxa"/>
            <w:vAlign w:val="bottom"/>
            <w:tcBorders>
              <w:bottom w:val="single" w:sz="8" w:color="9A9A9A"/>
            </w:tcBorders>
          </w:tcPr>
          <w:p>
            <w:pPr>
              <w:spacing w:after="0"/>
              <w:rPr>
                <w:sz w:val="8"/>
                <w:szCs w:val="8"/>
                <w:color w:val="auto"/>
              </w:rPr>
            </w:pPr>
          </w:p>
        </w:tc>
        <w:tc>
          <w:tcPr>
            <w:tcW w:w="3100" w:type="dxa"/>
            <w:vAlign w:val="bottom"/>
            <w:tcBorders>
              <w:bottom w:val="single" w:sz="8" w:color="9A9A9A"/>
            </w:tcBorders>
          </w:tcPr>
          <w:p>
            <w:pPr>
              <w:spacing w:after="0"/>
              <w:rPr>
                <w:sz w:val="8"/>
                <w:szCs w:val="8"/>
                <w:color w:val="auto"/>
              </w:rPr>
            </w:pPr>
          </w:p>
        </w:tc>
        <w:tc>
          <w:tcPr>
            <w:tcW w:w="31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7254875</wp:posOffset>
            </wp:positionH>
            <wp:positionV relativeFrom="paragraph">
              <wp:posOffset>-27305</wp:posOffset>
            </wp:positionV>
            <wp:extent cx="33020"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0"/>
          </w:cols>
          <w:pgMar w:left="240" w:top="600" w:right="199" w:bottom="1440" w:gutter="0" w:footer="0" w:header="0"/>
        </w:sectPr>
      </w:pPr>
    </w:p>
    <w:bookmarkStart w:id="23" w:name="page24"/>
    <w:bookmarkEnd w:id="23"/>
    <w:p>
      <w:pPr>
        <w:ind w:left="5" w:right="60"/>
        <w:spacing w:after="0" w:line="252" w:lineRule="auto"/>
        <w:rPr>
          <w:sz w:val="20"/>
          <w:szCs w:val="20"/>
          <w:color w:val="auto"/>
        </w:rPr>
      </w:pPr>
      <w:r>
        <w:rPr>
          <w:rFonts w:ascii="Arial" w:cs="Arial" w:eastAsia="Arial" w:hAnsi="Arial"/>
          <w:sz w:val="16"/>
          <w:szCs w:val="16"/>
          <w:color w:val="auto"/>
        </w:rPr>
        <w:t>We recognized revenue of $109.5 million during the six months ended March 31, 2019 as compared to $82.2 million during the same period in 2018. During the six months ended March 31, 2019, substantially all of our revenue consisted of royalties earned on the portion of AbbVie’s net sales of MAVYRET/MAVIRET which carries a higher sales allocation for royalty calculation purposes. During the six months ended March 31, 2018, revenue consisted of a $15.0 million milestone earned upon AbbVie’s achievement of commercialization regulatory approval of MAVIRET™ in Japan, as well as royalties earned on the portion of AbbVie’s net sales of its HCV treatment regimens allocable to glecaprevir or paritaprevir.</w:t>
      </w:r>
    </w:p>
    <w:p>
      <w:pPr>
        <w:spacing w:after="0" w:line="264"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61" w:lineRule="exact"/>
        <w:rPr>
          <w:sz w:val="20"/>
          <w:szCs w:val="20"/>
          <w:color w:val="auto"/>
        </w:rPr>
      </w:pPr>
    </w:p>
    <w:tbl>
      <w:tblPr>
        <w:tblLayout w:type="fixed"/>
        <w:tblInd w:w="1145" w:type="dxa"/>
        <w:tblCellMar>
          <w:top w:w="0" w:type="dxa"/>
          <w:left w:w="0" w:type="dxa"/>
          <w:bottom w:w="0" w:type="dxa"/>
          <w:right w:w="0" w:type="dxa"/>
        </w:tblCellMar>
      </w:tblPr>
      <w:tr>
        <w:trPr>
          <w:trHeight w:val="149"/>
        </w:trPr>
        <w:tc>
          <w:tcPr>
            <w:tcW w:w="45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0" w:type="dxa"/>
            <w:vAlign w:val="bottom"/>
            <w:gridSpan w:val="3"/>
          </w:tcPr>
          <w:p>
            <w:pPr>
              <w:jc w:val="center"/>
              <w:spacing w:after="0"/>
              <w:rPr>
                <w:sz w:val="20"/>
                <w:szCs w:val="20"/>
                <w:color w:val="auto"/>
              </w:rPr>
            </w:pPr>
            <w:r>
              <w:rPr>
                <w:rFonts w:ascii="Arial" w:cs="Arial" w:eastAsia="Arial" w:hAnsi="Arial"/>
                <w:sz w:val="13"/>
                <w:szCs w:val="13"/>
                <w:b w:val="1"/>
                <w:bCs w:val="1"/>
                <w:color w:val="auto"/>
                <w:w w:val="88"/>
              </w:rPr>
              <w:t>Six Months Ended</w:t>
            </w: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0"/>
        </w:trPr>
        <w:tc>
          <w:tcPr>
            <w:tcW w:w="45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3"/>
              </w:rPr>
              <w:t>March 31,</w:t>
            </w:r>
          </w:p>
        </w:tc>
        <w:tc>
          <w:tcPr>
            <w:tcW w:w="8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34"/>
        </w:trPr>
        <w:tc>
          <w:tcPr>
            <w:tcW w:w="45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78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rPr>
              <w:t>2019</w:t>
            </w:r>
          </w:p>
        </w:tc>
        <w:tc>
          <w:tcPr>
            <w:tcW w:w="4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444"/>
              <w:spacing w:after="0" w:line="134" w:lineRule="exact"/>
              <w:rPr>
                <w:sz w:val="20"/>
                <w:szCs w:val="20"/>
                <w:color w:val="auto"/>
              </w:rPr>
            </w:pPr>
            <w:r>
              <w:rPr>
                <w:rFonts w:ascii="Arial" w:cs="Arial" w:eastAsia="Arial" w:hAnsi="Arial"/>
                <w:sz w:val="13"/>
                <w:szCs w:val="13"/>
                <w:b w:val="1"/>
                <w:bCs w:val="1"/>
                <w:color w:val="auto"/>
              </w:rPr>
              <w:t>2018</w:t>
            </w:r>
          </w:p>
        </w:tc>
        <w:tc>
          <w:tcPr>
            <w:tcW w:w="80" w:type="dxa"/>
            <w:vAlign w:val="bottom"/>
          </w:tcPr>
          <w:p>
            <w:pPr>
              <w:spacing w:after="0"/>
              <w:rPr>
                <w:sz w:val="11"/>
                <w:szCs w:val="11"/>
                <w:color w:val="auto"/>
              </w:rPr>
            </w:pPr>
          </w:p>
        </w:tc>
      </w:tr>
      <w:tr>
        <w:trPr>
          <w:trHeight w:val="193"/>
        </w:trPr>
        <w:tc>
          <w:tcPr>
            <w:tcW w:w="45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0" w:type="dxa"/>
            <w:vAlign w:val="bottom"/>
            <w:gridSpan w:val="3"/>
          </w:tcPr>
          <w:p>
            <w:pPr>
              <w:jc w:val="center"/>
              <w:spacing w:after="0"/>
              <w:rPr>
                <w:sz w:val="20"/>
                <w:szCs w:val="20"/>
                <w:color w:val="auto"/>
              </w:rPr>
            </w:pPr>
            <w:r>
              <w:rPr>
                <w:rFonts w:ascii="Arial" w:cs="Arial" w:eastAsia="Arial" w:hAnsi="Arial"/>
                <w:sz w:val="13"/>
                <w:szCs w:val="13"/>
                <w:b w:val="1"/>
                <w:bCs w:val="1"/>
                <w:color w:val="auto"/>
                <w:w w:val="84"/>
              </w:rPr>
              <w:t>(in thousands)</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1"/>
        </w:trPr>
        <w:tc>
          <w:tcPr>
            <w:tcW w:w="4540" w:type="dxa"/>
            <w:vAlign w:val="bottom"/>
            <w:shd w:val="clear" w:color="auto" w:fill="CFF0FC"/>
          </w:tcPr>
          <w:p>
            <w:pPr>
              <w:spacing w:after="0"/>
              <w:rPr>
                <w:sz w:val="20"/>
                <w:szCs w:val="20"/>
                <w:color w:val="auto"/>
              </w:rPr>
            </w:pPr>
            <w:r>
              <w:rPr>
                <w:rFonts w:ascii="Arial" w:cs="Arial" w:eastAsia="Arial" w:hAnsi="Arial"/>
                <w:sz w:val="16"/>
                <w:szCs w:val="16"/>
                <w:color w:val="auto"/>
              </w:rPr>
              <w:t>R&amp;D programs:</w:t>
            </w:r>
          </w:p>
        </w:tc>
        <w:tc>
          <w:tcPr>
            <w:tcW w:w="17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1"/>
        </w:trPr>
        <w:tc>
          <w:tcPr>
            <w:tcW w:w="4540" w:type="dxa"/>
            <w:vAlign w:val="bottom"/>
          </w:tcPr>
          <w:p>
            <w:pPr>
              <w:ind w:left="220"/>
              <w:spacing w:after="0"/>
              <w:rPr>
                <w:sz w:val="20"/>
                <w:szCs w:val="20"/>
                <w:color w:val="auto"/>
              </w:rPr>
            </w:pPr>
            <w:r>
              <w:rPr>
                <w:rFonts w:ascii="Arial" w:cs="Arial" w:eastAsia="Arial" w:hAnsi="Arial"/>
                <w:sz w:val="16"/>
                <w:szCs w:val="16"/>
                <w:color w:val="auto"/>
              </w:rPr>
              <w:t>Liver disease</w:t>
            </w:r>
          </w:p>
        </w:tc>
        <w:tc>
          <w:tcPr>
            <w:tcW w:w="2480" w:type="dxa"/>
            <w:vAlign w:val="bottom"/>
            <w:gridSpan w:val="2"/>
          </w:tcPr>
          <w:p>
            <w:pPr>
              <w:jc w:val="right"/>
              <w:ind w:right="632"/>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w w:val="89"/>
              </w:rPr>
              <w:t>35,717</w:t>
            </w:r>
          </w:p>
        </w:tc>
        <w:tc>
          <w:tcPr>
            <w:tcW w:w="740" w:type="dxa"/>
            <w:vAlign w:val="bottom"/>
            <w:gridSpan w:val="2"/>
          </w:tcPr>
          <w:p>
            <w:pPr>
              <w:jc w:val="right"/>
              <w:ind w:right="267"/>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22,969</w:t>
            </w:r>
          </w:p>
        </w:tc>
        <w:tc>
          <w:tcPr>
            <w:tcW w:w="80" w:type="dxa"/>
            <w:vAlign w:val="bottom"/>
          </w:tcPr>
          <w:p>
            <w:pPr>
              <w:spacing w:after="0"/>
              <w:rPr>
                <w:sz w:val="17"/>
                <w:szCs w:val="17"/>
                <w:color w:val="auto"/>
              </w:rPr>
            </w:pPr>
          </w:p>
        </w:tc>
      </w:tr>
      <w:tr>
        <w:trPr>
          <w:trHeight w:val="201"/>
        </w:trPr>
        <w:tc>
          <w:tcPr>
            <w:tcW w:w="45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Virology</w:t>
            </w:r>
          </w:p>
        </w:tc>
        <w:tc>
          <w:tcPr>
            <w:tcW w:w="17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33,194</w:t>
            </w:r>
          </w:p>
        </w:tc>
        <w:tc>
          <w:tcPr>
            <w:tcW w:w="3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16,408</w:t>
            </w:r>
          </w:p>
        </w:tc>
        <w:tc>
          <w:tcPr>
            <w:tcW w:w="80" w:type="dxa"/>
            <w:vAlign w:val="bottom"/>
            <w:shd w:val="clear" w:color="auto" w:fill="CFF0FC"/>
          </w:tcPr>
          <w:p>
            <w:pPr>
              <w:spacing w:after="0"/>
              <w:rPr>
                <w:sz w:val="17"/>
                <w:szCs w:val="17"/>
                <w:color w:val="auto"/>
              </w:rPr>
            </w:pPr>
          </w:p>
        </w:tc>
      </w:tr>
      <w:tr>
        <w:trPr>
          <w:trHeight w:val="201"/>
        </w:trPr>
        <w:tc>
          <w:tcPr>
            <w:tcW w:w="4540" w:type="dxa"/>
            <w:vAlign w:val="bottom"/>
            <w:tcBorders>
              <w:bottom w:val="single" w:sz="8" w:color="CFF0FC"/>
            </w:tcBorders>
          </w:tcPr>
          <w:p>
            <w:pPr>
              <w:ind w:left="220"/>
              <w:spacing w:after="0"/>
              <w:rPr>
                <w:sz w:val="20"/>
                <w:szCs w:val="20"/>
                <w:color w:val="auto"/>
              </w:rPr>
            </w:pPr>
            <w:r>
              <w:rPr>
                <w:rFonts w:ascii="Arial" w:cs="Arial" w:eastAsia="Arial" w:hAnsi="Arial"/>
                <w:sz w:val="16"/>
                <w:szCs w:val="16"/>
                <w:color w:val="auto"/>
              </w:rPr>
              <w:t>Other</w:t>
            </w:r>
          </w:p>
        </w:tc>
        <w:tc>
          <w:tcPr>
            <w:tcW w:w="1700" w:type="dxa"/>
            <w:vAlign w:val="bottom"/>
            <w:tcBorders>
              <w:bottom w:val="single" w:sz="8" w:color="CFF0FC"/>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w:t>
            </w:r>
          </w:p>
        </w:tc>
        <w:tc>
          <w:tcPr>
            <w:tcW w:w="320" w:type="dxa"/>
            <w:vAlign w:val="bottom"/>
            <w:tcBorders>
              <w:bottom w:val="single" w:sz="8" w:color="CFF0FC"/>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80" w:type="dxa"/>
            <w:vAlign w:val="bottom"/>
            <w:tcBorders>
              <w:bottom w:val="single" w:sz="8" w:color="CFF0FC"/>
            </w:tcBorders>
          </w:tcPr>
          <w:p>
            <w:pPr>
              <w:spacing w:after="0"/>
              <w:rPr>
                <w:sz w:val="17"/>
                <w:szCs w:val="17"/>
                <w:color w:val="auto"/>
              </w:rPr>
            </w:pPr>
          </w:p>
        </w:tc>
      </w:tr>
      <w:tr>
        <w:trPr>
          <w:trHeight w:val="193"/>
        </w:trPr>
        <w:tc>
          <w:tcPr>
            <w:tcW w:w="454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Total research and development expenses</w:t>
            </w:r>
          </w:p>
        </w:tc>
        <w:tc>
          <w:tcPr>
            <w:tcW w:w="1700" w:type="dxa"/>
            <w:vAlign w:val="bottom"/>
            <w:tcBorders>
              <w:bottom w:val="single" w:sz="8" w:color="CFF0FC"/>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ind w:right="632"/>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69,033</w:t>
            </w:r>
          </w:p>
        </w:tc>
        <w:tc>
          <w:tcPr>
            <w:tcW w:w="320" w:type="dxa"/>
            <w:vAlign w:val="bottom"/>
            <w:tcBorders>
              <w:bottom w:val="single" w:sz="8" w:color="CFF0FC"/>
            </w:tcBorders>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39,446</w:t>
            </w:r>
          </w:p>
        </w:tc>
        <w:tc>
          <w:tcPr>
            <w:tcW w:w="80" w:type="dxa"/>
            <w:vAlign w:val="bottom"/>
            <w:tcBorders>
              <w:bottom w:val="single" w:sz="8" w:color="CFF0FC"/>
            </w:tcBorders>
            <w:shd w:val="clear" w:color="auto" w:fill="CFF0FC"/>
          </w:tcPr>
          <w:p>
            <w:pPr>
              <w:spacing w:after="0"/>
              <w:rPr>
                <w:sz w:val="16"/>
                <w:szCs w:val="16"/>
                <w:color w:val="auto"/>
              </w:rPr>
            </w:pPr>
          </w:p>
        </w:tc>
      </w:tr>
      <w:tr>
        <w:trPr>
          <w:trHeight w:val="20"/>
        </w:trPr>
        <w:tc>
          <w:tcPr>
            <w:tcW w:w="4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82" w:lineRule="exact"/>
        <w:rPr>
          <w:sz w:val="20"/>
          <w:szCs w:val="20"/>
          <w:color w:val="auto"/>
        </w:rPr>
      </w:pPr>
    </w:p>
    <w:p>
      <w:pPr>
        <w:ind w:left="5"/>
        <w:spacing w:after="0" w:line="290" w:lineRule="auto"/>
        <w:rPr>
          <w:sz w:val="20"/>
          <w:szCs w:val="20"/>
          <w:color w:val="auto"/>
        </w:rPr>
      </w:pPr>
      <w:r>
        <w:rPr>
          <w:rFonts w:ascii="Arial" w:cs="Arial" w:eastAsia="Arial" w:hAnsi="Arial"/>
          <w:sz w:val="14"/>
          <w:szCs w:val="14"/>
          <w:color w:val="auto"/>
        </w:rPr>
        <w:t>Research and development expense increased by $29.6 million for the six months ended March 31, 2019 as compared to the same period in 2018. The increase was primarily due to progression of preclinical and clinical activities in our liver disease and virology programs. We currently have multiple ongoing Phase 2 studies (two for EDP-305 and one for EDP-</w:t>
      </w:r>
    </w:p>
    <w:p>
      <w:pPr>
        <w:spacing w:after="0" w:line="1" w:lineRule="exact"/>
        <w:rPr>
          <w:sz w:val="20"/>
          <w:szCs w:val="20"/>
          <w:color w:val="auto"/>
        </w:rPr>
      </w:pPr>
    </w:p>
    <w:p>
      <w:pPr>
        <w:ind w:left="5" w:right="220" w:hanging="5"/>
        <w:spacing w:after="0" w:line="250" w:lineRule="auto"/>
        <w:tabs>
          <w:tab w:leader="none" w:pos="334" w:val="left"/>
        </w:tabs>
        <w:numPr>
          <w:ilvl w:val="0"/>
          <w:numId w:val="20"/>
        </w:numPr>
        <w:rPr>
          <w:rFonts w:ascii="Arial" w:cs="Arial" w:eastAsia="Arial" w:hAnsi="Arial"/>
          <w:sz w:val="16"/>
          <w:szCs w:val="16"/>
          <w:color w:val="auto"/>
        </w:rPr>
      </w:pPr>
      <w:r>
        <w:rPr>
          <w:rFonts w:ascii="Arial" w:cs="Arial" w:eastAsia="Arial" w:hAnsi="Arial"/>
          <w:sz w:val="16"/>
          <w:szCs w:val="16"/>
          <w:color w:val="auto"/>
        </w:rPr>
        <w:t>which were initiated during 2018. In addition, we advanced other compounds in preclinical development in our liver disease program and identified a clinical candidate in HBV in late 2018. Increases in our research and development expenses, which were driven by an increase in headcount and external costs for clinical and preclinical activities to support these programs, are expected to continue to increase as our wholly-owned programs advance.</w:t>
      </w:r>
    </w:p>
    <w:p>
      <w:pPr>
        <w:spacing w:after="0" w:line="171"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color w:val="auto"/>
        </w:rPr>
        <w:t>General and administrative expenses</w:t>
      </w:r>
    </w:p>
    <w:p>
      <w:pPr>
        <w:spacing w:after="0" w:line="195" w:lineRule="exact"/>
        <w:rPr>
          <w:sz w:val="20"/>
          <w:szCs w:val="20"/>
          <w:color w:val="auto"/>
        </w:rPr>
      </w:pPr>
    </w:p>
    <w:p>
      <w:pPr>
        <w:ind w:left="5" w:right="80"/>
        <w:spacing w:after="0" w:line="268" w:lineRule="auto"/>
        <w:rPr>
          <w:sz w:val="20"/>
          <w:szCs w:val="20"/>
          <w:color w:val="auto"/>
        </w:rPr>
      </w:pPr>
      <w:r>
        <w:rPr>
          <w:rFonts w:ascii="Arial" w:cs="Arial" w:eastAsia="Arial" w:hAnsi="Arial"/>
          <w:sz w:val="16"/>
          <w:szCs w:val="16"/>
          <w:color w:val="auto"/>
        </w:rPr>
        <w:t>General and administrative increased $2.5 million for the six months ended March 31, 2019 as compared to the same period in 2018. The increase was primarily due to an increase in compensation expense due to increased headcount.</w:t>
      </w:r>
    </w:p>
    <w:p>
      <w:pPr>
        <w:spacing w:after="0" w:line="157"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color w:val="auto"/>
        </w:rPr>
        <w:t>Other income, net</w:t>
      </w:r>
    </w:p>
    <w:p>
      <w:pPr>
        <w:spacing w:after="0" w:line="195" w:lineRule="exact"/>
        <w:rPr>
          <w:sz w:val="20"/>
          <w:szCs w:val="20"/>
          <w:color w:val="auto"/>
        </w:rPr>
      </w:pPr>
    </w:p>
    <w:p>
      <w:pPr>
        <w:ind w:left="5" w:right="280"/>
        <w:spacing w:after="0" w:line="268" w:lineRule="auto"/>
        <w:rPr>
          <w:sz w:val="20"/>
          <w:szCs w:val="20"/>
          <w:color w:val="auto"/>
        </w:rPr>
      </w:pPr>
      <w:r>
        <w:rPr>
          <w:rFonts w:ascii="Arial" w:cs="Arial" w:eastAsia="Arial" w:hAnsi="Arial"/>
          <w:sz w:val="16"/>
          <w:szCs w:val="16"/>
          <w:color w:val="auto"/>
        </w:rPr>
        <w:t>Other income, net, increased for the six months ended March 31, 2019 as compared to the same period in 2018 due to an increase in interest income due primarily to changes in interest rates for the period ended March 31, 2019 as compared to the same period in 2018.</w:t>
      </w:r>
    </w:p>
    <w:p>
      <w:pPr>
        <w:spacing w:after="0" w:line="157"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color w:val="auto"/>
        </w:rPr>
        <w:t>Income tax (expense)</w:t>
      </w:r>
    </w:p>
    <w:p>
      <w:pPr>
        <w:spacing w:after="0" w:line="195" w:lineRule="exact"/>
        <w:rPr>
          <w:sz w:val="20"/>
          <w:szCs w:val="20"/>
          <w:color w:val="auto"/>
        </w:rPr>
      </w:pPr>
    </w:p>
    <w:p>
      <w:pPr>
        <w:ind w:left="5" w:right="60"/>
        <w:spacing w:after="0" w:line="276" w:lineRule="auto"/>
        <w:rPr>
          <w:sz w:val="20"/>
          <w:szCs w:val="20"/>
          <w:color w:val="auto"/>
        </w:rPr>
      </w:pPr>
      <w:r>
        <w:rPr>
          <w:rFonts w:ascii="Arial" w:cs="Arial" w:eastAsia="Arial" w:hAnsi="Arial"/>
          <w:sz w:val="15"/>
          <w:szCs w:val="15"/>
          <w:color w:val="auto"/>
        </w:rPr>
        <w:t>For the six months ended March 31, 2019 and 2018 we recorded an income tax (expense) of $(0.5) million and $(9.0) million, respectively. Income tax expense for the six months ended March 31, 2019 was driven primarily by our pre-tax income for the year and offset by federal research and development tax credits and tax deductions for employee stock award-related activity during the year. During the six months ended March 31, 2018, our income tax expense included a revaluation adjustment against deferred tax assets of $(3.8) million due to a decrease in the federal corporate income tax rate as enacted under the U.S. Tax Cuts and Jobs Act (the “Tax Act”).</w:t>
      </w:r>
    </w:p>
    <w:p>
      <w:pPr>
        <w:spacing w:after="0" w:line="244"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Liquidity and Capital Resources</w:t>
      </w:r>
    </w:p>
    <w:p>
      <w:pPr>
        <w:spacing w:after="0" w:line="104" w:lineRule="exact"/>
        <w:rPr>
          <w:sz w:val="20"/>
          <w:szCs w:val="20"/>
          <w:color w:val="auto"/>
        </w:rPr>
      </w:pPr>
    </w:p>
    <w:p>
      <w:pPr>
        <w:ind w:left="5"/>
        <w:spacing w:after="0"/>
        <w:rPr>
          <w:sz w:val="20"/>
          <w:szCs w:val="20"/>
          <w:color w:val="auto"/>
        </w:rPr>
      </w:pPr>
      <w:r>
        <w:rPr>
          <w:rFonts w:ascii="Arial" w:cs="Arial" w:eastAsia="Arial" w:hAnsi="Arial"/>
          <w:sz w:val="16"/>
          <w:szCs w:val="16"/>
          <w:color w:val="auto"/>
        </w:rPr>
        <w:t>At March 31, 2019, our principal sources of liquidity were cash, cash equivalents and short-term and long-term marketable securities totaling $386.7 million.</w:t>
      </w:r>
    </w:p>
    <w:p>
      <w:pPr>
        <w:spacing w:after="0" w:line="195" w:lineRule="exact"/>
        <w:rPr>
          <w:sz w:val="20"/>
          <w:szCs w:val="20"/>
          <w:color w:val="auto"/>
        </w:rPr>
      </w:pPr>
    </w:p>
    <w:p>
      <w:pPr>
        <w:jc w:val="center"/>
        <w:ind w:right="-64"/>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58420</wp:posOffset>
            </wp:positionV>
            <wp:extent cx="7303770" cy="40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385"/>
          </w:cols>
          <w:pgMar w:left="235" w:top="411" w:right="279" w:bottom="1440" w:gutter="0" w:footer="0" w:header="0"/>
        </w:sectPr>
      </w:pPr>
    </w:p>
    <w:bookmarkStart w:id="24" w:name="page25"/>
    <w:bookmarkEnd w:id="24"/>
    <w:p>
      <w:pPr>
        <w:spacing w:after="0"/>
        <w:rPr>
          <w:sz w:val="20"/>
          <w:szCs w:val="20"/>
          <w:color w:val="auto"/>
        </w:rPr>
      </w:pPr>
      <w:r>
        <w:rPr>
          <w:rFonts w:ascii="Arial" w:cs="Arial" w:eastAsia="Arial" w:hAnsi="Arial"/>
          <w:sz w:val="16"/>
          <w:szCs w:val="16"/>
          <w:color w:val="auto"/>
        </w:rPr>
        <w:t>The following table shows a summary of our cash flows for the six months ended March 31, 2019 and 2018:</w:t>
      </w:r>
    </w:p>
    <w:p>
      <w:pPr>
        <w:spacing w:after="0" w:line="191"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4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80" w:type="dxa"/>
            <w:vAlign w:val="bottom"/>
            <w:gridSpan w:val="3"/>
          </w:tcPr>
          <w:p>
            <w:pPr>
              <w:jc w:val="center"/>
              <w:ind w:left="429"/>
              <w:spacing w:after="0"/>
              <w:rPr>
                <w:sz w:val="20"/>
                <w:szCs w:val="20"/>
                <w:color w:val="auto"/>
              </w:rPr>
            </w:pPr>
            <w:r>
              <w:rPr>
                <w:rFonts w:ascii="Arial" w:cs="Arial" w:eastAsia="Arial" w:hAnsi="Arial"/>
                <w:sz w:val="13"/>
                <w:szCs w:val="13"/>
                <w:b w:val="1"/>
                <w:bCs w:val="1"/>
                <w:color w:val="auto"/>
                <w:w w:val="86"/>
              </w:rPr>
              <w:t>Six Months Ended</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0"/>
        </w:trPr>
        <w:tc>
          <w:tcPr>
            <w:tcW w:w="4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jc w:val="center"/>
              <w:ind w:left="729"/>
              <w:spacing w:after="0"/>
              <w:rPr>
                <w:sz w:val="20"/>
                <w:szCs w:val="20"/>
                <w:color w:val="auto"/>
              </w:rPr>
            </w:pPr>
            <w:r>
              <w:rPr>
                <w:rFonts w:ascii="Arial" w:cs="Arial" w:eastAsia="Arial" w:hAnsi="Arial"/>
                <w:sz w:val="13"/>
                <w:szCs w:val="13"/>
                <w:b w:val="1"/>
                <w:bCs w:val="1"/>
                <w:color w:val="auto"/>
                <w:w w:val="89"/>
              </w:rPr>
              <w:t>March 31,</w:t>
            </w:r>
          </w:p>
        </w:tc>
        <w:tc>
          <w:tcPr>
            <w:tcW w:w="3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34"/>
        </w:trPr>
        <w:tc>
          <w:tcPr>
            <w:tcW w:w="4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349"/>
              <w:spacing w:after="0" w:line="134" w:lineRule="exact"/>
              <w:rPr>
                <w:sz w:val="20"/>
                <w:szCs w:val="20"/>
                <w:color w:val="auto"/>
              </w:rPr>
            </w:pPr>
            <w:r>
              <w:rPr>
                <w:rFonts w:ascii="Arial" w:cs="Arial" w:eastAsia="Arial" w:hAnsi="Arial"/>
                <w:sz w:val="13"/>
                <w:szCs w:val="13"/>
                <w:b w:val="1"/>
                <w:bCs w:val="1"/>
                <w:color w:val="auto"/>
              </w:rPr>
              <w:t>2019</w:t>
            </w:r>
          </w:p>
        </w:tc>
        <w:tc>
          <w:tcPr>
            <w:tcW w:w="5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324"/>
              <w:spacing w:after="0" w:line="134" w:lineRule="exact"/>
              <w:rPr>
                <w:sz w:val="20"/>
                <w:szCs w:val="20"/>
                <w:color w:val="auto"/>
              </w:rPr>
            </w:pPr>
            <w:r>
              <w:rPr>
                <w:rFonts w:ascii="Arial" w:cs="Arial" w:eastAsia="Arial" w:hAnsi="Arial"/>
                <w:sz w:val="13"/>
                <w:szCs w:val="13"/>
                <w:b w:val="1"/>
                <w:bCs w:val="1"/>
                <w:color w:val="auto"/>
              </w:rPr>
              <w:t>2018</w:t>
            </w:r>
          </w:p>
        </w:tc>
        <w:tc>
          <w:tcPr>
            <w:tcW w:w="80" w:type="dxa"/>
            <w:vAlign w:val="bottom"/>
          </w:tcPr>
          <w:p>
            <w:pPr>
              <w:spacing w:after="0"/>
              <w:rPr>
                <w:sz w:val="11"/>
                <w:szCs w:val="11"/>
                <w:color w:val="auto"/>
              </w:rPr>
            </w:pPr>
          </w:p>
        </w:tc>
      </w:tr>
      <w:tr>
        <w:trPr>
          <w:trHeight w:val="134"/>
        </w:trPr>
        <w:tc>
          <w:tcPr>
            <w:tcW w:w="4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80" w:type="dxa"/>
            <w:vAlign w:val="bottom"/>
            <w:gridSpan w:val="3"/>
          </w:tcPr>
          <w:p>
            <w:pPr>
              <w:jc w:val="center"/>
              <w:ind w:left="429"/>
              <w:spacing w:after="0" w:line="134" w:lineRule="exact"/>
              <w:rPr>
                <w:sz w:val="20"/>
                <w:szCs w:val="20"/>
                <w:color w:val="auto"/>
              </w:rPr>
            </w:pPr>
            <w:r>
              <w:rPr>
                <w:rFonts w:ascii="Arial" w:cs="Arial" w:eastAsia="Arial" w:hAnsi="Arial"/>
                <w:sz w:val="13"/>
                <w:szCs w:val="13"/>
                <w:b w:val="1"/>
                <w:bCs w:val="1"/>
                <w:color w:val="auto"/>
                <w:w w:val="87"/>
              </w:rPr>
              <w:t>(in thousands)</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201"/>
        </w:trPr>
        <w:tc>
          <w:tcPr>
            <w:tcW w:w="46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Cash provided by (used in):</w:t>
            </w: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1"/>
        </w:trPr>
        <w:tc>
          <w:tcPr>
            <w:tcW w:w="4640" w:type="dxa"/>
            <w:vAlign w:val="bottom"/>
          </w:tcPr>
          <w:p>
            <w:pPr>
              <w:ind w:left="420"/>
              <w:spacing w:after="0"/>
              <w:rPr>
                <w:sz w:val="20"/>
                <w:szCs w:val="20"/>
                <w:color w:val="auto"/>
              </w:rPr>
            </w:pPr>
            <w:r>
              <w:rPr>
                <w:rFonts w:ascii="Arial" w:cs="Arial" w:eastAsia="Arial" w:hAnsi="Arial"/>
                <w:sz w:val="16"/>
                <w:szCs w:val="16"/>
                <w:color w:val="auto"/>
              </w:rPr>
              <w:t>Operating activities</w:t>
            </w:r>
          </w:p>
        </w:tc>
        <w:tc>
          <w:tcPr>
            <w:tcW w:w="860" w:type="dxa"/>
            <w:vAlign w:val="bottom"/>
            <w:gridSpan w:val="2"/>
          </w:tcPr>
          <w:p>
            <w:pPr>
              <w:jc w:val="right"/>
              <w:ind w:right="67"/>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60,340</w:t>
            </w:r>
          </w:p>
        </w:tc>
        <w:tc>
          <w:tcPr>
            <w:tcW w:w="540" w:type="dxa"/>
            <w:vAlign w:val="bottom"/>
          </w:tcPr>
          <w:p>
            <w:pPr>
              <w:spacing w:after="0"/>
              <w:rPr>
                <w:sz w:val="17"/>
                <w:szCs w:val="17"/>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(3,169)</w:t>
            </w:r>
          </w:p>
        </w:tc>
      </w:tr>
      <w:tr>
        <w:trPr>
          <w:trHeight w:val="201"/>
        </w:trPr>
        <w:tc>
          <w:tcPr>
            <w:tcW w:w="4640" w:type="dxa"/>
            <w:vAlign w:val="bottom"/>
            <w:shd w:val="clear" w:color="auto" w:fill="CFF0FC"/>
          </w:tcPr>
          <w:p>
            <w:pPr>
              <w:ind w:left="420"/>
              <w:spacing w:after="0"/>
              <w:rPr>
                <w:sz w:val="20"/>
                <w:szCs w:val="20"/>
                <w:color w:val="auto"/>
              </w:rPr>
            </w:pPr>
            <w:r>
              <w:rPr>
                <w:rFonts w:ascii="Arial" w:cs="Arial" w:eastAsia="Arial" w:hAnsi="Arial"/>
                <w:sz w:val="16"/>
                <w:szCs w:val="16"/>
                <w:color w:val="auto"/>
              </w:rPr>
              <w:t>Investing activities</w:t>
            </w: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500"/>
              <w:spacing w:after="0"/>
              <w:rPr>
                <w:sz w:val="20"/>
                <w:szCs w:val="20"/>
                <w:color w:val="auto"/>
              </w:rPr>
            </w:pPr>
            <w:r>
              <w:rPr>
                <w:rFonts w:ascii="Arial" w:cs="Arial" w:eastAsia="Arial" w:hAnsi="Arial"/>
                <w:sz w:val="16"/>
                <w:szCs w:val="16"/>
                <w:color w:val="auto"/>
              </w:rPr>
              <w:t>(19,609)</w:t>
            </w:r>
          </w:p>
        </w:tc>
        <w:tc>
          <w:tcPr>
            <w:tcW w:w="3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4,009</w:t>
            </w:r>
          </w:p>
        </w:tc>
        <w:tc>
          <w:tcPr>
            <w:tcW w:w="80" w:type="dxa"/>
            <w:vAlign w:val="bottom"/>
            <w:shd w:val="clear" w:color="auto" w:fill="CFF0FC"/>
          </w:tcPr>
          <w:p>
            <w:pPr>
              <w:spacing w:after="0"/>
              <w:rPr>
                <w:sz w:val="17"/>
                <w:szCs w:val="17"/>
                <w:color w:val="auto"/>
              </w:rPr>
            </w:pPr>
          </w:p>
        </w:tc>
      </w:tr>
      <w:tr>
        <w:trPr>
          <w:trHeight w:val="201"/>
        </w:trPr>
        <w:tc>
          <w:tcPr>
            <w:tcW w:w="4640" w:type="dxa"/>
            <w:vAlign w:val="bottom"/>
            <w:tcBorders>
              <w:bottom w:val="single" w:sz="8" w:color="CFF0FC"/>
            </w:tcBorders>
          </w:tcPr>
          <w:p>
            <w:pPr>
              <w:ind w:left="420"/>
              <w:spacing w:after="0"/>
              <w:rPr>
                <w:sz w:val="20"/>
                <w:szCs w:val="20"/>
                <w:color w:val="auto"/>
              </w:rPr>
            </w:pPr>
            <w:r>
              <w:rPr>
                <w:rFonts w:ascii="Arial" w:cs="Arial" w:eastAsia="Arial" w:hAnsi="Arial"/>
                <w:sz w:val="16"/>
                <w:szCs w:val="16"/>
                <w:color w:val="auto"/>
              </w:rPr>
              <w:t>Financing activities</w:t>
            </w:r>
          </w:p>
        </w:tc>
        <w:tc>
          <w:tcPr>
            <w:tcW w:w="64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1,397</w:t>
            </w:r>
          </w:p>
        </w:tc>
        <w:tc>
          <w:tcPr>
            <w:tcW w:w="54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w:t>
            </w:r>
          </w:p>
        </w:tc>
        <w:tc>
          <w:tcPr>
            <w:tcW w:w="80" w:type="dxa"/>
            <w:vAlign w:val="bottom"/>
            <w:tcBorders>
              <w:bottom w:val="single" w:sz="8" w:color="CFF0FC"/>
            </w:tcBorders>
          </w:tcPr>
          <w:p>
            <w:pPr>
              <w:spacing w:after="0"/>
              <w:rPr>
                <w:sz w:val="17"/>
                <w:szCs w:val="17"/>
                <w:color w:val="auto"/>
              </w:rPr>
            </w:pPr>
          </w:p>
        </w:tc>
      </w:tr>
      <w:tr>
        <w:trPr>
          <w:trHeight w:val="193"/>
        </w:trPr>
        <w:tc>
          <w:tcPr>
            <w:tcW w:w="4640" w:type="dxa"/>
            <w:vAlign w:val="bottom"/>
            <w:tcBorders>
              <w:bottom w:val="single" w:sz="8" w:color="CFF0FC"/>
            </w:tcBorders>
            <w:shd w:val="clear" w:color="auto" w:fill="CFF0FC"/>
          </w:tcPr>
          <w:p>
            <w:pPr>
              <w:ind w:left="420"/>
              <w:spacing w:after="0"/>
              <w:rPr>
                <w:sz w:val="20"/>
                <w:szCs w:val="20"/>
                <w:color w:val="auto"/>
              </w:rPr>
            </w:pPr>
            <w:r>
              <w:rPr>
                <w:rFonts w:ascii="Arial" w:cs="Arial" w:eastAsia="Arial" w:hAnsi="Arial"/>
                <w:sz w:val="16"/>
                <w:szCs w:val="16"/>
                <w:color w:val="auto"/>
              </w:rPr>
              <w:t>Net increase in cash, cash equivalents and restricted cash</w:t>
            </w:r>
          </w:p>
        </w:tc>
        <w:tc>
          <w:tcPr>
            <w:tcW w:w="64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42,128</w:t>
            </w:r>
          </w:p>
        </w:tc>
        <w:tc>
          <w:tcPr>
            <w:tcW w:w="54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1,251</w:t>
            </w:r>
          </w:p>
        </w:tc>
        <w:tc>
          <w:tcPr>
            <w:tcW w:w="80" w:type="dxa"/>
            <w:vAlign w:val="bottom"/>
            <w:tcBorders>
              <w:bottom w:val="single" w:sz="8" w:color="CFF0FC"/>
            </w:tcBorders>
            <w:shd w:val="clear" w:color="auto" w:fill="CFF0FC"/>
          </w:tcPr>
          <w:p>
            <w:pPr>
              <w:spacing w:after="0"/>
              <w:rPr>
                <w:sz w:val="16"/>
                <w:szCs w:val="16"/>
                <w:color w:val="auto"/>
              </w:rPr>
            </w:pPr>
          </w:p>
        </w:tc>
      </w:tr>
      <w:tr>
        <w:trPr>
          <w:trHeight w:val="20"/>
        </w:trPr>
        <w:tc>
          <w:tcPr>
            <w:tcW w:w="4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provided by (used in) operating activities</w:t>
      </w:r>
    </w:p>
    <w:p>
      <w:pPr>
        <w:spacing w:after="0" w:line="124"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The increase in cash provided by operating activities of $63.5 million for the six months ended March 31, 2019 as compared to the same period in 2018 was primarily driven by an increase in cash received under our AbbVie agreement year over year of $88.4 million driven by royalties earned on net sales of MAVYRET/MAVIRET and was offset by increased research and development expenses due to the advancement of our research programs as well as the timing of vendor invoicing and payments.</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provided by (used in) investing activities</w:t>
      </w:r>
    </w:p>
    <w:p>
      <w:pPr>
        <w:spacing w:after="0" w:line="100" w:lineRule="exact"/>
        <w:rPr>
          <w:sz w:val="20"/>
          <w:szCs w:val="20"/>
          <w:color w:val="auto"/>
        </w:rPr>
      </w:pPr>
    </w:p>
    <w:p>
      <w:pPr>
        <w:ind w:right="340"/>
        <w:spacing w:after="0" w:line="268" w:lineRule="auto"/>
        <w:rPr>
          <w:sz w:val="20"/>
          <w:szCs w:val="20"/>
          <w:color w:val="auto"/>
        </w:rPr>
      </w:pPr>
      <w:r>
        <w:rPr>
          <w:rFonts w:ascii="Arial" w:cs="Arial" w:eastAsia="Arial" w:hAnsi="Arial"/>
          <w:sz w:val="16"/>
          <w:szCs w:val="16"/>
          <w:color w:val="auto"/>
        </w:rPr>
        <w:t>The decrease in cash used in investing activities of $23.6 million for the six months ended March 31, 2019 as compared to the same period in 2018 was driven by the timing of purchases, sales and maturities of marketable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provided by financing activities</w:t>
      </w:r>
    </w:p>
    <w:p>
      <w:pPr>
        <w:spacing w:after="0" w:line="100"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The increase in net cash provided by financing activities of $1.0 million for the six months ended March 31, 2019 as compared to the same period in 2018 was driven by an increase in exercises of stock options during the six months ended March 31, 2019 as compared to the same period in 2018.</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Funding requirements</w:t>
      </w:r>
    </w:p>
    <w:p>
      <w:pPr>
        <w:spacing w:after="0" w:line="100"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As of March 31, 2019, we had $386.7 million in cash, cash equivalents and short-term and long-term marketable securities. We believe that our existing cash, cash equivalents and marketable securities as of March 31, 2019 will be sufficient to meet our anticipated cash requirements for the foreseeable future. However, our forecast of the period of time through which our financial resources will be adequate to support our operations is a forward-looking statement that involves risks and uncertainties, and actual results could vary materially.</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Our future capital requirements are difficult to forecast and will depend on many factors, including:</w:t>
      </w:r>
    </w:p>
    <w:p>
      <w:pPr>
        <w:spacing w:after="0" w:line="100" w:lineRule="exact"/>
        <w:rPr>
          <w:sz w:val="20"/>
          <w:szCs w:val="20"/>
          <w:color w:val="auto"/>
        </w:rPr>
      </w:pPr>
    </w:p>
    <w:p>
      <w:pPr>
        <w:ind w:left="760" w:hanging="387"/>
        <w:spacing w:after="0"/>
        <w:tabs>
          <w:tab w:leader="none" w:pos="7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amount of royalties generated from our existing collaboration with AbbVie;</w:t>
      </w:r>
    </w:p>
    <w:p>
      <w:pPr>
        <w:spacing w:after="0" w:line="99" w:lineRule="exact"/>
        <w:rPr>
          <w:rFonts w:ascii="Arial" w:cs="Arial" w:eastAsia="Arial" w:hAnsi="Arial"/>
          <w:sz w:val="16"/>
          <w:szCs w:val="16"/>
          <w:color w:val="auto"/>
        </w:rPr>
      </w:pPr>
    </w:p>
    <w:p>
      <w:pPr>
        <w:ind w:left="760" w:hanging="387"/>
        <w:spacing w:after="0"/>
        <w:tabs>
          <w:tab w:leader="none" w:pos="7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number and characteristics of our research programs;</w:t>
      </w:r>
    </w:p>
    <w:p>
      <w:pPr>
        <w:spacing w:after="0" w:line="99" w:lineRule="exact"/>
        <w:rPr>
          <w:rFonts w:ascii="Arial" w:cs="Arial" w:eastAsia="Arial" w:hAnsi="Arial"/>
          <w:sz w:val="16"/>
          <w:szCs w:val="16"/>
          <w:color w:val="auto"/>
        </w:rPr>
      </w:pPr>
    </w:p>
    <w:p>
      <w:pPr>
        <w:ind w:left="760" w:hanging="387"/>
        <w:spacing w:after="0"/>
        <w:tabs>
          <w:tab w:leader="none" w:pos="7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scope, progress, results and costs of researching and developing any of our product candidates on our own, including conducting advanced clinical trials;</w:t>
      </w:r>
    </w:p>
    <w:p>
      <w:pPr>
        <w:spacing w:after="0" w:line="111" w:lineRule="exact"/>
        <w:rPr>
          <w:rFonts w:ascii="Arial" w:cs="Arial" w:eastAsia="Arial" w:hAnsi="Arial"/>
          <w:sz w:val="15"/>
          <w:szCs w:val="15"/>
          <w:color w:val="auto"/>
        </w:rPr>
      </w:pPr>
    </w:p>
    <w:p>
      <w:pPr>
        <w:ind w:left="760" w:hanging="387"/>
        <w:spacing w:after="0"/>
        <w:tabs>
          <w:tab w:leader="none" w:pos="7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cost of manufacturing our product candidates for clinical development and any products we successfully commercialize independently;</w:t>
      </w:r>
    </w:p>
    <w:p>
      <w:pPr>
        <w:spacing w:after="0" w:line="99" w:lineRule="exact"/>
        <w:rPr>
          <w:rFonts w:ascii="Arial" w:cs="Arial" w:eastAsia="Arial" w:hAnsi="Arial"/>
          <w:sz w:val="16"/>
          <w:szCs w:val="16"/>
          <w:color w:val="auto"/>
        </w:rPr>
      </w:pPr>
    </w:p>
    <w:p>
      <w:pPr>
        <w:ind w:left="760" w:hanging="387"/>
        <w:spacing w:after="0"/>
        <w:tabs>
          <w:tab w:leader="none" w:pos="7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opportunities to in-license or otherwise acquire new technologies, therapeutic candidates and therapies;</w:t>
      </w:r>
    </w:p>
    <w:p>
      <w:pPr>
        <w:spacing w:after="0" w:line="99" w:lineRule="exact"/>
        <w:rPr>
          <w:rFonts w:ascii="Arial" w:cs="Arial" w:eastAsia="Arial" w:hAnsi="Arial"/>
          <w:sz w:val="16"/>
          <w:szCs w:val="16"/>
          <w:color w:val="auto"/>
        </w:rPr>
      </w:pPr>
    </w:p>
    <w:p>
      <w:pPr>
        <w:ind w:left="760" w:hanging="387"/>
        <w:spacing w:after="0"/>
        <w:tabs>
          <w:tab w:leader="none" w:pos="7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timing of, and the costs involved in, obtaining regulatory approvals for any product candidates we develop independently;</w:t>
      </w:r>
    </w:p>
    <w:p>
      <w:pPr>
        <w:spacing w:after="0" w:line="99" w:lineRule="exact"/>
        <w:rPr>
          <w:rFonts w:ascii="Arial" w:cs="Arial" w:eastAsia="Arial" w:hAnsi="Arial"/>
          <w:sz w:val="16"/>
          <w:szCs w:val="16"/>
          <w:color w:val="auto"/>
        </w:rPr>
      </w:pPr>
    </w:p>
    <w:p>
      <w:pPr>
        <w:ind w:left="760" w:right="680" w:hanging="387"/>
        <w:spacing w:after="0" w:line="268" w:lineRule="auto"/>
        <w:tabs>
          <w:tab w:leader="none" w:pos="7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cost of commercialization activities, if any, of any product candidates we develop independently that are approved for sale, including marketing, sales and distribution costs;</w:t>
      </w:r>
    </w:p>
    <w:p>
      <w:pPr>
        <w:spacing w:after="0" w:line="62" w:lineRule="exact"/>
        <w:rPr>
          <w:rFonts w:ascii="Arial" w:cs="Arial" w:eastAsia="Arial" w:hAnsi="Arial"/>
          <w:sz w:val="16"/>
          <w:szCs w:val="16"/>
          <w:color w:val="auto"/>
        </w:rPr>
      </w:pPr>
    </w:p>
    <w:p>
      <w:pPr>
        <w:ind w:left="760" w:hanging="387"/>
        <w:spacing w:after="0"/>
        <w:tabs>
          <w:tab w:leader="none" w:pos="7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timing and amount of any sales of our product candidates, if any, or royalties thereon;</w:t>
      </w:r>
    </w:p>
    <w:p>
      <w:pPr>
        <w:spacing w:after="0" w:line="99" w:lineRule="exact"/>
        <w:rPr>
          <w:rFonts w:ascii="Arial" w:cs="Arial" w:eastAsia="Arial" w:hAnsi="Arial"/>
          <w:sz w:val="16"/>
          <w:szCs w:val="16"/>
          <w:color w:val="auto"/>
        </w:rPr>
      </w:pPr>
    </w:p>
    <w:p>
      <w:pPr>
        <w:ind w:left="760" w:hanging="387"/>
        <w:spacing w:after="0"/>
        <w:tabs>
          <w:tab w:leader="none" w:pos="7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ability to establish new collaborations, licensing or other arrangements, if any, and the financial terms of such arrangements;</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58420</wp:posOffset>
            </wp:positionV>
            <wp:extent cx="7303770" cy="40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380"/>
          </w:cols>
          <w:pgMar w:left="240" w:top="506" w:right="279" w:bottom="1440" w:gutter="0" w:footer="0" w:header="0"/>
        </w:sectPr>
      </w:pPr>
    </w:p>
    <w:bookmarkStart w:id="25" w:name="page26"/>
    <w:bookmarkEnd w:id="25"/>
    <w:p>
      <w:pPr>
        <w:ind w:left="760" w:right="60" w:hanging="387"/>
        <w:spacing w:after="0" w:line="268" w:lineRule="auto"/>
        <w:tabs>
          <w:tab w:leader="none" w:pos="7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costs involved in preparing, filing, prosecuting, maintaining, defending and enforcing patents, including any litigation costs and the outcomes of any such litigation; and</w:t>
      </w:r>
    </w:p>
    <w:p>
      <w:pPr>
        <w:spacing w:after="0" w:line="62" w:lineRule="exact"/>
        <w:rPr>
          <w:rFonts w:ascii="Arial" w:cs="Arial" w:eastAsia="Arial" w:hAnsi="Arial"/>
          <w:sz w:val="16"/>
          <w:szCs w:val="16"/>
          <w:color w:val="auto"/>
        </w:rPr>
      </w:pPr>
    </w:p>
    <w:p>
      <w:pPr>
        <w:ind w:left="760" w:hanging="387"/>
        <w:spacing w:after="0"/>
        <w:tabs>
          <w:tab w:leader="none" w:pos="7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potential fluctuations in foreign currency exchange rates.</w:t>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Off-Balance Sheet Arrangements</w:t>
      </w:r>
    </w:p>
    <w:p>
      <w:pPr>
        <w:spacing w:after="0" w:line="104" w:lineRule="exact"/>
        <w:rPr>
          <w:sz w:val="20"/>
          <w:szCs w:val="20"/>
          <w:color w:val="auto"/>
        </w:rPr>
      </w:pPr>
    </w:p>
    <w:p>
      <w:pPr>
        <w:ind w:right="100"/>
        <w:spacing w:after="0" w:line="268" w:lineRule="auto"/>
        <w:rPr>
          <w:sz w:val="20"/>
          <w:szCs w:val="20"/>
          <w:color w:val="auto"/>
        </w:rPr>
      </w:pPr>
      <w:r>
        <w:rPr>
          <w:rFonts w:ascii="Arial" w:cs="Arial" w:eastAsia="Arial" w:hAnsi="Arial"/>
          <w:sz w:val="16"/>
          <w:szCs w:val="16"/>
          <w:color w:val="auto"/>
        </w:rPr>
        <w:t>We do not engage in any off-balance sheet financing activities. We do not have any interest in entities referred to as variable interest entities, which include special purpose entities and other structured finance entities.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Contractual Obligations and Commitments</w:t>
      </w:r>
    </w:p>
    <w:p>
      <w:pPr>
        <w:spacing w:after="0" w:line="104" w:lineRule="exact"/>
        <w:rPr>
          <w:sz w:val="20"/>
          <w:szCs w:val="20"/>
          <w:color w:val="auto"/>
        </w:rPr>
      </w:pPr>
    </w:p>
    <w:p>
      <w:pPr>
        <w:jc w:val="both"/>
        <w:ind w:right="20"/>
        <w:spacing w:after="0" w:line="257" w:lineRule="auto"/>
        <w:rPr>
          <w:sz w:val="20"/>
          <w:szCs w:val="20"/>
          <w:color w:val="auto"/>
        </w:rPr>
      </w:pPr>
      <w:r>
        <w:rPr>
          <w:rFonts w:ascii="Arial" w:cs="Arial" w:eastAsia="Arial" w:hAnsi="Arial"/>
          <w:sz w:val="16"/>
          <w:szCs w:val="16"/>
          <w:color w:val="auto"/>
        </w:rPr>
        <w:t>In our 2018 Form 10-K Part II, Item 7, Management’s Discussion and Analysis of Financial Conditions and Results of Operations, under the heading “Contractual Obligations and Commitments”, we have described our commitments and contingencies. There were no material changes in our commitments and contingencies during the six months ended March 31, 2019.</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w:t>
      </w:r>
    </w:p>
    <w:p>
      <w:pPr>
        <w:spacing w:after="0" w:line="104" w:lineRule="exact"/>
        <w:rPr>
          <w:sz w:val="20"/>
          <w:szCs w:val="20"/>
          <w:color w:val="auto"/>
        </w:rPr>
      </w:pPr>
    </w:p>
    <w:p>
      <w:pPr>
        <w:spacing w:after="0" w:line="269" w:lineRule="auto"/>
        <w:rPr>
          <w:sz w:val="20"/>
          <w:szCs w:val="20"/>
          <w:color w:val="auto"/>
        </w:rPr>
      </w:pPr>
      <w:r>
        <w:rPr>
          <w:rFonts w:ascii="Arial" w:cs="Arial" w:eastAsia="Arial" w:hAnsi="Arial"/>
          <w:sz w:val="15"/>
          <w:szCs w:val="15"/>
          <w:color w:val="auto"/>
        </w:rPr>
        <w:t>Our consolidated financial statements are prepared in accordance with accounting principles generally accepted in the United States of America. The preparation of our consolidated financial statements and related disclosures requires us to make estimates and assumptions that affect the reported amount of assets, liabilities, revenue, costs and expenses, and related disclosures. We believe that the estimates and assumptions involved in the accounting policies described below may have the greatest potential impact on our consolidated financial statements and, therefore, consider these to be our critical accounting policies. We evaluate our estimates and assumptions on an ongoing basis. Our actual results may differ from these estimates under different assumptions and conditions. See also our Annual Report on Form 10-K for the fiscal year ended September 30, 2018 (referred to as our 2018 Form 10-K) for information about these accounting policies as well as a description of our other significant accounting policies. We believe that of our significant accounting policies, the following accounting policies involve the most judgment and complexity:</w:t>
      </w:r>
    </w:p>
    <w:p>
      <w:pPr>
        <w:spacing w:after="0" w:line="66" w:lineRule="exact"/>
        <w:rPr>
          <w:sz w:val="20"/>
          <w:szCs w:val="20"/>
          <w:color w:val="auto"/>
        </w:rPr>
      </w:pPr>
    </w:p>
    <w:p>
      <w:pPr>
        <w:ind w:left="1020" w:hanging="517"/>
        <w:spacing w:after="0"/>
        <w:tabs>
          <w:tab w:leader="none" w:pos="10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Revenue recognition;</w:t>
      </w:r>
    </w:p>
    <w:p>
      <w:pPr>
        <w:spacing w:after="0" w:line="99" w:lineRule="exact"/>
        <w:rPr>
          <w:rFonts w:ascii="Arial" w:cs="Arial" w:eastAsia="Arial" w:hAnsi="Arial"/>
          <w:sz w:val="16"/>
          <w:szCs w:val="16"/>
          <w:color w:val="auto"/>
        </w:rPr>
      </w:pPr>
    </w:p>
    <w:p>
      <w:pPr>
        <w:ind w:left="1020" w:hanging="517"/>
        <w:spacing w:after="0"/>
        <w:tabs>
          <w:tab w:leader="none" w:pos="10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Accrual of research and development expenses;</w:t>
      </w:r>
    </w:p>
    <w:p>
      <w:pPr>
        <w:spacing w:after="0" w:line="99" w:lineRule="exact"/>
        <w:rPr>
          <w:rFonts w:ascii="Arial" w:cs="Arial" w:eastAsia="Arial" w:hAnsi="Arial"/>
          <w:sz w:val="16"/>
          <w:szCs w:val="16"/>
          <w:color w:val="auto"/>
        </w:rPr>
      </w:pPr>
    </w:p>
    <w:p>
      <w:pPr>
        <w:ind w:left="1020" w:hanging="517"/>
        <w:spacing w:after="0"/>
        <w:tabs>
          <w:tab w:leader="none" w:pos="10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Income taxes; and</w:t>
      </w:r>
    </w:p>
    <w:p>
      <w:pPr>
        <w:spacing w:after="0" w:line="99" w:lineRule="exact"/>
        <w:rPr>
          <w:rFonts w:ascii="Arial" w:cs="Arial" w:eastAsia="Arial" w:hAnsi="Arial"/>
          <w:sz w:val="16"/>
          <w:szCs w:val="16"/>
          <w:color w:val="auto"/>
        </w:rPr>
      </w:pPr>
    </w:p>
    <w:p>
      <w:pPr>
        <w:ind w:left="1020" w:hanging="517"/>
        <w:spacing w:after="0"/>
        <w:tabs>
          <w:tab w:leader="none" w:pos="10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Stock-based compensation</w:t>
      </w:r>
    </w:p>
    <w:p>
      <w:pPr>
        <w:spacing w:after="0" w:line="100"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Accordingly, we believe the policies set forth above are critical to fully understanding and evaluating our financial condition and results of operations. If actual results or events differ materially from the estimates, judgments and assumptions used by us in applying these policies, our reported financial condition and results of operations could be materially affected.</w:t>
      </w:r>
    </w:p>
    <w:p>
      <w:pPr>
        <w:spacing w:after="0" w:line="71"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On October 1, 2018, we adopted the new revenue standard, ASU 2014-09 and its related amendments, which amended revenue recognition principles and provides a single, comprehensive set of criteria for revenue recognition within and across all industries (“ASC 606”). ASC 606 provides guidance on recognizing revenue, including a five-step model to determine when revenue recognition is appropriate. The standard requires that an entity recognize revenue to depict the transfer of control of promised goods or services to customers in an amount that reflects the consideration to which the entity expects to be entitled in exchange for those goods or services. We will apply the guidance in ASC 606 to our one ongoing collaboration agreement under which we are eligible to earn sales-based royalties and to qualifying arrangements entered into after October 1, 2018. We recognize revenue related to the sales-based royalties in the period in which the underlying sales occur based on actual sales as communicated by the licensee. The license is deemed to be the predominant item to which the royalties relate.</w:t>
      </w:r>
    </w:p>
    <w:p>
      <w:pPr>
        <w:spacing w:after="0" w:line="78" w:lineRule="exact"/>
        <w:rPr>
          <w:sz w:val="20"/>
          <w:szCs w:val="20"/>
          <w:color w:val="auto"/>
        </w:rPr>
      </w:pPr>
    </w:p>
    <w:p>
      <w:pPr>
        <w:ind w:right="360"/>
        <w:spacing w:after="0" w:line="268" w:lineRule="auto"/>
        <w:rPr>
          <w:sz w:val="20"/>
          <w:szCs w:val="20"/>
          <w:color w:val="auto"/>
        </w:rPr>
      </w:pPr>
      <w:r>
        <w:rPr>
          <w:rFonts w:ascii="Arial" w:cs="Arial" w:eastAsia="Arial" w:hAnsi="Arial"/>
          <w:sz w:val="16"/>
          <w:szCs w:val="16"/>
          <w:color w:val="auto"/>
        </w:rPr>
        <w:t>Other than the adoption of ASC 606 in the first quarter of fiscal 2019, there have been no significant changes to our critical accounting policies since September 30, 2018. For further information, please see the discussion of critical accounting policies included in our 2018 Form 10-K.</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Accounting Pronouncements</w:t>
      </w:r>
    </w:p>
    <w:p>
      <w:pPr>
        <w:spacing w:after="0" w:line="104" w:lineRule="exact"/>
        <w:rPr>
          <w:sz w:val="20"/>
          <w:szCs w:val="20"/>
          <w:color w:val="auto"/>
        </w:rPr>
      </w:pPr>
    </w:p>
    <w:p>
      <w:pPr>
        <w:ind w:right="280"/>
        <w:spacing w:after="0" w:line="268" w:lineRule="auto"/>
        <w:rPr>
          <w:sz w:val="20"/>
          <w:szCs w:val="20"/>
          <w:color w:val="auto"/>
        </w:rPr>
      </w:pPr>
      <w:r>
        <w:rPr>
          <w:rFonts w:ascii="Arial" w:cs="Arial" w:eastAsia="Arial" w:hAnsi="Arial"/>
          <w:sz w:val="16"/>
          <w:szCs w:val="16"/>
          <w:color w:val="auto"/>
        </w:rPr>
        <w:t>A description of recently issued accounting pronouncements that may potentially impact our financial position and results of operations is set forth in Note 2 to the consolidated financial statements included in this Quarterly Report on Form 10-Q.</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58420</wp:posOffset>
            </wp:positionV>
            <wp:extent cx="7303770" cy="40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00"/>
          </w:cols>
          <w:pgMar w:left="240" w:top="411" w:right="259" w:bottom="1440" w:gutter="0" w:footer="0" w:header="0"/>
        </w:sectPr>
      </w:pPr>
    </w:p>
    <w:bookmarkStart w:id="26" w:name="page27"/>
    <w:bookmarkEnd w:id="26"/>
    <w:p>
      <w:pPr>
        <w:ind w:left="5"/>
        <w:spacing w:after="0"/>
        <w:tabs>
          <w:tab w:leader="none" w:pos="1145" w:val="left"/>
        </w:tabs>
        <w:rPr>
          <w:sz w:val="20"/>
          <w:szCs w:val="20"/>
          <w:color w:val="auto"/>
        </w:rPr>
      </w:pPr>
      <w:r>
        <w:rPr>
          <w:rFonts w:ascii="Arial" w:cs="Arial" w:eastAsia="Arial" w:hAnsi="Arial"/>
          <w:sz w:val="16"/>
          <w:szCs w:val="16"/>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 ABOUT MARKET RISK</w:t>
      </w:r>
    </w:p>
    <w:p>
      <w:pPr>
        <w:spacing w:after="0" w:line="104"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color w:val="auto"/>
        </w:rPr>
        <w:t>Interest Rate Sensitivity</w:t>
      </w:r>
    </w:p>
    <w:p>
      <w:pPr>
        <w:spacing w:after="0" w:line="100" w:lineRule="exact"/>
        <w:rPr>
          <w:sz w:val="20"/>
          <w:szCs w:val="20"/>
          <w:color w:val="auto"/>
        </w:rPr>
      </w:pPr>
    </w:p>
    <w:p>
      <w:pPr>
        <w:ind w:left="5"/>
        <w:spacing w:after="0" w:line="254" w:lineRule="auto"/>
        <w:rPr>
          <w:sz w:val="20"/>
          <w:szCs w:val="20"/>
          <w:color w:val="auto"/>
        </w:rPr>
      </w:pPr>
      <w:r>
        <w:rPr>
          <w:rFonts w:ascii="Arial" w:cs="Arial" w:eastAsia="Arial" w:hAnsi="Arial"/>
          <w:sz w:val="16"/>
          <w:szCs w:val="16"/>
          <w:color w:val="auto"/>
        </w:rPr>
        <w:t>We had cash, cash equivalents and short-term and long-term marketable securities of $386.7 million at March 31, 2019 consisting of cash, money market funds, agency securities, commercial paper, treasury notes and corporate bonds. Interest income is sensitive to changes in the general level of interest rates; however, due to the nature of these investments, a change in market interest rates of 100 basis points would not be expected to have a material impact on our financial condition or results of operations. Other than our capital lease obligation, we had no debt outstanding as of March 31, 2019.</w:t>
      </w:r>
    </w:p>
    <w:p>
      <w:pPr>
        <w:spacing w:after="0" w:line="258" w:lineRule="exact"/>
        <w:rPr>
          <w:sz w:val="20"/>
          <w:szCs w:val="20"/>
          <w:color w:val="auto"/>
        </w:rPr>
      </w:pPr>
    </w:p>
    <w:p>
      <w:pPr>
        <w:ind w:left="5"/>
        <w:spacing w:after="0"/>
        <w:tabs>
          <w:tab w:leader="none" w:pos="1145"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04" w:lineRule="exact"/>
        <w:rPr>
          <w:sz w:val="20"/>
          <w:szCs w:val="20"/>
          <w:color w:val="auto"/>
        </w:rPr>
      </w:pPr>
    </w:p>
    <w:p>
      <w:pPr>
        <w:ind w:left="165" w:hanging="165"/>
        <w:spacing w:after="0"/>
        <w:tabs>
          <w:tab w:leader="none" w:pos="165"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Conclusion Regarding the Effectiveness of Disclosure Controls and Procedures.</w:t>
      </w:r>
    </w:p>
    <w:p>
      <w:pPr>
        <w:spacing w:after="0" w:line="100" w:lineRule="exact"/>
        <w:rPr>
          <w:sz w:val="20"/>
          <w:szCs w:val="20"/>
          <w:color w:val="auto"/>
        </w:rPr>
      </w:pPr>
    </w:p>
    <w:p>
      <w:pPr>
        <w:ind w:left="5" w:right="20"/>
        <w:spacing w:after="0" w:line="252" w:lineRule="auto"/>
        <w:rPr>
          <w:sz w:val="20"/>
          <w:szCs w:val="20"/>
          <w:color w:val="auto"/>
        </w:rPr>
      </w:pPr>
      <w:r>
        <w:rPr>
          <w:rFonts w:ascii="Arial" w:cs="Arial" w:eastAsia="Arial" w:hAnsi="Arial"/>
          <w:sz w:val="16"/>
          <w:szCs w:val="16"/>
          <w:color w:val="auto"/>
        </w:rPr>
        <w:t>Our management, with the participation of the principal executive officer and principal financial officer, has evaluated the effectiveness of the design and operation of our disclosure controls and procedures (as defined in Rules 13a-15(e) and 15d-15(e) under the Securities Exchange Act of 1934, as amended (the “Exchange Act”)) as of the end of the period covered by this quarterly report. Based on this evaluation, the principal executive officer and principal financial officer concluded that these disclosure controls and procedures are effective and designed to ensure that the information required to be disclosed in our reports filed or submitted under the Exchange Act is recorded, processed, summarized and reported within the requisite time periods.</w:t>
      </w:r>
    </w:p>
    <w:p>
      <w:pPr>
        <w:spacing w:after="0" w:line="264" w:lineRule="exact"/>
        <w:rPr>
          <w:sz w:val="20"/>
          <w:szCs w:val="20"/>
          <w:color w:val="auto"/>
        </w:rPr>
      </w:pPr>
    </w:p>
    <w:p>
      <w:pPr>
        <w:ind w:left="165" w:hanging="165"/>
        <w:spacing w:after="0"/>
        <w:tabs>
          <w:tab w:leader="none" w:pos="165"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Changes in Internal Control Over Financial Reporting.</w:t>
      </w:r>
    </w:p>
    <w:p>
      <w:pPr>
        <w:spacing w:after="0" w:line="100" w:lineRule="exact"/>
        <w:rPr>
          <w:sz w:val="20"/>
          <w:szCs w:val="20"/>
          <w:color w:val="auto"/>
        </w:rPr>
      </w:pPr>
    </w:p>
    <w:p>
      <w:pPr>
        <w:ind w:left="5" w:right="180"/>
        <w:spacing w:after="0" w:line="257" w:lineRule="auto"/>
        <w:rPr>
          <w:sz w:val="20"/>
          <w:szCs w:val="20"/>
          <w:color w:val="auto"/>
        </w:rPr>
      </w:pPr>
      <w:r>
        <w:rPr>
          <w:rFonts w:ascii="Arial" w:cs="Arial" w:eastAsia="Arial" w:hAnsi="Arial"/>
          <w:sz w:val="16"/>
          <w:szCs w:val="16"/>
          <w:color w:val="auto"/>
        </w:rPr>
        <w:t>There was no change in our internal control over financial reporting (as defined in Rules 13a-15(f) and 15d-15(f) under the Exchange Act) identified in connection with the evaluation of our internal control performed during the last fiscal quarter that has materially affected, or is reasonably likely to materially affect, our internal control over financial reporting.</w:t>
      </w:r>
    </w:p>
    <w:p>
      <w:pPr>
        <w:spacing w:after="0" w:line="166"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58420</wp:posOffset>
            </wp:positionV>
            <wp:extent cx="7303770" cy="406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25"/>
          </w:cols>
          <w:pgMar w:left="235" w:top="596" w:right="23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color w:val="auto"/>
        </w:rPr>
        <w:t xml:space="preserve">PART II </w:t>
      </w:r>
      <w:r>
        <w:rPr>
          <w:rFonts w:ascii="Arial" w:cs="Arial" w:eastAsia="Arial" w:hAnsi="Arial"/>
          <w:sz w:val="18"/>
          <w:szCs w:val="18"/>
          <w:b w:val="1"/>
          <w:bCs w:val="1"/>
          <w:color w:val="auto"/>
        </w:rPr>
        <w:t>—</w:t>
      </w:r>
      <w:r>
        <w:rPr>
          <w:rFonts w:ascii="Arial" w:cs="Arial" w:eastAsia="Arial" w:hAnsi="Arial"/>
          <w:sz w:val="16"/>
          <w:szCs w:val="16"/>
          <w:b w:val="1"/>
          <w:bCs w:val="1"/>
          <w:color w:val="auto"/>
        </w:rPr>
        <w:t>OTHER INFORMATION</w:t>
      </w:r>
    </w:p>
    <w:p>
      <w:pPr>
        <w:sectPr>
          <w:pgSz w:w="11900" w:h="16838" w:orient="portrait"/>
          <w:cols w:equalWidth="0" w:num="1">
            <w:col w:w="11400"/>
          </w:cols>
          <w:pgMar w:left="240" w:top="304" w:right="259" w:bottom="1440" w:gutter="0" w:footer="0" w:header="0"/>
        </w:sect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w:t>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398" w:lineRule="exact"/>
        <w:rPr>
          <w:sz w:val="20"/>
          <w:szCs w:val="20"/>
          <w:color w:val="auto"/>
        </w:rPr>
      </w:pPr>
    </w:p>
    <w:p>
      <w:pPr>
        <w:sectPr>
          <w:pgSz w:w="11900" w:h="16838" w:orient="portrait"/>
          <w:cols w:equalWidth="0" w:num="2">
            <w:col w:w="1160" w:space="100"/>
            <w:col w:w="10140"/>
          </w:cols>
          <w:pgMar w:left="240" w:top="304" w:right="259" w:bottom="1440" w:gutter="0" w:footer="0" w:header="0"/>
          <w:type w:val="continuous"/>
        </w:sectPr>
      </w:pPr>
    </w:p>
    <w:p>
      <w:pPr>
        <w:spacing w:after="0" w:line="250" w:lineRule="auto"/>
        <w:rPr>
          <w:sz w:val="20"/>
          <w:szCs w:val="20"/>
          <w:color w:val="auto"/>
        </w:rPr>
      </w:pPr>
      <w:r>
        <w:rPr>
          <w:rFonts w:ascii="Arial" w:cs="Arial" w:eastAsia="Arial" w:hAnsi="Arial"/>
          <w:sz w:val="16"/>
          <w:szCs w:val="16"/>
          <w:i w:val="1"/>
          <w:iCs w:val="1"/>
          <w:color w:val="auto"/>
        </w:rPr>
        <w:t>Our business faces significant risks and uncertainties, any of which, alone or in combination with others, may have a material adverse effect on our business prospects, financial condition and results of operations. Accordingly, in evaluating our business, we encourage you to consider the following summary of the risk factors and uncertainties that we believe are most relevant to our business. You should carefully consider the risks described below before making an investment decision, and understand that it is not possible to predict or identify all such factors. Other events that we do not currently anticipate or that we currently deem immaterial may also affect our business, prospects, financial condition and results of operations. In addition, we operate in a competitive and rapidly changing environment. New factors emerge from time to time and it is not possible to predict the impact of all of these factors on our business, financial condition or results of operations. We undertake no obligation to publicly update forward-looking statements, whether as a result of new information, future events, or otherwise.</w:t>
      </w:r>
    </w:p>
    <w:p>
      <w:pPr>
        <w:spacing w:after="0" w:line="267" w:lineRule="exact"/>
        <w:rPr>
          <w:sz w:val="20"/>
          <w:szCs w:val="20"/>
          <w:color w:val="auto"/>
        </w:rPr>
      </w:pPr>
    </w:p>
    <w:p>
      <w:pPr>
        <w:ind w:right="120"/>
        <w:spacing w:after="0" w:line="254" w:lineRule="auto"/>
        <w:rPr>
          <w:sz w:val="20"/>
          <w:szCs w:val="20"/>
          <w:color w:val="auto"/>
        </w:rPr>
      </w:pPr>
      <w:r>
        <w:rPr>
          <w:rFonts w:ascii="Arial" w:cs="Arial" w:eastAsia="Arial" w:hAnsi="Arial"/>
          <w:sz w:val="16"/>
          <w:szCs w:val="16"/>
          <w:i w:val="1"/>
          <w:iCs w:val="1"/>
          <w:color w:val="auto"/>
        </w:rPr>
        <w:t>The statement of risk factors provided in this Item 1A includes any material changes to and supersedes the statement of risk factors associated with our business previously disclosed in Item 1A of our Quarterly Report on Form 10-Q for the quarter ended December 31, 2018 filed on February 8, 2019 with the Securities and Exchange Commission (SEC). In assessing these risks, investors should also refer to the other information contained or incorporated by reference in this Form 10-Q and our other filings made from time to time with the SEC.</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Business</w:t>
      </w:r>
    </w:p>
    <w:p>
      <w:pPr>
        <w:spacing w:after="0" w:line="104" w:lineRule="exact"/>
        <w:rPr>
          <w:sz w:val="20"/>
          <w:szCs w:val="20"/>
          <w:color w:val="auto"/>
        </w:rPr>
      </w:pPr>
    </w:p>
    <w:p>
      <w:pPr>
        <w:ind w:right="120"/>
        <w:spacing w:after="0" w:line="341" w:lineRule="auto"/>
        <w:rPr>
          <w:sz w:val="20"/>
          <w:szCs w:val="20"/>
          <w:color w:val="auto"/>
        </w:rPr>
      </w:pPr>
      <w:r>
        <w:rPr>
          <w:rFonts w:ascii="Arial" w:cs="Arial" w:eastAsia="Arial" w:hAnsi="Arial"/>
          <w:sz w:val="14"/>
          <w:szCs w:val="14"/>
          <w:b w:val="1"/>
          <w:bCs w:val="1"/>
          <w:i w:val="1"/>
          <w:iCs w:val="1"/>
          <w:color w:val="auto"/>
        </w:rPr>
        <w:t>Our financial prospects for the next several years are dependent upon the commercialization efforts of AbbVie for combination therapies incorporating our protease inhibitor, glecaprevir, for the treatment of HCV. AbbVie may act in its best interest rather than in our best interest, which could adversely affect our business.</w:t>
      </w:r>
    </w:p>
    <w:p>
      <w:pPr>
        <w:spacing w:after="0" w:line="16" w:lineRule="exact"/>
        <w:rPr>
          <w:sz w:val="20"/>
          <w:szCs w:val="20"/>
          <w:color w:val="auto"/>
        </w:rPr>
      </w:pPr>
    </w:p>
    <w:p>
      <w:pPr>
        <w:ind w:right="260"/>
        <w:spacing w:after="0" w:line="252" w:lineRule="auto"/>
        <w:rPr>
          <w:sz w:val="20"/>
          <w:szCs w:val="20"/>
          <w:color w:val="auto"/>
        </w:rPr>
      </w:pPr>
      <w:r>
        <w:rPr>
          <w:rFonts w:ascii="Arial" w:cs="Arial" w:eastAsia="Arial" w:hAnsi="Arial"/>
          <w:sz w:val="16"/>
          <w:szCs w:val="16"/>
          <w:color w:val="auto"/>
        </w:rPr>
        <w:t>We rely on AbbVie to fund and conduct the commercialization of its regimen containing glecaprevir (our second protease inhibitor, which is one of the two DAAs in AbbVie’s MAVYRET/MAVIRET treatment), over which we have granted AbbVie complete control. Our ability to continue to generate revenue will depend primarily on the success of AbbVie’s efforts to maintain sales of MAVYRET/MAVIRET. Such success is subject to uncertainty, and we have no control over the resources, time and effort that AbbVie may devote to sales of this regimen. Any of several events or factors could have a material adverse effect on our ability to continue to generate revenue from AbbVie’s sales of MAVYRET/MAVIRET. For example, AbbVie:</w:t>
      </w:r>
    </w:p>
    <w:p>
      <w:pPr>
        <w:spacing w:after="0" w:line="75" w:lineRule="exact"/>
        <w:rPr>
          <w:sz w:val="20"/>
          <w:szCs w:val="20"/>
          <w:color w:val="auto"/>
        </w:rPr>
      </w:pPr>
    </w:p>
    <w:p>
      <w:pPr>
        <w:ind w:left="1020" w:right="120" w:hanging="517"/>
        <w:spacing w:after="0" w:line="268" w:lineRule="auto"/>
        <w:tabs>
          <w:tab w:leader="none" w:pos="10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may not maintain satisfactory levels of prescriptions by physicians and reimbursement by third-party payers for the MAVYRET/MAVIRET regimen in the various markets of the world where it is being sold;</w:t>
      </w:r>
    </w:p>
    <w:p>
      <w:pPr>
        <w:spacing w:after="0" w:line="62" w:lineRule="exact"/>
        <w:rPr>
          <w:rFonts w:ascii="Arial" w:cs="Arial" w:eastAsia="Arial" w:hAnsi="Arial"/>
          <w:sz w:val="16"/>
          <w:szCs w:val="16"/>
          <w:color w:val="auto"/>
        </w:rPr>
      </w:pPr>
    </w:p>
    <w:p>
      <w:pPr>
        <w:ind w:left="1020" w:right="680" w:hanging="517"/>
        <w:spacing w:after="0" w:line="268" w:lineRule="auto"/>
        <w:tabs>
          <w:tab w:leader="none" w:pos="10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may not compete successfully with its MAVYRET/MAVIRET regimen against other products and therapies for HCV, including competition for exclusive arrangements with third-party payers and governmental entities;</w:t>
      </w:r>
    </w:p>
    <w:p>
      <w:pPr>
        <w:spacing w:after="0" w:line="62" w:lineRule="exact"/>
        <w:rPr>
          <w:rFonts w:ascii="Arial" w:cs="Arial" w:eastAsia="Arial" w:hAnsi="Arial"/>
          <w:sz w:val="16"/>
          <w:szCs w:val="16"/>
          <w:color w:val="auto"/>
        </w:rPr>
      </w:pPr>
    </w:p>
    <w:p>
      <w:pPr>
        <w:ind w:left="1020" w:hanging="517"/>
        <w:spacing w:after="0"/>
        <w:tabs>
          <w:tab w:leader="none" w:pos="1020" w:val="left"/>
        </w:tabs>
        <w:numPr>
          <w:ilvl w:val="0"/>
          <w:numId w:val="26"/>
        </w:numPr>
        <w:rPr>
          <w:rFonts w:ascii="Arial" w:cs="Arial" w:eastAsia="Arial" w:hAnsi="Arial"/>
          <w:sz w:val="15"/>
          <w:szCs w:val="15"/>
          <w:color w:val="auto"/>
        </w:rPr>
      </w:pPr>
      <w:r>
        <w:rPr>
          <w:rFonts w:ascii="Arial" w:cs="Arial" w:eastAsia="Arial" w:hAnsi="Arial"/>
          <w:sz w:val="15"/>
          <w:szCs w:val="15"/>
          <w:color w:val="auto"/>
        </w:rPr>
        <w:t>may have to comply with additional requests and recommendations from the FDA, including label restrictions for its regimen containing glecaprevir;</w:t>
      </w:r>
    </w:p>
    <w:p>
      <w:pPr>
        <w:spacing w:after="0" w:line="111" w:lineRule="exact"/>
        <w:rPr>
          <w:rFonts w:ascii="Arial" w:cs="Arial" w:eastAsia="Arial" w:hAnsi="Arial"/>
          <w:sz w:val="15"/>
          <w:szCs w:val="15"/>
          <w:color w:val="auto"/>
        </w:rPr>
      </w:pPr>
    </w:p>
    <w:p>
      <w:pPr>
        <w:ind w:left="1020" w:hanging="517"/>
        <w:spacing w:after="0"/>
        <w:tabs>
          <w:tab w:leader="none" w:pos="10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may not make all regulatory filings and obtain all necessary approvals from foreign regulatory agencies and all commercially necessary reimbursement approvals;</w:t>
      </w:r>
    </w:p>
    <w:p>
      <w:pPr>
        <w:spacing w:after="0" w:line="122" w:lineRule="exact"/>
        <w:rPr>
          <w:rFonts w:ascii="Arial" w:cs="Arial" w:eastAsia="Arial" w:hAnsi="Arial"/>
          <w:sz w:val="14"/>
          <w:szCs w:val="14"/>
          <w:color w:val="auto"/>
        </w:rPr>
      </w:pPr>
    </w:p>
    <w:p>
      <w:pPr>
        <w:ind w:left="1020" w:right="80" w:hanging="517"/>
        <w:spacing w:after="0" w:line="268" w:lineRule="auto"/>
        <w:tabs>
          <w:tab w:leader="none" w:pos="10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may not commit sufficient resources to the marketing and distribution of MAVYRET/MAVIRET, whether for competitive or strategic reasons or otherwise due to a change in business priorities;</w:t>
      </w:r>
    </w:p>
    <w:p>
      <w:pPr>
        <w:spacing w:after="0" w:line="62" w:lineRule="exact"/>
        <w:rPr>
          <w:rFonts w:ascii="Arial" w:cs="Arial" w:eastAsia="Arial" w:hAnsi="Arial"/>
          <w:sz w:val="16"/>
          <w:szCs w:val="16"/>
          <w:color w:val="auto"/>
        </w:rPr>
      </w:pPr>
    </w:p>
    <w:p>
      <w:pPr>
        <w:ind w:left="1020" w:hanging="517"/>
        <w:spacing w:after="0"/>
        <w:tabs>
          <w:tab w:leader="none" w:pos="10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may cease to perform its obligations under the terms of our collaboration agreement;</w:t>
      </w:r>
    </w:p>
    <w:p>
      <w:pPr>
        <w:spacing w:after="0" w:line="99" w:lineRule="exact"/>
        <w:rPr>
          <w:rFonts w:ascii="Arial" w:cs="Arial" w:eastAsia="Arial" w:hAnsi="Arial"/>
          <w:sz w:val="16"/>
          <w:szCs w:val="16"/>
          <w:color w:val="auto"/>
        </w:rPr>
      </w:pPr>
    </w:p>
    <w:p>
      <w:pPr>
        <w:ind w:left="1020" w:hanging="517"/>
        <w:spacing w:after="0"/>
        <w:tabs>
          <w:tab w:leader="none" w:pos="10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may unilaterally terminate our collaboration agreement on specified prior notice without any reason and without any further commitment; and</w:t>
      </w:r>
    </w:p>
    <w:p>
      <w:pPr>
        <w:spacing w:after="0" w:line="99" w:lineRule="exact"/>
        <w:rPr>
          <w:rFonts w:ascii="Arial" w:cs="Arial" w:eastAsia="Arial" w:hAnsi="Arial"/>
          <w:sz w:val="16"/>
          <w:szCs w:val="16"/>
          <w:color w:val="auto"/>
        </w:rPr>
      </w:pPr>
    </w:p>
    <w:p>
      <w:pPr>
        <w:ind w:left="1020" w:right="400" w:hanging="517"/>
        <w:spacing w:after="0" w:line="268" w:lineRule="auto"/>
        <w:tabs>
          <w:tab w:leader="none" w:pos="10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may not be able to manufacture glecaprevir in compliance with requirements of the FDA and similar foreign regulatory agencies and in commercial quantities sufficient to meet market demand.</w:t>
      </w:r>
    </w:p>
    <w:p>
      <w:pPr>
        <w:spacing w:after="0" w:line="252" w:lineRule="exact"/>
        <w:rPr>
          <w:sz w:val="20"/>
          <w:szCs w:val="20"/>
          <w:color w:val="auto"/>
        </w:rPr>
      </w:pPr>
    </w:p>
    <w:p>
      <w:pPr>
        <w:ind w:right="100"/>
        <w:spacing w:after="0" w:line="311" w:lineRule="auto"/>
        <w:rPr>
          <w:sz w:val="20"/>
          <w:szCs w:val="20"/>
          <w:color w:val="auto"/>
        </w:rPr>
      </w:pPr>
      <w:r>
        <w:rPr>
          <w:rFonts w:ascii="Arial" w:cs="Arial" w:eastAsia="Arial" w:hAnsi="Arial"/>
          <w:sz w:val="14"/>
          <w:szCs w:val="14"/>
          <w:color w:val="auto"/>
        </w:rPr>
        <w:t>We do not have access to all information regarding the HCV regimens being commercialized by AbbVie, including certain information about spontaneous safety reports for any marketed product, regulatory affairs, process development, manufacturing, marketing, sales and other areas known by AbbVie. Thus, our ability to keep our stockholders informed about the status of products licensed under our collaboration is limited by the degree to which AbbVie keeps us informed. If AbbVie does not perform in the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58420</wp:posOffset>
            </wp:positionV>
            <wp:extent cx="7303770" cy="40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00"/>
          </w:cols>
          <w:pgMar w:left="240" w:top="304" w:right="259" w:bottom="1440" w:gutter="0" w:footer="0" w:header="0"/>
          <w:type w:val="continuous"/>
        </w:sectPr>
      </w:pPr>
    </w:p>
    <w:bookmarkStart w:id="28" w:name="page29"/>
    <w:bookmarkEnd w:id="28"/>
    <w:p>
      <w:pPr>
        <w:ind w:right="220"/>
        <w:spacing w:after="0" w:line="311" w:lineRule="auto"/>
        <w:rPr>
          <w:sz w:val="20"/>
          <w:szCs w:val="20"/>
          <w:color w:val="auto"/>
        </w:rPr>
      </w:pPr>
      <w:r>
        <w:rPr>
          <w:rFonts w:ascii="Arial" w:cs="Arial" w:eastAsia="Arial" w:hAnsi="Arial"/>
          <w:sz w:val="14"/>
          <w:szCs w:val="14"/>
          <w:color w:val="auto"/>
        </w:rPr>
        <w:t>manner we expect or fulfill its responsibilities in a timely manner, or at all, the global commercialization of MAVYRET/MAVIRET could be delayed or terminated in selected jurisdictions or be commercially unsuccessful. In addition, AbbVie has the right to make decisions regarding the commercialization of licensed products without consulting us. AbbVie may also make decisions with which we do not agree. If AbbVie acts in a manner that is not in our best interest, then it could adversely affect our business and prospects.</w:t>
      </w:r>
    </w:p>
    <w:p>
      <w:pPr>
        <w:spacing w:after="0" w:line="226" w:lineRule="exact"/>
        <w:rPr>
          <w:sz w:val="20"/>
          <w:szCs w:val="20"/>
          <w:color w:val="auto"/>
        </w:rPr>
      </w:pPr>
    </w:p>
    <w:p>
      <w:pPr>
        <w:ind w:right="200"/>
        <w:spacing w:after="0" w:line="268" w:lineRule="auto"/>
        <w:rPr>
          <w:sz w:val="20"/>
          <w:szCs w:val="20"/>
          <w:color w:val="auto"/>
        </w:rPr>
      </w:pPr>
      <w:r>
        <w:rPr>
          <w:rFonts w:ascii="Arial" w:cs="Arial" w:eastAsia="Arial" w:hAnsi="Arial"/>
          <w:sz w:val="16"/>
          <w:szCs w:val="16"/>
          <w:b w:val="1"/>
          <w:bCs w:val="1"/>
          <w:i w:val="1"/>
          <w:iCs w:val="1"/>
          <w:color w:val="auto"/>
        </w:rPr>
        <w:t>Our royalty revenues are primarily derived from AbbVie’s net sales of its MAVYRET/MAVIRET regimen for HCV. If AbbVie is unable to maintain sales of this regimen at or above current levels of sales, our royalty revenues would be adversely affected.</w:t>
      </w:r>
    </w:p>
    <w:p>
      <w:pPr>
        <w:spacing w:after="0" w:line="62"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AbbVie’s MAVYRET/MAVIRET regimen continues to be the leading HCV treatment in the U.S. and several market geographies in developed countries where it is approved even though in the U.S. it is priced well below the pricing of AbbVie’s first HCV regimens, and below that of its principal competitor, Gilead. While commercialization of this regimen is exclusively in AbbVie’s control without any required input from us, we believe it is possible that prices will decline further due to payers obtaining additional discounts or competitive market dynamics. For example, the states of Louisiana and Washington have each announced efforts to negotiate a blanket price for one of the HCV drug companies to treat all patients in one or more state programs. Gilead was awarded the contract in Louisiana and AbbVie was awarded the contract in Washington. It is unknown whether these programs or other programs that states may adopt could have an impact on MAVYRET/MAVIRET sales. There may also be fluctuations in AbbVie’s market share over time due to these and other competitive actions by Gilead.</w:t>
      </w:r>
    </w:p>
    <w:p>
      <w:pPr>
        <w:spacing w:after="0" w:line="173" w:lineRule="exact"/>
        <w:rPr>
          <w:sz w:val="20"/>
          <w:szCs w:val="20"/>
          <w:color w:val="auto"/>
        </w:rPr>
      </w:pPr>
    </w:p>
    <w:p>
      <w:pPr>
        <w:spacing w:after="0" w:line="273" w:lineRule="auto"/>
        <w:rPr>
          <w:sz w:val="20"/>
          <w:szCs w:val="20"/>
          <w:color w:val="auto"/>
        </w:rPr>
      </w:pPr>
      <w:r>
        <w:rPr>
          <w:rFonts w:ascii="Arial" w:cs="Arial" w:eastAsia="Arial" w:hAnsi="Arial"/>
          <w:sz w:val="15"/>
          <w:szCs w:val="15"/>
          <w:color w:val="auto"/>
        </w:rPr>
        <w:t>In addition, in light of continued fiscal crises experienced by several countries in the European Union and Japan, governments have announced or implemented measures to manage and reduce healthcare expenditures. AbbVie may experience global pricing pressure for its HCV regimens from such measures, which may be reflected in larger discounts or rebates on its regimens or delayed reimbursement. Also, private and public payers may choose to exclude AbbVie’s MAVYRET/MAVIRET regimen from their formulary coverage lists or limit the types of patients for whom coverage will be provided. Any such change in formulary coverage, discounts or rebates or reimbursement for MAVYRET/MAVIRET would negatively affect the demand for such regimen and our royalty revenue derived from its sales.</w:t>
      </w:r>
    </w:p>
    <w:p>
      <w:pPr>
        <w:spacing w:after="0" w:line="249" w:lineRule="exact"/>
        <w:rPr>
          <w:sz w:val="20"/>
          <w:szCs w:val="20"/>
          <w:color w:val="auto"/>
        </w:rPr>
      </w:pPr>
    </w:p>
    <w:p>
      <w:pPr>
        <w:ind w:right="200"/>
        <w:spacing w:after="0" w:line="257" w:lineRule="auto"/>
        <w:rPr>
          <w:sz w:val="20"/>
          <w:szCs w:val="20"/>
          <w:color w:val="auto"/>
        </w:rPr>
      </w:pPr>
      <w:r>
        <w:rPr>
          <w:rFonts w:ascii="Arial" w:cs="Arial" w:eastAsia="Arial" w:hAnsi="Arial"/>
          <w:sz w:val="16"/>
          <w:szCs w:val="16"/>
          <w:b w:val="1"/>
          <w:bCs w:val="1"/>
          <w:i w:val="1"/>
          <w:iCs w:val="1"/>
          <w:color w:val="auto"/>
        </w:rPr>
        <w:t>We and AbbVie face substantial competition in the markets for HCV drugs, and there are many companies developing potential therapies for NASH, PBC, RSV and HBV, as well as other liver diseases and viral infections, which may result in others discovering, developing or commercializing products before we do or doing so more successfully than we do.</w:t>
      </w:r>
    </w:p>
    <w:p>
      <w:pPr>
        <w:spacing w:after="0" w:line="71" w:lineRule="exact"/>
        <w:rPr>
          <w:sz w:val="20"/>
          <w:szCs w:val="20"/>
          <w:color w:val="auto"/>
        </w:rPr>
      </w:pPr>
    </w:p>
    <w:p>
      <w:pPr>
        <w:ind w:right="100"/>
        <w:spacing w:after="0" w:line="276" w:lineRule="auto"/>
        <w:rPr>
          <w:sz w:val="20"/>
          <w:szCs w:val="20"/>
          <w:color w:val="auto"/>
        </w:rPr>
      </w:pPr>
      <w:r>
        <w:rPr>
          <w:rFonts w:ascii="Arial" w:cs="Arial" w:eastAsia="Arial" w:hAnsi="Arial"/>
          <w:sz w:val="15"/>
          <w:szCs w:val="15"/>
          <w:color w:val="auto"/>
        </w:rPr>
        <w:t>The pharmaceutical and biotechnology industries are intensely competitive and rapidly changing. Many large pharmaceutical and biotechnology companies, academic institutions, governmental agencies and other public and private research organizations are commercializing or pursuing the development of products that target HCV, NASH, PBC, RSV, HBV and other viral infections or liver diseases that we may target in the future. Many of our competitors have substantially greater commercial infrastructure and greater financial, technical and personnel resources than we have, as well as drug candidates in late-stage clinical development.</w:t>
      </w:r>
    </w:p>
    <w:p>
      <w:pPr>
        <w:spacing w:after="0" w:line="153" w:lineRule="exact"/>
        <w:rPr>
          <w:sz w:val="20"/>
          <w:szCs w:val="20"/>
          <w:color w:val="auto"/>
        </w:rPr>
      </w:pPr>
    </w:p>
    <w:p>
      <w:pPr>
        <w:ind w:right="40"/>
        <w:spacing w:after="0" w:line="271" w:lineRule="auto"/>
        <w:rPr>
          <w:sz w:val="20"/>
          <w:szCs w:val="20"/>
          <w:color w:val="auto"/>
        </w:rPr>
      </w:pPr>
      <w:r>
        <w:rPr>
          <w:rFonts w:ascii="Arial" w:cs="Arial" w:eastAsia="Arial" w:hAnsi="Arial"/>
          <w:sz w:val="15"/>
          <w:szCs w:val="15"/>
          <w:color w:val="auto"/>
        </w:rPr>
        <w:t>In all the disease areas currently under the focus of our research and development efforts, there are other companies with product candidates that are more advanced than ours. Our competitors may succeed in developing these product candidates or others and obtaining regulatory approval before we can do so with any of our product candidates. If we are not “first to market” with one of our product candidates in one or more of these disease indications, our competitive position could be compromised because it may be more difficult for us to obtain marketing approval for that product candidate and market acceptance of that product candidate as a follow-on competitor. In addition, any new product that competes with an approved product typically must demonstrate compelling advantages in efficacy, convenience, tolerability or safety, or some combination of these factors, in order to gain regulatory approvals, overcome price competition and be commercially successful.</w:t>
      </w:r>
    </w:p>
    <w:p>
      <w:pPr>
        <w:spacing w:after="0" w:line="156"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We expect AbbVie’s MAVYRET/MAVIRET to continue to face intense competition due to existing approved products in the HCV market. AbbVie’s HCV treatment regimens currently face competition in various world markets and subpopulations of HCV from Gilead’s Epclusa</w:t>
      </w:r>
      <w:r>
        <w:rPr>
          <w:rFonts w:ascii="Arial" w:cs="Arial" w:eastAsia="Arial" w:hAnsi="Arial"/>
          <w:sz w:val="11"/>
          <w:szCs w:val="11"/>
          <w:color w:val="auto"/>
        </w:rPr>
        <w:t>®</w:t>
      </w:r>
      <w:r>
        <w:rPr>
          <w:rFonts w:ascii="Arial" w:cs="Arial" w:eastAsia="Arial" w:hAnsi="Arial"/>
          <w:sz w:val="14"/>
          <w:szCs w:val="14"/>
          <w:color w:val="auto"/>
        </w:rPr>
        <w:t xml:space="preserve"> (a fixed dose combination of sofosbuvir and velpatasvir), Vosevi™ (a triple combination therapy of sofosbuvir, velpatasvir and voxilaprevir approved by the FDA in July 2017 for specified sofosbuvir -treatment failures and NS5A-inhibitor treatment failures) and Harvoni</w:t>
      </w:r>
      <w:r>
        <w:rPr>
          <w:rFonts w:ascii="Arial" w:cs="Arial" w:eastAsia="Arial" w:hAnsi="Arial"/>
          <w:sz w:val="11"/>
          <w:szCs w:val="11"/>
          <w:color w:val="auto"/>
        </w:rPr>
        <w:t>®</w:t>
      </w:r>
      <w:r>
        <w:rPr>
          <w:rFonts w:ascii="Arial" w:cs="Arial" w:eastAsia="Arial" w:hAnsi="Arial"/>
          <w:sz w:val="14"/>
          <w:szCs w:val="14"/>
          <w:color w:val="auto"/>
        </w:rPr>
        <w:t xml:space="preserve"> (a fixed-dose combination of sofosbuvir and ledipasvir); and to a lesser extent - Merck’s Zepatier</w:t>
      </w:r>
      <w:r>
        <w:rPr>
          <w:rFonts w:ascii="Arial" w:cs="Arial" w:eastAsia="Arial" w:hAnsi="Arial"/>
          <w:sz w:val="11"/>
          <w:szCs w:val="11"/>
          <w:color w:val="auto"/>
        </w:rPr>
        <w:t>®</w:t>
      </w:r>
      <w:r>
        <w:rPr>
          <w:rFonts w:ascii="Arial" w:cs="Arial" w:eastAsia="Arial" w:hAnsi="Arial"/>
          <w:sz w:val="14"/>
          <w:szCs w:val="14"/>
          <w:color w:val="auto"/>
        </w:rPr>
        <w:t xml:space="preserve"> (a fixed-dose combination of grazoprevir and elbasvir). Recently, Gilead announced plans to launch authorized generic versions of Epclusa and Harvoni in January 2019 through a newly created subsidiary, Asegua Therapeutics, LLC, which could have an impact on the competitive landscape. For example, in March 2019, the state of Louisiana announced the selection of Asegua Therapeutics as their HCV subscription model pharmaceutical partner to provide the state with unrestricted access to its direct-acting antiviral medication. Other competitive products in the form of other treatment methods or a vaccine for HCV may render AbbVie’s HCV regimens obsolete or noncompetitive. AbbVie’s regimens that contain one of our collaboration’s protease inhibitors will face competition based on their safety and effectiveness, reimbursement coverage, price, patent position, AbbVie’s marketing and sales capabilities, and other factors. If any of AbbVie’s HCV regimens face competition from generic products other than authorized generic versions by the manufacturer of the branded product (i.e. Gilead and Asegua Therapeutics), the collaboration agreement provides that the royalty rate applicable to our protease product contained in the regimen is reduced significantly by a specified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58420</wp:posOffset>
            </wp:positionV>
            <wp:extent cx="7303770" cy="4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20"/>
          </w:cols>
          <w:pgMar w:left="240" w:top="600" w:right="239" w:bottom="1440" w:gutter="0" w:footer="0" w:header="0"/>
        </w:sectPr>
      </w:pPr>
    </w:p>
    <w:bookmarkStart w:id="29" w:name="page30"/>
    <w:bookmarkEnd w:id="29"/>
    <w:p>
      <w:pPr>
        <w:ind w:right="420"/>
        <w:spacing w:after="0" w:line="268" w:lineRule="auto"/>
        <w:rPr>
          <w:sz w:val="20"/>
          <w:szCs w:val="20"/>
          <w:color w:val="auto"/>
        </w:rPr>
      </w:pPr>
      <w:r>
        <w:rPr>
          <w:rFonts w:ascii="Arial" w:cs="Arial" w:eastAsia="Arial" w:hAnsi="Arial"/>
          <w:sz w:val="16"/>
          <w:szCs w:val="16"/>
          <w:color w:val="auto"/>
        </w:rPr>
        <w:t>percentage on a product-by-product, country-by-country basis. If AbbVie is not able to compete effectively against its competitors in HCV, our business will not grow and our financial condition, operations and stock price will suffer.</w:t>
      </w:r>
    </w:p>
    <w:p>
      <w:pPr>
        <w:spacing w:after="0" w:line="157" w:lineRule="exact"/>
        <w:rPr>
          <w:sz w:val="20"/>
          <w:szCs w:val="20"/>
          <w:color w:val="auto"/>
        </w:rPr>
      </w:pPr>
    </w:p>
    <w:p>
      <w:pPr>
        <w:ind w:right="40"/>
        <w:spacing w:after="0" w:line="266" w:lineRule="auto"/>
        <w:rPr>
          <w:sz w:val="20"/>
          <w:szCs w:val="20"/>
          <w:color w:val="auto"/>
        </w:rPr>
      </w:pPr>
      <w:r>
        <w:rPr>
          <w:rFonts w:ascii="Arial" w:cs="Arial" w:eastAsia="Arial" w:hAnsi="Arial"/>
          <w:sz w:val="15"/>
          <w:szCs w:val="15"/>
          <w:color w:val="auto"/>
        </w:rPr>
        <w:t>We also expect our other product candidates to face intense and increasing competition in the NASH and antiviral markets as advanced technologies and products become available. Though there is currently no approved treatment for NASH, we expect significant competition from other companies in the development of new treatments for NASH and related conditions. In February 2019, Intercept Pharmaceuticals announced positive Phase 3 trial results for OCA in NASH and has also signaled its intent to submit U.S. and European regulatory filings in the second half of calendar 2019 for approvals in this indication. We are aware of several other companies with NASH programs that are significantly more advanced than ours, including companies with compounds in Phase 3 clinical trials in NASH, namely Genfit, Madrigal and Tobira (Allergan). In addition, a number of companies have NASH or related programs with compounds in Phase 2 clinical trials. These companies include Alberio, Astra-Zeneca, BMS, Boehringer Ingelheim, Can-Fite BioPharma, Conatus, Cirius, Cymabay, Galectin, Galmed, Gilead, GlaxoSmithKline, Immuron, Inventiva, Ionis, Lipocine, Medicinova, Northsea Therapeutics, Novartis, NGM, Novo Nordisk, Pfizer, Second Genome, Viking and Zydus. For PBC, in May 2016, the FDA granted conditional approval for Intercept’s FXR agonist, OCA (brand name Ocaliva</w:t>
      </w:r>
      <w:r>
        <w:rPr>
          <w:rFonts w:ascii="Arial" w:cs="Arial" w:eastAsia="Arial" w:hAnsi="Arial"/>
          <w:sz w:val="12"/>
          <w:szCs w:val="12"/>
          <w:color w:val="auto"/>
        </w:rPr>
        <w:t>®</w:t>
      </w:r>
      <w:r>
        <w:rPr>
          <w:rFonts w:ascii="Arial" w:cs="Arial" w:eastAsia="Arial" w:hAnsi="Arial"/>
          <w:sz w:val="15"/>
          <w:szCs w:val="15"/>
          <w:color w:val="auto"/>
        </w:rPr>
        <w:t>), for the treatment of PBC in combination with first line therapy ursodeoxycholic acid (UDCA) in adults with an inadequate response to UDCA, or as monotherapy in adults unable to tolerate UDCA. In addition, several other companies are conducting advanced trials in PBC, including Cymabay (Phase 3) and Genfit (Phase 2 completed). A significant number of other companies are conducting earlier stage clinical trials that may be applicable in NASH, PBC and other cholestatic diseases. There are also additional companies conducting preclinical studies in these disease areas.</w:t>
      </w:r>
    </w:p>
    <w:p>
      <w:pPr>
        <w:spacing w:after="0" w:line="166" w:lineRule="exact"/>
        <w:rPr>
          <w:sz w:val="20"/>
          <w:szCs w:val="20"/>
          <w:color w:val="auto"/>
        </w:rPr>
      </w:pPr>
    </w:p>
    <w:p>
      <w:pPr>
        <w:ind w:right="20"/>
        <w:spacing w:after="0" w:line="301" w:lineRule="auto"/>
        <w:rPr>
          <w:sz w:val="20"/>
          <w:szCs w:val="20"/>
          <w:color w:val="auto"/>
        </w:rPr>
      </w:pPr>
      <w:r>
        <w:rPr>
          <w:rFonts w:ascii="Arial" w:cs="Arial" w:eastAsia="Arial" w:hAnsi="Arial"/>
          <w:sz w:val="14"/>
          <w:szCs w:val="14"/>
          <w:color w:val="auto"/>
        </w:rPr>
        <w:t>Similarly, HBV and RSV represent competitive therapeutic areas. While there are effective antiviral medications prescribed for HBV, they generally have low true cure rates. Many companies are seeking to develop new HBV drugs that alone or in combination with other mechanisms could lead to a functional cure of HBV. Arbutus, Assembly, Gilead, HEC, Ionis, Johnson &amp; Johnson, Maxwell, Replicor, Roche and Spring Bank have Phase 2 programs in progress, with many of these companies conducting earlier stage programs as well. In addition, a number of companies have Phase 1 or earlier stage HBV programs, including Aicuris, Altimmune, Arrowhead, Contravir, Dicerna, ENYO, Transgene and Vir.</w:t>
      </w:r>
    </w:p>
    <w:p>
      <w:pPr>
        <w:spacing w:after="0" w:line="139"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For RSV, there are currently no safe and effective therapies for already established RSV infection. Several companies are seeking new antiviral treatments for RSV infection in adult and pediatric settings. Ark Bioscienes, Johnson &amp; Johnson, Gilead, Pulmocide and ReViral each have compounds in clinical development. A prophylactic, monoclonal-antibody-based treatment from MedImmune, which is commercialized by AbbVie outside of the U.S., is approved for infants considered at high risk for RSV infection; however studies have found that most young children with RSV infection were previously healthy, and thus would not normally be prescribed prophylactic treatment. In addition, a number of companies have RSV vaccines in development, primarily directed at prevention of RSV infection, and some companies are also evaluating vaccines in a therapeutic mode for treatment of established RSV infection.</w:t>
      </w:r>
    </w:p>
    <w:p>
      <w:pPr>
        <w:spacing w:after="0" w:line="170"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If we are not able to develop new products that can compete effectively against our current and future competitors, our business will not grow and our financial condition, operations and stock price will suffer.</w:t>
      </w:r>
    </w:p>
    <w:p>
      <w:pPr>
        <w:spacing w:after="0" w:line="252" w:lineRule="exact"/>
        <w:rPr>
          <w:sz w:val="20"/>
          <w:szCs w:val="20"/>
          <w:color w:val="auto"/>
        </w:rPr>
      </w:pPr>
    </w:p>
    <w:p>
      <w:pPr>
        <w:ind w:right="160"/>
        <w:spacing w:after="0" w:line="268" w:lineRule="auto"/>
        <w:rPr>
          <w:sz w:val="20"/>
          <w:szCs w:val="20"/>
          <w:color w:val="auto"/>
        </w:rPr>
      </w:pPr>
      <w:r>
        <w:rPr>
          <w:rFonts w:ascii="Arial" w:cs="Arial" w:eastAsia="Arial" w:hAnsi="Arial"/>
          <w:sz w:val="16"/>
          <w:szCs w:val="16"/>
          <w:b w:val="1"/>
          <w:bCs w:val="1"/>
          <w:i w:val="1"/>
          <w:iCs w:val="1"/>
          <w:color w:val="auto"/>
        </w:rPr>
        <w:t>We have not developed independently any approved products and we have limited clinical development experience, which makes it difficult to assess our ability to develop and commercialize our product candidates.</w:t>
      </w:r>
    </w:p>
    <w:p>
      <w:pPr>
        <w:spacing w:after="0" w:line="62"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AbbVie has been responsible for all of the clinical development of our paritaprevir and glecaprevir protease inhibitor products. We have not yet demonstrated an ability to address successfully many of the risks and uncertainties associated with late stage clinical development, regulatory approval and commercialization of therapeutic products such as the ones we plan to develop independently. For example, to execute our business plan for development of our independent RSV, NASH, PBC and HBV programs, we will need to successfully:</w:t>
      </w:r>
    </w:p>
    <w:p>
      <w:pPr>
        <w:spacing w:after="0" w:line="73" w:lineRule="exact"/>
        <w:rPr>
          <w:sz w:val="20"/>
          <w:szCs w:val="20"/>
          <w:color w:val="auto"/>
        </w:rPr>
      </w:pPr>
    </w:p>
    <w:p>
      <w:pPr>
        <w:ind w:left="1020" w:right="220" w:hanging="517"/>
        <w:spacing w:after="0" w:line="268" w:lineRule="auto"/>
        <w:tabs>
          <w:tab w:leader="none" w:pos="10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execute clinical development of our product candidates and demonstrate acceptable safety and efficacy for them alone or in combination with other drugs or drug candidates;</w:t>
      </w:r>
    </w:p>
    <w:p>
      <w:pPr>
        <w:spacing w:after="0" w:line="62" w:lineRule="exact"/>
        <w:rPr>
          <w:rFonts w:ascii="Arial" w:cs="Arial" w:eastAsia="Arial" w:hAnsi="Arial"/>
          <w:sz w:val="16"/>
          <w:szCs w:val="16"/>
          <w:color w:val="auto"/>
        </w:rPr>
      </w:pPr>
    </w:p>
    <w:p>
      <w:pPr>
        <w:ind w:left="1020" w:hanging="517"/>
        <w:spacing w:after="0"/>
        <w:tabs>
          <w:tab w:leader="none" w:pos="10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obtain required regulatory approvals for the development and commercialization of our product candidates;</w:t>
      </w:r>
    </w:p>
    <w:p>
      <w:pPr>
        <w:spacing w:after="0" w:line="99" w:lineRule="exact"/>
        <w:rPr>
          <w:rFonts w:ascii="Arial" w:cs="Arial" w:eastAsia="Arial" w:hAnsi="Arial"/>
          <w:sz w:val="16"/>
          <w:szCs w:val="16"/>
          <w:color w:val="auto"/>
        </w:rPr>
      </w:pPr>
    </w:p>
    <w:p>
      <w:pPr>
        <w:ind w:left="1020" w:hanging="517"/>
        <w:spacing w:after="0"/>
        <w:tabs>
          <w:tab w:leader="none" w:pos="10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develop and maintain any future collaborations we may enter into for any of these programs;</w:t>
      </w:r>
    </w:p>
    <w:p>
      <w:pPr>
        <w:spacing w:after="0" w:line="99" w:lineRule="exact"/>
        <w:rPr>
          <w:rFonts w:ascii="Arial" w:cs="Arial" w:eastAsia="Arial" w:hAnsi="Arial"/>
          <w:sz w:val="16"/>
          <w:szCs w:val="16"/>
          <w:color w:val="auto"/>
        </w:rPr>
      </w:pPr>
    </w:p>
    <w:p>
      <w:pPr>
        <w:ind w:left="1020" w:hanging="517"/>
        <w:spacing w:after="0"/>
        <w:tabs>
          <w:tab w:leader="none" w:pos="10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obtain and maintain patent protection for our product candidates and freedom from infringement of intellectual property of others;</w:t>
      </w:r>
    </w:p>
    <w:p>
      <w:pPr>
        <w:spacing w:after="0" w:line="99" w:lineRule="exact"/>
        <w:rPr>
          <w:rFonts w:ascii="Arial" w:cs="Arial" w:eastAsia="Arial" w:hAnsi="Arial"/>
          <w:sz w:val="16"/>
          <w:szCs w:val="16"/>
          <w:color w:val="auto"/>
        </w:rPr>
      </w:pPr>
    </w:p>
    <w:p>
      <w:pPr>
        <w:ind w:left="1020" w:hanging="517"/>
        <w:spacing w:after="0"/>
        <w:tabs>
          <w:tab w:leader="none" w:pos="10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establish acceptable commercial manufacturing arrangements with third-party manufacturers;</w:t>
      </w:r>
    </w:p>
    <w:p>
      <w:pPr>
        <w:spacing w:after="0" w:line="99" w:lineRule="exact"/>
        <w:rPr>
          <w:rFonts w:ascii="Arial" w:cs="Arial" w:eastAsia="Arial" w:hAnsi="Arial"/>
          <w:sz w:val="16"/>
          <w:szCs w:val="16"/>
          <w:color w:val="auto"/>
        </w:rPr>
      </w:pPr>
    </w:p>
    <w:p>
      <w:pPr>
        <w:ind w:left="1020" w:hanging="517"/>
        <w:spacing w:after="0"/>
        <w:tabs>
          <w:tab w:leader="none" w:pos="10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build and maintain robust sales, distribution and marketing capabilities, either independently or in collaboration with future collaborators;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58420</wp:posOffset>
            </wp:positionV>
            <wp:extent cx="7303770" cy="40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20"/>
          </w:cols>
          <w:pgMar w:left="240" w:top="505" w:right="239" w:bottom="1440" w:gutter="0" w:footer="0" w:header="0"/>
        </w:sectPr>
      </w:pPr>
    </w:p>
    <w:bookmarkStart w:id="30" w:name="page31"/>
    <w:bookmarkEnd w:id="30"/>
    <w:p>
      <w:pPr>
        <w:ind w:left="1020" w:hanging="517"/>
        <w:spacing w:after="0"/>
        <w:tabs>
          <w:tab w:leader="none" w:pos="10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gain market acceptance for our product candidates among physicians, payers and patients; and</w:t>
      </w:r>
    </w:p>
    <w:p>
      <w:pPr>
        <w:spacing w:after="0" w:line="99" w:lineRule="exact"/>
        <w:rPr>
          <w:rFonts w:ascii="Arial" w:cs="Arial" w:eastAsia="Arial" w:hAnsi="Arial"/>
          <w:sz w:val="16"/>
          <w:szCs w:val="16"/>
          <w:color w:val="auto"/>
        </w:rPr>
      </w:pPr>
    </w:p>
    <w:p>
      <w:pPr>
        <w:ind w:left="1020" w:hanging="517"/>
        <w:spacing w:after="0"/>
        <w:tabs>
          <w:tab w:leader="none" w:pos="10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manage our spending as costs and expenses increase due to clinical trials, regulatory approvals and commercialization.</w:t>
      </w:r>
    </w:p>
    <w:p>
      <w:pPr>
        <w:spacing w:after="0" w:line="195"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If we are unsuccessful in accomplishing these objectives, we may not be able to successfully develop and commercialize our product candidates and expand our business or continue our operations.</w:t>
      </w:r>
    </w:p>
    <w:p>
      <w:pPr>
        <w:spacing w:after="0" w:line="252" w:lineRule="exact"/>
        <w:rPr>
          <w:sz w:val="20"/>
          <w:szCs w:val="20"/>
          <w:color w:val="auto"/>
        </w:rPr>
      </w:pPr>
    </w:p>
    <w:p>
      <w:pPr>
        <w:ind w:right="160"/>
        <w:spacing w:after="0" w:line="268" w:lineRule="auto"/>
        <w:rPr>
          <w:sz w:val="20"/>
          <w:szCs w:val="20"/>
          <w:color w:val="auto"/>
        </w:rPr>
      </w:pPr>
      <w:r>
        <w:rPr>
          <w:rFonts w:ascii="Arial" w:cs="Arial" w:eastAsia="Arial" w:hAnsi="Arial"/>
          <w:sz w:val="16"/>
          <w:szCs w:val="16"/>
          <w:b w:val="1"/>
          <w:bCs w:val="1"/>
          <w:i w:val="1"/>
          <w:iCs w:val="1"/>
          <w:color w:val="auto"/>
        </w:rPr>
        <w:t>If we are not successful in developing EDP-305, EDP-938 and/or EDP-514 or in discovering further product candidates in addition to those product candidates, our ability to expand our business and achieve our strategic objectives will be impaired.</w:t>
      </w:r>
    </w:p>
    <w:p>
      <w:pPr>
        <w:spacing w:after="0" w:line="62" w:lineRule="exact"/>
        <w:rPr>
          <w:sz w:val="20"/>
          <w:szCs w:val="20"/>
          <w:color w:val="auto"/>
        </w:rPr>
      </w:pPr>
    </w:p>
    <w:p>
      <w:pPr>
        <w:ind w:right="120"/>
        <w:spacing w:after="0" w:line="257" w:lineRule="auto"/>
        <w:rPr>
          <w:sz w:val="20"/>
          <w:szCs w:val="20"/>
          <w:color w:val="auto"/>
        </w:rPr>
      </w:pPr>
      <w:r>
        <w:rPr>
          <w:rFonts w:ascii="Arial" w:cs="Arial" w:eastAsia="Arial" w:hAnsi="Arial"/>
          <w:sz w:val="16"/>
          <w:szCs w:val="16"/>
          <w:color w:val="auto"/>
        </w:rPr>
        <w:t>Much of our internal research is at preclinical stages. Research programs designed to identify product candidates require substantial technical, financial and human resources, whether or not any product candidates are ultimately identified. Our research programs may initially show promise in identifying additional potential product candidates, yet fail to yield product candidates for clinical development or commercialization for many reasons, including the following:</w:t>
      </w:r>
    </w:p>
    <w:p>
      <w:pPr>
        <w:spacing w:after="0" w:line="71" w:lineRule="exact"/>
        <w:rPr>
          <w:sz w:val="20"/>
          <w:szCs w:val="20"/>
          <w:color w:val="auto"/>
        </w:rPr>
      </w:pPr>
    </w:p>
    <w:p>
      <w:pPr>
        <w:ind w:left="1020" w:hanging="517"/>
        <w:spacing w:after="0"/>
        <w:tabs>
          <w:tab w:leader="none" w:pos="10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research methodology used may not be successful in identifying additional potential product candidates;</w:t>
      </w:r>
    </w:p>
    <w:p>
      <w:pPr>
        <w:spacing w:after="0" w:line="99" w:lineRule="exact"/>
        <w:rPr>
          <w:rFonts w:ascii="Arial" w:cs="Arial" w:eastAsia="Arial" w:hAnsi="Arial"/>
          <w:sz w:val="16"/>
          <w:szCs w:val="16"/>
          <w:color w:val="auto"/>
        </w:rPr>
      </w:pPr>
    </w:p>
    <w:p>
      <w:pPr>
        <w:ind w:left="1020" w:hanging="517"/>
        <w:spacing w:after="0"/>
        <w:tabs>
          <w:tab w:leader="none" w:pos="10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competitors may develop alternatives that render our product candidates less commercially viable or obsolete;</w:t>
      </w:r>
    </w:p>
    <w:p>
      <w:pPr>
        <w:spacing w:after="0" w:line="99" w:lineRule="exact"/>
        <w:rPr>
          <w:rFonts w:ascii="Arial" w:cs="Arial" w:eastAsia="Arial" w:hAnsi="Arial"/>
          <w:sz w:val="16"/>
          <w:szCs w:val="16"/>
          <w:color w:val="auto"/>
        </w:rPr>
      </w:pPr>
    </w:p>
    <w:p>
      <w:pPr>
        <w:ind w:left="1020" w:hanging="517"/>
        <w:spacing w:after="0"/>
        <w:tabs>
          <w:tab w:leader="none" w:pos="10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competitors may obtain intellectual property protection that effectively prevents us from developing a product candidate;</w:t>
      </w:r>
    </w:p>
    <w:p>
      <w:pPr>
        <w:spacing w:after="0" w:line="99" w:lineRule="exact"/>
        <w:rPr>
          <w:rFonts w:ascii="Arial" w:cs="Arial" w:eastAsia="Arial" w:hAnsi="Arial"/>
          <w:sz w:val="16"/>
          <w:szCs w:val="16"/>
          <w:color w:val="auto"/>
        </w:rPr>
      </w:pPr>
    </w:p>
    <w:p>
      <w:pPr>
        <w:ind w:left="1020" w:right="40" w:hanging="517"/>
        <w:spacing w:after="0" w:line="268" w:lineRule="auto"/>
        <w:tabs>
          <w:tab w:leader="none" w:pos="10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 product candidate may, on further study, be shown not to be an effective treatment in humans or to have harmful side effects or other characteristics that indicate it is unlikely to be effective or otherwise does not meet applicable regulatory criteria; and</w:t>
      </w:r>
    </w:p>
    <w:p>
      <w:pPr>
        <w:spacing w:after="0" w:line="62" w:lineRule="exact"/>
        <w:rPr>
          <w:rFonts w:ascii="Arial" w:cs="Arial" w:eastAsia="Arial" w:hAnsi="Arial"/>
          <w:sz w:val="16"/>
          <w:szCs w:val="16"/>
          <w:color w:val="auto"/>
        </w:rPr>
      </w:pPr>
    </w:p>
    <w:p>
      <w:pPr>
        <w:ind w:left="1020" w:hanging="517"/>
        <w:spacing w:after="0"/>
        <w:tabs>
          <w:tab w:leader="none" w:pos="10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 product candidate may not be capable of being produced in commercial quantities at an acceptable cost, or at all.</w:t>
      </w:r>
    </w:p>
    <w:p>
      <w:pPr>
        <w:spacing w:after="0" w:line="195"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Additional drug candidates that we may develop will require significant research, preclinical and clinical studies, regulatory approvals and commitments of resources before they can be commercialized. We cannot give assurance that our research will lead to the discovery of any additional drug candidates that will generate additional revenue for us. If we are unable to identify additional compounds suitable for preclinical and clinical development, we may not be able to obtain sufficient product revenue in future periods, which likely would result in significant harm to our financial position and adversely impact our stock price.</w:t>
      </w:r>
    </w:p>
    <w:p>
      <w:pPr>
        <w:spacing w:after="0" w:line="26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Expenses associated with development of our product candidates may cause our results of operations to fluctuate from period to period, which may result in operating losses.</w:t>
      </w:r>
    </w:p>
    <w:p>
      <w:pPr>
        <w:spacing w:after="0" w:line="146" w:lineRule="exact"/>
        <w:rPr>
          <w:sz w:val="20"/>
          <w:szCs w:val="20"/>
          <w:color w:val="auto"/>
        </w:rPr>
      </w:pPr>
    </w:p>
    <w:p>
      <w:pPr>
        <w:ind w:right="80"/>
        <w:spacing w:after="0" w:line="269" w:lineRule="auto"/>
        <w:rPr>
          <w:sz w:val="20"/>
          <w:szCs w:val="20"/>
          <w:color w:val="auto"/>
        </w:rPr>
      </w:pPr>
      <w:r>
        <w:rPr>
          <w:rFonts w:ascii="Arial" w:cs="Arial" w:eastAsia="Arial" w:hAnsi="Arial"/>
          <w:sz w:val="15"/>
          <w:szCs w:val="15"/>
          <w:color w:val="auto"/>
        </w:rPr>
        <w:t>Many of the preclinical and clinical development activities required for our product candidates must be contracted out to contract research organizations (CROs) at significant expense. We expect these expenses to increase substantially in the coming years as we advance compounds and conduct more clinical studies. It is difficult to accurately predict the timing and amounts of these expenses, and we expect that they will vary from quarter to quarter. In addition, the FDA or other regulatory agencies may require more preclinical or clinical testing than we originally anticipated for any of our product candidates. We may also be required to purchase expensive competitor drugs for use in our trials, either to demonstrate potential treatment combinations or as comparators to our product candidates. We also conduct clinical development activities outside the U.S. and are therefore exposed to foreign currency fluctuations for payments made to CROs in currencies other than the U.S. dollar. As a result, the expenses of our development programs and our operating results may fluctuate significantly from quarter to quarter, and our stock price may be adversely affected.</w:t>
      </w:r>
    </w:p>
    <w:p>
      <w:pPr>
        <w:spacing w:after="0" w:line="255" w:lineRule="exact"/>
        <w:rPr>
          <w:sz w:val="20"/>
          <w:szCs w:val="20"/>
          <w:color w:val="auto"/>
        </w:rPr>
      </w:pPr>
    </w:p>
    <w:p>
      <w:pPr>
        <w:ind w:right="100"/>
        <w:spacing w:after="0" w:line="268" w:lineRule="auto"/>
        <w:rPr>
          <w:sz w:val="20"/>
          <w:szCs w:val="20"/>
          <w:color w:val="auto"/>
        </w:rPr>
      </w:pPr>
      <w:r>
        <w:rPr>
          <w:rFonts w:ascii="Arial" w:cs="Arial" w:eastAsia="Arial" w:hAnsi="Arial"/>
          <w:sz w:val="16"/>
          <w:szCs w:val="16"/>
          <w:b w:val="1"/>
          <w:bCs w:val="1"/>
          <w:i w:val="1"/>
          <w:iCs w:val="1"/>
          <w:color w:val="auto"/>
        </w:rPr>
        <w:t>If we fail to attract and keep senior management and key scientific personnel, we may be unable to successfully develop our product candidates, conduct our clinical trials and commercialize our product candidates.</w:t>
      </w:r>
    </w:p>
    <w:p>
      <w:pPr>
        <w:spacing w:after="0" w:line="62" w:lineRule="exact"/>
        <w:rPr>
          <w:sz w:val="20"/>
          <w:szCs w:val="20"/>
          <w:color w:val="auto"/>
        </w:rPr>
      </w:pPr>
    </w:p>
    <w:p>
      <w:pPr>
        <w:spacing w:after="0" w:line="273" w:lineRule="auto"/>
        <w:rPr>
          <w:sz w:val="20"/>
          <w:szCs w:val="20"/>
          <w:color w:val="auto"/>
        </w:rPr>
      </w:pPr>
      <w:r>
        <w:rPr>
          <w:rFonts w:ascii="Arial" w:cs="Arial" w:eastAsia="Arial" w:hAnsi="Arial"/>
          <w:sz w:val="15"/>
          <w:szCs w:val="15"/>
          <w:color w:val="auto"/>
        </w:rPr>
        <w:t>Our success depends in part on our continued ability to attract, retain and motivate highly qualified management, clinical and scientific personnel. We are highly dependent upon our senior management, particularly Jay R. Luly, Ph.D., our Chief Executive Officer and President, Yat Sun Or, Ph.D., our Senior Vice President, Research and Development and Chief Scientific Officer, and Nathalie Adda, M.D., our Senior Vice President, Chief Medical Officer, as well as other employees and consultants. Although none of these individuals has informed us to date that he or she intends to retire or resign in the near future, the loss of the services of any of these individuals or one or more of our other members of senior management could delay or prevent the successful development of our product candidates.</w:t>
      </w:r>
    </w:p>
    <w:p>
      <w:pPr>
        <w:spacing w:after="0" w:line="155" w:lineRule="exact"/>
        <w:rPr>
          <w:sz w:val="20"/>
          <w:szCs w:val="20"/>
          <w:color w:val="auto"/>
        </w:rPr>
      </w:pPr>
    </w:p>
    <w:p>
      <w:pPr>
        <w:ind w:right="420"/>
        <w:spacing w:after="0" w:line="311" w:lineRule="auto"/>
        <w:rPr>
          <w:sz w:val="20"/>
          <w:szCs w:val="20"/>
          <w:color w:val="auto"/>
        </w:rPr>
      </w:pPr>
      <w:r>
        <w:rPr>
          <w:rFonts w:ascii="Arial" w:cs="Arial" w:eastAsia="Arial" w:hAnsi="Arial"/>
          <w:sz w:val="14"/>
          <w:szCs w:val="14"/>
          <w:color w:val="auto"/>
        </w:rPr>
        <w:t>Although we have not historically experienced unique difficulties attracting and retaining qualified employees, we could experience such problems in the future. For example, competition for qualified personnel in the biotechnology and pharmaceutical fields is intense. In addition, we will need to hire additional personnel as we expand our clinical development and ultimately seek regulatory approvals and prepare for commercial activities. We may not be able to attract and retain quality personnel on acceptable terms.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58420</wp:posOffset>
            </wp:positionV>
            <wp:extent cx="7303770" cy="40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i w:val="1"/>
          <w:iCs w:val="1"/>
          <w:color w:val="auto"/>
        </w:rPr>
        <w:t>We may encounter difficulties in managing our growth and expanding our operations successfully.</w:t>
      </w:r>
    </w:p>
    <w:p>
      <w:pPr>
        <w:spacing w:after="0" w:line="100" w:lineRule="exact"/>
        <w:rPr>
          <w:sz w:val="20"/>
          <w:szCs w:val="20"/>
          <w:color w:val="auto"/>
        </w:rPr>
      </w:pPr>
    </w:p>
    <w:p>
      <w:pPr>
        <w:spacing w:after="0" w:line="293" w:lineRule="auto"/>
        <w:rPr>
          <w:sz w:val="20"/>
          <w:szCs w:val="20"/>
          <w:color w:val="auto"/>
        </w:rPr>
      </w:pPr>
      <w:r>
        <w:rPr>
          <w:rFonts w:ascii="Arial" w:cs="Arial" w:eastAsia="Arial" w:hAnsi="Arial"/>
          <w:sz w:val="14"/>
          <w:szCs w:val="14"/>
          <w:color w:val="auto"/>
        </w:rPr>
        <w:t>As we expand our research efforts and seek to advance our product candidates through clinical trials, we will need to expand our development, regulatory, manufacturing, marketing and sales capabilities or contract with third parties to provide these capabilities for us. As our operations expand, we expect that we will need to manage additional relationships with various strategic partners, suppliers and other third parties. Future growth will impose significant added responsibilities on members of management. Our future financial performance and our ability to commercialize our product candidates and to compete effectively will depend, in part, on our ability to manage any future growth effectively. To that end, we must be able to manage our development efforts and clinical trials effectively and hire, train and integrate additional management, administrative and sales and marketing personnel. We may not be able to accomplish these tasks, and our failure to accomplish any of them could prevent us from successfully growing our company.</w:t>
      </w:r>
    </w:p>
    <w:p>
      <w:pPr>
        <w:spacing w:after="0" w:line="240" w:lineRule="exact"/>
        <w:rPr>
          <w:sz w:val="20"/>
          <w:szCs w:val="20"/>
          <w:color w:val="auto"/>
        </w:rPr>
      </w:pPr>
    </w:p>
    <w:p>
      <w:pPr>
        <w:jc w:val="both"/>
        <w:ind w:right="120"/>
        <w:spacing w:after="0" w:line="257" w:lineRule="auto"/>
        <w:rPr>
          <w:sz w:val="20"/>
          <w:szCs w:val="20"/>
          <w:color w:val="auto"/>
        </w:rPr>
      </w:pPr>
      <w:r>
        <w:rPr>
          <w:rFonts w:ascii="Arial" w:cs="Arial" w:eastAsia="Arial" w:hAnsi="Arial"/>
          <w:sz w:val="16"/>
          <w:szCs w:val="16"/>
          <w:b w:val="1"/>
          <w:bCs w:val="1"/>
          <w:i w:val="1"/>
          <w:iCs w:val="1"/>
          <w:color w:val="auto"/>
        </w:rPr>
        <w:t>To date, our principal sources of revenue have been our collaboration agreements, including our current agreement with AbbVie. Future levels of royalties under the AbbVie agreement are uncertain. We have had no other products approved for commercial sale by us. Therefore, it is possible that we may incur operating losses in one or more years in the future.</w:t>
      </w:r>
    </w:p>
    <w:p>
      <w:pPr>
        <w:spacing w:after="0" w:line="71" w:lineRule="exact"/>
        <w:rPr>
          <w:sz w:val="20"/>
          <w:szCs w:val="20"/>
          <w:color w:val="auto"/>
        </w:rPr>
      </w:pPr>
    </w:p>
    <w:p>
      <w:pPr>
        <w:ind w:right="160"/>
        <w:spacing w:after="0" w:line="268" w:lineRule="auto"/>
        <w:rPr>
          <w:sz w:val="20"/>
          <w:szCs w:val="20"/>
          <w:color w:val="auto"/>
        </w:rPr>
      </w:pPr>
      <w:r>
        <w:rPr>
          <w:rFonts w:ascii="Arial" w:cs="Arial" w:eastAsia="Arial" w:hAnsi="Arial"/>
          <w:sz w:val="16"/>
          <w:szCs w:val="16"/>
          <w:color w:val="auto"/>
        </w:rPr>
        <w:t>Our net income results primarily from the revenue we earn from AbbVie on net sales of its HCV regimens allocated to our protease inhibitors included in those regimens. There is no assurance, however, that we will report net income in subsequent years. To date, we have not commercialized any products ourselves.</w:t>
      </w:r>
    </w:p>
    <w:p>
      <w:pPr>
        <w:spacing w:after="0" w:line="157" w:lineRule="exact"/>
        <w:rPr>
          <w:sz w:val="20"/>
          <w:szCs w:val="20"/>
          <w:color w:val="auto"/>
        </w:rPr>
      </w:pPr>
    </w:p>
    <w:p>
      <w:pPr>
        <w:spacing w:after="0" w:line="268" w:lineRule="auto"/>
        <w:rPr>
          <w:sz w:val="20"/>
          <w:szCs w:val="20"/>
          <w:color w:val="auto"/>
        </w:rPr>
      </w:pPr>
      <w:r>
        <w:rPr>
          <w:rFonts w:ascii="Arial" w:cs="Arial" w:eastAsia="Arial" w:hAnsi="Arial"/>
          <w:sz w:val="15"/>
          <w:szCs w:val="15"/>
          <w:color w:val="auto"/>
        </w:rPr>
        <w:t>Our principal source of revenue historically has been our collaboration agreements, including our current agreement with AbbVie. The level of future royalties on products containing paritaprevir or glecaprevir is uncertain given the competitive nature of the market for HCV therapies. This is attributed to price competition, the changing nature of payer contracts of AbbVie and others, and the varying rates of reimbursement in different countries. At any time, AbbVie may choose not to continue its commercialization activities for the MAVYRET/MAVIRET regimen in one or more countries. If we are unable to develop and commercialize any more of our product candidates, either alone or with a collaborator, or if any such product candidate does not achieve market acceptance, we may not generate sufficient product sales or product royalties. In addition, for any of our product candidates included in a treatment regimen with more than one active compound, it would be uncertain what portion of net sales of the regimen would be allocated to our product candidate. Even if we do generate significant product royalties or product sales, we may not be able to sustain profitability on a quarterly or annual basis. Our failure to sustain profitability could depress the market price of our common stock and ultimately could impair our ability to raise capital, expand our business, diversify our product offerings or continue our operations. A decline in the market price of our common stock also could cause you to lose all or a part of your investment.</w:t>
      </w:r>
    </w:p>
    <w:p>
      <w:pPr>
        <w:spacing w:after="0" w:line="254" w:lineRule="exact"/>
        <w:rPr>
          <w:sz w:val="20"/>
          <w:szCs w:val="20"/>
          <w:color w:val="auto"/>
        </w:rPr>
      </w:pPr>
    </w:p>
    <w:p>
      <w:pPr>
        <w:ind w:right="400"/>
        <w:spacing w:after="0" w:line="302" w:lineRule="auto"/>
        <w:rPr>
          <w:sz w:val="20"/>
          <w:szCs w:val="20"/>
          <w:color w:val="auto"/>
        </w:rPr>
      </w:pPr>
      <w:r>
        <w:rPr>
          <w:rFonts w:ascii="Arial" w:cs="Arial" w:eastAsia="Arial" w:hAnsi="Arial"/>
          <w:sz w:val="15"/>
          <w:szCs w:val="15"/>
          <w:b w:val="1"/>
          <w:bCs w:val="1"/>
          <w:i w:val="1"/>
          <w:iCs w:val="1"/>
          <w:color w:val="auto"/>
        </w:rPr>
        <w:t>We may require substantial additional financing in the longer term to achieve our goals if the sales of MAVYRET/MAVIRET decline substantially. A failure to obtain this necessary capital when needed could force us to delay, limit, reduce or terminate some or all of our product development efforts.</w:t>
      </w:r>
    </w:p>
    <w:p>
      <w:pPr>
        <w:spacing w:after="0" w:line="39" w:lineRule="exact"/>
        <w:rPr>
          <w:sz w:val="20"/>
          <w:szCs w:val="20"/>
          <w:color w:val="auto"/>
        </w:rPr>
      </w:pPr>
    </w:p>
    <w:p>
      <w:pPr>
        <w:ind w:right="40"/>
        <w:spacing w:after="0" w:line="296" w:lineRule="auto"/>
        <w:rPr>
          <w:sz w:val="20"/>
          <w:szCs w:val="20"/>
          <w:color w:val="auto"/>
        </w:rPr>
      </w:pPr>
      <w:r>
        <w:rPr>
          <w:rFonts w:ascii="Arial" w:cs="Arial" w:eastAsia="Arial" w:hAnsi="Arial"/>
          <w:sz w:val="14"/>
          <w:szCs w:val="14"/>
          <w:color w:val="auto"/>
        </w:rPr>
        <w:t>Since our inception, most of our resources have been dedicated to the discovery and preclinical development of our product candidates. In particular, we have expended, and believe that we will continue to expend for the foreseeable future, substantial resources discovering and developing our proprietary product candidates. These expenditures will include costs associated with research and development, preclinical manufacturing of product candidates, conducting preclinical experiments and clinical trials and obtaining regulatory approvals, as well as commercializing any products later approved for sale. For the foreseeable future, we expect to incur substantial additional costs associated with research and development for our internally developed programs. In addition, we may seek opportunities to in-license or otherwise acquire new therapeutic candidates and therapies.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Our future capital requirements depend on many factors, including:</w:t>
      </w:r>
    </w:p>
    <w:p>
      <w:pPr>
        <w:spacing w:after="0" w:line="100" w:lineRule="exact"/>
        <w:rPr>
          <w:sz w:val="20"/>
          <w:szCs w:val="20"/>
          <w:color w:val="auto"/>
        </w:rPr>
      </w:pPr>
    </w:p>
    <w:p>
      <w:pPr>
        <w:ind w:left="760" w:hanging="387"/>
        <w:spacing w:after="0"/>
        <w:tabs>
          <w:tab w:leader="none" w:pos="7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amount of royalties generated from our existing collaboration with AbbVie;</w:t>
      </w:r>
    </w:p>
    <w:p>
      <w:pPr>
        <w:spacing w:after="0" w:line="99" w:lineRule="exact"/>
        <w:rPr>
          <w:rFonts w:ascii="Arial" w:cs="Arial" w:eastAsia="Arial" w:hAnsi="Arial"/>
          <w:sz w:val="16"/>
          <w:szCs w:val="16"/>
          <w:color w:val="auto"/>
        </w:rPr>
      </w:pPr>
    </w:p>
    <w:p>
      <w:pPr>
        <w:ind w:left="760" w:hanging="387"/>
        <w:spacing w:after="0"/>
        <w:tabs>
          <w:tab w:leader="none" w:pos="7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number and characteristics of our research programs;</w:t>
      </w:r>
    </w:p>
    <w:p>
      <w:pPr>
        <w:spacing w:after="0" w:line="99" w:lineRule="exact"/>
        <w:rPr>
          <w:rFonts w:ascii="Arial" w:cs="Arial" w:eastAsia="Arial" w:hAnsi="Arial"/>
          <w:sz w:val="16"/>
          <w:szCs w:val="16"/>
          <w:color w:val="auto"/>
        </w:rPr>
      </w:pPr>
    </w:p>
    <w:p>
      <w:pPr>
        <w:ind w:left="760" w:hanging="387"/>
        <w:spacing w:after="0"/>
        <w:tabs>
          <w:tab w:leader="none" w:pos="7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scope, progress, results and costs of researching and developing any of our product candidates on our own, including conducting advanced clinical trials;</w:t>
      </w:r>
    </w:p>
    <w:p>
      <w:pPr>
        <w:spacing w:after="0" w:line="111" w:lineRule="exact"/>
        <w:rPr>
          <w:rFonts w:ascii="Arial" w:cs="Arial" w:eastAsia="Arial" w:hAnsi="Arial"/>
          <w:sz w:val="15"/>
          <w:szCs w:val="15"/>
          <w:color w:val="auto"/>
        </w:rPr>
      </w:pPr>
    </w:p>
    <w:p>
      <w:pPr>
        <w:ind w:left="760" w:hanging="387"/>
        <w:spacing w:after="0"/>
        <w:tabs>
          <w:tab w:leader="none" w:pos="7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cost of manufacturing our product candidates for clinical development and any products we successfully commercialize independently;</w:t>
      </w:r>
    </w:p>
    <w:p>
      <w:pPr>
        <w:spacing w:after="0" w:line="99" w:lineRule="exact"/>
        <w:rPr>
          <w:rFonts w:ascii="Arial" w:cs="Arial" w:eastAsia="Arial" w:hAnsi="Arial"/>
          <w:sz w:val="16"/>
          <w:szCs w:val="16"/>
          <w:color w:val="auto"/>
        </w:rPr>
      </w:pPr>
    </w:p>
    <w:p>
      <w:pPr>
        <w:ind w:left="760" w:hanging="387"/>
        <w:spacing w:after="0"/>
        <w:tabs>
          <w:tab w:leader="none" w:pos="7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opportunities to in-license or otherwise acquire new technologies, therapeutic candidates and therapies;</w:t>
      </w:r>
    </w:p>
    <w:p>
      <w:pPr>
        <w:spacing w:after="0" w:line="99" w:lineRule="exact"/>
        <w:rPr>
          <w:rFonts w:ascii="Arial" w:cs="Arial" w:eastAsia="Arial" w:hAnsi="Arial"/>
          <w:sz w:val="16"/>
          <w:szCs w:val="16"/>
          <w:color w:val="auto"/>
        </w:rPr>
      </w:pPr>
    </w:p>
    <w:p>
      <w:pPr>
        <w:ind w:left="760" w:hanging="387"/>
        <w:spacing w:after="0"/>
        <w:tabs>
          <w:tab w:leader="none" w:pos="7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timing of, and the costs involved in, obtaining regulatory approvals for any product candidates we develop independently;</w:t>
      </w:r>
    </w:p>
    <w:p>
      <w:pPr>
        <w:spacing w:after="0" w:line="99" w:lineRule="exact"/>
        <w:rPr>
          <w:rFonts w:ascii="Arial" w:cs="Arial" w:eastAsia="Arial" w:hAnsi="Arial"/>
          <w:sz w:val="16"/>
          <w:szCs w:val="16"/>
          <w:color w:val="auto"/>
        </w:rPr>
      </w:pPr>
    </w:p>
    <w:p>
      <w:pPr>
        <w:ind w:left="760" w:right="720" w:hanging="387"/>
        <w:spacing w:after="0" w:line="268" w:lineRule="auto"/>
        <w:tabs>
          <w:tab w:leader="none" w:pos="7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cost of commercialization activities, if any, of any product candidates we develop independently that are approved for sale, including marketing, sales and distribution costs;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58420</wp:posOffset>
            </wp:positionV>
            <wp:extent cx="7303770" cy="40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20"/>
          </w:cols>
          <w:pgMar w:left="240" w:top="600" w:right="239" w:bottom="1440" w:gutter="0" w:footer="0" w:header="0"/>
        </w:sectPr>
      </w:pPr>
    </w:p>
    <w:bookmarkStart w:id="32" w:name="page33"/>
    <w:bookmarkEnd w:id="32"/>
    <w:p>
      <w:pPr>
        <w:ind w:left="760" w:hanging="387"/>
        <w:spacing w:after="0"/>
        <w:tabs>
          <w:tab w:leader="none" w:pos="7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timing and amount of any sales of our product candidates, if any, or royalties thereon;</w:t>
      </w:r>
    </w:p>
    <w:p>
      <w:pPr>
        <w:spacing w:after="0" w:line="99" w:lineRule="exact"/>
        <w:rPr>
          <w:rFonts w:ascii="Arial" w:cs="Arial" w:eastAsia="Arial" w:hAnsi="Arial"/>
          <w:sz w:val="16"/>
          <w:szCs w:val="16"/>
          <w:color w:val="auto"/>
        </w:rPr>
      </w:pPr>
    </w:p>
    <w:p>
      <w:pPr>
        <w:ind w:left="760" w:hanging="387"/>
        <w:spacing w:after="0"/>
        <w:tabs>
          <w:tab w:leader="none" w:pos="7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our ability to establish new collaborations, licensing or other arrangements, if any, and the financial terms of such arrangements;</w:t>
      </w:r>
    </w:p>
    <w:p>
      <w:pPr>
        <w:spacing w:after="0" w:line="99" w:lineRule="exact"/>
        <w:rPr>
          <w:rFonts w:ascii="Arial" w:cs="Arial" w:eastAsia="Arial" w:hAnsi="Arial"/>
          <w:sz w:val="16"/>
          <w:szCs w:val="16"/>
          <w:color w:val="auto"/>
        </w:rPr>
      </w:pPr>
    </w:p>
    <w:p>
      <w:pPr>
        <w:ind w:left="760" w:right="80" w:hanging="387"/>
        <w:spacing w:after="0" w:line="268" w:lineRule="auto"/>
        <w:tabs>
          <w:tab w:leader="none" w:pos="7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costs involved in preparing, filing, prosecuting, maintaining, defending and enforcing patents, including any litigation costs and the outcomes of any such litigation; and</w:t>
      </w:r>
    </w:p>
    <w:p>
      <w:pPr>
        <w:spacing w:after="0" w:line="62" w:lineRule="exact"/>
        <w:rPr>
          <w:rFonts w:ascii="Arial" w:cs="Arial" w:eastAsia="Arial" w:hAnsi="Arial"/>
          <w:sz w:val="16"/>
          <w:szCs w:val="16"/>
          <w:color w:val="auto"/>
        </w:rPr>
      </w:pPr>
    </w:p>
    <w:p>
      <w:pPr>
        <w:ind w:left="760" w:hanging="387"/>
        <w:spacing w:after="0"/>
        <w:tabs>
          <w:tab w:leader="none" w:pos="7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potential fluctuations in foreign currency exchange rates.</w:t>
      </w:r>
    </w:p>
    <w:p>
      <w:pPr>
        <w:spacing w:after="0" w:line="195" w:lineRule="exact"/>
        <w:rPr>
          <w:sz w:val="20"/>
          <w:szCs w:val="20"/>
          <w:color w:val="auto"/>
        </w:rPr>
      </w:pPr>
    </w:p>
    <w:p>
      <w:pPr>
        <w:ind w:right="100"/>
        <w:spacing w:after="0" w:line="282" w:lineRule="auto"/>
        <w:rPr>
          <w:sz w:val="20"/>
          <w:szCs w:val="20"/>
          <w:color w:val="auto"/>
        </w:rPr>
      </w:pPr>
      <w:r>
        <w:rPr>
          <w:rFonts w:ascii="Arial" w:cs="Arial" w:eastAsia="Arial" w:hAnsi="Arial"/>
          <w:sz w:val="15"/>
          <w:szCs w:val="15"/>
          <w:color w:val="auto"/>
        </w:rPr>
        <w:t>Additional funds may not be available if and when we need them, on terms that are acceptable to us, or at all. Our ability to raise funds will depend on financial, economic and market conditions and other factors, many of which are beyond our control. If adequate funds are not available to us on a timely basis, we may be required to delay, limit, reduce or terminate preclinical studies, clinical trials or other research and development activities for one or more of our product candidates.</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Development, Clinical Testing and Regulatory Approval of Our Product Candidates</w:t>
      </w:r>
    </w:p>
    <w:p>
      <w:pPr>
        <w:spacing w:after="0" w:line="104" w:lineRule="exact"/>
        <w:rPr>
          <w:sz w:val="20"/>
          <w:szCs w:val="20"/>
          <w:color w:val="auto"/>
        </w:rPr>
      </w:pPr>
    </w:p>
    <w:p>
      <w:pPr>
        <w:ind w:right="520"/>
        <w:spacing w:after="0" w:line="268" w:lineRule="auto"/>
        <w:rPr>
          <w:sz w:val="20"/>
          <w:szCs w:val="20"/>
          <w:color w:val="auto"/>
        </w:rPr>
      </w:pPr>
      <w:r>
        <w:rPr>
          <w:rFonts w:ascii="Arial" w:cs="Arial" w:eastAsia="Arial" w:hAnsi="Arial"/>
          <w:sz w:val="16"/>
          <w:szCs w:val="16"/>
          <w:b w:val="1"/>
          <w:bCs w:val="1"/>
          <w:i w:val="1"/>
          <w:iCs w:val="1"/>
          <w:color w:val="auto"/>
        </w:rPr>
        <w:t>Clinical drug development involves a lengthy and expensive process with uncertain timelines and uncertain outcomes. If clinical trials of any of our proprietary product candidates are prolonged or delayed, we may be unable to commercialize our product candidates on a timely basis.</w:t>
      </w:r>
    </w:p>
    <w:p>
      <w:pPr>
        <w:spacing w:after="0" w:line="62" w:lineRule="exact"/>
        <w:rPr>
          <w:sz w:val="20"/>
          <w:szCs w:val="20"/>
          <w:color w:val="auto"/>
        </w:rPr>
      </w:pPr>
    </w:p>
    <w:p>
      <w:pPr>
        <w:ind w:right="40"/>
        <w:spacing w:after="0" w:line="296" w:lineRule="auto"/>
        <w:rPr>
          <w:sz w:val="20"/>
          <w:szCs w:val="20"/>
          <w:color w:val="auto"/>
        </w:rPr>
      </w:pPr>
      <w:r>
        <w:rPr>
          <w:rFonts w:ascii="Arial" w:cs="Arial" w:eastAsia="Arial" w:hAnsi="Arial"/>
          <w:sz w:val="14"/>
          <w:szCs w:val="14"/>
          <w:color w:val="auto"/>
        </w:rPr>
        <w:t>Clinical testing is expensive and, depending on the stage of development, can take a substantial time period to complete. Its outcome is inherently uncertain, and failure can occur at any time during clinical development. None of our product candidates in our pipeline other than paritaprevir and glecaprevir, which have been clinically developed by AbbVie, has yet to advance beyond completion of Phase 2 clinical trials. Any future clinical trials of our product candidates may fail to demonstrate sufficient safety and efficacy. Moreover, regulatory and administrative delays for any product candidate in our pipeline may adversely affect our or any future collaborator’s clinical development plans and jeopardize our or any future collaborator’s ability to attain product approval, commence product sales and compete successfully against other therapies.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Clinical trials can be delayed for a variety of reasons, including delays related to:</w:t>
      </w:r>
    </w:p>
    <w:p>
      <w:pPr>
        <w:spacing w:after="0" w:line="100" w:lineRule="exact"/>
        <w:rPr>
          <w:sz w:val="20"/>
          <w:szCs w:val="20"/>
          <w:color w:val="auto"/>
        </w:rPr>
      </w:pPr>
    </w:p>
    <w:p>
      <w:pPr>
        <w:ind w:left="1020" w:right="200" w:hanging="517"/>
        <w:spacing w:after="0" w:line="268" w:lineRule="auto"/>
        <w:tabs>
          <w:tab w:leader="none" w:pos="10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reaching an agreement on acceptable terms with prospective contract research organizations, or CROs, and clinical trial sites, the terms of which can be subject to extensive negotiation and may vary significantly among different CROs and trial sites;</w:t>
      </w:r>
    </w:p>
    <w:p>
      <w:pPr>
        <w:spacing w:after="0" w:line="62" w:lineRule="exact"/>
        <w:rPr>
          <w:rFonts w:ascii="Arial" w:cs="Arial" w:eastAsia="Arial" w:hAnsi="Arial"/>
          <w:sz w:val="16"/>
          <w:szCs w:val="16"/>
          <w:color w:val="auto"/>
        </w:rPr>
      </w:pPr>
    </w:p>
    <w:p>
      <w:pPr>
        <w:ind w:left="1020" w:hanging="517"/>
        <w:spacing w:after="0"/>
        <w:tabs>
          <w:tab w:leader="none" w:pos="10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failure of third-party contractors, such as CROs, or investigators to comply with regulatory requirements;</w:t>
      </w:r>
    </w:p>
    <w:p>
      <w:pPr>
        <w:spacing w:after="0" w:line="99" w:lineRule="exact"/>
        <w:rPr>
          <w:rFonts w:ascii="Arial" w:cs="Arial" w:eastAsia="Arial" w:hAnsi="Arial"/>
          <w:sz w:val="16"/>
          <w:szCs w:val="16"/>
          <w:color w:val="auto"/>
        </w:rPr>
      </w:pPr>
    </w:p>
    <w:p>
      <w:pPr>
        <w:ind w:left="1020" w:right="60" w:hanging="517"/>
        <w:spacing w:after="0" w:line="268" w:lineRule="auto"/>
        <w:tabs>
          <w:tab w:leader="none" w:pos="10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failure to obtain on a timely basis, or at all, the necessary approvals from regulators or institutional review boards, or IRBs, in order to commence a clinical trial at a prospective trial site, or their suspension or termination of a clinical trial once commenced;</w:t>
      </w:r>
    </w:p>
    <w:p>
      <w:pPr>
        <w:spacing w:after="0" w:line="62" w:lineRule="exact"/>
        <w:rPr>
          <w:rFonts w:ascii="Arial" w:cs="Arial" w:eastAsia="Arial" w:hAnsi="Arial"/>
          <w:sz w:val="16"/>
          <w:szCs w:val="16"/>
          <w:color w:val="auto"/>
        </w:rPr>
      </w:pPr>
    </w:p>
    <w:p>
      <w:pPr>
        <w:ind w:left="1020" w:hanging="517"/>
        <w:spacing w:after="0"/>
        <w:tabs>
          <w:tab w:leader="none" w:pos="10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difficulty in recruiting suitable patients to participate in a trial;</w:t>
      </w:r>
    </w:p>
    <w:p>
      <w:pPr>
        <w:spacing w:after="0" w:line="99" w:lineRule="exact"/>
        <w:rPr>
          <w:rFonts w:ascii="Arial" w:cs="Arial" w:eastAsia="Arial" w:hAnsi="Arial"/>
          <w:sz w:val="16"/>
          <w:szCs w:val="16"/>
          <w:color w:val="auto"/>
        </w:rPr>
      </w:pPr>
    </w:p>
    <w:p>
      <w:pPr>
        <w:ind w:left="1020" w:hanging="517"/>
        <w:spacing w:after="0"/>
        <w:tabs>
          <w:tab w:leader="none" w:pos="10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difficulty in having patients complete a trial or return for post-treatment follow-up;</w:t>
      </w:r>
    </w:p>
    <w:p>
      <w:pPr>
        <w:spacing w:after="0" w:line="99" w:lineRule="exact"/>
        <w:rPr>
          <w:rFonts w:ascii="Arial" w:cs="Arial" w:eastAsia="Arial" w:hAnsi="Arial"/>
          <w:sz w:val="16"/>
          <w:szCs w:val="16"/>
          <w:color w:val="auto"/>
        </w:rPr>
      </w:pPr>
    </w:p>
    <w:p>
      <w:pPr>
        <w:ind w:left="1020" w:hanging="517"/>
        <w:spacing w:after="0"/>
        <w:tabs>
          <w:tab w:leader="none" w:pos="10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clinical sites deviating from trial protocol or dropping out of a trial;</w:t>
      </w:r>
    </w:p>
    <w:p>
      <w:pPr>
        <w:spacing w:after="0" w:line="99" w:lineRule="exact"/>
        <w:rPr>
          <w:rFonts w:ascii="Arial" w:cs="Arial" w:eastAsia="Arial" w:hAnsi="Arial"/>
          <w:sz w:val="16"/>
          <w:szCs w:val="16"/>
          <w:color w:val="auto"/>
        </w:rPr>
      </w:pPr>
    </w:p>
    <w:p>
      <w:pPr>
        <w:ind w:left="1020" w:hanging="517"/>
        <w:spacing w:after="0"/>
        <w:tabs>
          <w:tab w:leader="none" w:pos="10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problems with drug product or drug substance storage and distribution;</w:t>
      </w:r>
    </w:p>
    <w:p>
      <w:pPr>
        <w:spacing w:after="0" w:line="99" w:lineRule="exact"/>
        <w:rPr>
          <w:rFonts w:ascii="Arial" w:cs="Arial" w:eastAsia="Arial" w:hAnsi="Arial"/>
          <w:sz w:val="16"/>
          <w:szCs w:val="16"/>
          <w:color w:val="auto"/>
        </w:rPr>
      </w:pPr>
    </w:p>
    <w:p>
      <w:pPr>
        <w:ind w:left="1020" w:hanging="517"/>
        <w:spacing w:after="0"/>
        <w:tabs>
          <w:tab w:leader="none" w:pos="10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adding new clinical trial sites;</w:t>
      </w:r>
    </w:p>
    <w:p>
      <w:pPr>
        <w:spacing w:after="0" w:line="99" w:lineRule="exact"/>
        <w:rPr>
          <w:rFonts w:ascii="Arial" w:cs="Arial" w:eastAsia="Arial" w:hAnsi="Arial"/>
          <w:sz w:val="16"/>
          <w:szCs w:val="16"/>
          <w:color w:val="auto"/>
        </w:rPr>
      </w:pPr>
    </w:p>
    <w:p>
      <w:pPr>
        <w:ind w:left="1020" w:hanging="517"/>
        <w:spacing w:after="0"/>
        <w:tabs>
          <w:tab w:leader="none" w:pos="1020" w:val="left"/>
        </w:tabs>
        <w:numPr>
          <w:ilvl w:val="0"/>
          <w:numId w:val="32"/>
        </w:numPr>
        <w:rPr>
          <w:rFonts w:ascii="Arial" w:cs="Arial" w:eastAsia="Arial" w:hAnsi="Arial"/>
          <w:sz w:val="15"/>
          <w:szCs w:val="15"/>
          <w:color w:val="auto"/>
        </w:rPr>
      </w:pPr>
      <w:r>
        <w:rPr>
          <w:rFonts w:ascii="Arial" w:cs="Arial" w:eastAsia="Arial" w:hAnsi="Arial"/>
          <w:sz w:val="15"/>
          <w:szCs w:val="15"/>
          <w:color w:val="auto"/>
        </w:rPr>
        <w:t>our inability to manufacture, or obtain from third parties, adequate supply of drug product sufficient to complete our preclinical studies and clinical trials;</w:t>
      </w:r>
    </w:p>
    <w:p>
      <w:pPr>
        <w:spacing w:after="0" w:line="111" w:lineRule="exact"/>
        <w:rPr>
          <w:rFonts w:ascii="Arial" w:cs="Arial" w:eastAsia="Arial" w:hAnsi="Arial"/>
          <w:sz w:val="15"/>
          <w:szCs w:val="15"/>
          <w:color w:val="auto"/>
        </w:rPr>
      </w:pPr>
    </w:p>
    <w:p>
      <w:pPr>
        <w:ind w:left="1020" w:hanging="517"/>
        <w:spacing w:after="0"/>
        <w:tabs>
          <w:tab w:leader="none" w:pos="10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changes in governmental or regulatory administration, including, for example, administrative delays due to the planned relocation of the EMA to the Netherlands;</w:t>
      </w:r>
    </w:p>
    <w:p>
      <w:pPr>
        <w:spacing w:after="0" w:line="122" w:lineRule="exact"/>
        <w:rPr>
          <w:rFonts w:ascii="Arial" w:cs="Arial" w:eastAsia="Arial" w:hAnsi="Arial"/>
          <w:sz w:val="14"/>
          <w:szCs w:val="14"/>
          <w:color w:val="auto"/>
        </w:rPr>
      </w:pPr>
    </w:p>
    <w:p>
      <w:pPr>
        <w:ind w:left="1020" w:right="300" w:hanging="517"/>
        <w:spacing w:after="0" w:line="268" w:lineRule="auto"/>
        <w:tabs>
          <w:tab w:leader="none" w:pos="10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changes in regulatory requirements, policy and guidelines, including guidelines specifically addressing requirements for the development of treatments for RSV, NASH, PBC or HBV;</w:t>
      </w:r>
    </w:p>
    <w:p>
      <w:pPr>
        <w:spacing w:after="0" w:line="62" w:lineRule="exact"/>
        <w:rPr>
          <w:rFonts w:ascii="Arial" w:cs="Arial" w:eastAsia="Arial" w:hAnsi="Arial"/>
          <w:sz w:val="16"/>
          <w:szCs w:val="16"/>
          <w:color w:val="auto"/>
        </w:rPr>
      </w:pPr>
    </w:p>
    <w:p>
      <w:pPr>
        <w:ind w:left="1020" w:hanging="517"/>
        <w:spacing w:after="0" w:line="268" w:lineRule="auto"/>
        <w:tabs>
          <w:tab w:leader="none" w:pos="10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program discontinuations or clinical holds for a program of a competitor, which could increase the level of regulatory scrutiny or delay data review or other response times by regulators with respect to one of our programs in the same class as the competitor’s program; or</w:t>
      </w:r>
    </w:p>
    <w:p>
      <w:pPr>
        <w:spacing w:after="0" w:line="62" w:lineRule="exact"/>
        <w:rPr>
          <w:rFonts w:ascii="Arial" w:cs="Arial" w:eastAsia="Arial" w:hAnsi="Arial"/>
          <w:sz w:val="16"/>
          <w:szCs w:val="16"/>
          <w:color w:val="auto"/>
        </w:rPr>
      </w:pPr>
    </w:p>
    <w:p>
      <w:pPr>
        <w:ind w:left="1020" w:hanging="517"/>
        <w:spacing w:after="0"/>
        <w:tabs>
          <w:tab w:leader="none" w:pos="10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varying interpretations of data by the FDA, the EMA and similar foreign regulatory agencies.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58420</wp:posOffset>
            </wp:positionV>
            <wp:extent cx="7303770" cy="40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33" w:name="page34"/>
    <w:bookmarkEnd w:id="33"/>
    <w:p>
      <w:pPr>
        <w:spacing w:after="0" w:line="267" w:lineRule="auto"/>
        <w:rPr>
          <w:sz w:val="20"/>
          <w:szCs w:val="20"/>
          <w:color w:val="auto"/>
        </w:rPr>
      </w:pPr>
      <w:r>
        <w:rPr>
          <w:rFonts w:ascii="Arial" w:cs="Arial" w:eastAsia="Arial" w:hAnsi="Arial"/>
          <w:sz w:val="15"/>
          <w:szCs w:val="15"/>
          <w:color w:val="auto"/>
        </w:rPr>
        <w:t>We could also encounter delays if a clinical trial is suspended or terminated by us, by the IRBs of the institutions in which such trial is being conducted, by any Data Safety Monitoring Board, or DSMB, for such trial, or by the FDA, the EMA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delays can occur due to safety concerns arising from trials or other clinical data regarding another company’s product candidate in the same compound class as one of ours. If we or any future collaborators experience delays in the completion of, or termination of, any clinical trial of one of our product candidates, the commercial prospects of the product candidate will be harmed, and our ability to commence product sales and generate product revenues from the product candidate will be delayed. In addition, any delays in completing our clinical trials will increase our costs and slow down our product candidate development and approval process.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255"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b w:val="1"/>
          <w:bCs w:val="1"/>
          <w:i w:val="1"/>
          <w:iCs w:val="1"/>
          <w:color w:val="auto"/>
        </w:rPr>
        <w:t>We may choose to test any of our clinical candidates preclinically and/or clinically in combination with other compounds with different mechanisms of action, and any adverse results from such testing may have adverse consequences for the further development potential of not only the combination but also the clinical candidate itself as a monotherapy or in combination with other mechanisms of action.</w:t>
      </w:r>
    </w:p>
    <w:p>
      <w:pPr>
        <w:spacing w:after="0" w:line="71"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We expect that the further development of successful therapies in our principal disease areas of RSV, NASH and HBV may require combining one or more of our compounds with other compounds with different mechanisms of action. To advance our programs and achieve favorable opportunities for any such combinations we may conduct preclinical testing, as well as clinical testing, with one of our other compounds or with a compound of a third party, with or without a longer-term collaboration with any such party. We may choose to disclose such testing in advance, but we can anticipate that some of the testing would be done without any public disclosure. If any such testing produces adverse results, we may have to disclose it to regulatory authorities as part of the data available with respect to our product candidate and the data may have adverse consequences for the further development and the ultimate conditions attached to any approved use of the product candidate, whether in the combination tested or even as a monotherapy or in combination with other mechanisms.</w:t>
      </w:r>
    </w:p>
    <w:p>
      <w:pPr>
        <w:spacing w:after="0" w:line="267"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b w:val="1"/>
          <w:bCs w:val="1"/>
          <w:i w:val="1"/>
          <w:iCs w:val="1"/>
          <w:color w:val="auto"/>
        </w:rPr>
        <w:t>EDP-305, EDP-938, EDP-514 or any other product candidate emerging from our current NASH, PBC, RSV and HBV programs may have undesirable side effects which may delay or prevent marketing approval, or, if approval is received, require our product candidate to be taken off the market, require us to include safety warnings or otherwise limit sales.</w:t>
      </w:r>
    </w:p>
    <w:p>
      <w:pPr>
        <w:spacing w:after="0" w:line="71" w:lineRule="exact"/>
        <w:rPr>
          <w:sz w:val="20"/>
          <w:szCs w:val="20"/>
          <w:color w:val="auto"/>
        </w:rPr>
      </w:pPr>
    </w:p>
    <w:p>
      <w:pPr>
        <w:ind w:right="40"/>
        <w:spacing w:after="0" w:line="273" w:lineRule="auto"/>
        <w:rPr>
          <w:sz w:val="20"/>
          <w:szCs w:val="20"/>
          <w:color w:val="auto"/>
        </w:rPr>
      </w:pPr>
      <w:r>
        <w:rPr>
          <w:rFonts w:ascii="Arial" w:cs="Arial" w:eastAsia="Arial" w:hAnsi="Arial"/>
          <w:sz w:val="15"/>
          <w:szCs w:val="15"/>
          <w:color w:val="auto"/>
        </w:rPr>
        <w:t>In our NASH/PBC program, we are developing agonists of the farnesoid X receptor, or FXR, that are designed to bind to that receptor and then trigger a response from it. The adverse effects from long-term exposure to the FXR drug class are not well known since within this class only two drugs have been approved by the FDA—Ocaliva</w:t>
      </w:r>
      <w:r>
        <w:rPr>
          <w:rFonts w:ascii="Arial" w:cs="Arial" w:eastAsia="Arial" w:hAnsi="Arial"/>
          <w:sz w:val="12"/>
          <w:szCs w:val="12"/>
          <w:color w:val="auto"/>
        </w:rPr>
        <w:t>®</w:t>
      </w:r>
      <w:r>
        <w:rPr>
          <w:rFonts w:ascii="Arial" w:cs="Arial" w:eastAsia="Arial" w:hAnsi="Arial"/>
          <w:sz w:val="15"/>
          <w:szCs w:val="15"/>
          <w:color w:val="auto"/>
        </w:rPr>
        <w:t>, approved in May 2016 for PBC, and an older drug not commonly used but approved to treat cholesterol gallstones (by dissolving them) and a rare lipid storage disease. Unforeseen side effects from any of our product candidates could arise either during clinical development or, if approved, after the approved product has been marketed. The range and potential severity of possible side effects from systemic therapies like FXR agonists could be significant.</w:t>
      </w:r>
    </w:p>
    <w:p>
      <w:pPr>
        <w:spacing w:after="0" w:line="155"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 xml:space="preserve">In addition, our drug candidates for NASH may be developed as a potential treatment for a severe disease that commonly occurs in patients with other serious conditions, including metabolic syndrome and diabetes. Any clinical trials in NASH will necessarily be conducted in patient populations that may be more prone than the general population to exhibit certain disease states or adverse events. It may be difficult to discern whether certain events or symptoms observed during our trials were due to our drug candidates or placebo, resulting in our company and our </w:t>
      </w:r>
      <w:r>
        <w:rPr>
          <w:rFonts w:ascii="Arial" w:cs="Arial" w:eastAsia="Arial" w:hAnsi="Arial"/>
          <w:sz w:val="16"/>
          <w:szCs w:val="16"/>
          <w:color w:val="212121"/>
        </w:rPr>
        <w:t>development programs being negatively affected even if such events or symptoms are ultimately determined to be unlikely related to our drug</w:t>
      </w:r>
      <w:r>
        <w:rPr>
          <w:rFonts w:ascii="Arial" w:cs="Arial" w:eastAsia="Arial" w:hAnsi="Arial"/>
          <w:sz w:val="16"/>
          <w:szCs w:val="16"/>
          <w:color w:val="auto"/>
        </w:rPr>
        <w:t xml:space="preserve"> </w:t>
      </w:r>
      <w:r>
        <w:rPr>
          <w:rFonts w:ascii="Arial" w:cs="Arial" w:eastAsia="Arial" w:hAnsi="Arial"/>
          <w:sz w:val="16"/>
          <w:szCs w:val="16"/>
          <w:color w:val="212121"/>
        </w:rPr>
        <w:t>candidates.</w:t>
      </w:r>
    </w:p>
    <w:p>
      <w:pPr>
        <w:spacing w:after="0" w:line="193" w:lineRule="exact"/>
        <w:rPr>
          <w:sz w:val="20"/>
          <w:szCs w:val="20"/>
          <w:color w:val="auto"/>
        </w:rPr>
      </w:pPr>
    </w:p>
    <w:p>
      <w:pPr>
        <w:spacing w:after="0" w:line="282" w:lineRule="auto"/>
        <w:rPr>
          <w:sz w:val="20"/>
          <w:szCs w:val="20"/>
          <w:color w:val="auto"/>
        </w:rPr>
      </w:pPr>
      <w:r>
        <w:rPr>
          <w:rFonts w:ascii="Arial" w:cs="Arial" w:eastAsia="Arial" w:hAnsi="Arial"/>
          <w:sz w:val="15"/>
          <w:szCs w:val="15"/>
          <w:color w:val="212121"/>
        </w:rPr>
        <w:t>In our RSV program, we are developing inhibitors of the N protein. No inhibitor of the RSV N protein has progressed beyond a Phase 2 clinical trial, so we are not yet able to assess the potential liabilities of an N inhibitor in large scale studies or in the general population. In addition, in RSV the principal target populations, namely infants, the elderly, and the immunocompromised, represent sensitive patient populations that could be more prone to adverse effects of therapy.</w:t>
      </w:r>
    </w:p>
    <w:p>
      <w:pPr>
        <w:spacing w:after="0" w:line="149"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212121"/>
        </w:rPr>
        <w:t>In our HBV program, we are developing modulators of capsid assembly. This is a new mechanistic approach to HBV, and no capsid assembly modulators have advanced beyond Phase 2 clinical studies. Thus, we are not able to predict what adverse effects may arise in longer term studies conducted in larger populations. In addition, long term consequences of an HBV infection can include hepatocellular carcinoma, liver failure, or liver transplant. It may be difficult to determine whether our drug candidates are playing a direct role in contributing to (or protecting from) these downstream effects of HBV infection.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58420</wp:posOffset>
            </wp:positionV>
            <wp:extent cx="7303770" cy="406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00"/>
          </w:cols>
          <w:pgMar w:left="240" w:top="505" w:right="259" w:bottom="1440" w:gutter="0" w:footer="0" w:header="0"/>
        </w:sectPr>
      </w:pPr>
    </w:p>
    <w:bookmarkStart w:id="34" w:name="page35"/>
    <w:bookmarkEnd w:id="34"/>
    <w:p>
      <w:pPr>
        <w:spacing w:after="0"/>
        <w:rPr>
          <w:sz w:val="20"/>
          <w:szCs w:val="20"/>
          <w:color w:val="auto"/>
        </w:rPr>
      </w:pPr>
      <w:r>
        <w:rPr>
          <w:rFonts w:ascii="Arial" w:cs="Arial" w:eastAsia="Arial" w:hAnsi="Arial"/>
          <w:sz w:val="16"/>
          <w:szCs w:val="16"/>
          <w:color w:val="auto"/>
        </w:rPr>
        <w:t>If any of our product candidates receives marketing approval and we or others later identify undesirable or unacceptable side effects caused by such products:</w:t>
      </w:r>
    </w:p>
    <w:p>
      <w:pPr>
        <w:spacing w:after="0" w:line="100" w:lineRule="exact"/>
        <w:rPr>
          <w:sz w:val="20"/>
          <w:szCs w:val="20"/>
          <w:color w:val="auto"/>
        </w:rPr>
      </w:pPr>
    </w:p>
    <w:p>
      <w:pPr>
        <w:ind w:left="1020" w:hanging="517"/>
        <w:spacing w:after="0"/>
        <w:tabs>
          <w:tab w:leader="none" w:pos="1020" w:val="left"/>
        </w:tabs>
        <w:numPr>
          <w:ilvl w:val="0"/>
          <w:numId w:val="33"/>
        </w:numPr>
        <w:rPr>
          <w:rFonts w:ascii="Arial" w:cs="Arial" w:eastAsia="Arial" w:hAnsi="Arial"/>
          <w:sz w:val="15"/>
          <w:szCs w:val="15"/>
          <w:color w:val="auto"/>
        </w:rPr>
      </w:pPr>
      <w:r>
        <w:rPr>
          <w:rFonts w:ascii="Arial" w:cs="Arial" w:eastAsia="Arial" w:hAnsi="Arial"/>
          <w:sz w:val="15"/>
          <w:szCs w:val="15"/>
          <w:color w:val="auto"/>
        </w:rPr>
        <w:t>regulatory authorities may require the addition of labeling statements, specific warnings, a contraindication or field alerts to physicians and pharmacies;</w:t>
      </w:r>
    </w:p>
    <w:p>
      <w:pPr>
        <w:spacing w:after="0" w:line="111" w:lineRule="exact"/>
        <w:rPr>
          <w:rFonts w:ascii="Arial" w:cs="Arial" w:eastAsia="Arial" w:hAnsi="Arial"/>
          <w:sz w:val="15"/>
          <w:szCs w:val="15"/>
          <w:color w:val="auto"/>
        </w:rPr>
      </w:pPr>
    </w:p>
    <w:p>
      <w:pPr>
        <w:ind w:left="1020" w:hanging="517"/>
        <w:spacing w:after="0"/>
        <w:tabs>
          <w:tab w:leader="none" w:pos="10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we may be required to change instructions regarding the way the product is administered, conduct additional clinical trials or change the labeling of the product;</w:t>
      </w:r>
    </w:p>
    <w:p>
      <w:pPr>
        <w:spacing w:after="0" w:line="122" w:lineRule="exact"/>
        <w:rPr>
          <w:rFonts w:ascii="Arial" w:cs="Arial" w:eastAsia="Arial" w:hAnsi="Arial"/>
          <w:sz w:val="14"/>
          <w:szCs w:val="14"/>
          <w:color w:val="auto"/>
        </w:rPr>
      </w:pPr>
    </w:p>
    <w:p>
      <w:pPr>
        <w:ind w:left="1020" w:hanging="517"/>
        <w:spacing w:after="0"/>
        <w:tabs>
          <w:tab w:leader="none" w:pos="10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we may be subject to limitations on how we may promote the product;</w:t>
      </w:r>
    </w:p>
    <w:p>
      <w:pPr>
        <w:spacing w:after="0" w:line="99" w:lineRule="exact"/>
        <w:rPr>
          <w:rFonts w:ascii="Arial" w:cs="Arial" w:eastAsia="Arial" w:hAnsi="Arial"/>
          <w:sz w:val="16"/>
          <w:szCs w:val="16"/>
          <w:color w:val="auto"/>
        </w:rPr>
      </w:pPr>
    </w:p>
    <w:p>
      <w:pPr>
        <w:ind w:left="1020" w:hanging="517"/>
        <w:spacing w:after="0"/>
        <w:tabs>
          <w:tab w:leader="none" w:pos="10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sales of the product may decrease significantly;</w:t>
      </w:r>
    </w:p>
    <w:p>
      <w:pPr>
        <w:spacing w:after="0" w:line="99" w:lineRule="exact"/>
        <w:rPr>
          <w:rFonts w:ascii="Arial" w:cs="Arial" w:eastAsia="Arial" w:hAnsi="Arial"/>
          <w:sz w:val="16"/>
          <w:szCs w:val="16"/>
          <w:color w:val="auto"/>
        </w:rPr>
      </w:pPr>
    </w:p>
    <w:p>
      <w:pPr>
        <w:ind w:left="1020" w:hanging="517"/>
        <w:spacing w:after="0"/>
        <w:tabs>
          <w:tab w:leader="none" w:pos="10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regulatory authorities may require us to take our approved product off the market;</w:t>
      </w:r>
    </w:p>
    <w:p>
      <w:pPr>
        <w:spacing w:after="0" w:line="99" w:lineRule="exact"/>
        <w:rPr>
          <w:rFonts w:ascii="Arial" w:cs="Arial" w:eastAsia="Arial" w:hAnsi="Arial"/>
          <w:sz w:val="16"/>
          <w:szCs w:val="16"/>
          <w:color w:val="auto"/>
        </w:rPr>
      </w:pPr>
    </w:p>
    <w:p>
      <w:pPr>
        <w:ind w:left="1020" w:hanging="517"/>
        <w:spacing w:after="0"/>
        <w:tabs>
          <w:tab w:leader="none" w:pos="10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we may be subject to litigation or product liability claims; and</w:t>
      </w:r>
    </w:p>
    <w:p>
      <w:pPr>
        <w:spacing w:after="0" w:line="99" w:lineRule="exact"/>
        <w:rPr>
          <w:rFonts w:ascii="Arial" w:cs="Arial" w:eastAsia="Arial" w:hAnsi="Arial"/>
          <w:sz w:val="16"/>
          <w:szCs w:val="16"/>
          <w:color w:val="auto"/>
        </w:rPr>
      </w:pPr>
    </w:p>
    <w:p>
      <w:pPr>
        <w:ind w:left="1020" w:hanging="517"/>
        <w:spacing w:after="0"/>
        <w:tabs>
          <w:tab w:leader="none" w:pos="10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reputation and our stock price may suffer.</w:t>
      </w:r>
    </w:p>
    <w:p>
      <w:pPr>
        <w:spacing w:after="0" w:line="195"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Any of these events could prevent us from achieving or maintaining market acceptance of the affected product or could substantially increase commercialization costs and expenses, which in turn could delay or prevent us from generating significant revenue from the sale of any product we develop.</w:t>
      </w:r>
    </w:p>
    <w:p>
      <w:pPr>
        <w:spacing w:after="0" w:line="252" w:lineRule="exact"/>
        <w:rPr>
          <w:sz w:val="20"/>
          <w:szCs w:val="20"/>
          <w:color w:val="auto"/>
        </w:rPr>
      </w:pPr>
    </w:p>
    <w:p>
      <w:pPr>
        <w:jc w:val="both"/>
        <w:ind w:right="440"/>
        <w:spacing w:after="0" w:line="411" w:lineRule="auto"/>
        <w:rPr>
          <w:sz w:val="20"/>
          <w:szCs w:val="20"/>
          <w:color w:val="auto"/>
        </w:rPr>
      </w:pPr>
      <w:r>
        <w:rPr>
          <w:rFonts w:ascii="Arial" w:cs="Arial" w:eastAsia="Arial" w:hAnsi="Arial"/>
          <w:sz w:val="12"/>
          <w:szCs w:val="12"/>
          <w:b w:val="1"/>
          <w:bCs w:val="1"/>
          <w:i w:val="1"/>
          <w:iCs w:val="1"/>
          <w:color w:val="auto"/>
        </w:rPr>
        <w:t>If we are required to suspend or discontinue clinical trials due to side effects or other safety risks associated with our product candidates, or if we are required to conduct studies on the long-term effects associated with the use of any of those product candidates, commercialization any of those product candidates could be delayed or halted.</w:t>
      </w:r>
    </w:p>
    <w:p>
      <w:pPr>
        <w:spacing w:after="0" w:line="1" w:lineRule="exact"/>
        <w:rPr>
          <w:sz w:val="20"/>
          <w:szCs w:val="20"/>
          <w:color w:val="auto"/>
        </w:rPr>
      </w:pPr>
    </w:p>
    <w:p>
      <w:pPr>
        <w:spacing w:after="0" w:line="268" w:lineRule="auto"/>
        <w:rPr>
          <w:sz w:val="20"/>
          <w:szCs w:val="20"/>
          <w:color w:val="auto"/>
        </w:rPr>
      </w:pPr>
      <w:r>
        <w:rPr>
          <w:rFonts w:ascii="Arial" w:cs="Arial" w:eastAsia="Arial" w:hAnsi="Arial"/>
          <w:sz w:val="15"/>
          <w:szCs w:val="15"/>
          <w:color w:val="auto"/>
        </w:rPr>
        <w:t>Clinical trials involving our product candidates may be suspended or terminated at any time for a number of safety-related reasons. For example, we may voluntarily suspend or terminate clinical trials if at any time one of our product candidates, or a combination therapy including any of them, presents an unacceptable safety risk to the clinical trial patients. In addition, IRBs or regulatory agencies may order the temporary discontinuation or termination of clinical trials at any time if they believe that the clinical trials are not being conducted in accordance with applicable regulatory requirements, including if they present an unacceptable safety risk to patients. Administering any product candidate to humans may produce undesirable side effects. The existence of undesirable side effects resulting from any of our product candidates, or a combination therapy including any of them, could cause us or regulatory authorities, such as the FDA or EMA, to interrupt, delay or halt clinical trials of our product candidates and could result in the FDA or EMA or other regulatory agencies denying further development or approval of our product candidates for any or all targeted indications. This, in turn, could prevent us from commercializing our product candidates.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Results of earlier clinical trials may not be predictive of the results of later-stage clinical trials.</w:t>
      </w:r>
    </w:p>
    <w:p>
      <w:pPr>
        <w:spacing w:after="0" w:line="100"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The results of preclinical studies and early clinical trials of our product candidates may not be predictive of the results of later-stage clinical trials, if any. In addition, results of Phase 3 clinical trials in one or more ethnic groups are not necessarily indicative of results in other ethnic groups. Product candidates in later stages of clinical trials may fail to show the desired safety and efficacy results despite having progressed through preclinical studies and initial clinical trials. Many companies in the biopharmaceutical industry have suffered significant setbacks in advanced clinical trials due to adverse safety profiles or lack of efficacy, notwithstanding promising results in earlier studies. Similarly, future clinical trial results may not be successful for these or other reasons.</w:t>
      </w:r>
    </w:p>
    <w:p>
      <w:pPr>
        <w:spacing w:after="0" w:line="170"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Product candidate development risk is heightened by any changes in the planned clinical trials compared to the completed clinical trials. As product candidates are developed through preclinical early and late stage clinical trials towards approval and commercialization, it is customary that various aspects of the development program, such as manufacturing and formulation, are altered along the way in an effort to optimize processes and results. Such changes carry the risk that they will not achieve these intended objectives. Any of these changes could make the results of planned clinical trials or other future clinical trials we may initiate less predictable and could cause our product candidates to perform differently, which could delay completion of clinical trials, delay approval of our product candidates and/or jeopardize our ability to commence product sales and generate revenues.</w:t>
      </w:r>
    </w:p>
    <w:p>
      <w:pPr>
        <w:spacing w:after="0" w:line="265" w:lineRule="exact"/>
        <w:rPr>
          <w:sz w:val="20"/>
          <w:szCs w:val="20"/>
          <w:color w:val="auto"/>
        </w:rPr>
      </w:pPr>
    </w:p>
    <w:p>
      <w:pPr>
        <w:ind w:right="280"/>
        <w:spacing w:after="0" w:line="302" w:lineRule="auto"/>
        <w:rPr>
          <w:sz w:val="20"/>
          <w:szCs w:val="20"/>
          <w:color w:val="auto"/>
        </w:rPr>
      </w:pPr>
      <w:r>
        <w:rPr>
          <w:rFonts w:ascii="Arial" w:cs="Arial" w:eastAsia="Arial" w:hAnsi="Arial"/>
          <w:sz w:val="15"/>
          <w:szCs w:val="15"/>
          <w:b w:val="1"/>
          <w:bCs w:val="1"/>
          <w:i w:val="1"/>
          <w:iCs w:val="1"/>
          <w:color w:val="auto"/>
        </w:rPr>
        <w:t>The regulatory approval processes of the FDA, the EMA and other comparable foreign authorities are lengthy, time-consuming and inherently unpredictable, and if we are ultimately unable to obtain timely regulatory approval for our product candidates, our business will be substantially harmed.</w:t>
      </w:r>
    </w:p>
    <w:p>
      <w:pPr>
        <w:spacing w:after="0" w:line="39"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The regulatory approval process is expensive and, while the time required to gain FDA and foreign regulatory approval is uncertain, it may take years. Regulatory approvals are unpredictable and depend upon numerous factors, including the substantial discretion of the regulatory authorities. In addition, approval policies, regulations, or the type and amount of preclinical and clinical data necessary to</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58420</wp:posOffset>
            </wp:positionV>
            <wp:extent cx="7303770" cy="40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20"/>
          </w:cols>
          <w:pgMar w:left="240" w:top="505" w:right="239" w:bottom="1440" w:gutter="0" w:footer="0" w:header="0"/>
        </w:sectPr>
      </w:pPr>
    </w:p>
    <w:bookmarkStart w:id="35" w:name="page36"/>
    <w:bookmarkEnd w:id="35"/>
    <w:p>
      <w:pPr>
        <w:spacing w:after="0" w:line="293" w:lineRule="auto"/>
        <w:rPr>
          <w:sz w:val="20"/>
          <w:szCs w:val="20"/>
          <w:color w:val="auto"/>
        </w:rPr>
      </w:pPr>
      <w:r>
        <w:rPr>
          <w:rFonts w:ascii="Arial" w:cs="Arial" w:eastAsia="Arial" w:hAnsi="Arial"/>
          <w:sz w:val="14"/>
          <w:szCs w:val="14"/>
          <w:color w:val="auto"/>
        </w:rPr>
        <w:t>gain approval may change during the course of a product candidate’s clinical development and may vary among jurisdictions. We may be required to undertake and complete certain additional preclinical studies to generate toxicity and other data required to support the submission of a New Drug Application, or NDA, to the FDA or comparable application to other regulatory authorities. AbbVie obtained all regulatory approvals for its paritaprevir-containing regimens and for MAVYRET/MAVIRET, which contains glecaprevir. We have not obtained regulatory approval by ourselves for any of our wholly-owned product candidates and it is possible that none of our existing product candidates or any of our future product candidates will ever obtain regulatory approval. Furthermore, approval in the United States by the FDA does not ensure approval by regulatory authorities in other countries or jurisdictions, and approval by one foreign regulatory authority does not ensure approval by regulatory authorities in other foreign countries or by the FDA.</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Our product candidates could fail to receive regulatory approval for many reasons, including the following:</w:t>
      </w:r>
    </w:p>
    <w:p>
      <w:pPr>
        <w:spacing w:after="0" w:line="100" w:lineRule="exact"/>
        <w:rPr>
          <w:sz w:val="20"/>
          <w:szCs w:val="20"/>
          <w:color w:val="auto"/>
        </w:rPr>
      </w:pPr>
    </w:p>
    <w:p>
      <w:pPr>
        <w:ind w:left="1020" w:hanging="517"/>
        <w:spacing w:after="0"/>
        <w:tabs>
          <w:tab w:leader="none" w:pos="10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FDA, the EMA or other comparable foreign regulatory authorities may disagree with the design or implementation of our clinical trials;</w:t>
      </w:r>
    </w:p>
    <w:p>
      <w:pPr>
        <w:spacing w:after="0" w:line="99" w:lineRule="exact"/>
        <w:rPr>
          <w:rFonts w:ascii="Arial" w:cs="Arial" w:eastAsia="Arial" w:hAnsi="Arial"/>
          <w:sz w:val="16"/>
          <w:szCs w:val="16"/>
          <w:color w:val="auto"/>
        </w:rPr>
      </w:pPr>
    </w:p>
    <w:p>
      <w:pPr>
        <w:ind w:left="1020" w:right="260" w:hanging="517"/>
        <w:spacing w:after="0" w:line="268" w:lineRule="auto"/>
        <w:tabs>
          <w:tab w:leader="none" w:pos="10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we may be unable to demonstrate to the satisfaction of the FDA, the EMA or other comparable foreign regulatory authorities that a product candidate is safe and effective for its proposed indication;</w:t>
      </w:r>
    </w:p>
    <w:p>
      <w:pPr>
        <w:spacing w:after="0" w:line="62" w:lineRule="exact"/>
        <w:rPr>
          <w:rFonts w:ascii="Arial" w:cs="Arial" w:eastAsia="Arial" w:hAnsi="Arial"/>
          <w:sz w:val="16"/>
          <w:szCs w:val="16"/>
          <w:color w:val="auto"/>
        </w:rPr>
      </w:pPr>
    </w:p>
    <w:p>
      <w:pPr>
        <w:ind w:left="1020" w:right="200" w:hanging="517"/>
        <w:spacing w:after="0" w:line="268" w:lineRule="auto"/>
        <w:tabs>
          <w:tab w:leader="none" w:pos="10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results of clinical trials may not meet the level of statistical significance required by the FDA, the EMA or other comparable foreign regulatory authorities for approval;</w:t>
      </w:r>
    </w:p>
    <w:p>
      <w:pPr>
        <w:spacing w:after="0" w:line="62" w:lineRule="exact"/>
        <w:rPr>
          <w:rFonts w:ascii="Arial" w:cs="Arial" w:eastAsia="Arial" w:hAnsi="Arial"/>
          <w:sz w:val="16"/>
          <w:szCs w:val="16"/>
          <w:color w:val="auto"/>
        </w:rPr>
      </w:pPr>
    </w:p>
    <w:p>
      <w:pPr>
        <w:ind w:left="1020" w:hanging="517"/>
        <w:spacing w:after="0"/>
        <w:tabs>
          <w:tab w:leader="none" w:pos="10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we may be unable to demonstrate that a product candidate’s clinical and other benefits outweigh its safety risks;</w:t>
      </w:r>
    </w:p>
    <w:p>
      <w:pPr>
        <w:spacing w:after="0" w:line="99" w:lineRule="exact"/>
        <w:rPr>
          <w:rFonts w:ascii="Arial" w:cs="Arial" w:eastAsia="Arial" w:hAnsi="Arial"/>
          <w:sz w:val="16"/>
          <w:szCs w:val="16"/>
          <w:color w:val="auto"/>
        </w:rPr>
      </w:pPr>
    </w:p>
    <w:p>
      <w:pPr>
        <w:ind w:left="1020" w:hanging="517"/>
        <w:spacing w:after="0"/>
        <w:tabs>
          <w:tab w:leader="none" w:pos="102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FDA, the EMA or other comparable foreign regulatory authorities may disagree with our interpretation of data from preclinical studies or clinical trials;</w:t>
      </w:r>
    </w:p>
    <w:p>
      <w:pPr>
        <w:spacing w:after="0" w:line="111" w:lineRule="exact"/>
        <w:rPr>
          <w:rFonts w:ascii="Arial" w:cs="Arial" w:eastAsia="Arial" w:hAnsi="Arial"/>
          <w:sz w:val="15"/>
          <w:szCs w:val="15"/>
          <w:color w:val="auto"/>
        </w:rPr>
      </w:pPr>
    </w:p>
    <w:p>
      <w:pPr>
        <w:ind w:left="1020" w:right="560" w:hanging="517"/>
        <w:spacing w:after="0" w:line="268" w:lineRule="auto"/>
        <w:tabs>
          <w:tab w:leader="none" w:pos="10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data collected from clinical trials of our product candidates may not be sufficient to support the submission of an NDA or other submissions or to obtain regulatory approval in the United States or elsewhere;</w:t>
      </w:r>
    </w:p>
    <w:p>
      <w:pPr>
        <w:spacing w:after="0" w:line="62" w:lineRule="exact"/>
        <w:rPr>
          <w:rFonts w:ascii="Arial" w:cs="Arial" w:eastAsia="Arial" w:hAnsi="Arial"/>
          <w:sz w:val="16"/>
          <w:szCs w:val="16"/>
          <w:color w:val="auto"/>
        </w:rPr>
      </w:pPr>
    </w:p>
    <w:p>
      <w:pPr>
        <w:ind w:left="1020" w:right="360" w:hanging="517"/>
        <w:spacing w:after="0" w:line="268" w:lineRule="auto"/>
        <w:tabs>
          <w:tab w:leader="none" w:pos="10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fail to approve the manufacturing processes or facilities of third-party manufacturers with which we contract for clinical and commercial supplies of any of our product candidates; and</w:t>
      </w:r>
    </w:p>
    <w:p>
      <w:pPr>
        <w:spacing w:after="0" w:line="62" w:lineRule="exact"/>
        <w:rPr>
          <w:rFonts w:ascii="Arial" w:cs="Arial" w:eastAsia="Arial" w:hAnsi="Arial"/>
          <w:sz w:val="16"/>
          <w:szCs w:val="16"/>
          <w:color w:val="auto"/>
        </w:rPr>
      </w:pPr>
    </w:p>
    <w:p>
      <w:pPr>
        <w:ind w:left="1020" w:right="240" w:hanging="517"/>
        <w:spacing w:after="0" w:line="268" w:lineRule="auto"/>
        <w:tabs>
          <w:tab w:leader="none" w:pos="10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approval policies or regulations of the FDA, the EMA or other comparable foreign regulatory authorities may significantly change in a manner rendering our clinical data insufficient for approval.</w:t>
      </w:r>
    </w:p>
    <w:p>
      <w:pPr>
        <w:spacing w:after="0" w:line="157" w:lineRule="exact"/>
        <w:rPr>
          <w:sz w:val="20"/>
          <w:szCs w:val="20"/>
          <w:color w:val="auto"/>
        </w:rPr>
      </w:pPr>
    </w:p>
    <w:p>
      <w:pPr>
        <w:ind w:right="320"/>
        <w:spacing w:after="0" w:line="269" w:lineRule="auto"/>
        <w:rPr>
          <w:sz w:val="20"/>
          <w:szCs w:val="20"/>
          <w:color w:val="auto"/>
        </w:rPr>
      </w:pPr>
      <w:r>
        <w:rPr>
          <w:rFonts w:ascii="Arial" w:cs="Arial" w:eastAsia="Arial" w:hAnsi="Arial"/>
          <w:sz w:val="15"/>
          <w:szCs w:val="15"/>
          <w:color w:val="auto"/>
        </w:rPr>
        <w:t>We cannot be assured that after spending substantial time and resources, we will obtain regulatory approvals in any desired jurisdiction. Even if we were to obtain approval, regulatory authorities may grant approval contingent on the performance of costly post-marketing clinical trials, or may approve a product candidate with a label that does not include the labeling claims necessary or desirable for the successful commercialization of that product candidate. Significant clinical trial delays could allow our competitors to obtain marketing approval before we do or could in effect shorten the patent protection period during which we may have the exclusive right to commercialize our product candidates. In addition, it may ultimately not be possible to achieve the prices intended for our products. In many foreign countries, including those in the European Union, a product candidate must be approved for reimbursement before it can be approved for sale in that country. Any of the foregoing scenarios could materially harm the commercial prospects for our product candidates and our business.</w:t>
      </w:r>
    </w:p>
    <w:p>
      <w:pPr>
        <w:spacing w:after="0" w:line="255" w:lineRule="exact"/>
        <w:rPr>
          <w:sz w:val="20"/>
          <w:szCs w:val="20"/>
          <w:color w:val="auto"/>
        </w:rPr>
      </w:pPr>
    </w:p>
    <w:p>
      <w:pPr>
        <w:ind w:right="240"/>
        <w:spacing w:after="0" w:line="254" w:lineRule="auto"/>
        <w:rPr>
          <w:sz w:val="20"/>
          <w:szCs w:val="20"/>
          <w:color w:val="auto"/>
        </w:rPr>
      </w:pPr>
      <w:r>
        <w:rPr>
          <w:rFonts w:ascii="Arial" w:cs="Arial" w:eastAsia="Arial" w:hAnsi="Arial"/>
          <w:sz w:val="16"/>
          <w:szCs w:val="16"/>
          <w:b w:val="1"/>
          <w:bCs w:val="1"/>
          <w:i w:val="1"/>
          <w:iCs w:val="1"/>
          <w:color w:val="auto"/>
        </w:rPr>
        <w:t>Even if we receive regulatory approval for any of our product candidates we develop independently, we will be subject to ongoing FDA obligations and continued regulatory review in other jurisdictions, which may result in significant additional expense. Additionally, our product candidates, if approved, could be subject to labeling and other restrictions and market withdrawal and we may be subject to penalties if we or our collaborators fail to comply with regulatory requirements or experience unanticipated problems with our products.</w:t>
      </w:r>
    </w:p>
    <w:p>
      <w:pPr>
        <w:spacing w:after="0" w:line="73" w:lineRule="exact"/>
        <w:rPr>
          <w:sz w:val="20"/>
          <w:szCs w:val="20"/>
          <w:color w:val="auto"/>
        </w:rPr>
      </w:pPr>
    </w:p>
    <w:p>
      <w:pPr>
        <w:ind w:right="160"/>
        <w:spacing w:after="0" w:line="257" w:lineRule="auto"/>
        <w:rPr>
          <w:sz w:val="20"/>
          <w:szCs w:val="20"/>
          <w:color w:val="auto"/>
        </w:rPr>
      </w:pPr>
      <w:r>
        <w:rPr>
          <w:rFonts w:ascii="Arial" w:cs="Arial" w:eastAsia="Arial" w:hAnsi="Arial"/>
          <w:sz w:val="16"/>
          <w:szCs w:val="16"/>
          <w:color w:val="auto"/>
        </w:rPr>
        <w:t>Any regulatory approvals that we receive for our product candidates we develop independently may be subject to limitations on the approved indicated uses for which the product may be marketed or subject to certain conditions of approval, or may contain requirements for potentially costly post-marketing testing, including Phase 4 clinical trials, and surveillance to monitor the safety and efficacy of the product candidate.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58420</wp:posOffset>
            </wp:positionV>
            <wp:extent cx="7303770" cy="406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00"/>
          </w:cols>
          <w:pgMar w:left="240" w:top="411" w:right="259" w:bottom="1440" w:gutter="0" w:footer="0" w:header="0"/>
        </w:sectPr>
      </w:pPr>
    </w:p>
    <w:bookmarkStart w:id="36" w:name="page37"/>
    <w:bookmarkEnd w:id="36"/>
    <w:p>
      <w:pPr>
        <w:spacing w:after="0" w:line="273" w:lineRule="auto"/>
        <w:rPr>
          <w:sz w:val="20"/>
          <w:szCs w:val="20"/>
          <w:color w:val="auto"/>
        </w:rPr>
      </w:pPr>
      <w:r>
        <w:rPr>
          <w:rFonts w:ascii="Arial" w:cs="Arial" w:eastAsia="Arial" w:hAnsi="Arial"/>
          <w:sz w:val="15"/>
          <w:szCs w:val="15"/>
          <w:color w:val="auto"/>
        </w:rPr>
        <w:t>In addition, if the FDA approves any of our product candidates, the manufacturing processes, labeling, packaging, distribution, adverse event reporting, storage, advertising, promotion and recordkeeping for the product will be subject to extensive and ongoing regulatory requirements. These requirements include submissions of safety and other post-marketing information and reports, as well as continued compliance with current good manufacturing practices, or cGMP, and good clinical practices, or GCP, for any clinical trials that we or our collaborators conduct post-approval. Later discovery of previously unknown problems with a product, including adverse events of unanticipated severity or frequency, or with third-party manufacturers or manufacturing processes, or failure to comply with regulatory requirements, may result in, among other things:</w:t>
      </w:r>
    </w:p>
    <w:p>
      <w:pPr>
        <w:spacing w:after="0" w:line="60" w:lineRule="exact"/>
        <w:rPr>
          <w:sz w:val="20"/>
          <w:szCs w:val="20"/>
          <w:color w:val="auto"/>
        </w:rPr>
      </w:pPr>
    </w:p>
    <w:p>
      <w:pPr>
        <w:ind w:left="1020" w:hanging="517"/>
        <w:spacing w:after="0"/>
        <w:tabs>
          <w:tab w:leader="none" w:pos="10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restrictions on the marketing or manufacturing of the product, withdrawal of the product from the market or voluntary or mandatory product recalls;</w:t>
      </w:r>
    </w:p>
    <w:p>
      <w:pPr>
        <w:spacing w:after="0" w:line="99" w:lineRule="exact"/>
        <w:rPr>
          <w:rFonts w:ascii="Arial" w:cs="Arial" w:eastAsia="Arial" w:hAnsi="Arial"/>
          <w:sz w:val="16"/>
          <w:szCs w:val="16"/>
          <w:color w:val="auto"/>
        </w:rPr>
      </w:pPr>
    </w:p>
    <w:p>
      <w:pPr>
        <w:ind w:left="1020" w:hanging="517"/>
        <w:spacing w:after="0"/>
        <w:tabs>
          <w:tab w:leader="none" w:pos="10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fines, warning letters or holds on any post-approval clinical trials;</w:t>
      </w:r>
    </w:p>
    <w:p>
      <w:pPr>
        <w:spacing w:after="0" w:line="99" w:lineRule="exact"/>
        <w:rPr>
          <w:rFonts w:ascii="Arial" w:cs="Arial" w:eastAsia="Arial" w:hAnsi="Arial"/>
          <w:sz w:val="16"/>
          <w:szCs w:val="16"/>
          <w:color w:val="auto"/>
        </w:rPr>
      </w:pPr>
    </w:p>
    <w:p>
      <w:pPr>
        <w:ind w:left="1020" w:hanging="517"/>
        <w:spacing w:after="0"/>
        <w:tabs>
          <w:tab w:leader="none" w:pos="10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refusal by the FDA to approve pending applications or supplements to approved applications filed by us, or suspension or revocation of product license approvals;</w:t>
      </w:r>
    </w:p>
    <w:p>
      <w:pPr>
        <w:spacing w:after="0" w:line="122" w:lineRule="exact"/>
        <w:rPr>
          <w:rFonts w:ascii="Arial" w:cs="Arial" w:eastAsia="Arial" w:hAnsi="Arial"/>
          <w:sz w:val="14"/>
          <w:szCs w:val="14"/>
          <w:color w:val="auto"/>
        </w:rPr>
      </w:pPr>
    </w:p>
    <w:p>
      <w:pPr>
        <w:ind w:left="1020" w:hanging="517"/>
        <w:spacing w:after="0"/>
        <w:tabs>
          <w:tab w:leader="none" w:pos="10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product seizure or detention, or refusal to permit the import or export of products; and</w:t>
      </w:r>
    </w:p>
    <w:p>
      <w:pPr>
        <w:spacing w:after="0" w:line="99" w:lineRule="exact"/>
        <w:rPr>
          <w:rFonts w:ascii="Arial" w:cs="Arial" w:eastAsia="Arial" w:hAnsi="Arial"/>
          <w:sz w:val="16"/>
          <w:szCs w:val="16"/>
          <w:color w:val="auto"/>
        </w:rPr>
      </w:pPr>
    </w:p>
    <w:p>
      <w:pPr>
        <w:ind w:left="1020" w:hanging="517"/>
        <w:spacing w:after="0"/>
        <w:tabs>
          <w:tab w:leader="none" w:pos="10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injunctions or the imposition of civil or criminal penalties.</w:t>
      </w:r>
    </w:p>
    <w:p>
      <w:pPr>
        <w:spacing w:after="0" w:line="195"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We cannot predict the likelihood, nature or extent of government regulation that may arise from future legislation or administrative action, either in the United States or abroad. If we, or AbbVie in the case of any licensed HCV product, are slow or unable to adapt to changes in existing requirements or the adoption of new requirements or policies, or if we or AbbVie are not able to maintain regulatory compliance, our product candidates or AbbVie’s licensed HCV products may lose any marketing approval that may have been obtained and we may not achieve or sustain profitability, which would adversely affect our business.</w:t>
      </w:r>
    </w:p>
    <w:p>
      <w:pPr>
        <w:spacing w:after="0" w:line="262"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b w:val="1"/>
          <w:bCs w:val="1"/>
          <w:i w:val="1"/>
          <w:iCs w:val="1"/>
          <w:color w:val="auto"/>
        </w:rPr>
        <w:t>We may delay or terminate the development of a product candidate at any time if we believe the perceived market or commercial opportunity does not justify further investment, which could materially harm our business and adversely affect our stock price.</w:t>
      </w:r>
    </w:p>
    <w:p>
      <w:pPr>
        <w:spacing w:after="0" w:line="62" w:lineRule="exact"/>
        <w:rPr>
          <w:sz w:val="20"/>
          <w:szCs w:val="20"/>
          <w:color w:val="auto"/>
        </w:rPr>
      </w:pPr>
    </w:p>
    <w:p>
      <w:pPr>
        <w:ind w:right="60"/>
        <w:spacing w:after="0" w:line="271" w:lineRule="auto"/>
        <w:rPr>
          <w:sz w:val="20"/>
          <w:szCs w:val="20"/>
          <w:color w:val="auto"/>
        </w:rPr>
      </w:pPr>
      <w:r>
        <w:rPr>
          <w:rFonts w:ascii="Arial" w:cs="Arial" w:eastAsia="Arial" w:hAnsi="Arial"/>
          <w:sz w:val="15"/>
          <w:szCs w:val="15"/>
          <w:color w:val="auto"/>
        </w:rPr>
        <w:t>Even though the results of preclinical studies and clinical trials that we have conducted or may conduct in the future may support further development of one or more of our product candidates, we may delay, suspend or terminate the future development of a product candidate at any time for strategic, business, financial or other reasons, including the determination or belief that the emerging profile of the product candidate is such that it may not receive regulatory approvals in key markets, gain meaningful market acceptance, otherwise provide any competitive advantages in its intended indication or market or generate a significant return to stockholders. Such a delay, suspension or termination could materially harm our business, results of operations or financial condition. In addition, AbbVie has the right to make decisions regarding the commercialization of paritaprevir and glecaprevir without consulting us, and may make decisions with which we do not agree.</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Commercialization of Our Product Candidates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Unfavorable pricing regulations, third-party reimbursement practices or healthcare reform initiatives in the United States could harm our business.</w:t>
      </w:r>
    </w:p>
    <w:p>
      <w:pPr>
        <w:spacing w:after="0" w:line="100" w:lineRule="exact"/>
        <w:rPr>
          <w:sz w:val="20"/>
          <w:szCs w:val="20"/>
          <w:color w:val="auto"/>
        </w:rPr>
      </w:pPr>
    </w:p>
    <w:p>
      <w:pPr>
        <w:ind w:right="20"/>
        <w:spacing w:after="0" w:line="287" w:lineRule="auto"/>
        <w:rPr>
          <w:sz w:val="20"/>
          <w:szCs w:val="20"/>
          <w:color w:val="auto"/>
        </w:rPr>
      </w:pPr>
      <w:r>
        <w:rPr>
          <w:rFonts w:ascii="Arial" w:cs="Arial" w:eastAsia="Arial" w:hAnsi="Arial"/>
          <w:sz w:val="14"/>
          <w:szCs w:val="14"/>
          <w:color w:val="auto"/>
        </w:rPr>
        <w:t>The regulations that govern marketing approvals, pricing and reimbursement for new drug products vary widely from country to country. In the United States, the Patient Protection and Affordable Care Act, as amended by the Health Care and Education Affordability Reconciliation Act of 2010, collectively referred to as the ACA, has significantly changed the way healthcare is financed by both governmental and private insurers. While we cannot predict what impact on federal reimbursement policies this law or any amendment to it will continue to have in general or specifically on MAVYRET/MAVIRET or any product or regimen that we may commercialize, the ACA or any such amendment may result in downward pressure on pharmaceutical reimbursement, which could negatively affect market acceptance of new products. In addition, although the United States Supreme Court has upheld the constitutionality of most of the ACA, several states have not implemented certain sections of the ACA, including 14 that have rejected the expansion of Medicaid eligibility for low income citizens, and some members of the U.S. Congress are still working to repeal the ACA. More recently, President Trump and the Republicans in both houses of the U.S. Congress have been seeking to repeal or replace all or portions of the ACA but to date they have been unable to agree on any such legislation. On December 14, 2018, a United States District Court judge in Texas ruled that the Affordable Care Act is unconstitutional in its entirety because the “individual mandate” was repealed by Congress as part of the Tax Cuts and Jobs Act of 2017. While this U.S. District Court judge, as well as the Trump administration and Centers for Medicare and Medicaid Services, have stated that the ruling will have no immediate effect pending appeal of the decision, it is unclear how this decision, subsequent appeals and other efforts to repeal and replace the Affordable Care Act will impact the Affordable Care Act. We cannot predict what legislation, if any, to repeal or replace the ACA will become law, or what impact any such legislation, or the Texas court challenge, may have on us or on AbbVie’s sales of MAVYRET/MAVIRET.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58420</wp:posOffset>
            </wp:positionV>
            <wp:extent cx="7303770" cy="40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37" w:name="page38"/>
    <w:bookmarkEnd w:id="37"/>
    <w:p>
      <w:pPr>
        <w:spacing w:after="0" w:line="296" w:lineRule="auto"/>
        <w:rPr>
          <w:sz w:val="20"/>
          <w:szCs w:val="20"/>
          <w:color w:val="auto"/>
        </w:rPr>
      </w:pPr>
      <w:r>
        <w:rPr>
          <w:rFonts w:ascii="Arial" w:cs="Arial" w:eastAsia="Arial" w:hAnsi="Arial"/>
          <w:sz w:val="14"/>
          <w:szCs w:val="14"/>
          <w:color w:val="auto"/>
        </w:rPr>
        <w:t>In addition, other legislative changes have been proposed since the Affordable Care Act was enacted. There has been increasing legislative and enforcement interest in the United States with respect to drug pricing practices. Specifically, there have been several recent U.S. congressional inquiries and proposed bills designed to, among other things, bring more transparency to drug pricing, reduce the cost of prescription drugs under Medicare, review the relationship between pricing and manufacturer patient programs and reform government program reimbursement methodologies for drugs. We expect any healthcare reform measures that may be adopted in the future could result in more rigorous coverage criteria and an additional downward pressure on the price that AbbVie receives for MAVYRET/MAVIRET and could seriously harm our future revenues.</w:t>
      </w:r>
    </w:p>
    <w:p>
      <w:pPr>
        <w:spacing w:after="0" w:line="143"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Our ability to commercialize any product candidate successfully, as well as AbbVie’s continued commercialization of MAVYRET/MAVIRET, will also depend in part on the extent to which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is cost containment. Government authorities and third-party payors have attempted to control costs by limiting coverage and the amount of reimbursement for particular medications. In the case of HCV, limitations of coverage have recently been used to limit access to HCV treatments for only those patients with more advanced fibrosis. Increasingly, third-party payors are requiring that drug companies provide them with predetermined discounts from list prices and, in many cases involving HCV drugs, seeking discounts in exchange for greater patient access to a particular HCV drug. In addition, there are private and public payors challenging the prices charged for medical products. We cannot be sure that reimbursement will be available for any product that we may commercialize and, if reimbursement is available, the level of reimbursement. In addition, reimbursement may impact the demand for, or the price of, MAVYRET/MAVIRET or any product candidate for which we may obtain marketing approval. If reimbursement is not available or is available only to limited levels, AbbVie may not be successful in commercializing MAVYRET/MAVIRET and we may not be able to successfully commercialize any product candidate for which we may seek marketing approval.</w:t>
      </w:r>
    </w:p>
    <w:p>
      <w:pPr>
        <w:spacing w:after="0" w:line="146" w:lineRule="exact"/>
        <w:rPr>
          <w:sz w:val="20"/>
          <w:szCs w:val="20"/>
          <w:color w:val="auto"/>
        </w:rPr>
      </w:pPr>
    </w:p>
    <w:p>
      <w:pPr>
        <w:ind w:right="20"/>
        <w:spacing w:after="0" w:line="267" w:lineRule="auto"/>
        <w:rPr>
          <w:sz w:val="20"/>
          <w:szCs w:val="20"/>
          <w:color w:val="auto"/>
        </w:rPr>
      </w:pPr>
      <w:r>
        <w:rPr>
          <w:rFonts w:ascii="Arial" w:cs="Arial" w:eastAsia="Arial" w:hAnsi="Arial"/>
          <w:sz w:val="15"/>
          <w:szCs w:val="15"/>
          <w:color w:val="auto"/>
        </w:rPr>
        <w:t>There may be significant delays in obtaining reimbursement for newly approved drugs, and coverage may be more limited than the purposes for which the drug is approved by the FDA or comparable authorities in other jurisdictions. Moreover, eligibility for reimbursement does not imply that any drug will be paid for in all cases or at a rate that covers our costs, including research, development, manufacture, sale and distribution. Interim reimbursement levels for new drugs, if applicable, may also be insufficient to cover our and any collaborator’s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AbbVie’s inability to promptly obtain coverage and profitable payment rates from both government-funded and private payors for MAVYRET/MAVIRET, or our inability to do the same for any product candidate that we develop, could have a material adverse effect on our operating results, our ability to raise capital needed to commercialize products and our overall financial condition.</w:t>
      </w:r>
    </w:p>
    <w:p>
      <w:pPr>
        <w:spacing w:after="0" w:line="163" w:lineRule="exact"/>
        <w:rPr>
          <w:sz w:val="20"/>
          <w:szCs w:val="20"/>
          <w:color w:val="auto"/>
        </w:rPr>
      </w:pPr>
    </w:p>
    <w:p>
      <w:pPr>
        <w:ind w:right="20"/>
        <w:spacing w:after="0" w:line="271" w:lineRule="auto"/>
        <w:rPr>
          <w:sz w:val="20"/>
          <w:szCs w:val="20"/>
          <w:color w:val="auto"/>
        </w:rPr>
      </w:pPr>
      <w:r>
        <w:rPr>
          <w:rFonts w:ascii="Arial" w:cs="Arial" w:eastAsia="Arial" w:hAnsi="Arial"/>
          <w:sz w:val="15"/>
          <w:szCs w:val="15"/>
          <w:color w:val="auto"/>
        </w:rPr>
        <w:t>In general, the United States and several other jurisdictions are considering a number of legislative and regulatory proposals to change the healthcare system in ways that could affect our ability to sell our products profitably. Among policy makers and payors in the United States and elsewhere, there is significant interest in promoting changes in healthcare systems with the stated goals of containing healthcare costs, improving quality and/or expanding access to healthcare. In the United States, the pharmaceutical industry has been a particular focus of these efforts and has been significantly affected by major legislative initiatives. We expect to experience pricing pressures in connection with the sale of any products that we develop or that are being commercialized under our collaboration with AbbVie. The implementation of cost containment measures or other healthcare reforms may limit our ability to generate revenue, maintain profitability or commercialize our product candidates.</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Foreign governments tend to impose strict price controls, which may adversely affect our future profitability.</w:t>
      </w:r>
    </w:p>
    <w:p>
      <w:pPr>
        <w:spacing w:after="0" w:line="100" w:lineRule="exact"/>
        <w:rPr>
          <w:sz w:val="20"/>
          <w:szCs w:val="20"/>
          <w:color w:val="auto"/>
        </w:rPr>
      </w:pPr>
    </w:p>
    <w:p>
      <w:pPr>
        <w:jc w:val="both"/>
        <w:ind w:right="80"/>
        <w:spacing w:after="0" w:line="311" w:lineRule="auto"/>
        <w:rPr>
          <w:sz w:val="20"/>
          <w:szCs w:val="20"/>
          <w:color w:val="auto"/>
        </w:rPr>
      </w:pPr>
      <w:r>
        <w:rPr>
          <w:rFonts w:ascii="Arial" w:cs="Arial" w:eastAsia="Arial" w:hAnsi="Arial"/>
          <w:sz w:val="14"/>
          <w:szCs w:val="14"/>
          <w:color w:val="auto"/>
        </w:rPr>
        <w:t>In most foreign countries, particularly in the European Union and Japan, prescription drug pricing and/or reimbursement is subject to governmental control. In those countries that impose price controls,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w:t>
      </w:r>
    </w:p>
    <w:p>
      <w:pPr>
        <w:spacing w:after="0" w:line="131"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(or AbbVie in the case of MAVYRET/MAVIRET) might obtain marketing approval for a product in a particular country, but then be subject to price regulations that delay commercial launch of the product, possibly for lengthy time periods, and negatively impact the revenues that are generated from the sale of the product in that country. If reimbursement of MAVYRET/MAVIRET or of any of our product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58420</wp:posOffset>
            </wp:positionV>
            <wp:extent cx="7303770" cy="406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00"/>
          </w:cols>
          <w:pgMar w:left="240" w:top="411" w:right="259" w:bottom="1440" w:gutter="0" w:footer="0" w:header="0"/>
        </w:sectPr>
      </w:pPr>
    </w:p>
    <w:bookmarkStart w:id="38" w:name="page39"/>
    <w:bookmarkEnd w:id="38"/>
    <w:p>
      <w:pPr>
        <w:ind w:right="380"/>
        <w:spacing w:after="0" w:line="268" w:lineRule="auto"/>
        <w:rPr>
          <w:sz w:val="20"/>
          <w:szCs w:val="20"/>
          <w:color w:val="auto"/>
        </w:rPr>
      </w:pPr>
      <w:r>
        <w:rPr>
          <w:rFonts w:ascii="Arial" w:cs="Arial" w:eastAsia="Arial" w:hAnsi="Arial"/>
          <w:sz w:val="16"/>
          <w:szCs w:val="16"/>
          <w:color w:val="auto"/>
        </w:rPr>
        <w:t>candidates is unavailable or limited in scope or amount, or if pricing is set at unsatisfactory levels, or if there is competition from lower priced cross-border sales, our results of operations will be negatively affected.</w:t>
      </w:r>
    </w:p>
    <w:p>
      <w:pPr>
        <w:spacing w:after="0" w:line="252" w:lineRule="exact"/>
        <w:rPr>
          <w:sz w:val="20"/>
          <w:szCs w:val="20"/>
          <w:color w:val="auto"/>
        </w:rPr>
      </w:pPr>
    </w:p>
    <w:p>
      <w:pPr>
        <w:spacing w:after="0" w:line="268" w:lineRule="auto"/>
        <w:rPr>
          <w:sz w:val="20"/>
          <w:szCs w:val="20"/>
          <w:color w:val="auto"/>
        </w:rPr>
      </w:pPr>
      <w:r>
        <w:rPr>
          <w:rFonts w:ascii="Arial" w:cs="Arial" w:eastAsia="Arial" w:hAnsi="Arial"/>
          <w:sz w:val="16"/>
          <w:szCs w:val="16"/>
          <w:b w:val="1"/>
          <w:bCs w:val="1"/>
          <w:i w:val="1"/>
          <w:iCs w:val="1"/>
          <w:color w:val="auto"/>
        </w:rPr>
        <w:t>If, in the future, we are unable to establish our own sales, marketing and distribution capabilities or enter into licensing or collaboration agreements for these purposes, we may not be successful in commercializing any product candidates.</w:t>
      </w:r>
    </w:p>
    <w:p>
      <w:pPr>
        <w:spacing w:after="0" w:line="62" w:lineRule="exact"/>
        <w:rPr>
          <w:sz w:val="20"/>
          <w:szCs w:val="20"/>
          <w:color w:val="auto"/>
        </w:rPr>
      </w:pPr>
    </w:p>
    <w:p>
      <w:pPr>
        <w:ind w:right="20"/>
        <w:spacing w:after="0" w:line="282" w:lineRule="auto"/>
        <w:rPr>
          <w:sz w:val="20"/>
          <w:szCs w:val="20"/>
          <w:color w:val="auto"/>
        </w:rPr>
      </w:pPr>
      <w:r>
        <w:rPr>
          <w:rFonts w:ascii="Arial" w:cs="Arial" w:eastAsia="Arial" w:hAnsi="Arial"/>
          <w:sz w:val="15"/>
          <w:szCs w:val="15"/>
          <w:color w:val="auto"/>
        </w:rPr>
        <w:t>We do not have a sales or marketing infrastructure and have no sales, marketing or distribution experience. We will seek to either build our own commercial infrastructure to commercialize any products if and when they are approved, or enter into licensing or collaboration agreements where our collaborator is responsible for commercialization, as in the case of our collaboration with AbbVie, or where we have the right to assist in the future development and commercialization of such products.</w:t>
      </w:r>
    </w:p>
    <w:p>
      <w:pPr>
        <w:spacing w:after="0" w:line="149" w:lineRule="exact"/>
        <w:rPr>
          <w:sz w:val="20"/>
          <w:szCs w:val="20"/>
          <w:color w:val="auto"/>
        </w:rPr>
      </w:pPr>
    </w:p>
    <w:p>
      <w:pPr>
        <w:ind w:right="200"/>
        <w:spacing w:after="0" w:line="257" w:lineRule="auto"/>
        <w:rPr>
          <w:sz w:val="20"/>
          <w:szCs w:val="20"/>
          <w:color w:val="auto"/>
        </w:rPr>
      </w:pPr>
      <w:r>
        <w:rPr>
          <w:rFonts w:ascii="Arial" w:cs="Arial" w:eastAsia="Arial" w:hAnsi="Arial"/>
          <w:sz w:val="16"/>
          <w:szCs w:val="16"/>
          <w:color w:val="auto"/>
        </w:rPr>
        <w:t>To develop internal sales, distribution and marketing capabilities, we will have to invest significant amounts of financial and management resources, some of which will be committed prior to any confirmation that any of our proprietary product candidates will be approved. For product candidates for which we decide to perform sales, marketing and distribution functions ourselves, we could face a number of additional risks, including:</w:t>
      </w:r>
    </w:p>
    <w:p>
      <w:pPr>
        <w:spacing w:after="0" w:line="71" w:lineRule="exact"/>
        <w:rPr>
          <w:sz w:val="20"/>
          <w:szCs w:val="20"/>
          <w:color w:val="auto"/>
        </w:rPr>
      </w:pPr>
    </w:p>
    <w:p>
      <w:pPr>
        <w:ind w:left="1020" w:hanging="517"/>
        <w:spacing w:after="0"/>
        <w:tabs>
          <w:tab w:leader="none" w:pos="10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our inability to recruit and retain adequate numbers of effective sales and marketing personnel;</w:t>
      </w:r>
    </w:p>
    <w:p>
      <w:pPr>
        <w:spacing w:after="0" w:line="99" w:lineRule="exact"/>
        <w:rPr>
          <w:rFonts w:ascii="Arial" w:cs="Arial" w:eastAsia="Arial" w:hAnsi="Arial"/>
          <w:sz w:val="16"/>
          <w:szCs w:val="16"/>
          <w:color w:val="auto"/>
        </w:rPr>
      </w:pPr>
    </w:p>
    <w:p>
      <w:pPr>
        <w:ind w:left="1020" w:hanging="517"/>
        <w:spacing w:after="0"/>
        <w:tabs>
          <w:tab w:leader="none" w:pos="10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physicians or persuade adequate numbers of physicians to prescribe any products;</w:t>
      </w:r>
    </w:p>
    <w:p>
      <w:pPr>
        <w:spacing w:after="0" w:line="99" w:lineRule="exact"/>
        <w:rPr>
          <w:rFonts w:ascii="Arial" w:cs="Arial" w:eastAsia="Arial" w:hAnsi="Arial"/>
          <w:sz w:val="16"/>
          <w:szCs w:val="16"/>
          <w:color w:val="auto"/>
        </w:rPr>
      </w:pPr>
    </w:p>
    <w:p>
      <w:pPr>
        <w:ind w:left="1020" w:right="300" w:hanging="517"/>
        <w:spacing w:after="0" w:line="268" w:lineRule="auto"/>
        <w:tabs>
          <w:tab w:leader="none" w:pos="10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lack of complementary products to be offered by sales personnel, which may put us at a competitive disadvantage relative to companies with more extensive product lines; and</w:t>
      </w:r>
    </w:p>
    <w:p>
      <w:pPr>
        <w:spacing w:after="0" w:line="62" w:lineRule="exact"/>
        <w:rPr>
          <w:rFonts w:ascii="Arial" w:cs="Arial" w:eastAsia="Arial" w:hAnsi="Arial"/>
          <w:sz w:val="16"/>
          <w:szCs w:val="16"/>
          <w:color w:val="auto"/>
        </w:rPr>
      </w:pPr>
    </w:p>
    <w:p>
      <w:pPr>
        <w:ind w:left="1020" w:hanging="517"/>
        <w:spacing w:after="0"/>
        <w:tabs>
          <w:tab w:leader="none" w:pos="10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unforeseen costs and expenses associated with creating an independent sales and marketing organization.</w:t>
      </w:r>
    </w:p>
    <w:p>
      <w:pPr>
        <w:spacing w:after="0" w:line="195" w:lineRule="exact"/>
        <w:rPr>
          <w:sz w:val="20"/>
          <w:szCs w:val="20"/>
          <w:color w:val="auto"/>
        </w:rPr>
      </w:pPr>
    </w:p>
    <w:p>
      <w:pPr>
        <w:ind w:right="120"/>
        <w:spacing w:after="0" w:line="273" w:lineRule="auto"/>
        <w:rPr>
          <w:sz w:val="20"/>
          <w:szCs w:val="20"/>
          <w:color w:val="auto"/>
        </w:rPr>
      </w:pPr>
      <w:r>
        <w:rPr>
          <w:rFonts w:ascii="Arial" w:cs="Arial" w:eastAsia="Arial" w:hAnsi="Arial"/>
          <w:sz w:val="15"/>
          <w:szCs w:val="15"/>
          <w:color w:val="auto"/>
        </w:rPr>
        <w:t>Where and when appropriate, we may elect to utilize contract sales forces or distribution partners to assist in the commercialization of our product candidates.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these third parties may fail to devote the necessary resources and attention to sell, market and distribute our products effectively.</w:t>
      </w:r>
    </w:p>
    <w:p>
      <w:pPr>
        <w:spacing w:after="0" w:line="155" w:lineRule="exact"/>
        <w:rPr>
          <w:sz w:val="20"/>
          <w:szCs w:val="20"/>
          <w:color w:val="auto"/>
        </w:rPr>
      </w:pPr>
    </w:p>
    <w:p>
      <w:pPr>
        <w:ind w:right="1080"/>
        <w:spacing w:after="0" w:line="268" w:lineRule="auto"/>
        <w:rPr>
          <w:sz w:val="20"/>
          <w:szCs w:val="20"/>
          <w:color w:val="auto"/>
        </w:rPr>
      </w:pPr>
      <w:r>
        <w:rPr>
          <w:rFonts w:ascii="Arial" w:cs="Arial" w:eastAsia="Arial" w:hAnsi="Arial"/>
          <w:sz w:val="16"/>
          <w:szCs w:val="16"/>
          <w:color w:val="auto"/>
        </w:rPr>
        <w:t>If we do not establish sales, marketing and distribution capabilities successfully, either on our own or in collaboration with third parties, we will not be successful in commercializing our product candidates.</w:t>
      </w:r>
    </w:p>
    <w:p>
      <w:pPr>
        <w:spacing w:after="0" w:line="25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Commercial success of our product candidates depends upon significant market acceptance among physicians, patients and healthcare payors of any resulting approved drug.</w:t>
      </w:r>
    </w:p>
    <w:p>
      <w:pPr>
        <w:spacing w:after="0" w:line="146" w:lineRule="exact"/>
        <w:rPr>
          <w:sz w:val="20"/>
          <w:szCs w:val="20"/>
          <w:color w:val="auto"/>
        </w:rPr>
      </w:pPr>
    </w:p>
    <w:p>
      <w:pPr>
        <w:ind w:right="60"/>
        <w:spacing w:after="0" w:line="282" w:lineRule="auto"/>
        <w:rPr>
          <w:sz w:val="20"/>
          <w:szCs w:val="20"/>
          <w:color w:val="auto"/>
        </w:rPr>
      </w:pPr>
      <w:r>
        <w:rPr>
          <w:rFonts w:ascii="Arial" w:cs="Arial" w:eastAsia="Arial" w:hAnsi="Arial"/>
          <w:sz w:val="15"/>
          <w:szCs w:val="15"/>
          <w:color w:val="auto"/>
        </w:rPr>
        <w:t>MAVYRET/MAVIRET, as well as EDP-305, EDP-938, EDP-514 and any other product candidate that we may develop in the future, whether as part of a combination therapy or as a monotherapy, are subject to market acceptance among physicians, healthcare payors, patients and the medical community. The degree of market acceptance of MAVYRET/MAVIRET or of any product candidate for which we obtain approval for commercial sale, will depend on a number of factors, including:</w:t>
      </w:r>
    </w:p>
    <w:p>
      <w:pPr>
        <w:spacing w:after="0" w:line="54" w:lineRule="exact"/>
        <w:rPr>
          <w:sz w:val="20"/>
          <w:szCs w:val="20"/>
          <w:color w:val="auto"/>
        </w:rPr>
      </w:pPr>
    </w:p>
    <w:p>
      <w:pPr>
        <w:ind w:left="1020" w:right="260" w:hanging="517"/>
        <w:spacing w:after="0" w:line="268" w:lineRule="auto"/>
        <w:tabs>
          <w:tab w:leader="none" w:pos="10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efficacy and safety of treatment regimens containing one of our product candidates, as demonstrated in clinical trials, and the degree to which these regimens represent a clinically meaningful improvement in care as compared with other available therapies;</w:t>
      </w:r>
    </w:p>
    <w:p>
      <w:pPr>
        <w:spacing w:after="0" w:line="62" w:lineRule="exact"/>
        <w:rPr>
          <w:rFonts w:ascii="Arial" w:cs="Arial" w:eastAsia="Arial" w:hAnsi="Arial"/>
          <w:sz w:val="16"/>
          <w:szCs w:val="16"/>
          <w:color w:val="auto"/>
        </w:rPr>
      </w:pPr>
    </w:p>
    <w:p>
      <w:pPr>
        <w:ind w:left="1020" w:hanging="517"/>
        <w:spacing w:after="0"/>
        <w:tabs>
          <w:tab w:leader="none" w:pos="10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clinical indications for which any treatment regimen containing one of our product candidates become approved;</w:t>
      </w:r>
    </w:p>
    <w:p>
      <w:pPr>
        <w:spacing w:after="0" w:line="99" w:lineRule="exact"/>
        <w:rPr>
          <w:rFonts w:ascii="Arial" w:cs="Arial" w:eastAsia="Arial" w:hAnsi="Arial"/>
          <w:sz w:val="16"/>
          <w:szCs w:val="16"/>
          <w:color w:val="auto"/>
        </w:rPr>
      </w:pPr>
    </w:p>
    <w:p>
      <w:pPr>
        <w:ind w:left="1020" w:hanging="517"/>
        <w:spacing w:after="0"/>
        <w:tabs>
          <w:tab w:leader="none" w:pos="10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acceptance among physicians, major operators of clinics, payors and patients of any treatment regimen containing one of our product candidates;</w:t>
      </w:r>
    </w:p>
    <w:p>
      <w:pPr>
        <w:spacing w:after="0" w:line="99" w:lineRule="exact"/>
        <w:rPr>
          <w:rFonts w:ascii="Arial" w:cs="Arial" w:eastAsia="Arial" w:hAnsi="Arial"/>
          <w:sz w:val="16"/>
          <w:szCs w:val="16"/>
          <w:color w:val="auto"/>
        </w:rPr>
      </w:pPr>
    </w:p>
    <w:p>
      <w:pPr>
        <w:ind w:left="1020" w:hanging="517"/>
        <w:spacing w:after="0"/>
        <w:tabs>
          <w:tab w:leader="none" w:pos="10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willingness of the target patient population to try new therapies and of physicians to prescribe these therapies;</w:t>
      </w:r>
    </w:p>
    <w:p>
      <w:pPr>
        <w:spacing w:after="0" w:line="99" w:lineRule="exact"/>
        <w:rPr>
          <w:rFonts w:ascii="Arial" w:cs="Arial" w:eastAsia="Arial" w:hAnsi="Arial"/>
          <w:sz w:val="16"/>
          <w:szCs w:val="16"/>
          <w:color w:val="auto"/>
        </w:rPr>
      </w:pPr>
    </w:p>
    <w:p>
      <w:pPr>
        <w:ind w:left="1020" w:hanging="517"/>
        <w:spacing w:after="0"/>
        <w:tabs>
          <w:tab w:leader="none" w:pos="10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potential and perceived advantages of treatment regimens containing one of our product candidates over alternative treatments;</w:t>
      </w:r>
    </w:p>
    <w:p>
      <w:pPr>
        <w:spacing w:after="0" w:line="99" w:lineRule="exact"/>
        <w:rPr>
          <w:rFonts w:ascii="Arial" w:cs="Arial" w:eastAsia="Arial" w:hAnsi="Arial"/>
          <w:sz w:val="16"/>
          <w:szCs w:val="16"/>
          <w:color w:val="auto"/>
        </w:rPr>
      </w:pPr>
    </w:p>
    <w:p>
      <w:pPr>
        <w:ind w:left="1020" w:hanging="517"/>
        <w:spacing w:after="0"/>
        <w:tabs>
          <w:tab w:leader="none" w:pos="10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cost of treatment of regimens containing one of our product candidates in relation to the cost of alternative treatments;</w:t>
      </w:r>
    </w:p>
    <w:p>
      <w:pPr>
        <w:spacing w:after="0" w:line="99" w:lineRule="exact"/>
        <w:rPr>
          <w:rFonts w:ascii="Arial" w:cs="Arial" w:eastAsia="Arial" w:hAnsi="Arial"/>
          <w:sz w:val="16"/>
          <w:szCs w:val="16"/>
          <w:color w:val="auto"/>
        </w:rPr>
      </w:pPr>
    </w:p>
    <w:p>
      <w:pPr>
        <w:ind w:left="1020" w:right="160" w:hanging="517"/>
        <w:spacing w:after="0" w:line="268" w:lineRule="auto"/>
        <w:tabs>
          <w:tab w:leader="none" w:pos="10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availability of adequate reimbursement and pricing by third parties and government authorities and successful negotiation of favorable agreements with payors by us or any collaborator of ours, as well as the impact of any agreements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58420</wp:posOffset>
            </wp:positionV>
            <wp:extent cx="7303770" cy="40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39" w:name="page40"/>
    <w:bookmarkEnd w:id="39"/>
    <w:p>
      <w:pPr>
        <w:ind w:left="1020"/>
        <w:spacing w:after="0"/>
        <w:rPr>
          <w:sz w:val="20"/>
          <w:szCs w:val="20"/>
          <w:color w:val="auto"/>
        </w:rPr>
      </w:pPr>
      <w:r>
        <w:rPr>
          <w:rFonts w:ascii="Arial" w:cs="Arial" w:eastAsia="Arial" w:hAnsi="Arial"/>
          <w:sz w:val="16"/>
          <w:szCs w:val="16"/>
          <w:color w:val="auto"/>
        </w:rPr>
        <w:t>among any of the foregoing and one or more of our competitors limiting access to our product in favor of one or more competitive products;</w:t>
      </w:r>
    </w:p>
    <w:p>
      <w:pPr>
        <w:spacing w:after="0" w:line="100" w:lineRule="exact"/>
        <w:rPr>
          <w:sz w:val="20"/>
          <w:szCs w:val="20"/>
          <w:color w:val="auto"/>
        </w:rPr>
      </w:pPr>
    </w:p>
    <w:p>
      <w:pPr>
        <w:ind w:left="1020" w:hanging="517"/>
        <w:spacing w:after="0"/>
        <w:tabs>
          <w:tab w:leader="none" w:pos="10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continued longevity of the HCV drug market or growth and longevity of any other market for which we develop a drug;</w:t>
      </w:r>
    </w:p>
    <w:p>
      <w:pPr>
        <w:spacing w:after="0" w:line="99" w:lineRule="exact"/>
        <w:rPr>
          <w:rFonts w:ascii="Arial" w:cs="Arial" w:eastAsia="Arial" w:hAnsi="Arial"/>
          <w:sz w:val="16"/>
          <w:szCs w:val="16"/>
          <w:color w:val="auto"/>
        </w:rPr>
      </w:pPr>
    </w:p>
    <w:p>
      <w:pPr>
        <w:ind w:left="1020" w:hanging="517"/>
        <w:spacing w:after="0"/>
        <w:tabs>
          <w:tab w:leader="none" w:pos="10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levels of funding provided by government-funded healthcare for HCV treatment or treatment of any other disease for which we develop a drug;</w:t>
      </w:r>
    </w:p>
    <w:p>
      <w:pPr>
        <w:spacing w:after="0" w:line="99" w:lineRule="exact"/>
        <w:rPr>
          <w:rFonts w:ascii="Arial" w:cs="Arial" w:eastAsia="Arial" w:hAnsi="Arial"/>
          <w:sz w:val="16"/>
          <w:szCs w:val="16"/>
          <w:color w:val="auto"/>
        </w:rPr>
      </w:pPr>
    </w:p>
    <w:p>
      <w:pPr>
        <w:ind w:left="1020" w:hanging="517"/>
        <w:spacing w:after="0"/>
        <w:tabs>
          <w:tab w:leader="none" w:pos="102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the relative convenience and ease of administration of any treatment regimen containing one of our product candidates compared to competitive regimens;</w:t>
      </w:r>
    </w:p>
    <w:p>
      <w:pPr>
        <w:spacing w:after="0" w:line="111" w:lineRule="exact"/>
        <w:rPr>
          <w:rFonts w:ascii="Arial" w:cs="Arial" w:eastAsia="Arial" w:hAnsi="Arial"/>
          <w:sz w:val="15"/>
          <w:szCs w:val="15"/>
          <w:color w:val="auto"/>
        </w:rPr>
      </w:pPr>
    </w:p>
    <w:p>
      <w:pPr>
        <w:ind w:left="1020" w:right="780" w:hanging="517"/>
        <w:spacing w:after="0" w:line="268" w:lineRule="auto"/>
        <w:tabs>
          <w:tab w:leader="none" w:pos="10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prevalence and severity of adverse side effects, whether involving the use of treatment regimens containing one of our products candidates or similar, competitive treatment regimens; and</w:t>
      </w:r>
    </w:p>
    <w:p>
      <w:pPr>
        <w:spacing w:after="0" w:line="62" w:lineRule="exact"/>
        <w:rPr>
          <w:rFonts w:ascii="Arial" w:cs="Arial" w:eastAsia="Arial" w:hAnsi="Arial"/>
          <w:sz w:val="16"/>
          <w:szCs w:val="16"/>
          <w:color w:val="auto"/>
        </w:rPr>
      </w:pPr>
    </w:p>
    <w:p>
      <w:pPr>
        <w:ind w:left="1020" w:hanging="517"/>
        <w:spacing w:after="0"/>
        <w:tabs>
          <w:tab w:leader="none" w:pos="10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effectiveness of our sales and marketing efforts and those of AbbVie in the case of MAVYRET/MAVIRET.</w:t>
      </w:r>
    </w:p>
    <w:p>
      <w:pPr>
        <w:spacing w:after="0" w:line="195" w:lineRule="exact"/>
        <w:rPr>
          <w:sz w:val="20"/>
          <w:szCs w:val="20"/>
          <w:color w:val="auto"/>
        </w:rPr>
      </w:pPr>
    </w:p>
    <w:p>
      <w:pPr>
        <w:ind w:right="380"/>
        <w:spacing w:after="0" w:line="257" w:lineRule="auto"/>
        <w:rPr>
          <w:sz w:val="20"/>
          <w:szCs w:val="20"/>
          <w:color w:val="auto"/>
        </w:rPr>
      </w:pPr>
      <w:r>
        <w:rPr>
          <w:rFonts w:ascii="Arial" w:cs="Arial" w:eastAsia="Arial" w:hAnsi="Arial"/>
          <w:sz w:val="16"/>
          <w:szCs w:val="16"/>
          <w:color w:val="auto"/>
        </w:rPr>
        <w:t>If treatment regimens containing one of our product candidates are approved and then fail to achieve market acceptance, we may not be able to generate significant additional revenue. Further, if new, more favorably received therapies are introduced after any such regimen achieves market acceptance, then we may not be able to maintain that market acceptance over time.</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Dependence on Third Parties</w:t>
      </w:r>
    </w:p>
    <w:p>
      <w:pPr>
        <w:spacing w:after="0" w:line="104" w:lineRule="exact"/>
        <w:rPr>
          <w:sz w:val="20"/>
          <w:szCs w:val="20"/>
          <w:color w:val="auto"/>
        </w:rPr>
      </w:pPr>
    </w:p>
    <w:p>
      <w:pPr>
        <w:ind w:right="600"/>
        <w:spacing w:after="0" w:line="302" w:lineRule="auto"/>
        <w:rPr>
          <w:sz w:val="20"/>
          <w:szCs w:val="20"/>
          <w:color w:val="auto"/>
        </w:rPr>
      </w:pPr>
      <w:r>
        <w:rPr>
          <w:rFonts w:ascii="Arial" w:cs="Arial" w:eastAsia="Arial" w:hAnsi="Arial"/>
          <w:sz w:val="15"/>
          <w:szCs w:val="15"/>
          <w:b w:val="1"/>
          <w:bCs w:val="1"/>
          <w:i w:val="1"/>
          <w:iCs w:val="1"/>
          <w:color w:val="auto"/>
        </w:rPr>
        <w:t>We may not be successful in establishing new product collaborations, which could adversely affect our ability to develop and commercialize one or more of our product candidates. If we are unsuccessful in maintaining or forming alliances on favorable terms, our business may not succeed.</w:t>
      </w:r>
    </w:p>
    <w:p>
      <w:pPr>
        <w:spacing w:after="0" w:line="39" w:lineRule="exact"/>
        <w:rPr>
          <w:sz w:val="20"/>
          <w:szCs w:val="20"/>
          <w:color w:val="auto"/>
        </w:rPr>
      </w:pPr>
    </w:p>
    <w:p>
      <w:pPr>
        <w:spacing w:after="0" w:line="291" w:lineRule="auto"/>
        <w:rPr>
          <w:sz w:val="20"/>
          <w:szCs w:val="20"/>
          <w:color w:val="auto"/>
        </w:rPr>
      </w:pPr>
      <w:r>
        <w:rPr>
          <w:rFonts w:ascii="Arial" w:cs="Arial" w:eastAsia="Arial" w:hAnsi="Arial"/>
          <w:sz w:val="14"/>
          <w:szCs w:val="14"/>
          <w:color w:val="auto"/>
        </w:rPr>
        <w:t>We may seek to enter into additional product collaborations in the future, including alliances with other biotechnology or pharmaceutical companies, to enhance and accelerate the development and commercialization of one or more of our product candidates. We face significant competition in seeking appropriate collaborators and the negotiation process is time-consuming and complex. Moreover, we may not be successful in our efforts to establish other product collaborations or other alternative arrangements for any product candidates and programs because our research and development pipeline may be insufficient, our product candidates and programs may be deemed to be at too early of a stage of development for collaborative effort and/or third parties may not view our product candidates and programs as having the requisite potential to demonstrate safety and efficacy. Even if we are successful in our efforts to establish product collaborations, the terms that we agree upon may not be favorable to us and we may not be able to maintain such product collaborations if, for example, development or approval of a product candidate is delayed or sales of an approved product are disappointing.</w:t>
      </w:r>
    </w:p>
    <w:p>
      <w:pPr>
        <w:spacing w:after="0" w:line="148" w:lineRule="exact"/>
        <w:rPr>
          <w:sz w:val="20"/>
          <w:szCs w:val="20"/>
          <w:color w:val="auto"/>
        </w:rPr>
      </w:pPr>
    </w:p>
    <w:p>
      <w:pPr>
        <w:ind w:right="120"/>
        <w:spacing w:after="0" w:line="268" w:lineRule="auto"/>
        <w:rPr>
          <w:sz w:val="20"/>
          <w:szCs w:val="20"/>
          <w:color w:val="auto"/>
        </w:rPr>
      </w:pPr>
      <w:r>
        <w:rPr>
          <w:rFonts w:ascii="Arial" w:cs="Arial" w:eastAsia="Arial" w:hAnsi="Arial"/>
          <w:sz w:val="16"/>
          <w:szCs w:val="16"/>
          <w:color w:val="auto"/>
        </w:rPr>
        <w:t>If our existing collaboration agreement with AbbVie is terminated, or if we determine that entering into other product collaborations is in our best interest but we either fail to enter into, delay in entering into or fail to maintain such collaborations:</w:t>
      </w:r>
    </w:p>
    <w:p>
      <w:pPr>
        <w:spacing w:after="0" w:line="62" w:lineRule="exact"/>
        <w:rPr>
          <w:sz w:val="20"/>
          <w:szCs w:val="20"/>
          <w:color w:val="auto"/>
        </w:rPr>
      </w:pPr>
    </w:p>
    <w:p>
      <w:pPr>
        <w:ind w:left="1020" w:hanging="517"/>
        <w:spacing w:after="0"/>
        <w:tabs>
          <w:tab w:leader="none" w:pos="10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development of certain of our product candidates may be terminated or delayed;</w:t>
      </w:r>
    </w:p>
    <w:p>
      <w:pPr>
        <w:spacing w:after="0" w:line="99" w:lineRule="exact"/>
        <w:rPr>
          <w:rFonts w:ascii="Arial" w:cs="Arial" w:eastAsia="Arial" w:hAnsi="Arial"/>
          <w:sz w:val="16"/>
          <w:szCs w:val="16"/>
          <w:color w:val="auto"/>
        </w:rPr>
      </w:pPr>
    </w:p>
    <w:p>
      <w:pPr>
        <w:ind w:left="1020" w:hanging="517"/>
        <w:spacing w:after="0"/>
        <w:tabs>
          <w:tab w:leader="none" w:pos="1020" w:val="left"/>
        </w:tabs>
        <w:numPr>
          <w:ilvl w:val="0"/>
          <w:numId w:val="39"/>
        </w:numPr>
        <w:rPr>
          <w:rFonts w:ascii="Arial" w:cs="Arial" w:eastAsia="Arial" w:hAnsi="Arial"/>
          <w:sz w:val="15"/>
          <w:szCs w:val="15"/>
          <w:color w:val="auto"/>
        </w:rPr>
      </w:pPr>
      <w:r>
        <w:rPr>
          <w:rFonts w:ascii="Arial" w:cs="Arial" w:eastAsia="Arial" w:hAnsi="Arial"/>
          <w:sz w:val="15"/>
          <w:szCs w:val="15"/>
          <w:color w:val="auto"/>
        </w:rPr>
        <w:t>our cash expenditures related to development of certain of our product candidates would increase significantly and we may need to seek additional financing;</w:t>
      </w:r>
    </w:p>
    <w:p>
      <w:pPr>
        <w:spacing w:after="0" w:line="111" w:lineRule="exact"/>
        <w:rPr>
          <w:rFonts w:ascii="Arial" w:cs="Arial" w:eastAsia="Arial" w:hAnsi="Arial"/>
          <w:sz w:val="15"/>
          <w:szCs w:val="15"/>
          <w:color w:val="auto"/>
        </w:rPr>
      </w:pPr>
    </w:p>
    <w:p>
      <w:pPr>
        <w:ind w:left="1020" w:right="560" w:hanging="517"/>
        <w:spacing w:after="0" w:line="268" w:lineRule="auto"/>
        <w:tabs>
          <w:tab w:leader="none" w:pos="10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we may be required to hire additional employees or otherwise develop expertise, such as clinical, regulatory, sales and marketing expertise, which we do not currently have;</w:t>
      </w:r>
    </w:p>
    <w:p>
      <w:pPr>
        <w:spacing w:after="0" w:line="62" w:lineRule="exact"/>
        <w:rPr>
          <w:rFonts w:ascii="Arial" w:cs="Arial" w:eastAsia="Arial" w:hAnsi="Arial"/>
          <w:sz w:val="16"/>
          <w:szCs w:val="16"/>
          <w:color w:val="auto"/>
        </w:rPr>
      </w:pPr>
    </w:p>
    <w:p>
      <w:pPr>
        <w:ind w:left="1020" w:hanging="517"/>
        <w:spacing w:after="0"/>
        <w:tabs>
          <w:tab w:leader="none" w:pos="10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we will bear all of the risk related to the development of any such product candidates; and</w:t>
      </w:r>
    </w:p>
    <w:p>
      <w:pPr>
        <w:spacing w:after="0" w:line="99" w:lineRule="exact"/>
        <w:rPr>
          <w:rFonts w:ascii="Arial" w:cs="Arial" w:eastAsia="Arial" w:hAnsi="Arial"/>
          <w:sz w:val="16"/>
          <w:szCs w:val="16"/>
          <w:color w:val="auto"/>
        </w:rPr>
      </w:pPr>
    </w:p>
    <w:p>
      <w:pPr>
        <w:ind w:left="1020" w:hanging="517"/>
        <w:spacing w:after="0"/>
        <w:tabs>
          <w:tab w:leader="none" w:pos="10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competitiveness of any product candidate that is commercialized could be reduced.</w:t>
      </w:r>
    </w:p>
    <w:p>
      <w:pPr>
        <w:spacing w:after="0" w:line="289"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b w:val="1"/>
          <w:bCs w:val="1"/>
          <w:i w:val="1"/>
          <w:iCs w:val="1"/>
          <w:color w:val="auto"/>
        </w:rPr>
        <w:t>We intend to rely on third-party manufacturers to produce our development-stage product candidate supplies and any commercial supplies of any approved product candidates. Any failure by a third-party manufacturer to produce acceptable supplies for us may delay or impair our ability to initiate or complete our clinical trials or sell any resulting product.</w:t>
      </w:r>
    </w:p>
    <w:p>
      <w:pPr>
        <w:spacing w:after="0" w:line="71"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We do not currently own or operate any manufacturing facilities. We plan to continue to work with third-party contract manufacturers to produce sufficient quantities of any product candidates for preclinical testing, clinical trials and commercialization. If we are unable to arrange for such a third-party manufacturing source for any of our product candidates, or fail to do so on commercially reasonable terms, we may not be able to successfully produce, develop and market one or more of our product candidates, or we may be delayed in doing so.</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58420</wp:posOffset>
            </wp:positionV>
            <wp:extent cx="7303770" cy="40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411" w:right="219" w:bottom="1440" w:gutter="0" w:footer="0" w:header="0"/>
        </w:sectPr>
      </w:pPr>
    </w:p>
    <w:bookmarkStart w:id="40" w:name="page41"/>
    <w:bookmarkEnd w:id="40"/>
    <w:p>
      <w:pPr>
        <w:spacing w:after="0" w:line="267" w:lineRule="auto"/>
        <w:rPr>
          <w:sz w:val="20"/>
          <w:szCs w:val="20"/>
          <w:color w:val="auto"/>
        </w:rPr>
      </w:pPr>
      <w:r>
        <w:rPr>
          <w:rFonts w:ascii="Arial" w:cs="Arial" w:eastAsia="Arial" w:hAnsi="Arial"/>
          <w:sz w:val="15"/>
          <w:szCs w:val="15"/>
          <w:color w:val="auto"/>
        </w:rPr>
        <w:t>Reliance on third-party manufacturers entails risks to which we would not be subject if we manufactured product candidates ourselves, including reliance on the third party for regulatory compliance and quality control and assurance, volume production, the possibility of breach of the manufacturing agreement by the third party because of factors beyond our control (including a failure to synthesize and manufacture our product candidates in accordance with our product specifications) and the possibility of termination or nonrenewal of the agreement by the third party at a time that is costly or damaging to us. In addition, the FDA and other regulatory authorities require that our product candidates be manufactured according to cGMP and similar foreign standards. Pharmaceutical manufacturers and their subcontractors are required to register their facilities and/or products manufactured at the time of submission of the marketing application and then annually thereafter with the FDA and certain state and foreign agencies. They are also subject to periodic unannounced inspections by the FDA, state and other foreign authorities. Any subsequent discovery of problems with a product, or a manufacturing or laboratory facility used by us or our collaborators, may result in restrictions on the product or on the manufacturing or laboratory facility, including marketed product recall, suspension of manufacturing, product seizure, or a voluntary withdrawal of the drug from the market. Any failure by our third-party manufacturers to comply with cGMP or failure to scale up manufacturing processes, including any failure to deliver sufficient quantities of product candidates in a timely manner, could lead to a delay in, or failure to obtain, regulatory approval of any of our product candidates.</w:t>
      </w:r>
    </w:p>
    <w:p>
      <w:pPr>
        <w:spacing w:after="0" w:line="160" w:lineRule="exact"/>
        <w:rPr>
          <w:sz w:val="20"/>
          <w:szCs w:val="20"/>
          <w:color w:val="auto"/>
        </w:rPr>
      </w:pPr>
    </w:p>
    <w:p>
      <w:pPr>
        <w:ind w:right="20"/>
        <w:spacing w:after="0" w:line="268" w:lineRule="auto"/>
        <w:rPr>
          <w:sz w:val="20"/>
          <w:szCs w:val="20"/>
          <w:color w:val="auto"/>
        </w:rPr>
      </w:pPr>
      <w:r>
        <w:rPr>
          <w:rFonts w:ascii="Arial" w:cs="Arial" w:eastAsia="Arial" w:hAnsi="Arial"/>
          <w:sz w:val="15"/>
          <w:szCs w:val="15"/>
          <w:color w:val="auto"/>
        </w:rPr>
        <w:t>We plan to rely on third-party manufacturers to purchase from third-party suppliers the materials necessary to produce our product candidates for our clinical studies. There are a small number of suppliers for certain capital equipment and materials that we plan to use to manufacture our drugs. Such suppliers may not sell these materials to our manufacturers at the times we need them or on commercially reasonable terms. Moreover, we currently do not have any agreements for the production of these materials. Although we do not intend to begin a clinical trial unless we believe we have a sufficient supply of a product candidate to complete the clinical trial, any significant delay in the supply of a product candidate or the material components thereof for an ongoing clinical trial due to the need to replace a third-party manufacturer could considerably delay completion of our clinical studies, product testing and potential regulatory approval of our product candidates. If our manufacturers or we are unable to purchase these materials after regulatory approval has been obtained for our product candidates, the commercial launch of our product candidates would be delayed or there would be a shortage in supply, which would impair our ability to generate revenue from the sale of our product candidates.</w:t>
      </w:r>
    </w:p>
    <w:p>
      <w:pPr>
        <w:spacing w:after="0" w:line="163"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Contract manufacturers may not be able to manufacture our product candidates at a cost or in quantities or in a timely manner necessary to develop and commercialize them. If we successfully commercialize any of our product candidates, to meet our projected needs we may need to find third parties that will increase their scale of production, or we may have to establish or access large-scale commercial manufacturing capabilities. We may require additional funds, personnel and other resources to build, lease or operate any manufacturing facility.</w:t>
      </w:r>
    </w:p>
    <w:p>
      <w:pPr>
        <w:spacing w:after="0" w:line="262" w:lineRule="exact"/>
        <w:rPr>
          <w:sz w:val="20"/>
          <w:szCs w:val="20"/>
          <w:color w:val="auto"/>
        </w:rPr>
      </w:pPr>
    </w:p>
    <w:p>
      <w:pPr>
        <w:jc w:val="both"/>
        <w:ind w:right="200"/>
        <w:spacing w:after="0" w:line="311" w:lineRule="auto"/>
        <w:rPr>
          <w:sz w:val="20"/>
          <w:szCs w:val="20"/>
          <w:color w:val="auto"/>
        </w:rPr>
      </w:pPr>
      <w:r>
        <w:rPr>
          <w:rFonts w:ascii="Arial" w:cs="Arial" w:eastAsia="Arial" w:hAnsi="Arial"/>
          <w:sz w:val="14"/>
          <w:szCs w:val="14"/>
          <w:b w:val="1"/>
          <w:bCs w:val="1"/>
          <w:i w:val="1"/>
          <w:iCs w:val="1"/>
          <w:color w:val="auto"/>
        </w:rPr>
        <w:t>A portion of our research and a portion of our manufacturing of certain key intermediates used in the manufacture of the active pharmaceutical ingredients for our product candidates takes place in China through third-party researchers and manufacturers. A significant disruption in the operation of those researchers or manufacturers, a trade war, or political unrest in China could materially adversely affect our business, financial condition and results of operations.</w:t>
      </w:r>
    </w:p>
    <w:p>
      <w:pPr>
        <w:spacing w:after="0" w:line="37"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Although manufacturing for MAVYRET/MAVIRET is being conducted by AbbVie, we have relied on third parties located in China to manufacture and supply certain key intermediates used in the manufacture of our active pharmaceutical ingredients, or API, for our current product candidates, and we expect to continue to use such third party manufacturers for such intermediates for any product candidates we develop independently. Any disruption in production or inability of our manufacturers in China to produce adequate quantities to meet our needs, whether as a result of a natural disaster or other causes, could impair our ability to operate our business on a day-to-day basis and to continue our research and development of our product candidates. We also use contract researchers in China to conduct a portion of our research for our early stage programs. Any disruption in the team conducting that research could cause delays in one or more of our research programs and could require us to curtail one or more programs, at least until we could contract for that research to be done elsewhere. Furthermore, since these researchers and manufacturers are located in China, we are exposed to the possibility of product supply disruption and increased costs in the event of changes in the policies of the United States or Chinese governments, political unrest or unstable economic conditions in China. For example, a trade war could lead to tariffs on the chemical intermediates we use that are manufactured in China. Any of these matters could materially and adversely affect our business and results of operations. Any recall of the manufacturing lots or similar action regarding our API used in clinical trials could delay the trials or detract from the integrity of the trial data and its potential use in future regulatory filings. In addition, manufacturing interruptions or failure to comply with regulatory requirements by any of these manufacturers could significantly delay clinical development of potential products and reduce third-party or clinical researcher interest and support of proposed trials. These interruptions or failures could also impede commercialization of our product candidates and impair our competitive position. Further, we may be exposed to fluctuations in the value of the local currency in China. Future appreciation of the local currency could increase our costs. In addition, our labor costs could continue to rise as wage rates increase due to increased demand for skilled laborers and the availability of skilled labor declines in China.</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58420</wp:posOffset>
            </wp:positionV>
            <wp:extent cx="7303770" cy="40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00"/>
          </w:cols>
          <w:pgMar w:left="240" w:top="506" w:right="259" w:bottom="1440" w:gutter="0" w:footer="0" w:header="0"/>
        </w:sectPr>
      </w:pPr>
    </w:p>
    <w:bookmarkStart w:id="41" w:name="page42"/>
    <w:bookmarkEnd w:id="41"/>
    <w:p>
      <w:pPr>
        <w:ind w:right="80"/>
        <w:spacing w:after="0" w:line="254" w:lineRule="auto"/>
        <w:rPr>
          <w:sz w:val="20"/>
          <w:szCs w:val="20"/>
          <w:color w:val="auto"/>
        </w:rPr>
      </w:pPr>
      <w:r>
        <w:rPr>
          <w:rFonts w:ascii="Arial" w:cs="Arial" w:eastAsia="Arial" w:hAnsi="Arial"/>
          <w:sz w:val="16"/>
          <w:szCs w:val="16"/>
          <w:b w:val="1"/>
          <w:bCs w:val="1"/>
          <w:i w:val="1"/>
          <w:iCs w:val="1"/>
          <w:color w:val="auto"/>
        </w:rPr>
        <w:t>We will rely on third parties to monitor, support, conduct and/or oversee clinical trials of our product candidates that we develop independently and, in some cases, to maintain regulatory files for those product candidates. If we are not able to maintain or secure agreements with such third parties on acceptable terms, if these third parties do not perform their services as required, or if these third parties fail to timely transfer any regulatory information held by them to us, we may not be able to obtain regulatory approval for, or commercialize, our product candidates.</w:t>
      </w:r>
    </w:p>
    <w:p>
      <w:pPr>
        <w:spacing w:after="0" w:line="73" w:lineRule="exact"/>
        <w:rPr>
          <w:sz w:val="20"/>
          <w:szCs w:val="20"/>
          <w:color w:val="auto"/>
        </w:rPr>
      </w:pPr>
    </w:p>
    <w:p>
      <w:pPr>
        <w:spacing w:after="0" w:line="289" w:lineRule="auto"/>
        <w:rPr>
          <w:sz w:val="20"/>
          <w:szCs w:val="20"/>
          <w:color w:val="auto"/>
        </w:rPr>
      </w:pPr>
      <w:r>
        <w:rPr>
          <w:rFonts w:ascii="Arial" w:cs="Arial" w:eastAsia="Arial" w:hAnsi="Arial"/>
          <w:sz w:val="14"/>
          <w:szCs w:val="14"/>
          <w:color w:val="auto"/>
        </w:rPr>
        <w:t>We will rely on CROs, hospitals, clinics, academic institutions and other third-party collaborators who are outside our control to monitor, support, conduct and/or oversee preclinical and clinical studies of our product candidates. We will also rely on third parties to perform clinical trials of our product candidates when they reach that stage. As a result, we have less control over the timing and cost of these studies and the ability to recruit trial subjects than if we conducted these trials wholly by ourselves. If we are unable to maintain or enter into agreements with these third parties on acceptable terms, or if any such engagement is terminated, we may be unable to enroll patients on a timely basis or otherwise conduct our trials in the manner we anticipate. In addition, there is no guarantee that these third parties will devote adequate time and resources to our studies or perform as required by a contract or in accordance with regulatory requirements, including maintenance of clinical trial information regarding our product candidates. If these third parties fail to meet expected deadlines, fail to timely transfer to us any regulatory information, fail to adhere to protocols or fail to act in accordance with regulatory requirements or our agreements with them, or if they otherwise perform in a substandard manner or in a way that compromises the quality or accuracy of their activities or the data they obtain, then clinical trials of our product candidates may be extended, delayed or terminated, or our data may be rejected by the FDA or regulatory agencies.</w:t>
      </w:r>
    </w:p>
    <w:p>
      <w:pPr>
        <w:spacing w:after="0" w:line="243" w:lineRule="exact"/>
        <w:rPr>
          <w:sz w:val="20"/>
          <w:szCs w:val="20"/>
          <w:color w:val="auto"/>
        </w:rPr>
      </w:pPr>
    </w:p>
    <w:p>
      <w:pPr>
        <w:ind w:right="280"/>
        <w:spacing w:after="0" w:line="268" w:lineRule="auto"/>
        <w:rPr>
          <w:sz w:val="20"/>
          <w:szCs w:val="20"/>
          <w:color w:val="auto"/>
        </w:rPr>
      </w:pPr>
      <w:r>
        <w:rPr>
          <w:rFonts w:ascii="Arial" w:cs="Arial" w:eastAsia="Arial" w:hAnsi="Arial"/>
          <w:sz w:val="16"/>
          <w:szCs w:val="16"/>
          <w:b w:val="1"/>
          <w:bCs w:val="1"/>
          <w:i w:val="1"/>
          <w:iCs w:val="1"/>
          <w:color w:val="auto"/>
        </w:rPr>
        <w:t>To the extent we elect to enter into additional licensing or collaboration agreements to partner our product candidates, our dependence on such relationships may adversely affect our business.</w:t>
      </w:r>
    </w:p>
    <w:p>
      <w:pPr>
        <w:spacing w:after="0" w:line="62" w:lineRule="exact"/>
        <w:rPr>
          <w:sz w:val="20"/>
          <w:szCs w:val="20"/>
          <w:color w:val="auto"/>
        </w:rPr>
      </w:pPr>
    </w:p>
    <w:p>
      <w:pPr>
        <w:ind w:right="80"/>
        <w:spacing w:after="0" w:line="291" w:lineRule="auto"/>
        <w:rPr>
          <w:sz w:val="20"/>
          <w:szCs w:val="20"/>
          <w:color w:val="auto"/>
        </w:rPr>
      </w:pPr>
      <w:r>
        <w:rPr>
          <w:rFonts w:ascii="Arial" w:cs="Arial" w:eastAsia="Arial" w:hAnsi="Arial"/>
          <w:sz w:val="14"/>
          <w:szCs w:val="14"/>
          <w:color w:val="auto"/>
        </w:rPr>
        <w:t>Our commercialization strategy for some of our product candidates may depend on our ability to enter into collaboration agreements with other companies to obtain access to other compounds for use in combination with any of our product candidates or for assistance and funding for the development and potential commercialization of any of these product candidates, similar to what we have done with AbbVie. Supporting diligence activities conducted by potential collaborators and negotiating the financial and other terms of a collaboration agreement are long and complex processes with uncertain results. Even if we are successful in entering into one or more additional collaboration agreements, collaborations can involve greater uncertainty for us, as we may have limited or no control over certain aspects of our collaborative programs. We may determine that continuing a collaboration under the terms provided is not in our best interest, and we may terminate the collaboration. Our collaborators could delay or terminate their agreements with us, and our product candidates subject to collaborative arrangements may never be successfully commercialized.</w:t>
      </w:r>
    </w:p>
    <w:p>
      <w:pPr>
        <w:spacing w:after="0" w:line="148"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Further, our collaborators may develop alternative products or pursue alternative technologies either on their own or in collaboration with others, including our competitors, and the priorities or focus of our collaborators may shift such that our programs receive less attention or resources than we would like, or they may be terminated altogether. Any such actions by our collaborators may adversely affect our business prospects and ability to earn revenue. In addition, we could have disputes with our collaborators, such as the interpretation of terms in our agreements. Any such disagreements could lead to delays in the development or commercialization of any potential products or could result in time-consuming and expensive litigation or arbitration, which may not be resolved in our favor.</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Even with respect to programs that we intend to commercialize ourselves, we may enter into agreements with collaborators to share in the burden of conducting clinical trials, manufacturing and marketing our product candidates or products. In addition, our ability to apply our proprietary technologies to develop proprietary compounds will depend on our ability to establish and maintain licensing arrangements or other collaborative arrangements with the holders of proprietary rights to such compounds. We may not be able to establish such arrangements on favorable terms or at all, and our collaborative arrangements may not be successful.</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Intellectual Property Rights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could be unsuccessful in obtaining or maintaining adequate patent protection for one or more of our product candidates.</w:t>
      </w:r>
    </w:p>
    <w:p>
      <w:pPr>
        <w:spacing w:after="0" w:line="100" w:lineRule="exact"/>
        <w:rPr>
          <w:sz w:val="20"/>
          <w:szCs w:val="20"/>
          <w:color w:val="auto"/>
        </w:rPr>
      </w:pPr>
    </w:p>
    <w:p>
      <w:pPr>
        <w:spacing w:after="0" w:line="291" w:lineRule="auto"/>
        <w:rPr>
          <w:sz w:val="20"/>
          <w:szCs w:val="20"/>
          <w:color w:val="auto"/>
        </w:rPr>
      </w:pPr>
      <w:r>
        <w:rPr>
          <w:rFonts w:ascii="Arial" w:cs="Arial" w:eastAsia="Arial" w:hAnsi="Arial"/>
          <w:sz w:val="14"/>
          <w:szCs w:val="14"/>
          <w:color w:val="auto"/>
        </w:rPr>
        <w:t>Our commercial success will depend, in large part, on our ability to obtain and maintain patent and other intellectual property protection with respect to our product candidates. We cannot be certain that patents will be issued or granted with respect to our patent applications that are currently pending, or that issued or granted patents will not later be found to be invalid and/or unenforceable, be interpreted in a manner that does not adequately protect our products, or otherwise provide us with any competitive advantage. The patent position of biotechnology and pharmaceutical companies is generally uncertain because it involves complex legal and factual considerations. The standards applied by the United States Patent and Trademark Office and foreign patent offices in granting patents are not always applied uniformly or predictably. For example, there is no uniform worldwide policy regarding patentable subject matter or the scope of claims allowable in biotechnology and pharmaceutical patents. Consequently, patents may not issue from our pending patent applications. As such, we do not know the degree of future protection that we will have on our proprietary products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58420</wp:posOffset>
            </wp:positionV>
            <wp:extent cx="7303770" cy="406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00"/>
          </w:cols>
          <w:pgMar w:left="240" w:top="600" w:right="259" w:bottom="1440" w:gutter="0" w:footer="0" w:header="0"/>
        </w:sectPr>
      </w:pPr>
    </w:p>
    <w:bookmarkStart w:id="42" w:name="page43"/>
    <w:bookmarkEnd w:id="42"/>
    <w:p>
      <w:pPr>
        <w:ind w:right="380"/>
        <w:spacing w:after="0" w:line="268" w:lineRule="auto"/>
        <w:rPr>
          <w:sz w:val="20"/>
          <w:szCs w:val="20"/>
          <w:color w:val="auto"/>
        </w:rPr>
      </w:pPr>
      <w:r>
        <w:rPr>
          <w:rFonts w:ascii="Arial" w:cs="Arial" w:eastAsia="Arial" w:hAnsi="Arial"/>
          <w:sz w:val="16"/>
          <w:szCs w:val="16"/>
          <w:color w:val="auto"/>
        </w:rPr>
        <w:t>and technology, if any, and a failure to obtain adequate intellectual property protection with respect to our product candidates and proprietary technology could have a material adverse impact on our business.</w:t>
      </w:r>
    </w:p>
    <w:p>
      <w:pPr>
        <w:spacing w:after="0" w:line="157" w:lineRule="exact"/>
        <w:rPr>
          <w:sz w:val="20"/>
          <w:szCs w:val="20"/>
          <w:color w:val="auto"/>
        </w:rPr>
      </w:pPr>
    </w:p>
    <w:p>
      <w:pPr>
        <w:spacing w:after="0" w:line="268" w:lineRule="auto"/>
        <w:rPr>
          <w:sz w:val="20"/>
          <w:szCs w:val="20"/>
          <w:color w:val="auto"/>
        </w:rPr>
      </w:pPr>
      <w:r>
        <w:rPr>
          <w:rFonts w:ascii="Arial" w:cs="Arial" w:eastAsia="Arial" w:hAnsi="Arial"/>
          <w:sz w:val="15"/>
          <w:szCs w:val="15"/>
          <w:color w:val="auto"/>
        </w:rPr>
        <w:t>In addition, certain of our activities have been funded, and may in the future be funded, by the United States federal government. For example, the preclinical and early clinical development of the lead antibiotic product candidate in our former antibiotic program, which we are no longer developing, was funded under a contract with NIAID, an entity of the United States federal government. When new technologies are developed with United States federal government funding, the government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patented technology. The government can exercise its march-in rights if it determines that action is necessary because we fail to achieve practical application of the United States government-funded technology, or because action is necessary to alleviate health or safety needs, to meet requirements of federal regulations or to give preference to United States industry. In addition, United States government-funded inventions must be reported to the government and United States government funding must be disclosed in any resulting patent applications. In addition, our rights in such inventions are subject to certain requirements to manufacture products in the United States.</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Issued patents covering one or more of our product candidates could be found invalid or unenforceable if challenged in court.</w:t>
      </w:r>
    </w:p>
    <w:p>
      <w:pPr>
        <w:spacing w:after="0" w:line="100"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Despite measures we take to obtain patent and other intellectual property protection with respect to our product candidates and proprietary technology, any of our intellectual property rights could be challenged or invalidated. For example, if we were to initiate legal proceedings against a third party to enforce a patent covering one of our product candidates, the defendant could counterclaim that our patent is invalid and/or unenforceable. In patent litigation in the United States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United States Patent and Trademark Office, or the applicable foreign counterpart, or made a misleading statement, during prosecution. Although we believe that we have conducted our patent prosecution in accordance with the duty of candor and in good faith,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Any loss of patent protection could have a material adverse impact on one or more of our product candidates and our business.</w:t>
      </w:r>
    </w:p>
    <w:p>
      <w:pPr>
        <w:spacing w:after="0" w:line="166" w:lineRule="exact"/>
        <w:rPr>
          <w:sz w:val="20"/>
          <w:szCs w:val="20"/>
          <w:color w:val="auto"/>
        </w:rPr>
      </w:pPr>
    </w:p>
    <w:p>
      <w:pPr>
        <w:ind w:right="80"/>
        <w:spacing w:after="0" w:line="311" w:lineRule="auto"/>
        <w:rPr>
          <w:sz w:val="20"/>
          <w:szCs w:val="20"/>
          <w:color w:val="auto"/>
        </w:rPr>
      </w:pPr>
      <w:r>
        <w:rPr>
          <w:rFonts w:ascii="Arial" w:cs="Arial" w:eastAsia="Arial" w:hAnsi="Arial"/>
          <w:sz w:val="14"/>
          <w:szCs w:val="14"/>
          <w:color w:val="auto"/>
        </w:rPr>
        <w:t>Enforcing our intellectual property rights against third parties may also cause such third parties to file other counterclaims against us, which could be costly to defend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w:t>
      </w:r>
    </w:p>
    <w:p>
      <w:pPr>
        <w:spacing w:after="0" w:line="226" w:lineRule="exact"/>
        <w:rPr>
          <w:sz w:val="20"/>
          <w:szCs w:val="20"/>
          <w:color w:val="auto"/>
        </w:rPr>
      </w:pPr>
    </w:p>
    <w:p>
      <w:pPr>
        <w:ind w:right="160"/>
        <w:spacing w:after="0" w:line="268" w:lineRule="auto"/>
        <w:rPr>
          <w:sz w:val="20"/>
          <w:szCs w:val="20"/>
          <w:color w:val="auto"/>
        </w:rPr>
      </w:pPr>
      <w:r>
        <w:rPr>
          <w:rFonts w:ascii="Arial" w:cs="Arial" w:eastAsia="Arial" w:hAnsi="Arial"/>
          <w:sz w:val="16"/>
          <w:szCs w:val="16"/>
          <w:b w:val="1"/>
          <w:bCs w:val="1"/>
          <w:i w:val="1"/>
          <w:iCs w:val="1"/>
          <w:color w:val="auto"/>
        </w:rPr>
        <w:t>Claims that our product candidates or the sale or use of our products infringe the patent or other intellectual property rights of third parties could result in costly litigation or could require substantial time and money to resolve, even if litigation is avoided.</w:t>
      </w:r>
    </w:p>
    <w:p>
      <w:pPr>
        <w:spacing w:after="0" w:line="62" w:lineRule="exact"/>
        <w:rPr>
          <w:sz w:val="20"/>
          <w:szCs w:val="20"/>
          <w:color w:val="auto"/>
        </w:rPr>
      </w:pPr>
    </w:p>
    <w:p>
      <w:pPr>
        <w:spacing w:after="0" w:line="293" w:lineRule="auto"/>
        <w:rPr>
          <w:sz w:val="20"/>
          <w:szCs w:val="20"/>
          <w:color w:val="auto"/>
        </w:rPr>
      </w:pPr>
      <w:r>
        <w:rPr>
          <w:rFonts w:ascii="Arial" w:cs="Arial" w:eastAsia="Arial" w:hAnsi="Arial"/>
          <w:sz w:val="14"/>
          <w:szCs w:val="14"/>
          <w:color w:val="auto"/>
        </w:rPr>
        <w:t>Our commercial success depends upon our ability to develop, manufacture, market and sell our product candidates and use our proprietary technology without infringing the intellectual property rights of others. We cannot guarantee that our product candidates or any uses of our product candidates do not and will not in the future infringe third-party patents or other intellectual property rights. Third parties might allege that we or our collaborators are infringing their patent rights or that we have misappropriated their trade secrets, or that we are otherwise violating their intellectual property rights, whether with respect to the manner in which we have conducted our research or to the composition, use or manufacture of the compounds we have developed or are developing with our collaborators. Such third parties might resort to litigation against us or other parties we have agreed to indemnify, which litigation could be based on either existing intellectual property or intellectual property that arises in the future.</w:t>
      </w:r>
    </w:p>
    <w:p>
      <w:pPr>
        <w:spacing w:after="0" w:line="146"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It is also possible that we failed to identify, or may in the future fail to identify, relevant patents or patent applications held by third parties that cover our product candidates. For example, applications filed before November 29, 2000 and certain applications filed after that date that will not be filed outside the United States remain confidential until patents issue. Other patent applications in the United States and several other jurisdictions are published approximately 18 months after the earliest filing for which priority is claimed, with such earliest filing date being commonly referred to as the priority date. Furthermore, publication of discoveries in the scientific or patent literature often lags behind actual discoveries. Therefore, we cannot be certain that we or our collaborators were the first to invent, or the first to file patent applications on, our product candidates or for their uses, or that our product candidates will not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58420</wp:posOffset>
            </wp:positionV>
            <wp:extent cx="7303770" cy="40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00"/>
          </w:cols>
          <w:pgMar w:left="240" w:top="411" w:right="259" w:bottom="1440" w:gutter="0" w:footer="0" w:header="0"/>
        </w:sectPr>
      </w:pPr>
    </w:p>
    <w:bookmarkStart w:id="43" w:name="page44"/>
    <w:bookmarkEnd w:id="43"/>
    <w:p>
      <w:pPr>
        <w:ind w:right="100"/>
        <w:spacing w:after="0" w:line="254" w:lineRule="auto"/>
        <w:rPr>
          <w:sz w:val="20"/>
          <w:szCs w:val="20"/>
          <w:color w:val="auto"/>
        </w:rPr>
      </w:pPr>
      <w:r>
        <w:rPr>
          <w:rFonts w:ascii="Arial" w:cs="Arial" w:eastAsia="Arial" w:hAnsi="Arial"/>
          <w:sz w:val="16"/>
          <w:szCs w:val="16"/>
          <w:color w:val="auto"/>
        </w:rPr>
        <w:t>infringe patents that are currently issued or that are issued in the future. In the event that a third party has also filed a patent application covering one of our product candidates or a similar invention, we may have to participate in an adversarial proceeding, known as an interference, declared by the U.S. Patent and Trademark Office or its foreign counterpart to determine priority of invention. Additionally, pending patent applications which have been published can, subject to certain limitations, be later amended in a manner that could cover our products or their use.</w:t>
      </w:r>
    </w:p>
    <w:p>
      <w:pPr>
        <w:spacing w:after="0" w:line="167" w:lineRule="exact"/>
        <w:rPr>
          <w:sz w:val="20"/>
          <w:szCs w:val="20"/>
          <w:color w:val="auto"/>
        </w:rPr>
      </w:pPr>
    </w:p>
    <w:p>
      <w:pPr>
        <w:ind w:right="80"/>
        <w:spacing w:after="0" w:line="291" w:lineRule="auto"/>
        <w:rPr>
          <w:sz w:val="20"/>
          <w:szCs w:val="20"/>
          <w:color w:val="auto"/>
        </w:rPr>
      </w:pPr>
      <w:r>
        <w:rPr>
          <w:rFonts w:ascii="Arial" w:cs="Arial" w:eastAsia="Arial" w:hAnsi="Arial"/>
          <w:sz w:val="14"/>
          <w:szCs w:val="14"/>
          <w:color w:val="auto"/>
        </w:rPr>
        <w:t>In order to avoid or settle potential claims with respect to any patent or other intellectual property rights of third parties, we may choose or be required to seek a license from a third party and be required to pay license fees or royalties or both, which could be substantial. These licenses may not be available on acceptable terms, or at all. Even if we were able to obtain a license, the rights may be nonexclusive, which could result in our competitors gaining access to the same intellectual property. Ultimately, we could be prevented from commercializing a product, or be forced, by court order or otherwise, to cease some or all aspects of our business operations, if, as a result of actual or threatened patent or other intellectual property claims, we are unable to enter into licenses on acceptable terms. Further, we could be found liable for significant monetary damages as a result of claims of intellectual property infringement. For example, we have received, and may in the future receive, offers to license and demands to license from third parties claiming that we are infringing their intellectual property or owe license fees and, even if such claims are without merit, there can be no assurance that we will successfully avoid or settle such claims.</w:t>
      </w:r>
    </w:p>
    <w:p>
      <w:pPr>
        <w:spacing w:after="0" w:line="148" w:lineRule="exact"/>
        <w:rPr>
          <w:sz w:val="20"/>
          <w:szCs w:val="20"/>
          <w:color w:val="auto"/>
        </w:rPr>
      </w:pPr>
    </w:p>
    <w:p>
      <w:pPr>
        <w:ind w:right="60"/>
        <w:spacing w:after="0" w:line="311" w:lineRule="auto"/>
        <w:rPr>
          <w:sz w:val="20"/>
          <w:szCs w:val="20"/>
          <w:color w:val="auto"/>
        </w:rPr>
      </w:pPr>
      <w:r>
        <w:rPr>
          <w:rFonts w:ascii="Arial" w:cs="Arial" w:eastAsia="Arial" w:hAnsi="Arial"/>
          <w:sz w:val="14"/>
          <w:szCs w:val="14"/>
          <w:color w:val="auto"/>
        </w:rPr>
        <w:t>In addition, if AbbVie licenses or otherwise acquires rights to intellectual property controlled by a third party in various circumstances, for example, where a product could not be legally developed or commercialized in a country without the third-party intellectual property right, it is entitled under our collaboration agreement to decrease payments payable to us on a product-by-product basis and, in certain cases, on a country-by-country basis. Any of the foregoing events could harm our business significantly.</w:t>
      </w:r>
    </w:p>
    <w:p>
      <w:pPr>
        <w:spacing w:after="0" w:line="131"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Defending against claims of patent infringement, misappropriation of trade secrets or other violations of intellectual property rights could be costly and time consuming, regardless of the outcome. Thus, even if we were to ultimately prevail, or to settle at an early stage, such litigation could burden us with substantial unanticipated costs. In addition, litigation or threatened litigation could result in significant demands on the time and attention of our management team, distracting them from the pursuit of other company business. Claims that our product candidates or the sale or use of our future products infringe, misappropriate or otherwise violate third-party intellectual property rights could therefore have a material adverse impact on our business.</w:t>
      </w:r>
    </w:p>
    <w:p>
      <w:pPr>
        <w:spacing w:after="0" w:line="26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Unfavorable outcomes in intellectual property litigation could limit our research and development activities and/or our ability to commercialize certain products.</w:t>
      </w:r>
    </w:p>
    <w:p>
      <w:pPr>
        <w:spacing w:after="0" w:line="111" w:lineRule="exact"/>
        <w:rPr>
          <w:sz w:val="20"/>
          <w:szCs w:val="20"/>
          <w:color w:val="auto"/>
        </w:rPr>
      </w:pPr>
    </w:p>
    <w:p>
      <w:pPr>
        <w:spacing w:after="0" w:line="267" w:lineRule="auto"/>
        <w:rPr>
          <w:sz w:val="20"/>
          <w:szCs w:val="20"/>
          <w:color w:val="auto"/>
        </w:rPr>
      </w:pPr>
      <w:r>
        <w:rPr>
          <w:rFonts w:ascii="Arial" w:cs="Arial" w:eastAsia="Arial" w:hAnsi="Arial"/>
          <w:sz w:val="15"/>
          <w:szCs w:val="15"/>
          <w:color w:val="auto"/>
        </w:rPr>
        <w:t>If third parties successfully assert their intellectual property rights against us, we might be barred from using certain aspects of our technology, or barred from developing and commercializing certain products. Prohibitions against using certain technologies, or prohibitions against commercializing certain products, could be imposed by a court or by a settlement agreement between us and a plaintiff. In addition, if we are unsuccessful in defending against allegations that we have infringed, misappropriated or otherwise violated patent or other intellectual property rights of others, we may be forced to pay substantial damage awards to the plaintiff. There is inevitable uncertainty in any litigation, including intellectual property litigation. There can be no assurance that we would prevail in any intellectual property litigation, even if the case against us is weak or flawed. If litigation leads to an outcome unfavorable to us, we may be required to obtain a license from the intellectual property owner in order to continue our research and development programs or to market any resulting product. It is possible that the necessary license will not be available to us on commercially acceptable terms, or at all. Alternatively, we may be required to modify or redesign our products in order to avoid infringing or otherwise violating third-party intellectual property rights. This may not be technically or commercially feasible, may render our products less competitive, or may delay or prevent the entry of our products to the market. Any of the foregoing could limit our research and development activities, our ability to commercialize one or more product candidates, or both.</w:t>
      </w:r>
    </w:p>
    <w:p>
      <w:pPr>
        <w:spacing w:after="0" w:line="163" w:lineRule="exact"/>
        <w:rPr>
          <w:sz w:val="20"/>
          <w:szCs w:val="20"/>
          <w:color w:val="auto"/>
        </w:rPr>
      </w:pPr>
    </w:p>
    <w:p>
      <w:pPr>
        <w:ind w:right="80"/>
        <w:spacing w:after="0" w:line="311" w:lineRule="auto"/>
        <w:rPr>
          <w:sz w:val="20"/>
          <w:szCs w:val="20"/>
          <w:color w:val="auto"/>
        </w:rPr>
      </w:pPr>
      <w:r>
        <w:rPr>
          <w:rFonts w:ascii="Arial" w:cs="Arial" w:eastAsia="Arial" w:hAnsi="Arial"/>
          <w:sz w:val="14"/>
          <w:szCs w:val="14"/>
          <w:color w:val="auto"/>
        </w:rPr>
        <w:t>Most of our competitors are larger than we are and have substantially greater resources. They are, therefore, likely to be able to sustain the costs of complex intellectual property litigation longer than we could. In addition, the uncertainties associated with litigation could have a material adverse effect on our ability to raise the funds necessary to conduct our clinical trials, continue our internal research programs, in-license needed technology, or enter into strategic partnerships that would help us bring our product candidates to market.</w:t>
      </w:r>
    </w:p>
    <w:p>
      <w:pPr>
        <w:spacing w:after="0" w:line="131" w:lineRule="exact"/>
        <w:rPr>
          <w:sz w:val="20"/>
          <w:szCs w:val="20"/>
          <w:color w:val="auto"/>
        </w:rPr>
      </w:pPr>
    </w:p>
    <w:p>
      <w:pPr>
        <w:jc w:val="both"/>
        <w:ind w:right="100"/>
        <w:spacing w:after="0" w:line="282" w:lineRule="auto"/>
        <w:rPr>
          <w:sz w:val="20"/>
          <w:szCs w:val="20"/>
          <w:color w:val="auto"/>
        </w:rPr>
      </w:pPr>
      <w:r>
        <w:rPr>
          <w:rFonts w:ascii="Arial" w:cs="Arial" w:eastAsia="Arial" w:hAnsi="Arial"/>
          <w:sz w:val="15"/>
          <w:szCs w:val="15"/>
          <w:color w:val="auto"/>
        </w:rPr>
        <w:t>In addition, any future intellectual property litigation, interference or other administrative proceedings will result in additional expense and distraction of our personnel. An adverse outcome in such litigation or proceedings may expose us or any future strategic partners to loss of our proprietary position, expose us to significant liabilities, or require us to seek licenses that may not be available on commercially acceptable terms, if at all, each of which could have a material adverse effect on our business.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58420</wp:posOffset>
            </wp:positionV>
            <wp:extent cx="7303770" cy="40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44" w:name="page45"/>
    <w:bookmarkEnd w:id="44"/>
    <w:p>
      <w:pPr>
        <w:spacing w:after="0"/>
        <w:rPr>
          <w:sz w:val="20"/>
          <w:szCs w:val="20"/>
          <w:color w:val="auto"/>
        </w:rPr>
      </w:pPr>
      <w:r>
        <w:rPr>
          <w:rFonts w:ascii="Arial" w:cs="Arial" w:eastAsia="Arial" w:hAnsi="Arial"/>
          <w:sz w:val="15"/>
          <w:szCs w:val="15"/>
          <w:b w:val="1"/>
          <w:bCs w:val="1"/>
          <w:i w:val="1"/>
          <w:iCs w:val="1"/>
          <w:color w:val="auto"/>
        </w:rPr>
        <w:t>Intellectual property litigation may lead to unfavorable publicity that harms our reputation and causes the market price of our common stock to decline.</w:t>
      </w:r>
    </w:p>
    <w:p>
      <w:pPr>
        <w:spacing w:after="0" w:line="111" w:lineRule="exact"/>
        <w:rPr>
          <w:sz w:val="20"/>
          <w:szCs w:val="20"/>
          <w:color w:val="auto"/>
        </w:rPr>
      </w:pPr>
    </w:p>
    <w:p>
      <w:pPr>
        <w:jc w:val="both"/>
        <w:ind w:right="300"/>
        <w:spacing w:after="0" w:line="254" w:lineRule="auto"/>
        <w:rPr>
          <w:sz w:val="20"/>
          <w:szCs w:val="20"/>
          <w:color w:val="auto"/>
        </w:rPr>
      </w:pPr>
      <w:r>
        <w:rPr>
          <w:rFonts w:ascii="Arial" w:cs="Arial" w:eastAsia="Arial" w:hAnsi="Arial"/>
          <w:sz w:val="16"/>
          <w:szCs w:val="16"/>
          <w:color w:val="auto"/>
        </w:rPr>
        <w:t>During the course of any intellectual property litigation, there could be public announcements of the results of hearings, rulings on motions, and other interim proceedings in the litigation. If securities analysts or investors regard these announcements as negative, the perceived value of our products, programs or intellectual property could be diminished. Accordingly, the market price of our common stock may decline. Such announcements could also harm our reputation or the market for our future products, which could have a material adverse effect on our business.</w:t>
      </w:r>
    </w:p>
    <w:p>
      <w:pPr>
        <w:spacing w:after="0" w:line="26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Confidentiality agreements with employees and third parties may not prevent unauthorized disclosure of trade secrets and other proprietary information.</w:t>
      </w:r>
    </w:p>
    <w:p>
      <w:pPr>
        <w:spacing w:after="0" w:line="111" w:lineRule="exact"/>
        <w:rPr>
          <w:sz w:val="20"/>
          <w:szCs w:val="20"/>
          <w:color w:val="auto"/>
        </w:rPr>
      </w:pPr>
    </w:p>
    <w:p>
      <w:pPr>
        <w:ind w:right="140"/>
        <w:spacing w:after="0" w:line="289" w:lineRule="auto"/>
        <w:rPr>
          <w:sz w:val="20"/>
          <w:szCs w:val="20"/>
          <w:color w:val="auto"/>
        </w:rPr>
      </w:pPr>
      <w:r>
        <w:rPr>
          <w:rFonts w:ascii="Arial" w:cs="Arial" w:eastAsia="Arial" w:hAnsi="Arial"/>
          <w:sz w:val="14"/>
          <w:szCs w:val="14"/>
          <w:color w:val="auto"/>
        </w:rPr>
        <w:t>In addition to patents, we rely on trade secrets, technical know-how and proprietary information concerning our business strategy and product candidates in order to protect our competitive position in the field of HCV, other antivirals and liver disease. In the course of our research and development activities and our business activities, we often rely on confidentiality agreements to protect our proprietary information. Such confidentiality agreements are used, for example, when we talk to vendors of laboratory or clinical development services or potential strategic partners. In addition, each of our employees is required to sign a confidentiality agreement and invention assignment agreement upon joining our company. We take steps to protect our proprietary information, and our confidentiality agreements and invention assignment agreements are carefully drafted to protect our proprietary interests. Nevertheless, there can be no guarantee that an employee or an outside party will not make an unauthorized disclosure of our proprietary confidential information. This might happen intentionally or inadvertently. It is possible that a competitor will make use of such information, and that our competitive position will be compromised, in spite of any legal action we might take against persons making such unauthorized disclosures. In addition, to the extent that our employees, consultants or contractors use intellectual property owned by others in their work for us, disputes may arise as to the rights in related or resulting know-how and inventions.</w:t>
      </w:r>
    </w:p>
    <w:p>
      <w:pPr>
        <w:spacing w:after="0" w:line="148" w:lineRule="exact"/>
        <w:rPr>
          <w:sz w:val="20"/>
          <w:szCs w:val="20"/>
          <w:color w:val="auto"/>
        </w:rPr>
      </w:pPr>
    </w:p>
    <w:p>
      <w:pPr>
        <w:ind w:right="80"/>
        <w:spacing w:after="0" w:line="301" w:lineRule="auto"/>
        <w:rPr>
          <w:sz w:val="20"/>
          <w:szCs w:val="20"/>
          <w:color w:val="auto"/>
        </w:rPr>
      </w:pPr>
      <w:r>
        <w:rPr>
          <w:rFonts w:ascii="Arial" w:cs="Arial" w:eastAsia="Arial" w:hAnsi="Arial"/>
          <w:sz w:val="14"/>
          <w:szCs w:val="14"/>
          <w:color w:val="auto"/>
        </w:rPr>
        <w:t>Trade secrets are difficult to protect. Although we use reasonable efforts to protect our trade secrets, our employees, consultants, contractors, business partners or outside scientific collaborators might intentionally or inadvertently disclose our trade secret information to competitors or our trade secrets may otherwise be misappropriated. Enforcing a claim that a third party illegally obtained and is using any of our trade secrets is expensive and time consuming, and the outcome is unpredictable. In addition, courts outside the United States sometimes are less willing than United States courts to protect trade secrets. Moreover, our competitors may independently develop equivalent knowledge, methods and know-how.</w:t>
      </w:r>
    </w:p>
    <w:p>
      <w:pPr>
        <w:spacing w:after="0" w:line="139" w:lineRule="exact"/>
        <w:rPr>
          <w:sz w:val="20"/>
          <w:szCs w:val="20"/>
          <w:color w:val="auto"/>
        </w:rPr>
      </w:pPr>
    </w:p>
    <w:p>
      <w:pPr>
        <w:spacing w:after="0" w:line="273" w:lineRule="auto"/>
        <w:rPr>
          <w:sz w:val="20"/>
          <w:szCs w:val="20"/>
          <w:color w:val="auto"/>
        </w:rPr>
      </w:pPr>
      <w:r>
        <w:rPr>
          <w:rFonts w:ascii="Arial" w:cs="Arial" w:eastAsia="Arial" w:hAnsi="Arial"/>
          <w:sz w:val="15"/>
          <w:szCs w:val="15"/>
          <w:color w:val="auto"/>
        </w:rPr>
        <w:t>Our collaborators may have rights to publish data and other information to which we have rights. In addition, we sometimes engage individuals or entities to conduct research relevant to our business. The ability of these individuals or entities to publish or otherwise publicly disclose data and other information generated during the course of their research is subject to certain contractual limitations. These contractual provisions may be insufficient or inadequate to protect our confidential information.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 which could adversely affect our business.</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Intellectual property rights do not necessarily protect us from all potential threats to our competitive advantage.</w:t>
      </w:r>
    </w:p>
    <w:p>
      <w:pPr>
        <w:spacing w:after="0" w:line="100" w:lineRule="exact"/>
        <w:rPr>
          <w:sz w:val="20"/>
          <w:szCs w:val="20"/>
          <w:color w:val="auto"/>
        </w:rPr>
      </w:pPr>
    </w:p>
    <w:p>
      <w:pPr>
        <w:ind w:right="340"/>
        <w:spacing w:after="0" w:line="268" w:lineRule="auto"/>
        <w:rPr>
          <w:sz w:val="20"/>
          <w:szCs w:val="20"/>
          <w:color w:val="auto"/>
        </w:rPr>
      </w:pPr>
      <w:r>
        <w:rPr>
          <w:rFonts w:ascii="Arial" w:cs="Arial" w:eastAsia="Arial" w:hAnsi="Arial"/>
          <w:sz w:val="16"/>
          <w:szCs w:val="16"/>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62" w:lineRule="exact"/>
        <w:rPr>
          <w:sz w:val="20"/>
          <w:szCs w:val="20"/>
          <w:color w:val="auto"/>
        </w:rPr>
      </w:pPr>
    </w:p>
    <w:p>
      <w:pPr>
        <w:ind w:left="1020" w:right="680" w:hanging="517"/>
        <w:spacing w:after="0" w:line="268" w:lineRule="auto"/>
        <w:tabs>
          <w:tab w:leader="none" w:pos="10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others may be able to make compounds that are similar to our product candidates but that are not covered by the claims of the patents that we own or have exclusively licensed;</w:t>
      </w:r>
    </w:p>
    <w:p>
      <w:pPr>
        <w:spacing w:after="0" w:line="62" w:lineRule="exact"/>
        <w:rPr>
          <w:rFonts w:ascii="Arial" w:cs="Arial" w:eastAsia="Arial" w:hAnsi="Arial"/>
          <w:sz w:val="16"/>
          <w:szCs w:val="16"/>
          <w:color w:val="auto"/>
        </w:rPr>
      </w:pPr>
    </w:p>
    <w:p>
      <w:pPr>
        <w:ind w:left="1020" w:right="220" w:hanging="517"/>
        <w:spacing w:after="0" w:line="268" w:lineRule="auto"/>
        <w:tabs>
          <w:tab w:leader="none" w:pos="10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we might not have been the first to make the inventions covered by the issued patents or pending patent applications that we own or may in the future exclusively license, which could result in the patent applications not issuing or being invalidated after issuing;</w:t>
      </w:r>
    </w:p>
    <w:p>
      <w:pPr>
        <w:spacing w:after="0" w:line="62" w:lineRule="exact"/>
        <w:rPr>
          <w:rFonts w:ascii="Arial" w:cs="Arial" w:eastAsia="Arial" w:hAnsi="Arial"/>
          <w:sz w:val="16"/>
          <w:szCs w:val="16"/>
          <w:color w:val="auto"/>
        </w:rPr>
      </w:pPr>
    </w:p>
    <w:p>
      <w:pPr>
        <w:ind w:left="1020" w:right="420" w:hanging="517"/>
        <w:spacing w:after="0" w:line="268" w:lineRule="auto"/>
        <w:tabs>
          <w:tab w:leader="none" w:pos="10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we might not have been the first to file patent applications covering certain of our inventions, which could result in the patent applications not issuing or being invalidated after issuing;</w:t>
      </w:r>
    </w:p>
    <w:p>
      <w:pPr>
        <w:spacing w:after="0" w:line="62" w:lineRule="exact"/>
        <w:rPr>
          <w:rFonts w:ascii="Arial" w:cs="Arial" w:eastAsia="Arial" w:hAnsi="Arial"/>
          <w:sz w:val="16"/>
          <w:szCs w:val="16"/>
          <w:color w:val="auto"/>
        </w:rPr>
      </w:pPr>
    </w:p>
    <w:p>
      <w:pPr>
        <w:ind w:left="1020" w:hanging="517"/>
        <w:spacing w:after="0"/>
        <w:tabs>
          <w:tab w:leader="none" w:pos="1020" w:val="left"/>
        </w:tabs>
        <w:numPr>
          <w:ilvl w:val="0"/>
          <w:numId w:val="40"/>
        </w:numPr>
        <w:rPr>
          <w:rFonts w:ascii="Arial" w:cs="Arial" w:eastAsia="Arial" w:hAnsi="Arial"/>
          <w:sz w:val="15"/>
          <w:szCs w:val="15"/>
          <w:color w:val="auto"/>
        </w:rPr>
      </w:pPr>
      <w:r>
        <w:rPr>
          <w:rFonts w:ascii="Arial" w:cs="Arial" w:eastAsia="Arial" w:hAnsi="Arial"/>
          <w:sz w:val="15"/>
          <w:szCs w:val="15"/>
          <w:color w:val="auto"/>
        </w:rPr>
        <w:t>others may independently develop similar or alternative technologies or duplicate any of our technologies without infringing our intellectual property rights;</w:t>
      </w:r>
    </w:p>
    <w:p>
      <w:pPr>
        <w:spacing w:after="0" w:line="111" w:lineRule="exact"/>
        <w:rPr>
          <w:rFonts w:ascii="Arial" w:cs="Arial" w:eastAsia="Arial" w:hAnsi="Arial"/>
          <w:sz w:val="15"/>
          <w:szCs w:val="15"/>
          <w:color w:val="auto"/>
        </w:rPr>
      </w:pPr>
    </w:p>
    <w:p>
      <w:pPr>
        <w:ind w:left="1020" w:hanging="517"/>
        <w:spacing w:after="0"/>
        <w:tabs>
          <w:tab w:leader="none" w:pos="10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it is possible that our pending patent applications will not lead to issued patents;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58420</wp:posOffset>
            </wp:positionV>
            <wp:extent cx="7303770" cy="406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20"/>
          </w:cols>
          <w:pgMar w:left="240" w:top="600" w:right="239" w:bottom="1440" w:gutter="0" w:footer="0" w:header="0"/>
        </w:sectPr>
      </w:pPr>
    </w:p>
    <w:bookmarkStart w:id="45" w:name="page46"/>
    <w:bookmarkEnd w:id="45"/>
    <w:p>
      <w:pPr>
        <w:ind w:left="1020" w:right="140" w:hanging="517"/>
        <w:spacing w:after="0" w:line="311" w:lineRule="auto"/>
        <w:tabs>
          <w:tab w:leader="none" w:pos="10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issued patents that we own may not provide us with any competitive advantages, or may be held invalid or unenforceable, as a result of legal challenges by our competitors; we may obtain patents for certain compounds many years before we obtain marketing approval for products containing such compounds, and because patents have a limited life, which may begin to run prior to the commercial sale of the related product, the commercial value of our patents may be limited;</w:t>
      </w:r>
    </w:p>
    <w:p>
      <w:pPr>
        <w:spacing w:after="0" w:line="36" w:lineRule="exact"/>
        <w:rPr>
          <w:rFonts w:ascii="Arial" w:cs="Arial" w:eastAsia="Arial" w:hAnsi="Arial"/>
          <w:sz w:val="14"/>
          <w:szCs w:val="14"/>
          <w:color w:val="auto"/>
        </w:rPr>
      </w:pPr>
    </w:p>
    <w:p>
      <w:pPr>
        <w:ind w:left="1020" w:right="140" w:hanging="517"/>
        <w:spacing w:after="0" w:line="268" w:lineRule="auto"/>
        <w:tabs>
          <w:tab w:leader="none" w:pos="10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62" w:lineRule="exact"/>
        <w:rPr>
          <w:rFonts w:ascii="Arial" w:cs="Arial" w:eastAsia="Arial" w:hAnsi="Arial"/>
          <w:sz w:val="16"/>
          <w:szCs w:val="16"/>
          <w:color w:val="auto"/>
        </w:rPr>
      </w:pPr>
    </w:p>
    <w:p>
      <w:pPr>
        <w:ind w:left="1020" w:hanging="517"/>
        <w:spacing w:after="0"/>
        <w:tabs>
          <w:tab w:leader="none" w:pos="10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we may fail to develop additional proprietary technologies that are patentable;</w:t>
      </w:r>
    </w:p>
    <w:p>
      <w:pPr>
        <w:spacing w:after="0" w:line="99" w:lineRule="exact"/>
        <w:rPr>
          <w:rFonts w:ascii="Arial" w:cs="Arial" w:eastAsia="Arial" w:hAnsi="Arial"/>
          <w:sz w:val="16"/>
          <w:szCs w:val="16"/>
          <w:color w:val="auto"/>
        </w:rPr>
      </w:pPr>
    </w:p>
    <w:p>
      <w:pPr>
        <w:ind w:left="1020" w:right="20" w:hanging="517"/>
        <w:spacing w:after="0" w:line="268" w:lineRule="auto"/>
        <w:tabs>
          <w:tab w:leader="none" w:pos="10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laws of certain foreign countries may not protect our intellectual property rights to the same extent as the laws of the United States, or we may fail to apply for or obtain adequate intellectual property protection in all the jurisdictions in which we operate; and</w:t>
      </w:r>
    </w:p>
    <w:p>
      <w:pPr>
        <w:spacing w:after="0" w:line="62" w:lineRule="exact"/>
        <w:rPr>
          <w:rFonts w:ascii="Arial" w:cs="Arial" w:eastAsia="Arial" w:hAnsi="Arial"/>
          <w:sz w:val="16"/>
          <w:szCs w:val="16"/>
          <w:color w:val="auto"/>
        </w:rPr>
      </w:pPr>
    </w:p>
    <w:p>
      <w:pPr>
        <w:ind w:left="1020" w:right="320" w:hanging="517"/>
        <w:spacing w:after="0" w:line="268" w:lineRule="auto"/>
        <w:tabs>
          <w:tab w:leader="none" w:pos="10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patents of others may have an adverse effect on our business, for example by preventing us from marketing one or more of our product candidates for one or more indications.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Any of the aforementioned threats to our competitive advantage could have a material adverse effect on our business.</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patent law could diminish the value of patents in general, thereby impairing our ability to protect our products.</w:t>
      </w:r>
    </w:p>
    <w:p>
      <w:pPr>
        <w:spacing w:after="0" w:line="100" w:lineRule="exact"/>
        <w:rPr>
          <w:sz w:val="20"/>
          <w:szCs w:val="20"/>
          <w:color w:val="auto"/>
        </w:rPr>
      </w:pPr>
    </w:p>
    <w:p>
      <w:pPr>
        <w:spacing w:after="0" w:line="267" w:lineRule="auto"/>
        <w:rPr>
          <w:sz w:val="20"/>
          <w:szCs w:val="20"/>
          <w:color w:val="auto"/>
        </w:rPr>
      </w:pPr>
      <w:r>
        <w:rPr>
          <w:rFonts w:ascii="Arial" w:cs="Arial" w:eastAsia="Arial" w:hAnsi="Arial"/>
          <w:sz w:val="15"/>
          <w:szCs w:val="15"/>
          <w:color w:val="auto"/>
        </w:rPr>
        <w:t>As is the case with many other biopharmaceutical companies, our success is heavily dependent on intellectual property, particularly patents. Obtaining, maintaining and enforcing patents in the biopharmaceutical industry involves both technological complexity and legal complexity. Therefore, the process of obtaining, maintaining and enforcing biopharmaceutical patents is costly, time-consuming and inherently uncertain. In addition, recent legislative and judicial developments in the United States and elsewhere have in some cases narrowed the protection afforded to patent owners, made patents more difficult to obtain, or increased the uncertainty regarding the ability to obtain, maintain and enforce patents. For example, Congress recently passed patent reform legislation, and may pass patent reform legislation in the future. The United States Supreme Court has ruled on several patent cases in recent years, and in certain circumstances has narrowed the scope of patent protection available or otherwise weakened the rights of patent owners. In addition to increasing uncertainty with regard to our ability to obtain patents in the future, this combination of events has created uncertainty with respect to the value of patents, once obtained. Depending on decisions and actions by the United States Congress, the federal courts, the United States Patent and Trademark Office, and their respective foreign counterparts, the laws and regulations governing patents could change in unpredictable ways that could weaken our ability to obtain new patents or to maintain and enforce our existing patents and patents that we might obtain in the future.</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Industry</w:t>
      </w:r>
    </w:p>
    <w:p>
      <w:pPr>
        <w:spacing w:after="0" w:line="10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product liability lawsuits are brought against us, we may incur substantial liabilities and may be required to limit commercialization of our product candidates.</w:t>
      </w:r>
    </w:p>
    <w:p>
      <w:pPr>
        <w:spacing w:after="0" w:line="111" w:lineRule="exact"/>
        <w:rPr>
          <w:sz w:val="20"/>
          <w:szCs w:val="20"/>
          <w:color w:val="auto"/>
        </w:rPr>
      </w:pPr>
    </w:p>
    <w:p>
      <w:pPr>
        <w:ind w:right="40"/>
        <w:spacing w:after="0" w:line="293" w:lineRule="auto"/>
        <w:rPr>
          <w:sz w:val="20"/>
          <w:szCs w:val="20"/>
          <w:color w:val="auto"/>
        </w:rPr>
      </w:pPr>
      <w:r>
        <w:rPr>
          <w:rFonts w:ascii="Arial" w:cs="Arial" w:eastAsia="Arial" w:hAnsi="Arial"/>
          <w:sz w:val="14"/>
          <w:szCs w:val="14"/>
          <w:color w:val="auto"/>
        </w:rPr>
        <w:t>We face an inherent risk of product liability as a result of the clinical testing of our product candidates, and we will face an even greater risk if we commercialize any product candidates. For example, we may be sued if any of our product candidates, including any that are developed in combination therapies,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There is also risk that third parties we have agreed to indemnify could incur liability.</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Regardless of the merits or eventual outcome, liability claims may result in:</w:t>
      </w:r>
    </w:p>
    <w:p>
      <w:pPr>
        <w:spacing w:after="0" w:line="100" w:lineRule="exact"/>
        <w:rPr>
          <w:sz w:val="20"/>
          <w:szCs w:val="20"/>
          <w:color w:val="auto"/>
        </w:rPr>
      </w:pPr>
    </w:p>
    <w:p>
      <w:pPr>
        <w:ind w:left="1020" w:hanging="517"/>
        <w:spacing w:after="0"/>
        <w:tabs>
          <w:tab w:leader="none" w:pos="10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decreased demand for our product candidates or any resulting products;</w:t>
      </w:r>
    </w:p>
    <w:p>
      <w:pPr>
        <w:spacing w:after="0" w:line="99" w:lineRule="exact"/>
        <w:rPr>
          <w:rFonts w:ascii="Arial" w:cs="Arial" w:eastAsia="Arial" w:hAnsi="Arial"/>
          <w:sz w:val="16"/>
          <w:szCs w:val="16"/>
          <w:color w:val="auto"/>
        </w:rPr>
      </w:pPr>
    </w:p>
    <w:p>
      <w:pPr>
        <w:ind w:left="1020" w:hanging="517"/>
        <w:spacing w:after="0"/>
        <w:tabs>
          <w:tab w:leader="none" w:pos="10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injury to our reputation;</w:t>
      </w:r>
    </w:p>
    <w:p>
      <w:pPr>
        <w:spacing w:after="0" w:line="99" w:lineRule="exact"/>
        <w:rPr>
          <w:rFonts w:ascii="Arial" w:cs="Arial" w:eastAsia="Arial" w:hAnsi="Arial"/>
          <w:sz w:val="16"/>
          <w:szCs w:val="16"/>
          <w:color w:val="auto"/>
        </w:rPr>
      </w:pPr>
    </w:p>
    <w:p>
      <w:pPr>
        <w:ind w:left="1020" w:hanging="517"/>
        <w:spacing w:after="0"/>
        <w:tabs>
          <w:tab w:leader="none" w:pos="10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withdrawal of clinical trial participants;</w:t>
      </w:r>
    </w:p>
    <w:p>
      <w:pPr>
        <w:spacing w:after="0" w:line="99" w:lineRule="exact"/>
        <w:rPr>
          <w:rFonts w:ascii="Arial" w:cs="Arial" w:eastAsia="Arial" w:hAnsi="Arial"/>
          <w:sz w:val="16"/>
          <w:szCs w:val="16"/>
          <w:color w:val="auto"/>
        </w:rPr>
      </w:pPr>
    </w:p>
    <w:p>
      <w:pPr>
        <w:ind w:left="1020" w:hanging="517"/>
        <w:spacing w:after="0"/>
        <w:tabs>
          <w:tab w:leader="none" w:pos="10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costs to defend the related litigation;</w:t>
      </w:r>
    </w:p>
    <w:p>
      <w:pPr>
        <w:spacing w:after="0" w:line="99" w:lineRule="exact"/>
        <w:rPr>
          <w:rFonts w:ascii="Arial" w:cs="Arial" w:eastAsia="Arial" w:hAnsi="Arial"/>
          <w:sz w:val="16"/>
          <w:szCs w:val="16"/>
          <w:color w:val="auto"/>
        </w:rPr>
      </w:pPr>
    </w:p>
    <w:p>
      <w:pPr>
        <w:ind w:left="1020" w:hanging="517"/>
        <w:spacing w:after="0"/>
        <w:tabs>
          <w:tab w:leader="none" w:pos="10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 diversion of management’s time and our resources;</w:t>
      </w:r>
    </w:p>
    <w:p>
      <w:pPr>
        <w:spacing w:after="0" w:line="99" w:lineRule="exact"/>
        <w:rPr>
          <w:rFonts w:ascii="Arial" w:cs="Arial" w:eastAsia="Arial" w:hAnsi="Arial"/>
          <w:sz w:val="16"/>
          <w:szCs w:val="16"/>
          <w:color w:val="auto"/>
        </w:rPr>
      </w:pPr>
    </w:p>
    <w:p>
      <w:pPr>
        <w:ind w:left="1020" w:hanging="517"/>
        <w:spacing w:after="0"/>
        <w:tabs>
          <w:tab w:leader="none" w:pos="10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substantial monetary awards to trial participants or patients;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58420</wp:posOffset>
            </wp:positionV>
            <wp:extent cx="7303770" cy="40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411" w:right="219" w:bottom="1440" w:gutter="0" w:footer="0" w:header="0"/>
        </w:sectPr>
      </w:pPr>
    </w:p>
    <w:bookmarkStart w:id="46" w:name="page47"/>
    <w:bookmarkEnd w:id="46"/>
    <w:p>
      <w:pPr>
        <w:ind w:left="1020" w:hanging="517"/>
        <w:spacing w:after="0"/>
        <w:tabs>
          <w:tab w:leader="none" w:pos="10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product recalls, withdrawals or labeling, marketing or promotional restrictions;</w:t>
      </w:r>
    </w:p>
    <w:p>
      <w:pPr>
        <w:spacing w:after="0" w:line="99" w:lineRule="exact"/>
        <w:rPr>
          <w:rFonts w:ascii="Arial" w:cs="Arial" w:eastAsia="Arial" w:hAnsi="Arial"/>
          <w:sz w:val="16"/>
          <w:szCs w:val="16"/>
          <w:color w:val="auto"/>
        </w:rPr>
      </w:pPr>
    </w:p>
    <w:p>
      <w:pPr>
        <w:ind w:left="1020" w:hanging="517"/>
        <w:spacing w:after="0"/>
        <w:tabs>
          <w:tab w:leader="none" w:pos="10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loss of revenue;</w:t>
      </w:r>
    </w:p>
    <w:p>
      <w:pPr>
        <w:spacing w:after="0" w:line="99" w:lineRule="exact"/>
        <w:rPr>
          <w:rFonts w:ascii="Arial" w:cs="Arial" w:eastAsia="Arial" w:hAnsi="Arial"/>
          <w:sz w:val="16"/>
          <w:szCs w:val="16"/>
          <w:color w:val="auto"/>
        </w:rPr>
      </w:pPr>
    </w:p>
    <w:p>
      <w:pPr>
        <w:ind w:left="1020" w:hanging="517"/>
        <w:spacing w:after="0"/>
        <w:tabs>
          <w:tab w:leader="none" w:pos="10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inability to commercialize our product candidates; and</w:t>
      </w:r>
    </w:p>
    <w:p>
      <w:pPr>
        <w:spacing w:after="0" w:line="99" w:lineRule="exact"/>
        <w:rPr>
          <w:rFonts w:ascii="Arial" w:cs="Arial" w:eastAsia="Arial" w:hAnsi="Arial"/>
          <w:sz w:val="16"/>
          <w:szCs w:val="16"/>
          <w:color w:val="auto"/>
        </w:rPr>
      </w:pPr>
    </w:p>
    <w:p>
      <w:pPr>
        <w:ind w:left="1020" w:hanging="517"/>
        <w:spacing w:after="0"/>
        <w:tabs>
          <w:tab w:leader="none" w:pos="10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 decline in our stock price.</w:t>
      </w:r>
    </w:p>
    <w:p>
      <w:pPr>
        <w:spacing w:after="0" w:line="195" w:lineRule="exact"/>
        <w:rPr>
          <w:sz w:val="20"/>
          <w:szCs w:val="20"/>
          <w:color w:val="auto"/>
        </w:rPr>
      </w:pPr>
    </w:p>
    <w:p>
      <w:pPr>
        <w:ind w:right="60"/>
        <w:spacing w:after="0" w:line="271" w:lineRule="auto"/>
        <w:rPr>
          <w:sz w:val="20"/>
          <w:szCs w:val="20"/>
          <w:color w:val="auto"/>
        </w:rPr>
      </w:pPr>
      <w:r>
        <w:rPr>
          <w:rFonts w:ascii="Arial" w:cs="Arial" w:eastAsia="Arial" w:hAnsi="Arial"/>
          <w:sz w:val="15"/>
          <w:szCs w:val="15"/>
          <w:color w:val="auto"/>
        </w:rPr>
        <w:t>Our inability to obtain and retain sufficient product liability insurance at an acceptable cost to protect against potential product liability claims could prevent or inhibit the commercialization of products we develop. We currently carry product liability insurance covering our clinical studies in the amount of $10.0 million in the aggregate. Although we maintain such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251" w:lineRule="exact"/>
        <w:rPr>
          <w:sz w:val="20"/>
          <w:szCs w:val="20"/>
          <w:color w:val="auto"/>
        </w:rPr>
      </w:pPr>
    </w:p>
    <w:p>
      <w:pPr>
        <w:ind w:right="260"/>
        <w:spacing w:after="0" w:line="268" w:lineRule="auto"/>
        <w:rPr>
          <w:sz w:val="20"/>
          <w:szCs w:val="20"/>
          <w:color w:val="auto"/>
        </w:rPr>
      </w:pPr>
      <w:r>
        <w:rPr>
          <w:rFonts w:ascii="Arial" w:cs="Arial" w:eastAsia="Arial" w:hAnsi="Arial"/>
          <w:sz w:val="16"/>
          <w:szCs w:val="16"/>
          <w:b w:val="1"/>
          <w:bCs w:val="1"/>
          <w:i w:val="1"/>
          <w:iCs w:val="1"/>
          <w:color w:val="auto"/>
        </w:rPr>
        <w:t>Our internal computer systems, or those of our collaborator, CROs or other contractors or consultants, may fail or suffer security breaches, which could result in a material disruption of development programs for our product candidates.</w:t>
      </w:r>
    </w:p>
    <w:p>
      <w:pPr>
        <w:spacing w:after="0" w:line="62" w:lineRule="exact"/>
        <w:rPr>
          <w:sz w:val="20"/>
          <w:szCs w:val="20"/>
          <w:color w:val="auto"/>
        </w:rPr>
      </w:pPr>
    </w:p>
    <w:p>
      <w:pPr>
        <w:ind w:right="100"/>
        <w:spacing w:after="0" w:line="273" w:lineRule="auto"/>
        <w:rPr>
          <w:sz w:val="20"/>
          <w:szCs w:val="20"/>
          <w:color w:val="auto"/>
        </w:rPr>
      </w:pPr>
      <w:r>
        <w:rPr>
          <w:rFonts w:ascii="Arial" w:cs="Arial" w:eastAsia="Arial" w:hAnsi="Arial"/>
          <w:sz w:val="15"/>
          <w:szCs w:val="15"/>
          <w:color w:val="auto"/>
        </w:rPr>
        <w:t>Despite the implementation of security measures, our internal computer systems and those of our collaborators, CROs, and other contractors and consultants are vulnerable to damage from computer viruses, unauthorized access, natural disasters, terrorism, war and telecommunication and electrical failures. Information security risks have significantly increased in recent years in part due to the proliferation of new technologies and the increased sophistication and activities of organized crime, hackers, terrorists and other external parties, including foreign state actors. As cyber threats continue to evolve, we may be required to expend significant additional resources to continue to modify or enhance our protective measures or to investigate and remediate any information security breaches.</w:t>
      </w:r>
    </w:p>
    <w:p>
      <w:pPr>
        <w:spacing w:after="0" w:line="155" w:lineRule="exact"/>
        <w:rPr>
          <w:sz w:val="20"/>
          <w:szCs w:val="20"/>
          <w:color w:val="auto"/>
        </w:rPr>
      </w:pPr>
    </w:p>
    <w:p>
      <w:pPr>
        <w:spacing w:after="0" w:line="289" w:lineRule="auto"/>
        <w:rPr>
          <w:sz w:val="20"/>
          <w:szCs w:val="20"/>
          <w:color w:val="auto"/>
        </w:rPr>
      </w:pPr>
      <w:r>
        <w:rPr>
          <w:rFonts w:ascii="Arial" w:cs="Arial" w:eastAsia="Arial" w:hAnsi="Arial"/>
          <w:sz w:val="14"/>
          <w:szCs w:val="14"/>
          <w:color w:val="auto"/>
        </w:rPr>
        <w:t>While we have not experienced any such system failure, accident or security breach to date, if such an event were to occur and cause interruptions in our operations, it could result in a material disruption of our independent drug development programs. For example, the loss of clinical trial data from ongoing or future clinical trials for any of our product candidates could result in delays in regulatory approval efforts and significantly increase costs to recover or reproduce the data. Our information security systems are also subject to laws and regulations requiring that we take measures to protect the privacy and security of certain information we gather and use in our business. For example, HIPAA and its implementing regulations impose, among other requirements, certain regulatory and contractual requirements regarding the privacy and security of personal health information. In addition to HIPAA, numerous other federal and state laws, including, without limitation, state security breach notification laws, state health information privacy laws and federal and state consumer protection laws, govern the collection, use, disclosure and storage of personal information. To the extent that any disruption or security breach were to result in a loss of or damage to data or applications, or inappropriate disclosure of confidential or proprietary information or personal health information, we could incur substantial liability, our reputation would be damaged, and the further development of our product candidates could be delayed.</w:t>
      </w:r>
    </w:p>
    <w:p>
      <w:pPr>
        <w:spacing w:after="0" w:line="243" w:lineRule="exact"/>
        <w:rPr>
          <w:sz w:val="20"/>
          <w:szCs w:val="20"/>
          <w:color w:val="auto"/>
        </w:rPr>
      </w:pPr>
    </w:p>
    <w:p>
      <w:pPr>
        <w:ind w:right="200"/>
        <w:spacing w:after="0" w:line="411" w:lineRule="auto"/>
        <w:rPr>
          <w:sz w:val="20"/>
          <w:szCs w:val="20"/>
          <w:color w:val="auto"/>
        </w:rPr>
      </w:pPr>
      <w:r>
        <w:rPr>
          <w:rFonts w:ascii="Arial" w:cs="Arial" w:eastAsia="Arial" w:hAnsi="Arial"/>
          <w:sz w:val="12"/>
          <w:szCs w:val="12"/>
          <w:b w:val="1"/>
          <w:bCs w:val="1"/>
          <w:i w:val="1"/>
          <w:iCs w:val="1"/>
          <w:color w:val="auto"/>
        </w:rPr>
        <w:t>Our relationships with customers and third-party payors in the United States and elsewhere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1"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Healthcare providers, physicians and third-party payors in the United States and elsewhere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 Restrictions under applicable federal, state and foreign healthcare laws and regulations include the following:</w:t>
      </w:r>
    </w:p>
    <w:p>
      <w:pPr>
        <w:spacing w:after="0" w:line="58" w:lineRule="exact"/>
        <w:rPr>
          <w:sz w:val="20"/>
          <w:szCs w:val="20"/>
          <w:color w:val="auto"/>
        </w:rPr>
      </w:pPr>
    </w:p>
    <w:p>
      <w:pPr>
        <w:ind w:left="1020" w:right="140" w:hanging="517"/>
        <w:spacing w:after="0" w:line="282" w:lineRule="auto"/>
        <w:tabs>
          <w:tab w:leader="none" w:pos="1020"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the federal healthcare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w:t>
      </w:r>
    </w:p>
    <w:p>
      <w:pPr>
        <w:spacing w:after="0" w:line="54" w:lineRule="exact"/>
        <w:rPr>
          <w:rFonts w:ascii="Arial" w:cs="Arial" w:eastAsia="Arial" w:hAnsi="Arial"/>
          <w:sz w:val="15"/>
          <w:szCs w:val="15"/>
          <w:color w:val="auto"/>
        </w:rPr>
      </w:pPr>
    </w:p>
    <w:p>
      <w:pPr>
        <w:ind w:left="1020" w:right="200" w:hanging="517"/>
        <w:spacing w:after="0" w:line="257" w:lineRule="auto"/>
        <w:tabs>
          <w:tab w:leader="none" w:pos="10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 xml:space="preserve">the federal False Claims Act imposes criminal and civil penalties, including civil whistleblower or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58420</wp:posOffset>
            </wp:positionV>
            <wp:extent cx="7303770" cy="406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47" w:name="page48"/>
    <w:bookmarkEnd w:id="47"/>
    <w:p>
      <w:pPr>
        <w:ind w:left="1020" w:right="40" w:hanging="517"/>
        <w:spacing w:after="0" w:line="282" w:lineRule="auto"/>
        <w:tabs>
          <w:tab w:leader="none" w:pos="1020"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federal Health Insurance Portability and Accountability Act of 1996, as amended by the Health Information Technology for Economic and Clinical Health Act,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54" w:lineRule="exact"/>
        <w:rPr>
          <w:rFonts w:ascii="Arial" w:cs="Arial" w:eastAsia="Arial" w:hAnsi="Arial"/>
          <w:sz w:val="15"/>
          <w:szCs w:val="15"/>
          <w:color w:val="auto"/>
        </w:rPr>
      </w:pPr>
    </w:p>
    <w:p>
      <w:pPr>
        <w:ind w:left="1020" w:hanging="517"/>
        <w:spacing w:after="0" w:line="268" w:lineRule="auto"/>
        <w:tabs>
          <w:tab w:leader="none" w:pos="10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62" w:lineRule="exact"/>
        <w:rPr>
          <w:rFonts w:ascii="Arial" w:cs="Arial" w:eastAsia="Arial" w:hAnsi="Arial"/>
          <w:sz w:val="16"/>
          <w:szCs w:val="16"/>
          <w:color w:val="auto"/>
        </w:rPr>
      </w:pPr>
    </w:p>
    <w:p>
      <w:pPr>
        <w:jc w:val="both"/>
        <w:ind w:left="1020" w:right="40" w:hanging="517"/>
        <w:spacing w:after="0" w:line="257" w:lineRule="auto"/>
        <w:tabs>
          <w:tab w:leader="none" w:pos="10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federal transparency requirements under the Patient Protection and Affordable Care Act of 2010 requires manufacturers of drugs, devices, biologics and medical supplies to report to the Department of Health and Human Services information related to physician payments and other transfers of value and physician ownership and investment interests;</w:t>
      </w:r>
    </w:p>
    <w:p>
      <w:pPr>
        <w:spacing w:after="0" w:line="71" w:lineRule="exact"/>
        <w:rPr>
          <w:rFonts w:ascii="Arial" w:cs="Arial" w:eastAsia="Arial" w:hAnsi="Arial"/>
          <w:sz w:val="16"/>
          <w:szCs w:val="16"/>
          <w:color w:val="auto"/>
        </w:rPr>
      </w:pPr>
    </w:p>
    <w:p>
      <w:pPr>
        <w:ind w:left="1020" w:right="120" w:hanging="517"/>
        <w:spacing w:after="0" w:line="301" w:lineRule="auto"/>
        <w:tabs>
          <w:tab w:leader="none" w:pos="10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analogous state laws and regulations, such as state anti-kickback and false claims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healthcare providers or marketing expenditures; and</w:t>
      </w:r>
    </w:p>
    <w:p>
      <w:pPr>
        <w:spacing w:after="0" w:line="44" w:lineRule="exact"/>
        <w:rPr>
          <w:rFonts w:ascii="Arial" w:cs="Arial" w:eastAsia="Arial" w:hAnsi="Arial"/>
          <w:sz w:val="14"/>
          <w:szCs w:val="14"/>
          <w:color w:val="auto"/>
        </w:rPr>
      </w:pPr>
    </w:p>
    <w:p>
      <w:pPr>
        <w:ind w:left="1020" w:hanging="517"/>
        <w:spacing w:after="0"/>
        <w:tabs>
          <w:tab w:leader="none" w:pos="10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analogous anti-kickback, fraud and abuse and healthcare laws and regulations in foreign countries.</w:t>
      </w:r>
    </w:p>
    <w:p>
      <w:pPr>
        <w:spacing w:after="0" w:line="195" w:lineRule="exact"/>
        <w:rPr>
          <w:sz w:val="20"/>
          <w:szCs w:val="20"/>
          <w:color w:val="auto"/>
        </w:rPr>
      </w:pPr>
    </w:p>
    <w:p>
      <w:pPr>
        <w:ind w:right="120"/>
        <w:spacing w:after="0" w:line="269" w:lineRule="auto"/>
        <w:rPr>
          <w:sz w:val="20"/>
          <w:szCs w:val="20"/>
          <w:color w:val="auto"/>
        </w:rPr>
      </w:pPr>
      <w:r>
        <w:rPr>
          <w:rFonts w:ascii="Arial" w:cs="Arial" w:eastAsia="Arial" w:hAnsi="Arial"/>
          <w:sz w:val="15"/>
          <w:szCs w:val="15"/>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which could have a material adverse effect on our business. If any of the physicians or other providers or entities with whom we expect to do business, including our collaborators, are found not to be in compliance with applicable laws, they may be subject to criminal, civil or administrative sanctions, including exclusions from government funded healthcare programs, which could also materially affect our business.</w:t>
      </w:r>
    </w:p>
    <w:p>
      <w:pPr>
        <w:spacing w:after="0" w:line="255" w:lineRule="exact"/>
        <w:rPr>
          <w:sz w:val="20"/>
          <w:szCs w:val="20"/>
          <w:color w:val="auto"/>
        </w:rPr>
      </w:pPr>
    </w:p>
    <w:p>
      <w:pPr>
        <w:ind w:right="100"/>
        <w:spacing w:after="0" w:line="268" w:lineRule="auto"/>
        <w:rPr>
          <w:sz w:val="20"/>
          <w:szCs w:val="20"/>
          <w:color w:val="auto"/>
        </w:rPr>
      </w:pPr>
      <w:r>
        <w:rPr>
          <w:rFonts w:ascii="Arial" w:cs="Arial" w:eastAsia="Arial" w:hAnsi="Arial"/>
          <w:sz w:val="16"/>
          <w:szCs w:val="16"/>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62" w:lineRule="exact"/>
        <w:rPr>
          <w:sz w:val="20"/>
          <w:szCs w:val="20"/>
          <w:color w:val="auto"/>
        </w:rPr>
      </w:pPr>
    </w:p>
    <w:p>
      <w:pPr>
        <w:spacing w:after="0" w:line="296" w:lineRule="auto"/>
        <w:rPr>
          <w:sz w:val="20"/>
          <w:szCs w:val="20"/>
          <w:color w:val="auto"/>
        </w:rPr>
      </w:pPr>
      <w:r>
        <w:rPr>
          <w:rFonts w:ascii="Arial" w:cs="Arial" w:eastAsia="Arial" w:hAnsi="Arial"/>
          <w:sz w:val="14"/>
          <w:szCs w:val="14"/>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or our or third parties’ disposal of hazardous materials, we could be held liable for any resulting damages, and any liability could exceed our resources. We also could incur significant costs associated with civil or criminal fines and penalties.</w:t>
      </w:r>
    </w:p>
    <w:p>
      <w:pPr>
        <w:spacing w:after="0" w:line="143" w:lineRule="exact"/>
        <w:rPr>
          <w:sz w:val="20"/>
          <w:szCs w:val="20"/>
          <w:color w:val="auto"/>
        </w:rPr>
      </w:pPr>
    </w:p>
    <w:p>
      <w:pPr>
        <w:ind w:right="260"/>
        <w:spacing w:after="0" w:line="341" w:lineRule="auto"/>
        <w:rPr>
          <w:sz w:val="20"/>
          <w:szCs w:val="20"/>
          <w:color w:val="auto"/>
        </w:rPr>
      </w:pPr>
      <w:r>
        <w:rPr>
          <w:rFonts w:ascii="Arial" w:cs="Arial" w:eastAsia="Arial" w:hAnsi="Arial"/>
          <w:sz w:val="14"/>
          <w:szCs w:val="14"/>
          <w:color w:val="auto"/>
        </w:rPr>
        <w:t>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10" w:lineRule="exact"/>
        <w:rPr>
          <w:sz w:val="20"/>
          <w:szCs w:val="20"/>
          <w:color w:val="auto"/>
        </w:rPr>
      </w:pPr>
    </w:p>
    <w:p>
      <w:pPr>
        <w:jc w:val="both"/>
        <w:ind w:right="80"/>
        <w:spacing w:after="0" w:line="257" w:lineRule="auto"/>
        <w:rPr>
          <w:sz w:val="20"/>
          <w:szCs w:val="20"/>
          <w:color w:val="auto"/>
        </w:rPr>
      </w:pPr>
      <w:r>
        <w:rPr>
          <w:rFonts w:ascii="Arial" w:cs="Arial" w:eastAsia="Arial" w:hAnsi="Arial"/>
          <w:sz w:val="16"/>
          <w:szCs w:val="16"/>
          <w:color w:val="auto"/>
        </w:rPr>
        <w:t>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or radioactive materials.</w:t>
      </w:r>
    </w:p>
    <w:p>
      <w:pPr>
        <w:spacing w:after="0" w:line="26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insurance policies are expensive and only protect us from specified business risks, which will leave us exposed to significant uninsured liabilities.</w:t>
      </w:r>
    </w:p>
    <w:p>
      <w:pPr>
        <w:spacing w:after="0" w:line="111" w:lineRule="exact"/>
        <w:rPr>
          <w:sz w:val="20"/>
          <w:szCs w:val="20"/>
          <w:color w:val="auto"/>
        </w:rPr>
      </w:pPr>
    </w:p>
    <w:p>
      <w:pPr>
        <w:ind w:right="160"/>
        <w:spacing w:after="0" w:line="311" w:lineRule="auto"/>
        <w:rPr>
          <w:sz w:val="20"/>
          <w:szCs w:val="20"/>
          <w:color w:val="auto"/>
        </w:rPr>
      </w:pPr>
      <w:r>
        <w:rPr>
          <w:rFonts w:ascii="Arial" w:cs="Arial" w:eastAsia="Arial" w:hAnsi="Arial"/>
          <w:sz w:val="14"/>
          <w:szCs w:val="14"/>
          <w:color w:val="auto"/>
        </w:rPr>
        <w:t>We do not carry insurance for all categories of risk that our business may encounter. Some of the policies we currently maintain include general liability, employment practices liability, property, auto, workers’ compensation, products liability and directors’ and officers’ insurance. We do not know, however, if we have adequate levels of coverage for any liability we may incur, or whether we will always be able to continue to maintain such insurance. Any significant uninsured liability may require us to make substantial</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58420</wp:posOffset>
            </wp:positionV>
            <wp:extent cx="7303770" cy="406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48" w:name="page49"/>
    <w:bookmarkEnd w:id="48"/>
    <w:p>
      <w:pPr>
        <w:ind w:right="40"/>
        <w:spacing w:after="0" w:line="257" w:lineRule="auto"/>
        <w:rPr>
          <w:sz w:val="20"/>
          <w:szCs w:val="20"/>
          <w:color w:val="auto"/>
        </w:rPr>
      </w:pPr>
      <w:r>
        <w:rPr>
          <w:rFonts w:ascii="Arial" w:cs="Arial" w:eastAsia="Arial" w:hAnsi="Arial"/>
          <w:sz w:val="16"/>
          <w:szCs w:val="16"/>
          <w:color w:val="auto"/>
        </w:rPr>
        <w:t>payments, which would adversely affect our financial position and results of operations. Furthermore, any increase in the volatility of our stock price may result in us being required to pay substantially higher premiums for our directors’ and officers’ liability insurance than those to which we are currently subject and may even cause one or more of our underwriters to be unwilling to insure us.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Common Stock</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stock price has been, and is likely to continue to be, volatile, and thus our stockholders could incur substantial losses.</w:t>
      </w:r>
    </w:p>
    <w:p>
      <w:pPr>
        <w:spacing w:after="0" w:line="100" w:lineRule="exact"/>
        <w:rPr>
          <w:sz w:val="20"/>
          <w:szCs w:val="20"/>
          <w:color w:val="auto"/>
        </w:rPr>
      </w:pPr>
    </w:p>
    <w:p>
      <w:pPr>
        <w:spacing w:after="0" w:line="273" w:lineRule="auto"/>
        <w:rPr>
          <w:sz w:val="20"/>
          <w:szCs w:val="20"/>
          <w:color w:val="auto"/>
        </w:rPr>
      </w:pPr>
      <w:r>
        <w:rPr>
          <w:rFonts w:ascii="Arial" w:cs="Arial" w:eastAsia="Arial" w:hAnsi="Arial"/>
          <w:sz w:val="15"/>
          <w:szCs w:val="15"/>
          <w:color w:val="auto"/>
        </w:rPr>
        <w:t>Our stock price has been volatile and could be subject to wide fluctuations in response to various factors, many of which are beyond our control. Since our initial public offering in March 2013 and through April 29, 2019, the price of our common stock on the NASDAQ Global Select Market has ranged from $16.18 to $127.77. The stock market in general and the market for biopharmaceutical companies, and for those developing potential therapies for viral infections and liver diseases in particular, have experienced extreme volatility that has often been unrelated to the operating performance of particular companies. As a result of this volatility, you may not be able to sell your common stock at or above your purchase price, if at all. The market price for our common stock may be influenced by many factors, including:</w:t>
      </w:r>
    </w:p>
    <w:p>
      <w:pPr>
        <w:spacing w:after="0" w:line="60" w:lineRule="exact"/>
        <w:rPr>
          <w:sz w:val="20"/>
          <w:szCs w:val="20"/>
          <w:color w:val="auto"/>
        </w:rPr>
      </w:pPr>
    </w:p>
    <w:p>
      <w:pPr>
        <w:ind w:left="1020" w:hanging="517"/>
        <w:spacing w:after="0"/>
        <w:tabs>
          <w:tab w:leader="none" w:pos="1020" w:val="left"/>
        </w:tabs>
        <w:numPr>
          <w:ilvl w:val="0"/>
          <w:numId w:val="46"/>
        </w:numPr>
        <w:rPr>
          <w:rFonts w:ascii="Arial" w:cs="Arial" w:eastAsia="Arial" w:hAnsi="Arial"/>
          <w:sz w:val="15"/>
          <w:szCs w:val="15"/>
          <w:color w:val="auto"/>
        </w:rPr>
      </w:pPr>
      <w:r>
        <w:rPr>
          <w:rFonts w:ascii="Arial" w:cs="Arial" w:eastAsia="Arial" w:hAnsi="Arial"/>
          <w:sz w:val="15"/>
          <w:szCs w:val="15"/>
          <w:color w:val="auto"/>
        </w:rPr>
        <w:t>results from or delays of clinical trials of our product candidates, as well as results of regulatory reviews relating to the approval of our product candidates;</w:t>
      </w:r>
    </w:p>
    <w:p>
      <w:pPr>
        <w:spacing w:after="0" w:line="111" w:lineRule="exact"/>
        <w:rPr>
          <w:rFonts w:ascii="Arial" w:cs="Arial" w:eastAsia="Arial" w:hAnsi="Arial"/>
          <w:sz w:val="15"/>
          <w:szCs w:val="15"/>
          <w:color w:val="auto"/>
        </w:rPr>
      </w:pPr>
    </w:p>
    <w:p>
      <w:pPr>
        <w:ind w:left="1020" w:hanging="517"/>
        <w:spacing w:after="0" w:line="268" w:lineRule="auto"/>
        <w:tabs>
          <w:tab w:leader="none" w:pos="10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actions by AbbVie regarding the MAVYRET/MAVIRET regimen containing glecaprevir as approved in the U.S., EU and Japan, including announcements regarding regulatory or commercial developments;</w:t>
      </w:r>
    </w:p>
    <w:p>
      <w:pPr>
        <w:spacing w:after="0" w:line="62" w:lineRule="exact"/>
        <w:rPr>
          <w:rFonts w:ascii="Arial" w:cs="Arial" w:eastAsia="Arial" w:hAnsi="Arial"/>
          <w:sz w:val="16"/>
          <w:szCs w:val="16"/>
          <w:color w:val="auto"/>
        </w:rPr>
      </w:pPr>
    </w:p>
    <w:p>
      <w:pPr>
        <w:ind w:left="1020" w:right="360" w:hanging="517"/>
        <w:spacing w:after="0" w:line="268" w:lineRule="auto"/>
        <w:tabs>
          <w:tab w:leader="none" w:pos="10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market expectations about and response to the levels of sales or scripts achieved by, or the announced prices or discounts for, AbbVie’s MAVYRET/MAVIRET regimen or competitive HCV drugs;</w:t>
      </w:r>
    </w:p>
    <w:p>
      <w:pPr>
        <w:spacing w:after="0" w:line="62" w:lineRule="exact"/>
        <w:rPr>
          <w:rFonts w:ascii="Arial" w:cs="Arial" w:eastAsia="Arial" w:hAnsi="Arial"/>
          <w:sz w:val="16"/>
          <w:szCs w:val="16"/>
          <w:color w:val="auto"/>
        </w:rPr>
      </w:pPr>
    </w:p>
    <w:p>
      <w:pPr>
        <w:ind w:left="1020" w:hanging="517"/>
        <w:spacing w:after="0"/>
        <w:tabs>
          <w:tab w:leader="none" w:pos="10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failure of AbbVie’s MAVYRET/MAVIRET regimen to maintain its sales levels;</w:t>
      </w:r>
    </w:p>
    <w:p>
      <w:pPr>
        <w:spacing w:after="0" w:line="99" w:lineRule="exact"/>
        <w:rPr>
          <w:rFonts w:ascii="Arial" w:cs="Arial" w:eastAsia="Arial" w:hAnsi="Arial"/>
          <w:sz w:val="16"/>
          <w:szCs w:val="16"/>
          <w:color w:val="auto"/>
        </w:rPr>
      </w:pPr>
    </w:p>
    <w:p>
      <w:pPr>
        <w:ind w:left="1020" w:hanging="517"/>
        <w:spacing w:after="0"/>
        <w:tabs>
          <w:tab w:leader="none" w:pos="10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results of our efforts to discover or develop additional product candidates;</w:t>
      </w:r>
    </w:p>
    <w:p>
      <w:pPr>
        <w:spacing w:after="0" w:line="99" w:lineRule="exact"/>
        <w:rPr>
          <w:rFonts w:ascii="Arial" w:cs="Arial" w:eastAsia="Arial" w:hAnsi="Arial"/>
          <w:sz w:val="16"/>
          <w:szCs w:val="16"/>
          <w:color w:val="auto"/>
        </w:rPr>
      </w:pPr>
    </w:p>
    <w:p>
      <w:pPr>
        <w:ind w:left="1020" w:right="840" w:hanging="517"/>
        <w:spacing w:after="0" w:line="268" w:lineRule="auto"/>
        <w:tabs>
          <w:tab w:leader="none" w:pos="10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new products, product candidates or new uses for existing products or technologies introduced or announced by our competitors and the timing of these introductions or announcements;</w:t>
      </w:r>
    </w:p>
    <w:p>
      <w:pPr>
        <w:spacing w:after="0" w:line="62" w:lineRule="exact"/>
        <w:rPr>
          <w:rFonts w:ascii="Arial" w:cs="Arial" w:eastAsia="Arial" w:hAnsi="Arial"/>
          <w:sz w:val="16"/>
          <w:szCs w:val="16"/>
          <w:color w:val="auto"/>
        </w:rPr>
      </w:pPr>
    </w:p>
    <w:p>
      <w:pPr>
        <w:ind w:left="1020" w:hanging="517"/>
        <w:spacing w:after="0"/>
        <w:tabs>
          <w:tab w:leader="none" w:pos="10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our dependence on third parties, including our collaborators, CROs, manufacturers, clinical trial sponsors and clinical investigators;</w:t>
      </w:r>
    </w:p>
    <w:p>
      <w:pPr>
        <w:spacing w:after="0" w:line="99" w:lineRule="exact"/>
        <w:rPr>
          <w:rFonts w:ascii="Arial" w:cs="Arial" w:eastAsia="Arial" w:hAnsi="Arial"/>
          <w:sz w:val="16"/>
          <w:szCs w:val="16"/>
          <w:color w:val="auto"/>
        </w:rPr>
      </w:pPr>
    </w:p>
    <w:p>
      <w:pPr>
        <w:ind w:left="1020" w:hanging="517"/>
        <w:spacing w:after="0"/>
        <w:tabs>
          <w:tab w:leader="none" w:pos="10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regulatory, political or legal developments in the United States or other countries;</w:t>
      </w:r>
    </w:p>
    <w:p>
      <w:pPr>
        <w:spacing w:after="0" w:line="99" w:lineRule="exact"/>
        <w:rPr>
          <w:rFonts w:ascii="Arial" w:cs="Arial" w:eastAsia="Arial" w:hAnsi="Arial"/>
          <w:sz w:val="16"/>
          <w:szCs w:val="16"/>
          <w:color w:val="auto"/>
        </w:rPr>
      </w:pPr>
    </w:p>
    <w:p>
      <w:pPr>
        <w:ind w:left="1020" w:hanging="517"/>
        <w:spacing w:after="0"/>
        <w:tabs>
          <w:tab w:leader="none" w:pos="10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developments or disputes concerning patent applications, issued patents or other proprietary rights;</w:t>
      </w:r>
    </w:p>
    <w:p>
      <w:pPr>
        <w:spacing w:after="0" w:line="99" w:lineRule="exact"/>
        <w:rPr>
          <w:rFonts w:ascii="Arial" w:cs="Arial" w:eastAsia="Arial" w:hAnsi="Arial"/>
          <w:sz w:val="16"/>
          <w:szCs w:val="16"/>
          <w:color w:val="auto"/>
        </w:rPr>
      </w:pPr>
    </w:p>
    <w:p>
      <w:pPr>
        <w:ind w:left="1020" w:hanging="517"/>
        <w:spacing w:after="0"/>
        <w:tabs>
          <w:tab w:leader="none" w:pos="10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recruitment or departure of key scientific or management personnel;</w:t>
      </w:r>
    </w:p>
    <w:p>
      <w:pPr>
        <w:spacing w:after="0" w:line="99" w:lineRule="exact"/>
        <w:rPr>
          <w:rFonts w:ascii="Arial" w:cs="Arial" w:eastAsia="Arial" w:hAnsi="Arial"/>
          <w:sz w:val="16"/>
          <w:szCs w:val="16"/>
          <w:color w:val="auto"/>
        </w:rPr>
      </w:pPr>
    </w:p>
    <w:p>
      <w:pPr>
        <w:ind w:left="1020" w:hanging="517"/>
        <w:spacing w:after="0"/>
        <w:tabs>
          <w:tab w:leader="none" w:pos="10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our ability to commercialize our product candidates we develop independently, if approved;</w:t>
      </w:r>
    </w:p>
    <w:p>
      <w:pPr>
        <w:spacing w:after="0" w:line="99" w:lineRule="exact"/>
        <w:rPr>
          <w:rFonts w:ascii="Arial" w:cs="Arial" w:eastAsia="Arial" w:hAnsi="Arial"/>
          <w:sz w:val="16"/>
          <w:szCs w:val="16"/>
          <w:color w:val="auto"/>
        </w:rPr>
      </w:pPr>
    </w:p>
    <w:p>
      <w:pPr>
        <w:ind w:left="1020" w:hanging="517"/>
        <w:spacing w:after="0"/>
        <w:tabs>
          <w:tab w:leader="none" w:pos="10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level of expenses related to any of our product candidates or clinical development programs;</w:t>
      </w:r>
    </w:p>
    <w:p>
      <w:pPr>
        <w:spacing w:after="0" w:line="99" w:lineRule="exact"/>
        <w:rPr>
          <w:rFonts w:ascii="Arial" w:cs="Arial" w:eastAsia="Arial" w:hAnsi="Arial"/>
          <w:sz w:val="16"/>
          <w:szCs w:val="16"/>
          <w:color w:val="auto"/>
        </w:rPr>
      </w:pPr>
    </w:p>
    <w:p>
      <w:pPr>
        <w:ind w:left="1020" w:hanging="517"/>
        <w:spacing w:after="0"/>
        <w:tabs>
          <w:tab w:leader="none" w:pos="10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actual or anticipated changes in estimates as to financial results, development timelines or recommendations by securities analysts;</w:t>
      </w:r>
    </w:p>
    <w:p>
      <w:pPr>
        <w:spacing w:after="0" w:line="99" w:lineRule="exact"/>
        <w:rPr>
          <w:rFonts w:ascii="Arial" w:cs="Arial" w:eastAsia="Arial" w:hAnsi="Arial"/>
          <w:sz w:val="16"/>
          <w:szCs w:val="16"/>
          <w:color w:val="auto"/>
        </w:rPr>
      </w:pPr>
    </w:p>
    <w:p>
      <w:pPr>
        <w:ind w:left="1020" w:hanging="517"/>
        <w:spacing w:after="0"/>
        <w:tabs>
          <w:tab w:leader="none" w:pos="10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period-to-period variations in our financial results or those of companies that are perceived to be similar to us;</w:t>
      </w:r>
    </w:p>
    <w:p>
      <w:pPr>
        <w:spacing w:after="0" w:line="99" w:lineRule="exact"/>
        <w:rPr>
          <w:rFonts w:ascii="Arial" w:cs="Arial" w:eastAsia="Arial" w:hAnsi="Arial"/>
          <w:sz w:val="16"/>
          <w:szCs w:val="16"/>
          <w:color w:val="auto"/>
        </w:rPr>
      </w:pPr>
    </w:p>
    <w:p>
      <w:pPr>
        <w:ind w:left="1020" w:hanging="517"/>
        <w:spacing w:after="0"/>
        <w:tabs>
          <w:tab w:leader="none" w:pos="10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sales of common stock by us or our stockholders in the future, as well as the overall trading volume of our common stock;</w:t>
      </w:r>
    </w:p>
    <w:p>
      <w:pPr>
        <w:spacing w:after="0" w:line="99" w:lineRule="exact"/>
        <w:rPr>
          <w:rFonts w:ascii="Arial" w:cs="Arial" w:eastAsia="Arial" w:hAnsi="Arial"/>
          <w:sz w:val="16"/>
          <w:szCs w:val="16"/>
          <w:color w:val="auto"/>
        </w:rPr>
      </w:pPr>
    </w:p>
    <w:p>
      <w:pPr>
        <w:ind w:left="1020" w:right="100" w:hanging="517"/>
        <w:spacing w:after="0" w:line="268" w:lineRule="auto"/>
        <w:tabs>
          <w:tab w:leader="none" w:pos="10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changes in the structure of healthcare payment systems or other actions that affect the effective reimbursement rates for treatment regimens containing our products or for competitive regimens;</w:t>
      </w:r>
    </w:p>
    <w:p>
      <w:pPr>
        <w:spacing w:after="0" w:line="62" w:lineRule="exact"/>
        <w:rPr>
          <w:rFonts w:ascii="Arial" w:cs="Arial" w:eastAsia="Arial" w:hAnsi="Arial"/>
          <w:sz w:val="16"/>
          <w:szCs w:val="16"/>
          <w:color w:val="auto"/>
        </w:rPr>
      </w:pPr>
    </w:p>
    <w:p>
      <w:pPr>
        <w:ind w:left="1020" w:hanging="517"/>
        <w:spacing w:after="0"/>
        <w:tabs>
          <w:tab w:leader="none" w:pos="10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market conditions in the pharmaceutical and biotechnology sectors;</w:t>
      </w:r>
    </w:p>
    <w:p>
      <w:pPr>
        <w:spacing w:after="0" w:line="99" w:lineRule="exact"/>
        <w:rPr>
          <w:rFonts w:ascii="Arial" w:cs="Arial" w:eastAsia="Arial" w:hAnsi="Arial"/>
          <w:sz w:val="16"/>
          <w:szCs w:val="16"/>
          <w:color w:val="auto"/>
        </w:rPr>
      </w:pPr>
    </w:p>
    <w:p>
      <w:pPr>
        <w:ind w:left="1020" w:right="580" w:hanging="517"/>
        <w:spacing w:after="0" w:line="268" w:lineRule="auto"/>
        <w:tabs>
          <w:tab w:leader="none" w:pos="10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general economic, industry and market conditions and other factors that may be unrelated to our operating performance or the operating performance of our competitors, including changes in market valuations of similar companies; and</w:t>
      </w:r>
    </w:p>
    <w:p>
      <w:pPr>
        <w:spacing w:after="0" w:line="62" w:lineRule="exact"/>
        <w:rPr>
          <w:rFonts w:ascii="Arial" w:cs="Arial" w:eastAsia="Arial" w:hAnsi="Arial"/>
          <w:sz w:val="16"/>
          <w:szCs w:val="16"/>
          <w:color w:val="auto"/>
        </w:rPr>
      </w:pPr>
    </w:p>
    <w:p>
      <w:pPr>
        <w:ind w:left="1020" w:hanging="517"/>
        <w:spacing w:after="0"/>
        <w:tabs>
          <w:tab w:leader="none" w:pos="10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other factors described in this “Risk Factors” section.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58420</wp:posOffset>
            </wp:positionV>
            <wp:extent cx="7303770" cy="406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49" w:name="page50"/>
    <w:bookmarkEnd w:id="49"/>
    <w:p>
      <w:pPr>
        <w:ind w:right="140"/>
        <w:spacing w:after="0" w:line="268" w:lineRule="auto"/>
        <w:rPr>
          <w:sz w:val="20"/>
          <w:szCs w:val="20"/>
          <w:color w:val="auto"/>
        </w:rPr>
      </w:pPr>
      <w:r>
        <w:rPr>
          <w:rFonts w:ascii="Arial" w:cs="Arial" w:eastAsia="Arial" w:hAnsi="Arial"/>
          <w:sz w:val="16"/>
          <w:szCs w:val="16"/>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our current management.</w:t>
      </w:r>
    </w:p>
    <w:p>
      <w:pPr>
        <w:spacing w:after="0" w:line="62"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Provisions in our corporate charter and our bylaws may discourage, delay or prevent a merger, acquisition or other change in control of us that stockholders may consider favorable, including transactions in which they might otherwise receive a premium for their shares.</w:t>
      </w:r>
    </w:p>
    <w:p>
      <w:pPr>
        <w:spacing w:after="0" w:line="157"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auto"/>
        </w:rPr>
        <w:t>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73" w:lineRule="exact"/>
        <w:rPr>
          <w:sz w:val="20"/>
          <w:szCs w:val="20"/>
          <w:color w:val="auto"/>
        </w:rPr>
      </w:pPr>
    </w:p>
    <w:p>
      <w:pPr>
        <w:ind w:left="1020" w:hanging="517"/>
        <w:spacing w:after="0"/>
        <w:tabs>
          <w:tab w:leader="none" w:pos="10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establish a classified or staggered board of directors such that not all members of the board are elected at one time;</w:t>
      </w:r>
    </w:p>
    <w:p>
      <w:pPr>
        <w:spacing w:after="0" w:line="99" w:lineRule="exact"/>
        <w:rPr>
          <w:rFonts w:ascii="Arial" w:cs="Arial" w:eastAsia="Arial" w:hAnsi="Arial"/>
          <w:sz w:val="16"/>
          <w:szCs w:val="16"/>
          <w:color w:val="auto"/>
        </w:rPr>
      </w:pPr>
    </w:p>
    <w:p>
      <w:pPr>
        <w:ind w:left="1020" w:hanging="517"/>
        <w:spacing w:after="0"/>
        <w:tabs>
          <w:tab w:leader="none" w:pos="10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allow the authorized number of our directors to be changed only by resolution of our board of directors;</w:t>
      </w:r>
    </w:p>
    <w:p>
      <w:pPr>
        <w:spacing w:after="0" w:line="99" w:lineRule="exact"/>
        <w:rPr>
          <w:rFonts w:ascii="Arial" w:cs="Arial" w:eastAsia="Arial" w:hAnsi="Arial"/>
          <w:sz w:val="16"/>
          <w:szCs w:val="16"/>
          <w:color w:val="auto"/>
        </w:rPr>
      </w:pPr>
    </w:p>
    <w:p>
      <w:pPr>
        <w:ind w:left="1020" w:hanging="517"/>
        <w:spacing w:after="0"/>
        <w:tabs>
          <w:tab w:leader="none" w:pos="10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limit the manner in which stockholders can remove directors from the board;</w:t>
      </w:r>
    </w:p>
    <w:p>
      <w:pPr>
        <w:spacing w:after="0" w:line="99" w:lineRule="exact"/>
        <w:rPr>
          <w:rFonts w:ascii="Arial" w:cs="Arial" w:eastAsia="Arial" w:hAnsi="Arial"/>
          <w:sz w:val="16"/>
          <w:szCs w:val="16"/>
          <w:color w:val="auto"/>
        </w:rPr>
      </w:pPr>
    </w:p>
    <w:p>
      <w:pPr>
        <w:ind w:left="1020" w:hanging="517"/>
        <w:spacing w:after="0"/>
        <w:tabs>
          <w:tab w:leader="none" w:pos="1020" w:val="left"/>
        </w:tabs>
        <w:numPr>
          <w:ilvl w:val="0"/>
          <w:numId w:val="47"/>
        </w:numPr>
        <w:rPr>
          <w:rFonts w:ascii="Arial" w:cs="Arial" w:eastAsia="Arial" w:hAnsi="Arial"/>
          <w:sz w:val="15"/>
          <w:szCs w:val="15"/>
          <w:color w:val="auto"/>
        </w:rPr>
      </w:pPr>
      <w:r>
        <w:rPr>
          <w:rFonts w:ascii="Arial" w:cs="Arial" w:eastAsia="Arial" w:hAnsi="Arial"/>
          <w:sz w:val="15"/>
          <w:szCs w:val="15"/>
          <w:color w:val="auto"/>
        </w:rPr>
        <w:t>establish advance notice requirements for stockholder proposals that can be acted on at stockholder meetings and nominations to our board of directors;</w:t>
      </w:r>
    </w:p>
    <w:p>
      <w:pPr>
        <w:spacing w:after="0" w:line="111" w:lineRule="exact"/>
        <w:rPr>
          <w:rFonts w:ascii="Arial" w:cs="Arial" w:eastAsia="Arial" w:hAnsi="Arial"/>
          <w:sz w:val="15"/>
          <w:szCs w:val="15"/>
          <w:color w:val="auto"/>
        </w:rPr>
      </w:pPr>
    </w:p>
    <w:p>
      <w:pPr>
        <w:ind w:left="1020" w:hanging="517"/>
        <w:spacing w:after="0"/>
        <w:tabs>
          <w:tab w:leader="none" w:pos="10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require that stockholder actions must be effected at a duly called stockholder meeting and prohibit actions by our stockholders by written consent;</w:t>
      </w:r>
    </w:p>
    <w:p>
      <w:pPr>
        <w:spacing w:after="0" w:line="99" w:lineRule="exact"/>
        <w:rPr>
          <w:rFonts w:ascii="Arial" w:cs="Arial" w:eastAsia="Arial" w:hAnsi="Arial"/>
          <w:sz w:val="16"/>
          <w:szCs w:val="16"/>
          <w:color w:val="auto"/>
        </w:rPr>
      </w:pPr>
    </w:p>
    <w:p>
      <w:pPr>
        <w:ind w:left="1020" w:hanging="517"/>
        <w:spacing w:after="0"/>
        <w:tabs>
          <w:tab w:leader="none" w:pos="10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limit who may call stockholder meetings;</w:t>
      </w:r>
    </w:p>
    <w:p>
      <w:pPr>
        <w:spacing w:after="0" w:line="99" w:lineRule="exact"/>
        <w:rPr>
          <w:rFonts w:ascii="Arial" w:cs="Arial" w:eastAsia="Arial" w:hAnsi="Arial"/>
          <w:sz w:val="16"/>
          <w:szCs w:val="16"/>
          <w:color w:val="auto"/>
        </w:rPr>
      </w:pPr>
    </w:p>
    <w:p>
      <w:pPr>
        <w:ind w:left="1020" w:right="220" w:hanging="517"/>
        <w:spacing w:after="0" w:line="268" w:lineRule="auto"/>
        <w:tabs>
          <w:tab w:leader="none" w:pos="10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provide that the state courts or, in certain circumstances, the federal courts, in Delaware shall be the sole and exclusive forum for certain actions involving us, our directors, officers, employees and stockholders;</w:t>
      </w:r>
    </w:p>
    <w:p>
      <w:pPr>
        <w:spacing w:after="0" w:line="62" w:lineRule="exact"/>
        <w:rPr>
          <w:rFonts w:ascii="Arial" w:cs="Arial" w:eastAsia="Arial" w:hAnsi="Arial"/>
          <w:sz w:val="16"/>
          <w:szCs w:val="16"/>
          <w:color w:val="auto"/>
        </w:rPr>
      </w:pPr>
    </w:p>
    <w:p>
      <w:pPr>
        <w:ind w:left="1020" w:right="180" w:hanging="517"/>
        <w:spacing w:after="0" w:line="257" w:lineRule="auto"/>
        <w:tabs>
          <w:tab w:leader="none" w:pos="10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provide our board of directors with the authority to designate the terms of and issue a new series of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71" w:lineRule="exact"/>
        <w:rPr>
          <w:rFonts w:ascii="Arial" w:cs="Arial" w:eastAsia="Arial" w:hAnsi="Arial"/>
          <w:sz w:val="16"/>
          <w:szCs w:val="16"/>
          <w:color w:val="auto"/>
        </w:rPr>
      </w:pPr>
    </w:p>
    <w:p>
      <w:pPr>
        <w:ind w:left="1020" w:right="300" w:hanging="517"/>
        <w:spacing w:after="0" w:line="268" w:lineRule="auto"/>
        <w:tabs>
          <w:tab w:leader="none" w:pos="10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require the approval of the holders of at least 66 2/3% of the votes that all our stockholders would be entitled to cast to amend or repeal certain provisions of our charter or bylaws.</w:t>
      </w:r>
    </w:p>
    <w:p>
      <w:pPr>
        <w:spacing w:after="0" w:line="157" w:lineRule="exact"/>
        <w:rPr>
          <w:sz w:val="20"/>
          <w:szCs w:val="20"/>
          <w:color w:val="auto"/>
        </w:rPr>
      </w:pPr>
    </w:p>
    <w:p>
      <w:pPr>
        <w:ind w:right="220"/>
        <w:spacing w:after="0" w:line="273" w:lineRule="auto"/>
        <w:rPr>
          <w:sz w:val="20"/>
          <w:szCs w:val="20"/>
          <w:color w:val="auto"/>
        </w:rPr>
      </w:pPr>
      <w:r>
        <w:rPr>
          <w:rFonts w:ascii="Arial" w:cs="Arial" w:eastAsia="Arial" w:hAnsi="Arial"/>
          <w:sz w:val="15"/>
          <w:szCs w:val="15"/>
          <w:color w:val="auto"/>
        </w:rPr>
        <w:t>Moreover, because we are incorporated in Delaware, we are governed by the provisions of Section 203 of the Delaware General Corporation Law, which prohibit a person who owns 15% or more of our outstanding voting stock from merging or combining with us for a period of three years after the date of the transaction in which the person acquired in excess of 15% of our outstanding voting stock, unless the merger or combination is approved in a prescribed manner. Any provision in our corporate charter or our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60" w:lineRule="exact"/>
        <w:rPr>
          <w:sz w:val="20"/>
          <w:szCs w:val="20"/>
          <w:color w:val="auto"/>
        </w:rPr>
      </w:pPr>
    </w:p>
    <w:p>
      <w:pPr>
        <w:ind w:right="240"/>
        <w:spacing w:after="0" w:line="268" w:lineRule="auto"/>
        <w:rPr>
          <w:sz w:val="20"/>
          <w:szCs w:val="20"/>
          <w:color w:val="auto"/>
        </w:rPr>
      </w:pPr>
      <w:r>
        <w:rPr>
          <w:rFonts w:ascii="Arial" w:cs="Arial" w:eastAsia="Arial" w:hAnsi="Arial"/>
          <w:sz w:val="16"/>
          <w:szCs w:val="16"/>
          <w:b w:val="1"/>
          <w:bCs w:val="1"/>
          <w:i w:val="1"/>
          <w:iCs w:val="1"/>
          <w:color w:val="auto"/>
        </w:rPr>
        <w:t>Our employment agreements with our executive officers may require us to pay severance benefits to any of those persons who are terminated in connection with a change of control of us, which could harm our financial condition or results.</w:t>
      </w:r>
    </w:p>
    <w:p>
      <w:pPr>
        <w:spacing w:after="0" w:line="62"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Our executive officers are parties to employment agreements that provide for aggregate cash payments of up to approximately $4.7 million for severance and other non-equity-based benefits in the event of a termination of employment in connection with a change of control of our company. In addition, based on the closing price of our common stock as of March 31, 2019 of $95.52 per common share, the aggregate intrinsic value of unvested stock options and other equity awards subject to accelerated vesting upon these events was $35.1 million. The accelerated vesting of awards options could result in dilution to our stockholders and harm the market price of our common stock. The payment of these severance benefits could harm our company’s financial condition and results. In addition, these potential severance payments may discourage or prevent third parties from seeking a business combination with us.</w:t>
      </w:r>
    </w:p>
    <w:p>
      <w:pPr>
        <w:spacing w:after="0" w:line="265" w:lineRule="exact"/>
        <w:rPr>
          <w:sz w:val="20"/>
          <w:szCs w:val="20"/>
          <w:color w:val="auto"/>
        </w:rPr>
      </w:pPr>
    </w:p>
    <w:p>
      <w:pPr>
        <w:ind w:right="80"/>
        <w:spacing w:after="0" w:line="341" w:lineRule="auto"/>
        <w:rPr>
          <w:sz w:val="20"/>
          <w:szCs w:val="20"/>
          <w:color w:val="auto"/>
        </w:rPr>
      </w:pPr>
      <w:r>
        <w:rPr>
          <w:rFonts w:ascii="Arial" w:cs="Arial" w:eastAsia="Arial" w:hAnsi="Arial"/>
          <w:sz w:val="14"/>
          <w:szCs w:val="14"/>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16" w:lineRule="exact"/>
        <w:rPr>
          <w:sz w:val="20"/>
          <w:szCs w:val="20"/>
          <w:color w:val="auto"/>
        </w:rPr>
      </w:pPr>
    </w:p>
    <w:p>
      <w:pPr>
        <w:ind w:right="420"/>
        <w:spacing w:after="0" w:line="268" w:lineRule="auto"/>
        <w:rPr>
          <w:sz w:val="20"/>
          <w:szCs w:val="20"/>
          <w:color w:val="auto"/>
        </w:rPr>
      </w:pPr>
      <w:r>
        <w:rPr>
          <w:rFonts w:ascii="Arial" w:cs="Arial" w:eastAsia="Arial" w:hAnsi="Arial"/>
          <w:sz w:val="16"/>
          <w:szCs w:val="16"/>
          <w:color w:val="auto"/>
        </w:rPr>
        <w:t>Effective internal controls over financial reporting are necessary for us to provide reliable financial reports and, together with adequate disclosure controls and procedures, are designed to prevent fraud. Any failure to implement newly required or improved controls, or</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58420</wp:posOffset>
            </wp:positionV>
            <wp:extent cx="7303770" cy="406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20"/>
          </w:cols>
          <w:pgMar w:left="240" w:top="600" w:right="239" w:bottom="1440" w:gutter="0" w:footer="0" w:header="0"/>
        </w:sectPr>
      </w:pPr>
    </w:p>
    <w:bookmarkStart w:id="50" w:name="page51"/>
    <w:bookmarkEnd w:id="50"/>
    <w:p>
      <w:pPr>
        <w:spacing w:after="0" w:line="252" w:lineRule="auto"/>
        <w:rPr>
          <w:sz w:val="20"/>
          <w:szCs w:val="20"/>
          <w:color w:val="auto"/>
        </w:rPr>
      </w:pPr>
      <w:r>
        <w:rPr>
          <w:rFonts w:ascii="Arial" w:cs="Arial" w:eastAsia="Arial" w:hAnsi="Arial"/>
          <w:sz w:val="16"/>
          <w:szCs w:val="16"/>
          <w:color w:val="auto"/>
        </w:rPr>
        <w:t>difficulties encountered in their implementation, could cause us to fail to meet our reporting obligations. In addition, any testing by us conducted in connection with Section 404 of the Sarbanes-Oxley Act of 2002,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common stock.</w:t>
      </w:r>
    </w:p>
    <w:p>
      <w:pPr>
        <w:spacing w:after="0" w:line="26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securities or industry analysts do not publish research, or publish inaccurate or unfavorable research about our business, our stock price and trading volume could decline.</w:t>
      </w:r>
    </w:p>
    <w:p>
      <w:pPr>
        <w:spacing w:after="0" w:line="146" w:lineRule="exact"/>
        <w:rPr>
          <w:sz w:val="20"/>
          <w:szCs w:val="20"/>
          <w:color w:val="auto"/>
        </w:rPr>
      </w:pPr>
    </w:p>
    <w:p>
      <w:pPr>
        <w:ind w:right="120"/>
        <w:spacing w:after="0" w:line="271" w:lineRule="auto"/>
        <w:rPr>
          <w:sz w:val="20"/>
          <w:szCs w:val="20"/>
          <w:color w:val="auto"/>
        </w:rPr>
      </w:pPr>
      <w:r>
        <w:rPr>
          <w:rFonts w:ascii="Arial" w:cs="Arial" w:eastAsia="Arial" w:hAnsi="Arial"/>
          <w:sz w:val="15"/>
          <w:szCs w:val="15"/>
          <w:color w:val="auto"/>
        </w:rPr>
        <w:t>The trading market for our common stock will depend in part on the research and reports that securities or industry analysts publish about us or our business. If those analysts are unable to predict accurately the demand and net sales of AbbVie’s HCV regimens, that could result in our reported revenues and earnings being lower than the so-called “market consensus” of our projected revenues, which could negatively affect our stock price. In addition, if too few securities or industry analysts cover our company, the trading price for our stock would likely be negatively impacted. In the event that one or more of the analysts who cover us downgrade our stock or publish inaccurate or unfavorable research about our business, our stock price would likely decline. If one or more of these analysts cease coverage of our company or fail to publish reports on us regularly, demand for our stock could decrease, which might cause our stock price and trading volume to decline.</w:t>
      </w:r>
    </w:p>
    <w:p>
      <w:pPr>
        <w:spacing w:after="0" w:line="251" w:lineRule="exact"/>
        <w:rPr>
          <w:sz w:val="20"/>
          <w:szCs w:val="20"/>
          <w:color w:val="auto"/>
        </w:rPr>
      </w:pPr>
    </w:p>
    <w:p>
      <w:pPr>
        <w:ind w:right="520"/>
        <w:spacing w:after="0" w:line="268" w:lineRule="auto"/>
        <w:rPr>
          <w:sz w:val="20"/>
          <w:szCs w:val="20"/>
          <w:color w:val="auto"/>
        </w:rPr>
      </w:pPr>
      <w:r>
        <w:rPr>
          <w:rFonts w:ascii="Arial" w:cs="Arial" w:eastAsia="Arial" w:hAnsi="Arial"/>
          <w:sz w:val="16"/>
          <w:szCs w:val="16"/>
          <w:b w:val="1"/>
          <w:bCs w:val="1"/>
          <w:i w:val="1"/>
          <w:iCs w:val="1"/>
          <w:color w:val="auto"/>
        </w:rPr>
        <w:t>Because we do not anticipate paying cash dividends on our common stock for the foreseeable future, investors in our common stock may never receive a return on their investment.</w:t>
      </w:r>
    </w:p>
    <w:p>
      <w:pPr>
        <w:spacing w:after="0" w:line="62" w:lineRule="exact"/>
        <w:rPr>
          <w:sz w:val="20"/>
          <w:szCs w:val="20"/>
          <w:color w:val="auto"/>
        </w:rPr>
      </w:pPr>
    </w:p>
    <w:p>
      <w:pPr>
        <w:ind w:right="180"/>
        <w:spacing w:after="0" w:line="268" w:lineRule="auto"/>
        <w:rPr>
          <w:sz w:val="20"/>
          <w:szCs w:val="20"/>
          <w:color w:val="auto"/>
        </w:rPr>
      </w:pPr>
      <w:r>
        <w:rPr>
          <w:rFonts w:ascii="Arial" w:cs="Arial" w:eastAsia="Arial" w:hAnsi="Arial"/>
          <w:sz w:val="16"/>
          <w:szCs w:val="16"/>
          <w:color w:val="auto"/>
        </w:rPr>
        <w:t>You should not rely on an investment in our common stock to provide dividend income. We do not anticipate that we will pay any cash dividends to holders of our common stock for the foreseeable future. Instead, we plan to retain any earnings to maintain and expand our existing operations.</w:t>
      </w:r>
    </w:p>
    <w:p>
      <w:pPr>
        <w:spacing w:after="0" w:line="157" w:lineRule="exact"/>
        <w:rPr>
          <w:sz w:val="20"/>
          <w:szCs w:val="20"/>
          <w:color w:val="auto"/>
        </w:rPr>
      </w:pPr>
    </w:p>
    <w:p>
      <w:pPr>
        <w:ind w:right="300"/>
        <w:spacing w:after="0" w:line="268" w:lineRule="auto"/>
        <w:rPr>
          <w:sz w:val="20"/>
          <w:szCs w:val="20"/>
          <w:color w:val="auto"/>
        </w:rPr>
      </w:pPr>
      <w:r>
        <w:rPr>
          <w:rFonts w:ascii="Arial" w:cs="Arial" w:eastAsia="Arial" w:hAnsi="Arial"/>
          <w:sz w:val="16"/>
          <w:szCs w:val="16"/>
          <w:color w:val="auto"/>
        </w:rPr>
        <w:t>Accordingly, investors must rely on sales of their common stock after price appreciation, which may never occur, as the only way to realize any return on their investment. As a result, investors seeking cash dividends should not invest in our common stock.</w:t>
      </w:r>
    </w:p>
    <w:p>
      <w:pPr>
        <w:spacing w:after="0" w:line="252" w:lineRule="exact"/>
        <w:rPr>
          <w:sz w:val="20"/>
          <w:szCs w:val="20"/>
          <w:color w:val="auto"/>
        </w:rPr>
      </w:pPr>
    </w:p>
    <w:p>
      <w:pPr>
        <w:spacing w:after="0" w:line="268" w:lineRule="auto"/>
        <w:rPr>
          <w:sz w:val="20"/>
          <w:szCs w:val="20"/>
          <w:color w:val="auto"/>
        </w:rPr>
      </w:pPr>
      <w:r>
        <w:rPr>
          <w:rFonts w:ascii="Arial" w:cs="Arial" w:eastAsia="Arial" w:hAnsi="Arial"/>
          <w:sz w:val="16"/>
          <w:szCs w:val="16"/>
          <w:b w:val="1"/>
          <w:bCs w:val="1"/>
          <w:i w:val="1"/>
          <w:iCs w:val="1"/>
          <w:color w:val="auto"/>
        </w:rPr>
        <w:t>A sale of a substantial number of shares of our common stock in the public market could cause the market price of our common stock to drop significantly, even if our business is doing well.</w:t>
      </w:r>
    </w:p>
    <w:p>
      <w:pPr>
        <w:spacing w:after="0" w:line="62" w:lineRule="exact"/>
        <w:rPr>
          <w:sz w:val="20"/>
          <w:szCs w:val="20"/>
          <w:color w:val="auto"/>
        </w:rPr>
      </w:pPr>
    </w:p>
    <w:p>
      <w:pPr>
        <w:ind w:right="40"/>
        <w:spacing w:after="0" w:line="296" w:lineRule="auto"/>
        <w:rPr>
          <w:sz w:val="20"/>
          <w:szCs w:val="20"/>
          <w:color w:val="auto"/>
        </w:rPr>
      </w:pPr>
      <w:r>
        <w:rPr>
          <w:rFonts w:ascii="Arial" w:cs="Arial" w:eastAsia="Arial" w:hAnsi="Arial"/>
          <w:sz w:val="14"/>
          <w:szCs w:val="14"/>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As of March 31, 2019, we had 19.7 million shares of common stock outstanding. In addition, as of March 31, 2019, 2.9 million and 0.2 million shares of common stock that are subject to outstanding options or restricted stock unit awards, respectively, under our equity plans are eligible for sale in the public market to the extent permitted by the provisions of various vesting schedules, and Rules 144 and 701 under the Securities Act. If these additional shares of common stock are sold, or it is perceived that they will be sold, in the public market, the trading price of our common stock could decline.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58420</wp:posOffset>
            </wp:positionV>
            <wp:extent cx="7303770" cy="40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00"/>
          </w:cols>
          <w:pgMar w:left="240" w:top="411" w:right="25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04"/>
        </w:trPr>
        <w:tc>
          <w:tcPr>
            <w:tcW w:w="1020" w:type="dxa"/>
            <w:vAlign w:val="bottom"/>
            <w:gridSpan w:val="2"/>
          </w:tcPr>
          <w:p>
            <w:pPr>
              <w:spacing w:after="0"/>
              <w:rPr>
                <w:sz w:val="20"/>
                <w:szCs w:val="20"/>
                <w:color w:val="auto"/>
              </w:rPr>
            </w:pPr>
            <w:r>
              <w:rPr>
                <w:rFonts w:ascii="Arial" w:cs="Arial" w:eastAsia="Arial" w:hAnsi="Arial"/>
                <w:sz w:val="16"/>
                <w:szCs w:val="16"/>
                <w:b w:val="1"/>
                <w:bCs w:val="1"/>
                <w:color w:val="auto"/>
              </w:rPr>
              <w:t>ITEM 6.</w:t>
            </w:r>
          </w:p>
        </w:tc>
        <w:tc>
          <w:tcPr>
            <w:tcW w:w="5280" w:type="dxa"/>
            <w:vAlign w:val="bottom"/>
            <w:gridSpan w:val="17"/>
          </w:tcPr>
          <w:p>
            <w:pPr>
              <w:ind w:left="140"/>
              <w:spacing w:after="0"/>
              <w:rPr>
                <w:sz w:val="20"/>
                <w:szCs w:val="20"/>
                <w:color w:val="auto"/>
              </w:rPr>
            </w:pPr>
            <w:r>
              <w:rPr>
                <w:rFonts w:ascii="Arial" w:cs="Arial" w:eastAsia="Arial" w:hAnsi="Arial"/>
                <w:sz w:val="16"/>
                <w:szCs w:val="16"/>
                <w:b w:val="1"/>
                <w:bCs w:val="1"/>
                <w:color w:val="auto"/>
              </w:rPr>
              <w:t>EXHIBITS</w:t>
            </w:r>
          </w:p>
        </w:tc>
        <w:tc>
          <w:tcPr>
            <w:tcW w:w="0" w:type="dxa"/>
            <w:vAlign w:val="bottom"/>
          </w:tcPr>
          <w:p>
            <w:pPr>
              <w:spacing w:after="0"/>
              <w:rPr>
                <w:sz w:val="1"/>
                <w:szCs w:val="1"/>
                <w:color w:val="auto"/>
              </w:rPr>
            </w:pPr>
          </w:p>
        </w:tc>
      </w:tr>
      <w:tr>
        <w:trPr>
          <w:trHeight w:val="443"/>
        </w:trPr>
        <w:tc>
          <w:tcPr>
            <w:tcW w:w="10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7"/>
              </w:rPr>
              <w:t>Exhibit</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20" w:type="dxa"/>
            <w:vAlign w:val="bottom"/>
            <w:gridSpan w:val="12"/>
            <w:vMerge w:val="restart"/>
          </w:tcPr>
          <w:p>
            <w:pPr>
              <w:ind w:left="400"/>
              <w:spacing w:after="0"/>
              <w:rPr>
                <w:sz w:val="20"/>
                <w:szCs w:val="20"/>
                <w:color w:val="auto"/>
              </w:rPr>
            </w:pPr>
            <w:r>
              <w:rPr>
                <w:rFonts w:ascii="Arial" w:cs="Arial" w:eastAsia="Arial" w:hAnsi="Arial"/>
                <w:sz w:val="13"/>
                <w:szCs w:val="13"/>
                <w:b w:val="1"/>
                <w:bCs w:val="1"/>
                <w:color w:val="auto"/>
              </w:rPr>
              <w:t>Exhibit Description</w:t>
            </w:r>
          </w:p>
        </w:tc>
        <w:tc>
          <w:tcPr>
            <w:tcW w:w="0" w:type="dxa"/>
            <w:vAlign w:val="bottom"/>
          </w:tcPr>
          <w:p>
            <w:pPr>
              <w:spacing w:after="0"/>
              <w:rPr>
                <w:sz w:val="1"/>
                <w:szCs w:val="1"/>
                <w:color w:val="auto"/>
              </w:rPr>
            </w:pPr>
          </w:p>
        </w:tc>
      </w:tr>
      <w:tr>
        <w:trPr>
          <w:trHeight w:val="150"/>
        </w:trPr>
        <w:tc>
          <w:tcPr>
            <w:tcW w:w="10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3"/>
              </w:rPr>
              <w:t>Number</w:t>
            </w: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520" w:type="dxa"/>
            <w:vAlign w:val="bottom"/>
            <w:gridSpan w:val="1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9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0"/>
              </w:rPr>
              <w:t>3.1</w:t>
            </w:r>
          </w:p>
        </w:tc>
        <w:tc>
          <w:tcPr>
            <w:tcW w:w="120" w:type="dxa"/>
            <w:vAlign w:val="bottom"/>
          </w:tcPr>
          <w:p>
            <w:pPr>
              <w:spacing w:after="0"/>
              <w:rPr>
                <w:sz w:val="21"/>
                <w:szCs w:val="21"/>
                <w:color w:val="auto"/>
              </w:rPr>
            </w:pPr>
          </w:p>
        </w:tc>
        <w:tc>
          <w:tcPr>
            <w:tcW w:w="5280" w:type="dxa"/>
            <w:vAlign w:val="bottom"/>
            <w:tcBorders>
              <w:top w:val="single" w:sz="8" w:color="auto"/>
            </w:tcBorders>
            <w:gridSpan w:val="17"/>
          </w:tcPr>
          <w:p>
            <w:pPr>
              <w:spacing w:after="0"/>
              <w:rPr>
                <w:rFonts w:ascii="Arial" w:cs="Arial" w:eastAsia="Arial" w:hAnsi="Arial"/>
                <w:sz w:val="16"/>
                <w:szCs w:val="16"/>
                <w:color w:val="0000EE"/>
              </w:rPr>
            </w:pPr>
            <w:hyperlink r:id="rId76">
              <w:r>
                <w:rPr>
                  <w:rFonts w:ascii="Arial" w:cs="Arial" w:eastAsia="Arial" w:hAnsi="Arial"/>
                  <w:sz w:val="16"/>
                  <w:szCs w:val="16"/>
                  <w:color w:val="0000EE"/>
                </w:rPr>
                <w:t>Restated Certificate of Incorporation of Enanta Pharmaceuticals, Inc.</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900" w:type="dxa"/>
            <w:vAlign w:val="bottom"/>
          </w:tcPr>
          <w:p>
            <w:pPr>
              <w:jc w:val="center"/>
              <w:spacing w:after="0"/>
              <w:rPr>
                <w:sz w:val="20"/>
                <w:szCs w:val="20"/>
                <w:color w:val="auto"/>
              </w:rPr>
            </w:pPr>
            <w:r>
              <w:rPr>
                <w:rFonts w:ascii="Arial" w:cs="Arial" w:eastAsia="Arial" w:hAnsi="Arial"/>
                <w:sz w:val="16"/>
                <w:szCs w:val="16"/>
                <w:color w:val="auto"/>
                <w:w w:val="80"/>
              </w:rPr>
              <w:t>3.2</w:t>
            </w:r>
          </w:p>
        </w:tc>
        <w:tc>
          <w:tcPr>
            <w:tcW w:w="120" w:type="dxa"/>
            <w:vAlign w:val="bottom"/>
          </w:tcPr>
          <w:p>
            <w:pPr>
              <w:spacing w:after="0"/>
              <w:rPr>
                <w:sz w:val="23"/>
                <w:szCs w:val="23"/>
                <w:color w:val="auto"/>
              </w:rPr>
            </w:pPr>
          </w:p>
        </w:tc>
        <w:tc>
          <w:tcPr>
            <w:tcW w:w="5280" w:type="dxa"/>
            <w:vAlign w:val="bottom"/>
            <w:gridSpan w:val="17"/>
          </w:tcPr>
          <w:p>
            <w:pPr>
              <w:spacing w:after="0"/>
              <w:rPr>
                <w:rFonts w:ascii="Arial" w:cs="Arial" w:eastAsia="Arial" w:hAnsi="Arial"/>
                <w:sz w:val="16"/>
                <w:szCs w:val="16"/>
                <w:color w:val="0000EE"/>
                <w:w w:val="90"/>
              </w:rPr>
            </w:pPr>
            <w:hyperlink r:id="rId77">
              <w:r>
                <w:rPr>
                  <w:rFonts w:ascii="Arial" w:cs="Arial" w:eastAsia="Arial" w:hAnsi="Arial"/>
                  <w:sz w:val="16"/>
                  <w:szCs w:val="16"/>
                  <w:color w:val="0000EE"/>
                  <w:w w:val="90"/>
                </w:rPr>
                <w:t>Amended and Restated Bylaws of Enanta Pharmaceuticals, Inc. (as amended and</w:t>
              </w:r>
            </w:hyperlink>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100" w:type="dxa"/>
            <w:vAlign w:val="bottom"/>
            <w:tcBorders>
              <w:top w:val="single" w:sz="8" w:color="0000EE"/>
            </w:tcBorders>
            <w:gridSpan w:val="12"/>
          </w:tcPr>
          <w:p>
            <w:pPr>
              <w:spacing w:after="0" w:line="169" w:lineRule="exact"/>
              <w:rPr>
                <w:rFonts w:ascii="Arial" w:cs="Arial" w:eastAsia="Arial" w:hAnsi="Arial"/>
                <w:sz w:val="16"/>
                <w:szCs w:val="16"/>
                <w:color w:val="0000EE"/>
              </w:rPr>
            </w:pPr>
            <w:hyperlink r:id="rId77">
              <w:r>
                <w:rPr>
                  <w:rFonts w:ascii="Arial" w:cs="Arial" w:eastAsia="Arial" w:hAnsi="Arial"/>
                  <w:sz w:val="16"/>
                  <w:szCs w:val="16"/>
                  <w:color w:val="0000EE"/>
                </w:rPr>
                <w:t>restated in August 2015)</w:t>
              </w:r>
            </w:hyperlink>
          </w:p>
        </w:tc>
        <w:tc>
          <w:tcPr>
            <w:tcW w:w="18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900" w:type="dxa"/>
            <w:vAlign w:val="bottom"/>
          </w:tcPr>
          <w:p>
            <w:pPr>
              <w:jc w:val="center"/>
              <w:spacing w:after="0"/>
              <w:rPr>
                <w:sz w:val="20"/>
                <w:szCs w:val="20"/>
                <w:color w:val="auto"/>
              </w:rPr>
            </w:pPr>
            <w:r>
              <w:rPr>
                <w:rFonts w:ascii="Arial" w:cs="Arial" w:eastAsia="Arial" w:hAnsi="Arial"/>
                <w:sz w:val="16"/>
                <w:szCs w:val="16"/>
                <w:color w:val="auto"/>
                <w:w w:val="83"/>
              </w:rPr>
              <w:t>10.1</w:t>
            </w:r>
          </w:p>
        </w:tc>
        <w:tc>
          <w:tcPr>
            <w:tcW w:w="120" w:type="dxa"/>
            <w:vAlign w:val="bottom"/>
          </w:tcPr>
          <w:p>
            <w:pPr>
              <w:spacing w:after="0"/>
              <w:rPr>
                <w:sz w:val="23"/>
                <w:szCs w:val="23"/>
                <w:color w:val="auto"/>
              </w:rPr>
            </w:pPr>
          </w:p>
        </w:tc>
        <w:tc>
          <w:tcPr>
            <w:tcW w:w="1760" w:type="dxa"/>
            <w:vAlign w:val="bottom"/>
            <w:tcBorders>
              <w:bottom w:val="single" w:sz="8" w:color="0000EE"/>
            </w:tcBorders>
            <w:gridSpan w:val="5"/>
          </w:tcPr>
          <w:p>
            <w:pPr>
              <w:spacing w:after="0"/>
              <w:rPr>
                <w:rFonts w:ascii="Arial" w:cs="Arial" w:eastAsia="Arial" w:hAnsi="Arial"/>
                <w:sz w:val="16"/>
                <w:szCs w:val="16"/>
                <w:color w:val="0000EE"/>
                <w:w w:val="89"/>
              </w:rPr>
            </w:pPr>
            <w:hyperlink r:id="rId78">
              <w:r>
                <w:rPr>
                  <w:rFonts w:ascii="Arial" w:cs="Arial" w:eastAsia="Arial" w:hAnsi="Arial"/>
                  <w:sz w:val="16"/>
                  <w:szCs w:val="16"/>
                  <w:color w:val="0000EE"/>
                  <w:w w:val="89"/>
                </w:rPr>
                <w:t>2019 Equity Incentive Plan.</w:t>
              </w:r>
            </w:hyperlink>
          </w:p>
        </w:tc>
        <w:tc>
          <w:tcPr>
            <w:tcW w:w="3520" w:type="dxa"/>
            <w:vAlign w:val="bottom"/>
            <w:gridSpan w:val="12"/>
          </w:tcPr>
          <w:p>
            <w:pPr>
              <w:spacing w:after="0"/>
              <w:rPr>
                <w:sz w:val="23"/>
                <w:szCs w:val="23"/>
                <w:color w:val="auto"/>
              </w:rPr>
            </w:pPr>
          </w:p>
        </w:tc>
        <w:tc>
          <w:tcPr>
            <w:tcW w:w="0" w:type="dxa"/>
            <w:vAlign w:val="bottom"/>
          </w:tcPr>
          <w:p>
            <w:pPr>
              <w:spacing w:after="0"/>
              <w:rPr>
                <w:sz w:val="1"/>
                <w:szCs w:val="1"/>
                <w:color w:val="auto"/>
              </w:rPr>
            </w:pPr>
          </w:p>
        </w:tc>
      </w:tr>
      <w:tr>
        <w:trPr>
          <w:trHeight w:val="359"/>
        </w:trPr>
        <w:tc>
          <w:tcPr>
            <w:tcW w:w="900" w:type="dxa"/>
            <w:vAlign w:val="bottom"/>
          </w:tcPr>
          <w:p>
            <w:pPr>
              <w:jc w:val="center"/>
              <w:spacing w:after="0"/>
              <w:rPr>
                <w:sz w:val="20"/>
                <w:szCs w:val="20"/>
                <w:color w:val="auto"/>
              </w:rPr>
            </w:pPr>
            <w:r>
              <w:rPr>
                <w:rFonts w:ascii="Arial" w:cs="Arial" w:eastAsia="Arial" w:hAnsi="Arial"/>
                <w:sz w:val="16"/>
                <w:szCs w:val="16"/>
                <w:color w:val="auto"/>
                <w:w w:val="83"/>
              </w:rPr>
              <w:t>10.2</w:t>
            </w:r>
          </w:p>
        </w:tc>
        <w:tc>
          <w:tcPr>
            <w:tcW w:w="120" w:type="dxa"/>
            <w:vAlign w:val="bottom"/>
          </w:tcPr>
          <w:p>
            <w:pPr>
              <w:spacing w:after="0"/>
              <w:rPr>
                <w:sz w:val="24"/>
                <w:szCs w:val="24"/>
                <w:color w:val="auto"/>
              </w:rPr>
            </w:pPr>
          </w:p>
        </w:tc>
        <w:tc>
          <w:tcPr>
            <w:tcW w:w="4740" w:type="dxa"/>
            <w:vAlign w:val="bottom"/>
            <w:tcBorders>
              <w:bottom w:val="single" w:sz="8" w:color="0000EE"/>
            </w:tcBorders>
            <w:gridSpan w:val="9"/>
          </w:tcPr>
          <w:p>
            <w:pPr>
              <w:spacing w:after="0"/>
              <w:rPr>
                <w:rFonts w:ascii="Arial" w:cs="Arial" w:eastAsia="Arial" w:hAnsi="Arial"/>
                <w:sz w:val="16"/>
                <w:szCs w:val="16"/>
                <w:color w:val="0000EE"/>
                <w:w w:val="91"/>
              </w:rPr>
            </w:pPr>
            <w:hyperlink w:anchor="page54">
              <w:r>
                <w:rPr>
                  <w:rFonts w:ascii="Arial" w:cs="Arial" w:eastAsia="Arial" w:hAnsi="Arial"/>
                  <w:sz w:val="16"/>
                  <w:szCs w:val="16"/>
                  <w:color w:val="0000EE"/>
                  <w:w w:val="91"/>
                </w:rPr>
                <w:t>Form of Notice of Grant of Non-Statutory Stock Option under 2019 Equity</w:t>
              </w:r>
            </w:hyperlink>
          </w:p>
        </w:tc>
        <w:tc>
          <w:tcPr>
            <w:tcW w:w="5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Borders>
              <w:bottom w:val="single" w:sz="8" w:color="0000EE"/>
            </w:tcBorders>
            <w:gridSpan w:val="2"/>
          </w:tcPr>
          <w:p>
            <w:pPr>
              <w:spacing w:after="0" w:line="169" w:lineRule="exact"/>
              <w:rPr>
                <w:rFonts w:ascii="Arial" w:cs="Arial" w:eastAsia="Arial" w:hAnsi="Arial"/>
                <w:sz w:val="16"/>
                <w:szCs w:val="16"/>
                <w:color w:val="0000EE"/>
                <w:w w:val="87"/>
              </w:rPr>
            </w:pPr>
            <w:hyperlink w:anchor="page54">
              <w:r>
                <w:rPr>
                  <w:rFonts w:ascii="Arial" w:cs="Arial" w:eastAsia="Arial" w:hAnsi="Arial"/>
                  <w:sz w:val="16"/>
                  <w:szCs w:val="16"/>
                  <w:color w:val="0000EE"/>
                  <w:w w:val="87"/>
                </w:rPr>
                <w:t>Incentive Plan.</w:t>
              </w:r>
            </w:hyperlink>
          </w:p>
        </w:tc>
        <w:tc>
          <w:tcPr>
            <w:tcW w:w="4340" w:type="dxa"/>
            <w:vAlign w:val="bottom"/>
            <w:gridSpan w:val="15"/>
          </w:tcPr>
          <w:p>
            <w:pPr>
              <w:spacing w:after="0"/>
              <w:rPr>
                <w:sz w:val="14"/>
                <w:szCs w:val="14"/>
                <w:color w:val="auto"/>
              </w:rPr>
            </w:pPr>
          </w:p>
        </w:tc>
        <w:tc>
          <w:tcPr>
            <w:tcW w:w="0" w:type="dxa"/>
            <w:vAlign w:val="bottom"/>
          </w:tcPr>
          <w:p>
            <w:pPr>
              <w:spacing w:after="0"/>
              <w:rPr>
                <w:sz w:val="1"/>
                <w:szCs w:val="1"/>
                <w:color w:val="auto"/>
              </w:rPr>
            </w:pPr>
          </w:p>
        </w:tc>
      </w:tr>
      <w:tr>
        <w:trPr>
          <w:trHeight w:val="359"/>
        </w:trPr>
        <w:tc>
          <w:tcPr>
            <w:tcW w:w="900" w:type="dxa"/>
            <w:vAlign w:val="bottom"/>
          </w:tcPr>
          <w:p>
            <w:pPr>
              <w:jc w:val="center"/>
              <w:spacing w:after="0"/>
              <w:rPr>
                <w:sz w:val="20"/>
                <w:szCs w:val="20"/>
                <w:color w:val="auto"/>
              </w:rPr>
            </w:pPr>
            <w:r>
              <w:rPr>
                <w:rFonts w:ascii="Arial" w:cs="Arial" w:eastAsia="Arial" w:hAnsi="Arial"/>
                <w:sz w:val="16"/>
                <w:szCs w:val="16"/>
                <w:color w:val="auto"/>
                <w:w w:val="83"/>
              </w:rPr>
              <w:t>10.3</w:t>
            </w:r>
          </w:p>
        </w:tc>
        <w:tc>
          <w:tcPr>
            <w:tcW w:w="120" w:type="dxa"/>
            <w:vAlign w:val="bottom"/>
          </w:tcPr>
          <w:p>
            <w:pPr>
              <w:spacing w:after="0"/>
              <w:rPr>
                <w:sz w:val="24"/>
                <w:szCs w:val="24"/>
                <w:color w:val="auto"/>
              </w:rPr>
            </w:pPr>
          </w:p>
        </w:tc>
        <w:tc>
          <w:tcPr>
            <w:tcW w:w="5280" w:type="dxa"/>
            <w:vAlign w:val="bottom"/>
            <w:gridSpan w:val="17"/>
          </w:tcPr>
          <w:p>
            <w:pPr>
              <w:spacing w:after="0"/>
              <w:rPr>
                <w:rFonts w:ascii="Arial" w:cs="Arial" w:eastAsia="Arial" w:hAnsi="Arial"/>
                <w:sz w:val="16"/>
                <w:szCs w:val="16"/>
                <w:color w:val="0000EE"/>
                <w:w w:val="93"/>
              </w:rPr>
            </w:pPr>
            <w:hyperlink w:anchor="page57">
              <w:r>
                <w:rPr>
                  <w:rFonts w:ascii="Arial" w:cs="Arial" w:eastAsia="Arial" w:hAnsi="Arial"/>
                  <w:sz w:val="16"/>
                  <w:szCs w:val="16"/>
                  <w:color w:val="0000EE"/>
                  <w:w w:val="93"/>
                </w:rPr>
                <w:t>Form of Notice of Grant of Non-Statutory Stock Option for Directors under 2019</w:t>
              </w:r>
            </w:hyperlink>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Borders>
              <w:top w:val="single" w:sz="8" w:color="0000EE"/>
              <w:bottom w:val="single" w:sz="8" w:color="0000EE"/>
            </w:tcBorders>
            <w:gridSpan w:val="3"/>
          </w:tcPr>
          <w:p>
            <w:pPr>
              <w:spacing w:after="0" w:line="169" w:lineRule="exact"/>
              <w:rPr>
                <w:rFonts w:ascii="Arial" w:cs="Arial" w:eastAsia="Arial" w:hAnsi="Arial"/>
                <w:sz w:val="16"/>
                <w:szCs w:val="16"/>
                <w:color w:val="0000EE"/>
                <w:w w:val="89"/>
              </w:rPr>
            </w:pPr>
            <w:hyperlink w:anchor="page57">
              <w:r>
                <w:rPr>
                  <w:rFonts w:ascii="Arial" w:cs="Arial" w:eastAsia="Arial" w:hAnsi="Arial"/>
                  <w:sz w:val="16"/>
                  <w:szCs w:val="16"/>
                  <w:color w:val="0000EE"/>
                  <w:w w:val="89"/>
                </w:rPr>
                <w:t>Equity Incentive Plan.</w:t>
              </w:r>
            </w:hyperlink>
          </w:p>
        </w:tc>
        <w:tc>
          <w:tcPr>
            <w:tcW w:w="3720" w:type="dxa"/>
            <w:vAlign w:val="bottom"/>
            <w:tcBorders>
              <w:top w:val="single" w:sz="8" w:color="0000EE"/>
            </w:tcBorders>
            <w:gridSpan w:val="10"/>
          </w:tcPr>
          <w:p>
            <w:pPr>
              <w:spacing w:after="0"/>
              <w:rPr>
                <w:sz w:val="14"/>
                <w:szCs w:val="14"/>
                <w:color w:val="auto"/>
              </w:rPr>
            </w:pPr>
          </w:p>
        </w:tc>
        <w:tc>
          <w:tcPr>
            <w:tcW w:w="16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359"/>
        </w:trPr>
        <w:tc>
          <w:tcPr>
            <w:tcW w:w="900" w:type="dxa"/>
            <w:vAlign w:val="bottom"/>
          </w:tcPr>
          <w:p>
            <w:pPr>
              <w:jc w:val="center"/>
              <w:spacing w:after="0"/>
              <w:rPr>
                <w:sz w:val="20"/>
                <w:szCs w:val="20"/>
                <w:color w:val="auto"/>
              </w:rPr>
            </w:pPr>
            <w:r>
              <w:rPr>
                <w:rFonts w:ascii="Arial" w:cs="Arial" w:eastAsia="Arial" w:hAnsi="Arial"/>
                <w:sz w:val="16"/>
                <w:szCs w:val="16"/>
                <w:color w:val="auto"/>
                <w:w w:val="83"/>
              </w:rPr>
              <w:t>10.4</w:t>
            </w:r>
          </w:p>
        </w:tc>
        <w:tc>
          <w:tcPr>
            <w:tcW w:w="120" w:type="dxa"/>
            <w:vAlign w:val="bottom"/>
          </w:tcPr>
          <w:p>
            <w:pPr>
              <w:spacing w:after="0"/>
              <w:rPr>
                <w:sz w:val="24"/>
                <w:szCs w:val="24"/>
                <w:color w:val="auto"/>
              </w:rPr>
            </w:pPr>
          </w:p>
        </w:tc>
        <w:tc>
          <w:tcPr>
            <w:tcW w:w="4940" w:type="dxa"/>
            <w:vAlign w:val="bottom"/>
            <w:tcBorders>
              <w:bottom w:val="single" w:sz="8" w:color="0000EE"/>
            </w:tcBorders>
            <w:gridSpan w:val="10"/>
          </w:tcPr>
          <w:p>
            <w:pPr>
              <w:spacing w:after="0"/>
              <w:rPr>
                <w:rFonts w:ascii="Arial" w:cs="Arial" w:eastAsia="Arial" w:hAnsi="Arial"/>
                <w:sz w:val="16"/>
                <w:szCs w:val="16"/>
                <w:color w:val="0000EE"/>
                <w:w w:val="90"/>
              </w:rPr>
            </w:pPr>
            <w:hyperlink w:anchor="page60">
              <w:r>
                <w:rPr>
                  <w:rFonts w:ascii="Arial" w:cs="Arial" w:eastAsia="Arial" w:hAnsi="Arial"/>
                  <w:sz w:val="16"/>
                  <w:szCs w:val="16"/>
                  <w:color w:val="0000EE"/>
                  <w:w w:val="90"/>
                </w:rPr>
                <w:t>Form of Relative Total Stockholder Return Unit Certificate under 2019 Equity</w:t>
              </w:r>
            </w:hyperlink>
          </w:p>
        </w:tc>
        <w:tc>
          <w:tcPr>
            <w:tcW w:w="3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Borders>
              <w:bottom w:val="single" w:sz="8" w:color="0000EE"/>
            </w:tcBorders>
            <w:gridSpan w:val="2"/>
          </w:tcPr>
          <w:p>
            <w:pPr>
              <w:spacing w:after="0" w:line="169" w:lineRule="exact"/>
              <w:rPr>
                <w:rFonts w:ascii="Arial" w:cs="Arial" w:eastAsia="Arial" w:hAnsi="Arial"/>
                <w:sz w:val="16"/>
                <w:szCs w:val="16"/>
                <w:color w:val="0000EE"/>
                <w:w w:val="87"/>
              </w:rPr>
            </w:pPr>
            <w:hyperlink w:anchor="page60">
              <w:r>
                <w:rPr>
                  <w:rFonts w:ascii="Arial" w:cs="Arial" w:eastAsia="Arial" w:hAnsi="Arial"/>
                  <w:sz w:val="16"/>
                  <w:szCs w:val="16"/>
                  <w:color w:val="0000EE"/>
                  <w:w w:val="87"/>
                </w:rPr>
                <w:t>Incentive Plan.</w:t>
              </w:r>
            </w:hyperlink>
          </w:p>
        </w:tc>
        <w:tc>
          <w:tcPr>
            <w:tcW w:w="4340" w:type="dxa"/>
            <w:vAlign w:val="bottom"/>
            <w:gridSpan w:val="15"/>
          </w:tcPr>
          <w:p>
            <w:pPr>
              <w:spacing w:after="0"/>
              <w:rPr>
                <w:sz w:val="14"/>
                <w:szCs w:val="14"/>
                <w:color w:val="auto"/>
              </w:rPr>
            </w:pPr>
          </w:p>
        </w:tc>
        <w:tc>
          <w:tcPr>
            <w:tcW w:w="0" w:type="dxa"/>
            <w:vAlign w:val="bottom"/>
          </w:tcPr>
          <w:p>
            <w:pPr>
              <w:spacing w:after="0"/>
              <w:rPr>
                <w:sz w:val="1"/>
                <w:szCs w:val="1"/>
                <w:color w:val="auto"/>
              </w:rPr>
            </w:pPr>
          </w:p>
        </w:tc>
      </w:tr>
      <w:tr>
        <w:trPr>
          <w:trHeight w:val="359"/>
        </w:trPr>
        <w:tc>
          <w:tcPr>
            <w:tcW w:w="900" w:type="dxa"/>
            <w:vAlign w:val="bottom"/>
          </w:tcPr>
          <w:p>
            <w:pPr>
              <w:jc w:val="center"/>
              <w:spacing w:after="0"/>
              <w:rPr>
                <w:sz w:val="20"/>
                <w:szCs w:val="20"/>
                <w:color w:val="auto"/>
              </w:rPr>
            </w:pPr>
            <w:r>
              <w:rPr>
                <w:rFonts w:ascii="Arial" w:cs="Arial" w:eastAsia="Arial" w:hAnsi="Arial"/>
                <w:sz w:val="16"/>
                <w:szCs w:val="16"/>
                <w:color w:val="auto"/>
                <w:w w:val="83"/>
              </w:rPr>
              <w:t>10.5</w:t>
            </w:r>
          </w:p>
        </w:tc>
        <w:tc>
          <w:tcPr>
            <w:tcW w:w="120" w:type="dxa"/>
            <w:vAlign w:val="bottom"/>
          </w:tcPr>
          <w:p>
            <w:pPr>
              <w:spacing w:after="0"/>
              <w:rPr>
                <w:sz w:val="24"/>
                <w:szCs w:val="24"/>
                <w:color w:val="auto"/>
              </w:rPr>
            </w:pPr>
          </w:p>
        </w:tc>
        <w:tc>
          <w:tcPr>
            <w:tcW w:w="4980" w:type="dxa"/>
            <w:vAlign w:val="bottom"/>
            <w:tcBorders>
              <w:bottom w:val="single" w:sz="8" w:color="0000EE"/>
            </w:tcBorders>
            <w:gridSpan w:val="11"/>
          </w:tcPr>
          <w:p>
            <w:pPr>
              <w:spacing w:after="0"/>
              <w:rPr>
                <w:rFonts w:ascii="Arial" w:cs="Arial" w:eastAsia="Arial" w:hAnsi="Arial"/>
                <w:sz w:val="16"/>
                <w:szCs w:val="16"/>
                <w:color w:val="0000EE"/>
                <w:w w:val="89"/>
              </w:rPr>
            </w:pPr>
            <w:hyperlink w:anchor="page65">
              <w:r>
                <w:rPr>
                  <w:rFonts w:ascii="Arial" w:cs="Arial" w:eastAsia="Arial" w:hAnsi="Arial"/>
                  <w:sz w:val="16"/>
                  <w:szCs w:val="16"/>
                  <w:color w:val="0000EE"/>
                  <w:w w:val="89"/>
                </w:rPr>
                <w:t>Form of Performance Share Unit Certificate under 2019 Equity Incentive Plan.</w:t>
              </w:r>
            </w:hyperlink>
          </w:p>
        </w:tc>
        <w:tc>
          <w:tcPr>
            <w:tcW w:w="3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900" w:type="dxa"/>
            <w:vAlign w:val="bottom"/>
          </w:tcPr>
          <w:p>
            <w:pPr>
              <w:jc w:val="center"/>
              <w:spacing w:after="0"/>
              <w:rPr>
                <w:sz w:val="20"/>
                <w:szCs w:val="20"/>
                <w:color w:val="auto"/>
              </w:rPr>
            </w:pPr>
            <w:r>
              <w:rPr>
                <w:rFonts w:ascii="Arial" w:cs="Arial" w:eastAsia="Arial" w:hAnsi="Arial"/>
                <w:sz w:val="16"/>
                <w:szCs w:val="16"/>
                <w:color w:val="auto"/>
                <w:w w:val="83"/>
              </w:rPr>
              <w:t>31.1</w:t>
            </w:r>
          </w:p>
        </w:tc>
        <w:tc>
          <w:tcPr>
            <w:tcW w:w="120" w:type="dxa"/>
            <w:vAlign w:val="bottom"/>
          </w:tcPr>
          <w:p>
            <w:pPr>
              <w:spacing w:after="0"/>
              <w:rPr>
                <w:sz w:val="24"/>
                <w:szCs w:val="24"/>
                <w:color w:val="auto"/>
              </w:rPr>
            </w:pPr>
          </w:p>
        </w:tc>
        <w:tc>
          <w:tcPr>
            <w:tcW w:w="4980" w:type="dxa"/>
            <w:vAlign w:val="bottom"/>
            <w:tcBorders>
              <w:bottom w:val="single" w:sz="8" w:color="0000EE"/>
            </w:tcBorders>
            <w:gridSpan w:val="11"/>
          </w:tcPr>
          <w:p>
            <w:pPr>
              <w:spacing w:after="0"/>
              <w:rPr>
                <w:rFonts w:ascii="Arial" w:cs="Arial" w:eastAsia="Arial" w:hAnsi="Arial"/>
                <w:sz w:val="16"/>
                <w:szCs w:val="16"/>
                <w:color w:val="0000EE"/>
                <w:w w:val="90"/>
              </w:rPr>
            </w:pPr>
            <w:hyperlink w:anchor="page68">
              <w:r>
                <w:rPr>
                  <w:rFonts w:ascii="Arial" w:cs="Arial" w:eastAsia="Arial" w:hAnsi="Arial"/>
                  <w:sz w:val="16"/>
                  <w:szCs w:val="16"/>
                  <w:color w:val="0000EE"/>
                  <w:w w:val="90"/>
                </w:rPr>
                <w:t>Certification of the Chief Executive Officer pursuant to Rule 13a-14(a) or 15d-</w:t>
              </w:r>
            </w:hyperlink>
          </w:p>
        </w:tc>
        <w:tc>
          <w:tcPr>
            <w:tcW w:w="3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80" w:type="dxa"/>
            <w:vAlign w:val="bottom"/>
            <w:gridSpan w:val="17"/>
          </w:tcPr>
          <w:p>
            <w:pPr>
              <w:spacing w:after="0" w:line="169" w:lineRule="exact"/>
              <w:rPr>
                <w:rFonts w:ascii="Arial" w:cs="Arial" w:eastAsia="Arial" w:hAnsi="Arial"/>
                <w:sz w:val="16"/>
                <w:szCs w:val="16"/>
                <w:color w:val="0000EE"/>
              </w:rPr>
            </w:pPr>
            <w:hyperlink w:anchor="page68">
              <w:r>
                <w:rPr>
                  <w:rFonts w:ascii="Arial" w:cs="Arial" w:eastAsia="Arial" w:hAnsi="Arial"/>
                  <w:sz w:val="16"/>
                  <w:szCs w:val="16"/>
                  <w:color w:val="0000EE"/>
                </w:rPr>
                <w:t>14(a) of the Securities Exchange Act of 1934.</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560" w:type="dxa"/>
            <w:vAlign w:val="bottom"/>
            <w:gridSpan w:val="5"/>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3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900" w:type="dxa"/>
            <w:vAlign w:val="bottom"/>
          </w:tcPr>
          <w:p>
            <w:pPr>
              <w:jc w:val="center"/>
              <w:spacing w:after="0"/>
              <w:rPr>
                <w:sz w:val="20"/>
                <w:szCs w:val="20"/>
                <w:color w:val="auto"/>
              </w:rPr>
            </w:pPr>
            <w:r>
              <w:rPr>
                <w:rFonts w:ascii="Arial" w:cs="Arial" w:eastAsia="Arial" w:hAnsi="Arial"/>
                <w:sz w:val="16"/>
                <w:szCs w:val="16"/>
                <w:color w:val="auto"/>
                <w:w w:val="83"/>
              </w:rPr>
              <w:t>31.2</w:t>
            </w:r>
          </w:p>
        </w:tc>
        <w:tc>
          <w:tcPr>
            <w:tcW w:w="120" w:type="dxa"/>
            <w:vAlign w:val="bottom"/>
          </w:tcPr>
          <w:p>
            <w:pPr>
              <w:spacing w:after="0"/>
              <w:rPr>
                <w:sz w:val="23"/>
                <w:szCs w:val="23"/>
                <w:color w:val="auto"/>
              </w:rPr>
            </w:pPr>
          </w:p>
        </w:tc>
        <w:tc>
          <w:tcPr>
            <w:tcW w:w="5280" w:type="dxa"/>
            <w:vAlign w:val="bottom"/>
            <w:gridSpan w:val="17"/>
          </w:tcPr>
          <w:p>
            <w:pPr>
              <w:spacing w:after="0"/>
              <w:rPr>
                <w:rFonts w:ascii="Arial" w:cs="Arial" w:eastAsia="Arial" w:hAnsi="Arial"/>
                <w:sz w:val="16"/>
                <w:szCs w:val="16"/>
                <w:color w:val="0000EE"/>
                <w:w w:val="92"/>
              </w:rPr>
            </w:pPr>
            <w:hyperlink w:anchor="page69">
              <w:r>
                <w:rPr>
                  <w:rFonts w:ascii="Arial" w:cs="Arial" w:eastAsia="Arial" w:hAnsi="Arial"/>
                  <w:sz w:val="16"/>
                  <w:szCs w:val="16"/>
                  <w:color w:val="0000EE"/>
                  <w:w w:val="92"/>
                </w:rPr>
                <w:t>Certification of Chief Financial Officer pursuant to Rule 13a-14(a) or 15d-14(a) of</w:t>
              </w:r>
            </w:hyperlink>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tcBorders>
              <w:top w:val="single" w:sz="8" w:color="0000EE"/>
              <w:bottom w:val="single" w:sz="8" w:color="0000EE"/>
            </w:tcBorders>
            <w:gridSpan w:val="6"/>
          </w:tcPr>
          <w:p>
            <w:pPr>
              <w:spacing w:after="0" w:line="169" w:lineRule="exact"/>
              <w:rPr>
                <w:rFonts w:ascii="Arial" w:cs="Arial" w:eastAsia="Arial" w:hAnsi="Arial"/>
                <w:sz w:val="16"/>
                <w:szCs w:val="16"/>
                <w:color w:val="0000EE"/>
                <w:w w:val="88"/>
              </w:rPr>
            </w:pPr>
            <w:hyperlink w:anchor="page69">
              <w:r>
                <w:rPr>
                  <w:rFonts w:ascii="Arial" w:cs="Arial" w:eastAsia="Arial" w:hAnsi="Arial"/>
                  <w:sz w:val="16"/>
                  <w:szCs w:val="16"/>
                  <w:color w:val="0000EE"/>
                  <w:w w:val="88"/>
                </w:rPr>
                <w:t>the Securities Exchange Act of 1934.</w:t>
              </w:r>
            </w:hyperlink>
          </w:p>
        </w:tc>
        <w:tc>
          <w:tcPr>
            <w:tcW w:w="2860" w:type="dxa"/>
            <w:vAlign w:val="bottom"/>
            <w:tcBorders>
              <w:top w:val="single" w:sz="8" w:color="0000EE"/>
            </w:tcBorders>
            <w:gridSpan w:val="8"/>
          </w:tcPr>
          <w:p>
            <w:pPr>
              <w:spacing w:after="0"/>
              <w:rPr>
                <w:sz w:val="14"/>
                <w:szCs w:val="14"/>
                <w:color w:val="auto"/>
              </w:rPr>
            </w:pPr>
          </w:p>
        </w:tc>
        <w:tc>
          <w:tcPr>
            <w:tcW w:w="8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900" w:type="dxa"/>
            <w:vAlign w:val="bottom"/>
          </w:tcPr>
          <w:p>
            <w:pPr>
              <w:jc w:val="center"/>
              <w:spacing w:after="0"/>
              <w:rPr>
                <w:sz w:val="20"/>
                <w:szCs w:val="20"/>
                <w:color w:val="auto"/>
              </w:rPr>
            </w:pPr>
            <w:r>
              <w:rPr>
                <w:rFonts w:ascii="Arial" w:cs="Arial" w:eastAsia="Arial" w:hAnsi="Arial"/>
                <w:sz w:val="16"/>
                <w:szCs w:val="16"/>
                <w:color w:val="auto"/>
                <w:w w:val="83"/>
              </w:rPr>
              <w:t>32.1</w:t>
            </w:r>
          </w:p>
        </w:tc>
        <w:tc>
          <w:tcPr>
            <w:tcW w:w="120" w:type="dxa"/>
            <w:vAlign w:val="bottom"/>
          </w:tcPr>
          <w:p>
            <w:pPr>
              <w:spacing w:after="0"/>
              <w:rPr>
                <w:sz w:val="23"/>
                <w:szCs w:val="23"/>
                <w:color w:val="auto"/>
              </w:rPr>
            </w:pPr>
          </w:p>
        </w:tc>
        <w:tc>
          <w:tcPr>
            <w:tcW w:w="5280" w:type="dxa"/>
            <w:vAlign w:val="bottom"/>
            <w:gridSpan w:val="17"/>
          </w:tcPr>
          <w:p>
            <w:pPr>
              <w:spacing w:after="0"/>
              <w:rPr>
                <w:rFonts w:ascii="Arial" w:cs="Arial" w:eastAsia="Arial" w:hAnsi="Arial"/>
                <w:sz w:val="16"/>
                <w:szCs w:val="16"/>
                <w:color w:val="0000EE"/>
                <w:w w:val="91"/>
              </w:rPr>
            </w:pPr>
            <w:hyperlink w:anchor="page70">
              <w:r>
                <w:rPr>
                  <w:rFonts w:ascii="Arial" w:cs="Arial" w:eastAsia="Arial" w:hAnsi="Arial"/>
                  <w:sz w:val="16"/>
                  <w:szCs w:val="16"/>
                  <w:color w:val="0000EE"/>
                  <w:w w:val="91"/>
                </w:rPr>
                <w:t>Certification of the Chief Executive Officer and Chief Financial Officer pursuant to</w:t>
              </w:r>
            </w:hyperlink>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20" w:type="dxa"/>
            <w:vAlign w:val="bottom"/>
            <w:tcBorders>
              <w:top w:val="single" w:sz="8" w:color="0000EE"/>
              <w:bottom w:val="single" w:sz="8" w:color="0000EE"/>
            </w:tcBorders>
            <w:gridSpan w:val="15"/>
          </w:tcPr>
          <w:p>
            <w:pPr>
              <w:spacing w:after="0" w:line="169" w:lineRule="exact"/>
              <w:rPr>
                <w:rFonts w:ascii="Arial" w:cs="Arial" w:eastAsia="Arial" w:hAnsi="Arial"/>
                <w:sz w:val="16"/>
                <w:szCs w:val="16"/>
                <w:color w:val="0000EE"/>
                <w:w w:val="87"/>
              </w:rPr>
            </w:pPr>
            <w:hyperlink w:anchor="page70">
              <w:r>
                <w:rPr>
                  <w:rFonts w:ascii="Arial" w:cs="Arial" w:eastAsia="Arial" w:hAnsi="Arial"/>
                  <w:sz w:val="16"/>
                  <w:szCs w:val="16"/>
                  <w:color w:val="0000EE"/>
                  <w:w w:val="87"/>
                </w:rPr>
                <w:t>18 U.S.C. Section 1350, as adopted pursuant to Section 906 of the Sarbanes-Oxley</w:t>
              </w:r>
            </w:hyperlink>
          </w:p>
        </w:tc>
        <w:tc>
          <w:tcPr>
            <w:tcW w:w="4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80" w:type="dxa"/>
            <w:vAlign w:val="bottom"/>
            <w:gridSpan w:val="17"/>
          </w:tcPr>
          <w:p>
            <w:pPr>
              <w:spacing w:after="0" w:line="169" w:lineRule="exact"/>
              <w:rPr>
                <w:rFonts w:ascii="Arial" w:cs="Arial" w:eastAsia="Arial" w:hAnsi="Arial"/>
                <w:sz w:val="16"/>
                <w:szCs w:val="16"/>
                <w:color w:val="0000EE"/>
              </w:rPr>
            </w:pPr>
            <w:hyperlink w:anchor="page70">
              <w:r>
                <w:rPr>
                  <w:rFonts w:ascii="Arial" w:cs="Arial" w:eastAsia="Arial" w:hAnsi="Arial"/>
                  <w:sz w:val="16"/>
                  <w:szCs w:val="16"/>
                  <w:color w:val="0000EE"/>
                </w:rPr>
                <w:t>Act of 2002.</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8" w:lineRule="exact"/>
        <w:rPr>
          <w:sz w:val="20"/>
          <w:szCs w:val="20"/>
          <w:color w:val="auto"/>
        </w:rPr>
      </w:pPr>
    </w:p>
    <w:p>
      <w:pPr>
        <w:ind w:left="1020" w:right="40" w:hanging="688"/>
        <w:spacing w:after="0" w:line="267" w:lineRule="auto"/>
        <w:tabs>
          <w:tab w:leader="none" w:pos="1020" w:val="left"/>
        </w:tabs>
        <w:numPr>
          <w:ilvl w:val="0"/>
          <w:numId w:val="48"/>
        </w:numPr>
        <w:rPr>
          <w:rFonts w:ascii="Arial" w:cs="Arial" w:eastAsia="Arial" w:hAnsi="Arial"/>
          <w:sz w:val="15"/>
          <w:szCs w:val="15"/>
          <w:color w:val="auto"/>
        </w:rPr>
      </w:pPr>
      <w:r>
        <w:rPr>
          <w:rFonts w:ascii="Arial" w:cs="Arial" w:eastAsia="Arial" w:hAnsi="Arial"/>
          <w:sz w:val="15"/>
          <w:szCs w:val="15"/>
          <w:color w:val="auto"/>
        </w:rPr>
        <w:t>The following materials from the Quarterly Report of Enanta Pharmaceuticals, Inc. on Form 10-Q for the quarter ended of March 31, 2019, formatted in XBRL (eXtensible Business Reporting Language): (i) Consolidated Balance Sheets as of March 31, 2019 and September 30, 2018 of Enanta Pharmaceuticals, Inc., (ii) Consolidated Statements of Operations for the three and six months ended March 31, 2019 and 2018 of Enanta Pharmaceuticals, Inc., (iii) Consolidated Statements of Comprehensive Income for the three and six months ended March 31, 2019 and 2018 of Enanta Pharmaceuticals, Inc., (iv) Consolidated Statements of Cash Flows for the six months ended March 31, 2019 and 2018 of Enanta Pharmaceuticals, Inc., and (v) Notes to Consolidated Financial Statements of Enanta Pharmaceuticals, Inc.</w:t>
      </w:r>
    </w:p>
    <w:p>
      <w:pPr>
        <w:spacing w:after="0" w:line="350"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58420</wp:posOffset>
            </wp:positionV>
            <wp:extent cx="7303770" cy="40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0"/>
        </w:trPr>
        <w:tc>
          <w:tcPr>
            <w:tcW w:w="9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4"/>
          </w:tcPr>
          <w:p>
            <w:pPr>
              <w:ind w:left="260"/>
              <w:spacing w:after="0"/>
              <w:rPr>
                <w:sz w:val="20"/>
                <w:szCs w:val="20"/>
                <w:color w:val="auto"/>
              </w:rPr>
            </w:pPr>
            <w:r>
              <w:rPr>
                <w:rFonts w:ascii="Arial" w:cs="Arial" w:eastAsia="Arial" w:hAnsi="Arial"/>
                <w:sz w:val="13"/>
                <w:szCs w:val="13"/>
                <w:b w:val="1"/>
                <w:bCs w:val="1"/>
                <w:color w:val="auto"/>
              </w:rPr>
              <w:t>Incorporated by Reference</w:t>
            </w:r>
          </w:p>
        </w:tc>
        <w:tc>
          <w:tcPr>
            <w:tcW w:w="9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Filed</w:t>
            </w:r>
          </w:p>
        </w:tc>
        <w:tc>
          <w:tcPr>
            <w:tcW w:w="0" w:type="dxa"/>
            <w:vAlign w:val="bottom"/>
          </w:tcPr>
          <w:p>
            <w:pPr>
              <w:spacing w:after="0"/>
              <w:rPr>
                <w:sz w:val="1"/>
                <w:szCs w:val="1"/>
                <w:color w:val="auto"/>
              </w:rPr>
            </w:pPr>
          </w:p>
        </w:tc>
      </w:tr>
      <w:tr>
        <w:trPr>
          <w:trHeight w:val="102"/>
        </w:trPr>
        <w:tc>
          <w:tcPr>
            <w:tcW w:w="9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Form</w:t>
            </w:r>
          </w:p>
        </w:tc>
        <w:tc>
          <w:tcPr>
            <w:tcW w:w="120" w:type="dxa"/>
            <w:vAlign w:val="bottom"/>
            <w:vMerge w:val="restart"/>
          </w:tcPr>
          <w:p>
            <w:pPr>
              <w:spacing w:after="0"/>
              <w:rPr>
                <w:sz w:val="8"/>
                <w:szCs w:val="8"/>
                <w:color w:val="auto"/>
              </w:rPr>
            </w:pPr>
          </w:p>
        </w:tc>
        <w:tc>
          <w:tcPr>
            <w:tcW w:w="940" w:type="dxa"/>
            <w:vAlign w:val="bottom"/>
            <w:vMerge w:val="restart"/>
          </w:tcPr>
          <w:p>
            <w:pPr>
              <w:ind w:left="340"/>
              <w:spacing w:after="0"/>
              <w:rPr>
                <w:sz w:val="20"/>
                <w:szCs w:val="20"/>
                <w:color w:val="auto"/>
              </w:rPr>
            </w:pPr>
            <w:r>
              <w:rPr>
                <w:rFonts w:ascii="Arial" w:cs="Arial" w:eastAsia="Arial" w:hAnsi="Arial"/>
                <w:sz w:val="13"/>
                <w:szCs w:val="13"/>
                <w:b w:val="1"/>
                <w:bCs w:val="1"/>
                <w:color w:val="auto"/>
              </w:rPr>
              <w:t>Date</w:t>
            </w:r>
          </w:p>
        </w:tc>
        <w:tc>
          <w:tcPr>
            <w:tcW w:w="120" w:type="dxa"/>
            <w:vAlign w:val="bottom"/>
            <w:vMerge w:val="restart"/>
          </w:tcPr>
          <w:p>
            <w:pPr>
              <w:spacing w:after="0"/>
              <w:rPr>
                <w:sz w:val="8"/>
                <w:szCs w:val="8"/>
                <w:color w:val="auto"/>
              </w:rPr>
            </w:pPr>
          </w:p>
        </w:tc>
        <w:tc>
          <w:tcPr>
            <w:tcW w:w="1000" w:type="dxa"/>
            <w:vAlign w:val="bottom"/>
            <w:gridSpan w:val="2"/>
          </w:tcPr>
          <w:p>
            <w:pPr>
              <w:ind w:left="240"/>
              <w:spacing w:after="0" w:line="102" w:lineRule="exact"/>
              <w:rPr>
                <w:sz w:val="20"/>
                <w:szCs w:val="20"/>
                <w:color w:val="auto"/>
              </w:rPr>
            </w:pPr>
            <w:r>
              <w:rPr>
                <w:rFonts w:ascii="Arial" w:cs="Arial" w:eastAsia="Arial" w:hAnsi="Arial"/>
                <w:sz w:val="11"/>
                <w:szCs w:val="11"/>
                <w:b w:val="1"/>
                <w:bCs w:val="1"/>
                <w:color w:val="auto"/>
              </w:rPr>
              <w:t>Exhibit</w:t>
            </w:r>
          </w:p>
        </w:tc>
        <w:tc>
          <w:tcPr>
            <w:tcW w:w="940" w:type="dxa"/>
            <w:vAlign w:val="bottom"/>
            <w:vMerge w:val="restart"/>
          </w:tcPr>
          <w:p>
            <w:pPr>
              <w:ind w:left="120"/>
              <w:spacing w:after="0"/>
              <w:rPr>
                <w:sz w:val="20"/>
                <w:szCs w:val="20"/>
                <w:color w:val="auto"/>
              </w:rPr>
            </w:pPr>
            <w:r>
              <w:rPr>
                <w:rFonts w:ascii="Arial" w:cs="Arial" w:eastAsia="Arial" w:hAnsi="Arial"/>
                <w:sz w:val="13"/>
                <w:szCs w:val="13"/>
                <w:b w:val="1"/>
                <w:bCs w:val="1"/>
                <w:color w:val="auto"/>
              </w:rPr>
              <w:t>File Number</w:t>
            </w:r>
          </w:p>
        </w:tc>
        <w:tc>
          <w:tcPr>
            <w:tcW w:w="100" w:type="dxa"/>
            <w:vAlign w:val="bottom"/>
            <w:vMerge w:val="restart"/>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90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900" w:type="dxa"/>
            <w:vAlign w:val="bottom"/>
            <w:tcBorders>
              <w:bottom w:val="single" w:sz="8" w:color="auto"/>
            </w:tcBorders>
          </w:tcPr>
          <w:p>
            <w:pPr>
              <w:ind w:left="220"/>
              <w:spacing w:after="0"/>
              <w:rPr>
                <w:sz w:val="20"/>
                <w:szCs w:val="20"/>
                <w:color w:val="auto"/>
              </w:rPr>
            </w:pPr>
            <w:r>
              <w:rPr>
                <w:rFonts w:ascii="Arial" w:cs="Arial" w:eastAsia="Arial" w:hAnsi="Arial"/>
                <w:sz w:val="13"/>
                <w:szCs w:val="13"/>
                <w:b w:val="1"/>
                <w:bCs w:val="1"/>
                <w:color w:val="auto"/>
              </w:rPr>
              <w:t>Number</w:t>
            </w:r>
          </w:p>
        </w:tc>
        <w:tc>
          <w:tcPr>
            <w:tcW w:w="100" w:type="dxa"/>
            <w:vAlign w:val="bottom"/>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Herewith</w:t>
            </w:r>
          </w:p>
        </w:tc>
        <w:tc>
          <w:tcPr>
            <w:tcW w:w="0" w:type="dxa"/>
            <w:vAlign w:val="bottom"/>
          </w:tcPr>
          <w:p>
            <w:pPr>
              <w:spacing w:after="0"/>
              <w:rPr>
                <w:sz w:val="1"/>
                <w:szCs w:val="1"/>
                <w:color w:val="auto"/>
              </w:rPr>
            </w:pPr>
          </w:p>
        </w:tc>
      </w:tr>
      <w:tr>
        <w:trPr>
          <w:trHeight w:val="286"/>
        </w:trPr>
        <w:tc>
          <w:tcPr>
            <w:tcW w:w="102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8-K</w:t>
            </w:r>
          </w:p>
        </w:tc>
        <w:tc>
          <w:tcPr>
            <w:tcW w:w="940" w:type="dxa"/>
            <w:vAlign w:val="bottom"/>
          </w:tcPr>
          <w:p>
            <w:pPr>
              <w:jc w:val="center"/>
              <w:spacing w:after="0"/>
              <w:rPr>
                <w:sz w:val="20"/>
                <w:szCs w:val="20"/>
                <w:color w:val="auto"/>
              </w:rPr>
            </w:pPr>
            <w:r>
              <w:rPr>
                <w:rFonts w:ascii="Arial" w:cs="Arial" w:eastAsia="Arial" w:hAnsi="Arial"/>
                <w:sz w:val="16"/>
                <w:szCs w:val="16"/>
                <w:color w:val="auto"/>
                <w:w w:val="87"/>
              </w:rPr>
              <w:t>08/18/2015</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3.1</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91"/>
              </w:rPr>
              <w:t>001-35839</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102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8-K</w:t>
            </w:r>
          </w:p>
        </w:tc>
        <w:tc>
          <w:tcPr>
            <w:tcW w:w="940" w:type="dxa"/>
            <w:vAlign w:val="bottom"/>
          </w:tcPr>
          <w:p>
            <w:pPr>
              <w:jc w:val="center"/>
              <w:spacing w:after="0"/>
              <w:rPr>
                <w:sz w:val="20"/>
                <w:szCs w:val="20"/>
                <w:color w:val="auto"/>
              </w:rPr>
            </w:pPr>
            <w:r>
              <w:rPr>
                <w:rFonts w:ascii="Arial" w:cs="Arial" w:eastAsia="Arial" w:hAnsi="Arial"/>
                <w:sz w:val="16"/>
                <w:szCs w:val="16"/>
                <w:color w:val="auto"/>
                <w:w w:val="87"/>
              </w:rPr>
              <w:t>08/18/2015</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3.2</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91"/>
              </w:rPr>
              <w:t>001-35839</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5"/>
        </w:trPr>
        <w:tc>
          <w:tcPr>
            <w:tcW w:w="10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8-K/A</w:t>
            </w:r>
          </w:p>
        </w:tc>
        <w:tc>
          <w:tcPr>
            <w:tcW w:w="940" w:type="dxa"/>
            <w:vAlign w:val="bottom"/>
          </w:tcPr>
          <w:p>
            <w:pPr>
              <w:jc w:val="center"/>
              <w:spacing w:after="0"/>
              <w:rPr>
                <w:sz w:val="20"/>
                <w:szCs w:val="20"/>
                <w:color w:val="auto"/>
              </w:rPr>
            </w:pPr>
            <w:r>
              <w:rPr>
                <w:rFonts w:ascii="Arial" w:cs="Arial" w:eastAsia="Arial" w:hAnsi="Arial"/>
                <w:sz w:val="16"/>
                <w:szCs w:val="16"/>
                <w:color w:val="auto"/>
                <w:w w:val="87"/>
              </w:rPr>
              <w:t>03/07/2019</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91"/>
              </w:rPr>
              <w:t>001-35839</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10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060" w:type="dxa"/>
            <w:vAlign w:val="bottom"/>
            <w:gridSpan w:val="2"/>
          </w:tcPr>
          <w:p>
            <w:pPr>
              <w:jc w:val="center"/>
              <w:ind w:right="120"/>
              <w:spacing w:after="0"/>
              <w:rPr>
                <w:sz w:val="20"/>
                <w:szCs w:val="20"/>
                <w:color w:val="auto"/>
              </w:rPr>
            </w:pPr>
            <w:r>
              <w:rPr>
                <w:rFonts w:ascii="Arial" w:cs="Arial" w:eastAsia="Arial" w:hAnsi="Arial"/>
                <w:sz w:val="16"/>
                <w:szCs w:val="16"/>
                <w:color w:val="auto"/>
                <w:w w:val="87"/>
              </w:rPr>
              <w:t>—</w:t>
            </w: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10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92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568"/>
        </w:trPr>
        <w:tc>
          <w:tcPr>
            <w:tcW w:w="10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060" w:type="dxa"/>
            <w:vAlign w:val="bottom"/>
            <w:gridSpan w:val="2"/>
          </w:tcPr>
          <w:p>
            <w:pPr>
              <w:jc w:val="center"/>
              <w:ind w:right="120"/>
              <w:spacing w:after="0"/>
              <w:rPr>
                <w:sz w:val="20"/>
                <w:szCs w:val="20"/>
                <w:color w:val="auto"/>
              </w:rPr>
            </w:pPr>
            <w:r>
              <w:rPr>
                <w:rFonts w:ascii="Arial" w:cs="Arial" w:eastAsia="Arial" w:hAnsi="Arial"/>
                <w:sz w:val="16"/>
                <w:szCs w:val="16"/>
                <w:color w:val="auto"/>
                <w:w w:val="87"/>
              </w:rPr>
              <w:t>—</w:t>
            </w: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10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92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568"/>
        </w:trPr>
        <w:tc>
          <w:tcPr>
            <w:tcW w:w="10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060" w:type="dxa"/>
            <w:vAlign w:val="bottom"/>
            <w:gridSpan w:val="2"/>
          </w:tcPr>
          <w:p>
            <w:pPr>
              <w:jc w:val="center"/>
              <w:ind w:right="120"/>
              <w:spacing w:after="0"/>
              <w:rPr>
                <w:sz w:val="20"/>
                <w:szCs w:val="20"/>
                <w:color w:val="auto"/>
              </w:rPr>
            </w:pPr>
            <w:r>
              <w:rPr>
                <w:rFonts w:ascii="Arial" w:cs="Arial" w:eastAsia="Arial" w:hAnsi="Arial"/>
                <w:sz w:val="16"/>
                <w:szCs w:val="16"/>
                <w:color w:val="auto"/>
                <w:w w:val="87"/>
              </w:rPr>
              <w:t>—</w:t>
            </w: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10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92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568"/>
        </w:trPr>
        <w:tc>
          <w:tcPr>
            <w:tcW w:w="10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060" w:type="dxa"/>
            <w:vAlign w:val="bottom"/>
            <w:gridSpan w:val="2"/>
          </w:tcPr>
          <w:p>
            <w:pPr>
              <w:jc w:val="center"/>
              <w:ind w:right="120"/>
              <w:spacing w:after="0"/>
              <w:rPr>
                <w:sz w:val="20"/>
                <w:szCs w:val="20"/>
                <w:color w:val="auto"/>
              </w:rPr>
            </w:pPr>
            <w:r>
              <w:rPr>
                <w:rFonts w:ascii="Arial" w:cs="Arial" w:eastAsia="Arial" w:hAnsi="Arial"/>
                <w:sz w:val="16"/>
                <w:szCs w:val="16"/>
                <w:color w:val="auto"/>
                <w:w w:val="87"/>
              </w:rPr>
              <w:t>—</w:t>
            </w: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10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92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379"/>
        </w:trPr>
        <w:tc>
          <w:tcPr>
            <w:tcW w:w="10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060" w:type="dxa"/>
            <w:vAlign w:val="bottom"/>
            <w:gridSpan w:val="2"/>
          </w:tcPr>
          <w:p>
            <w:pPr>
              <w:jc w:val="center"/>
              <w:ind w:right="120"/>
              <w:spacing w:after="0"/>
              <w:rPr>
                <w:sz w:val="20"/>
                <w:szCs w:val="20"/>
                <w:color w:val="auto"/>
              </w:rPr>
            </w:pPr>
            <w:r>
              <w:rPr>
                <w:rFonts w:ascii="Arial" w:cs="Arial" w:eastAsia="Arial" w:hAnsi="Arial"/>
                <w:sz w:val="16"/>
                <w:szCs w:val="16"/>
                <w:color w:val="auto"/>
                <w:w w:val="87"/>
              </w:rPr>
              <w:t>—</w:t>
            </w: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10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92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485"/>
        </w:trPr>
        <w:tc>
          <w:tcPr>
            <w:tcW w:w="10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060" w:type="dxa"/>
            <w:vAlign w:val="bottom"/>
            <w:gridSpan w:val="2"/>
          </w:tcPr>
          <w:p>
            <w:pPr>
              <w:jc w:val="center"/>
              <w:ind w:right="120"/>
              <w:spacing w:after="0"/>
              <w:rPr>
                <w:sz w:val="20"/>
                <w:szCs w:val="20"/>
                <w:color w:val="auto"/>
              </w:rPr>
            </w:pPr>
            <w:r>
              <w:rPr>
                <w:rFonts w:ascii="Arial" w:cs="Arial" w:eastAsia="Arial" w:hAnsi="Arial"/>
                <w:sz w:val="16"/>
                <w:szCs w:val="16"/>
                <w:color w:val="auto"/>
                <w:w w:val="87"/>
              </w:rPr>
              <w:t>—</w:t>
            </w: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10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92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485"/>
        </w:trPr>
        <w:tc>
          <w:tcPr>
            <w:tcW w:w="10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060" w:type="dxa"/>
            <w:vAlign w:val="bottom"/>
            <w:gridSpan w:val="2"/>
          </w:tcPr>
          <w:p>
            <w:pPr>
              <w:jc w:val="center"/>
              <w:ind w:right="120"/>
              <w:spacing w:after="0"/>
              <w:rPr>
                <w:sz w:val="20"/>
                <w:szCs w:val="20"/>
                <w:color w:val="auto"/>
              </w:rPr>
            </w:pPr>
            <w:r>
              <w:rPr>
                <w:rFonts w:ascii="Arial" w:cs="Arial" w:eastAsia="Arial" w:hAnsi="Arial"/>
                <w:sz w:val="16"/>
                <w:szCs w:val="16"/>
                <w:color w:val="auto"/>
                <w:w w:val="87"/>
              </w:rPr>
              <w:t>—</w:t>
            </w: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10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92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674"/>
        </w:trPr>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bl>
    <w:p>
      <w:pPr>
        <w:sectPr>
          <w:pgSz w:w="11900" w:h="16838" w:orient="portrait"/>
          <w:cols w:equalWidth="0" w:num="2">
            <w:col w:w="6300" w:space="100"/>
            <w:col w:w="5040"/>
          </w:cols>
          <w:pgMar w:left="240" w:top="312" w:right="219" w:bottom="1440" w:gutter="0" w:footer="0" w:header="0"/>
        </w:sectPr>
      </w:pPr>
    </w:p>
    <w:bookmarkStart w:id="52" w:name="page53"/>
    <w:bookmarkEnd w:id="52"/>
    <w:p>
      <w:pPr>
        <w:spacing w:after="0"/>
        <w:rPr>
          <w:sz w:val="20"/>
          <w:szCs w:val="20"/>
          <w:color w:val="auto"/>
        </w:rPr>
      </w:pPr>
      <w:r>
        <w:rPr>
          <w:rFonts w:ascii="Arial" w:cs="Arial" w:eastAsia="Arial" w:hAnsi="Arial"/>
          <w:sz w:val="16"/>
          <w:szCs w:val="16"/>
          <w:b w:val="1"/>
          <w:bCs w:val="1"/>
          <w:color w:val="auto"/>
        </w:rPr>
        <w:t>ENANTA PHARMACEUTICALS, INC.</w:t>
      </w:r>
    </w:p>
    <w:p>
      <w:pPr>
        <w:spacing w:after="0" w:line="195" w:lineRule="exact"/>
        <w:rPr>
          <w:sz w:val="20"/>
          <w:szCs w:val="20"/>
          <w:color w:val="auto"/>
        </w:rPr>
      </w:pPr>
    </w:p>
    <w:p>
      <w:pPr>
        <w:ind w:left="5260"/>
        <w:spacing w:after="0"/>
        <w:rPr>
          <w:sz w:val="20"/>
          <w:szCs w:val="20"/>
          <w:color w:val="auto"/>
        </w:rPr>
      </w:pPr>
      <w:r>
        <w:rPr>
          <w:rFonts w:ascii="Arial" w:cs="Arial" w:eastAsia="Arial" w:hAnsi="Arial"/>
          <w:sz w:val="16"/>
          <w:szCs w:val="16"/>
          <w:b w:val="1"/>
          <w:bCs w:val="1"/>
          <w:color w:val="auto"/>
        </w:rPr>
        <w:t>SIGNATURE</w:t>
      </w:r>
    </w:p>
    <w:p>
      <w:pPr>
        <w:spacing w:after="0" w:line="199"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57"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ENANTA PHARMACEUTICALS, INC.</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Date: May 10, 2019</w:t>
      </w:r>
    </w:p>
    <w:p>
      <w:pPr>
        <w:spacing w:after="0" w:line="218"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/s/ Paul J. Mellett</w:t>
      </w:r>
    </w:p>
    <w:p>
      <w:pPr>
        <w:spacing w:after="0" w:line="17"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Paul J.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4360545</wp:posOffset>
            </wp:positionH>
            <wp:positionV relativeFrom="paragraph">
              <wp:posOffset>-115570</wp:posOffset>
            </wp:positionV>
            <wp:extent cx="2899410"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2899410" cy="762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6"/>
          <w:szCs w:val="16"/>
          <w:color w:val="auto"/>
        </w:rPr>
        <w:t>Chief Financial Officer</w:t>
      </w:r>
    </w:p>
    <w:p>
      <w:pPr>
        <w:spacing w:after="0" w:line="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(Principal Financial and Accounting Officer)</w:t>
      </w:r>
    </w:p>
    <w:p>
      <w:pPr>
        <w:spacing w:after="0" w:line="373"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0760"/>
          </w:cols>
          <w:pgMar w:left="240" w:top="312" w:right="899" w:bottom="1440" w:gutter="0" w:footer="0" w:header="0"/>
        </w:sectPr>
      </w:pPr>
    </w:p>
    <w:bookmarkStart w:id="53" w:name="page54"/>
    <w:bookmarkEnd w:id="53"/>
    <w:p>
      <w:pPr>
        <w:ind w:left="10620"/>
        <w:spacing w:after="0"/>
        <w:rPr>
          <w:sz w:val="20"/>
          <w:szCs w:val="20"/>
          <w:color w:val="auto"/>
        </w:rPr>
      </w:pPr>
      <w:r>
        <w:rPr>
          <w:rFonts w:ascii="Arial" w:cs="Arial" w:eastAsia="Arial" w:hAnsi="Arial"/>
          <w:sz w:val="15"/>
          <w:szCs w:val="15"/>
          <w:b w:val="1"/>
          <w:bCs w:val="1"/>
          <w:color w:val="auto"/>
        </w:rPr>
        <w:t>Exhibit 10.2</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40" w:type="dxa"/>
            <w:vAlign w:val="bottom"/>
          </w:tcPr>
          <w:p>
            <w:pPr>
              <w:spacing w:after="0"/>
              <w:rPr>
                <w:sz w:val="20"/>
                <w:szCs w:val="20"/>
                <w:color w:val="auto"/>
              </w:rPr>
            </w:pPr>
            <w:r>
              <w:rPr>
                <w:rFonts w:ascii="Arial" w:cs="Arial" w:eastAsia="Arial" w:hAnsi="Arial"/>
                <w:sz w:val="16"/>
                <w:szCs w:val="16"/>
                <w:color w:val="auto"/>
              </w:rPr>
              <w:t>Notice of Grant of Nonstatutory Stock Option</w:t>
            </w:r>
          </w:p>
        </w:tc>
        <w:tc>
          <w:tcPr>
            <w:tcW w:w="6900" w:type="dxa"/>
            <w:vAlign w:val="bottom"/>
          </w:tcPr>
          <w:p>
            <w:pPr>
              <w:ind w:left="1400"/>
              <w:spacing w:after="0"/>
              <w:rPr>
                <w:sz w:val="20"/>
                <w:szCs w:val="20"/>
                <w:color w:val="auto"/>
              </w:rPr>
            </w:pPr>
            <w:r>
              <w:rPr>
                <w:rFonts w:ascii="Arial" w:cs="Arial" w:eastAsia="Arial" w:hAnsi="Arial"/>
                <w:sz w:val="16"/>
                <w:szCs w:val="16"/>
                <w:color w:val="auto"/>
              </w:rPr>
              <w:t>Enanta Pharmaceuticals, Inc. ID: 04-3205099</w:t>
            </w:r>
          </w:p>
        </w:tc>
        <w:tc>
          <w:tcPr>
            <w:tcW w:w="20" w:type="dxa"/>
            <w:vAlign w:val="bottom"/>
          </w:tcPr>
          <w:p>
            <w:pPr>
              <w:spacing w:after="0"/>
              <w:rPr>
                <w:sz w:val="16"/>
                <w:szCs w:val="16"/>
                <w:color w:val="auto"/>
              </w:rPr>
            </w:pPr>
          </w:p>
        </w:tc>
      </w:tr>
      <w:tr>
        <w:trPr>
          <w:trHeight w:val="189"/>
        </w:trPr>
        <w:tc>
          <w:tcPr>
            <w:tcW w:w="4540" w:type="dxa"/>
            <w:vAlign w:val="bottom"/>
          </w:tcPr>
          <w:p>
            <w:pPr>
              <w:spacing w:after="0"/>
              <w:rPr>
                <w:sz w:val="16"/>
                <w:szCs w:val="16"/>
                <w:color w:val="auto"/>
              </w:rPr>
            </w:pPr>
          </w:p>
        </w:tc>
        <w:tc>
          <w:tcPr>
            <w:tcW w:w="6900" w:type="dxa"/>
            <w:vAlign w:val="bottom"/>
          </w:tcPr>
          <w:p>
            <w:pPr>
              <w:ind w:left="1400"/>
              <w:spacing w:after="0"/>
              <w:rPr>
                <w:sz w:val="20"/>
                <w:szCs w:val="20"/>
                <w:color w:val="auto"/>
              </w:rPr>
            </w:pPr>
            <w:r>
              <w:rPr>
                <w:rFonts w:ascii="Arial" w:cs="Arial" w:eastAsia="Arial" w:hAnsi="Arial"/>
                <w:sz w:val="16"/>
                <w:szCs w:val="16"/>
                <w:color w:val="auto"/>
              </w:rPr>
              <w:t>500 Arsenal Street</w:t>
            </w:r>
          </w:p>
        </w:tc>
        <w:tc>
          <w:tcPr>
            <w:tcW w:w="20" w:type="dxa"/>
            <w:vAlign w:val="bottom"/>
          </w:tcPr>
          <w:p>
            <w:pPr>
              <w:spacing w:after="0"/>
              <w:rPr>
                <w:sz w:val="16"/>
                <w:szCs w:val="16"/>
                <w:color w:val="auto"/>
              </w:rPr>
            </w:pPr>
          </w:p>
        </w:tc>
      </w:tr>
      <w:tr>
        <w:trPr>
          <w:trHeight w:val="200"/>
        </w:trPr>
        <w:tc>
          <w:tcPr>
            <w:tcW w:w="4540" w:type="dxa"/>
            <w:vAlign w:val="bottom"/>
          </w:tcPr>
          <w:p>
            <w:pPr>
              <w:spacing w:after="0"/>
              <w:rPr>
                <w:sz w:val="17"/>
                <w:szCs w:val="17"/>
                <w:color w:val="auto"/>
              </w:rPr>
            </w:pPr>
          </w:p>
        </w:tc>
        <w:tc>
          <w:tcPr>
            <w:tcW w:w="6900" w:type="dxa"/>
            <w:vAlign w:val="bottom"/>
          </w:tcPr>
          <w:p>
            <w:pPr>
              <w:ind w:left="1400"/>
              <w:spacing w:after="0"/>
              <w:rPr>
                <w:sz w:val="20"/>
                <w:szCs w:val="20"/>
                <w:color w:val="auto"/>
              </w:rPr>
            </w:pPr>
            <w:r>
              <w:rPr>
                <w:rFonts w:ascii="Arial" w:cs="Arial" w:eastAsia="Arial" w:hAnsi="Arial"/>
                <w:sz w:val="16"/>
                <w:szCs w:val="16"/>
                <w:color w:val="auto"/>
              </w:rPr>
              <w:t>Watertown, MA 02472</w:t>
            </w:r>
          </w:p>
        </w:tc>
        <w:tc>
          <w:tcPr>
            <w:tcW w:w="20" w:type="dxa"/>
            <w:vAlign w:val="bottom"/>
          </w:tcPr>
          <w:p>
            <w:pPr>
              <w:spacing w:after="0"/>
              <w:rPr>
                <w:sz w:val="17"/>
                <w:szCs w:val="17"/>
                <w:color w:val="auto"/>
              </w:rPr>
            </w:pPr>
          </w:p>
        </w:tc>
      </w:tr>
      <w:tr>
        <w:trPr>
          <w:trHeight w:val="194"/>
        </w:trPr>
        <w:tc>
          <w:tcPr>
            <w:tcW w:w="4540" w:type="dxa"/>
            <w:vAlign w:val="bottom"/>
            <w:tcBorders>
              <w:bottom w:val="single" w:sz="8" w:color="auto"/>
            </w:tcBorders>
          </w:tcPr>
          <w:p>
            <w:pPr>
              <w:spacing w:after="0"/>
              <w:rPr>
                <w:sz w:val="16"/>
                <w:szCs w:val="16"/>
                <w:color w:val="auto"/>
              </w:rPr>
            </w:pPr>
          </w:p>
        </w:tc>
        <w:tc>
          <w:tcPr>
            <w:tcW w:w="69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377"/>
        </w:trPr>
        <w:tc>
          <w:tcPr>
            <w:tcW w:w="4540" w:type="dxa"/>
            <w:vAlign w:val="bottom"/>
          </w:tcPr>
          <w:p>
            <w:pPr>
              <w:spacing w:after="0"/>
              <w:rPr>
                <w:sz w:val="20"/>
                <w:szCs w:val="20"/>
                <w:color w:val="auto"/>
              </w:rPr>
            </w:pPr>
            <w:r>
              <w:rPr>
                <w:rFonts w:ascii="Arial" w:cs="Arial" w:eastAsia="Arial" w:hAnsi="Arial"/>
                <w:sz w:val="16"/>
                <w:szCs w:val="16"/>
                <w:color w:val="auto"/>
              </w:rPr>
              <w:t>[Name]</w:t>
            </w:r>
          </w:p>
        </w:tc>
        <w:tc>
          <w:tcPr>
            <w:tcW w:w="6900" w:type="dxa"/>
            <w:vAlign w:val="bottom"/>
          </w:tcPr>
          <w:p>
            <w:pPr>
              <w:ind w:left="2160"/>
              <w:spacing w:after="0"/>
              <w:rPr>
                <w:sz w:val="20"/>
                <w:szCs w:val="20"/>
                <w:color w:val="auto"/>
              </w:rPr>
            </w:pPr>
            <w:r>
              <w:rPr>
                <w:rFonts w:ascii="Arial" w:cs="Arial" w:eastAsia="Arial" w:hAnsi="Arial"/>
                <w:sz w:val="16"/>
                <w:szCs w:val="16"/>
                <w:color w:val="auto"/>
              </w:rPr>
              <w:t>Option Number:</w:t>
            </w:r>
          </w:p>
        </w:tc>
        <w:tc>
          <w:tcPr>
            <w:tcW w:w="20" w:type="dxa"/>
            <w:vAlign w:val="bottom"/>
          </w:tcPr>
          <w:p>
            <w:pPr>
              <w:spacing w:after="0"/>
              <w:rPr>
                <w:sz w:val="24"/>
                <w:szCs w:val="24"/>
                <w:color w:val="auto"/>
              </w:rPr>
            </w:pPr>
          </w:p>
        </w:tc>
      </w:tr>
      <w:tr>
        <w:trPr>
          <w:trHeight w:val="379"/>
        </w:trPr>
        <w:tc>
          <w:tcPr>
            <w:tcW w:w="4540" w:type="dxa"/>
            <w:vAlign w:val="bottom"/>
          </w:tcPr>
          <w:p>
            <w:pPr>
              <w:spacing w:after="0"/>
              <w:rPr>
                <w:sz w:val="20"/>
                <w:szCs w:val="20"/>
                <w:color w:val="auto"/>
              </w:rPr>
            </w:pPr>
            <w:r>
              <w:rPr>
                <w:rFonts w:ascii="Arial" w:cs="Arial" w:eastAsia="Arial" w:hAnsi="Arial"/>
                <w:sz w:val="16"/>
                <w:szCs w:val="16"/>
                <w:color w:val="auto"/>
              </w:rPr>
              <w:t>[Address]</w:t>
            </w:r>
          </w:p>
        </w:tc>
        <w:tc>
          <w:tcPr>
            <w:tcW w:w="6900" w:type="dxa"/>
            <w:vAlign w:val="bottom"/>
          </w:tcPr>
          <w:p>
            <w:pPr>
              <w:ind w:left="2160"/>
              <w:spacing w:after="0"/>
              <w:rPr>
                <w:sz w:val="20"/>
                <w:szCs w:val="20"/>
                <w:color w:val="auto"/>
              </w:rPr>
            </w:pPr>
            <w:r>
              <w:rPr>
                <w:rFonts w:ascii="Arial" w:cs="Arial" w:eastAsia="Arial" w:hAnsi="Arial"/>
                <w:sz w:val="16"/>
                <w:szCs w:val="16"/>
                <w:color w:val="auto"/>
              </w:rPr>
              <w:t>Plan: 2019 Equity Incentive Plan</w:t>
            </w:r>
          </w:p>
        </w:tc>
        <w:tc>
          <w:tcPr>
            <w:tcW w:w="20" w:type="dxa"/>
            <w:vAlign w:val="bottom"/>
          </w:tcPr>
          <w:p>
            <w:pPr>
              <w:spacing w:after="0"/>
              <w:rPr>
                <w:sz w:val="24"/>
                <w:szCs w:val="24"/>
                <w:color w:val="auto"/>
              </w:rPr>
            </w:pPr>
          </w:p>
        </w:tc>
      </w:tr>
      <w:tr>
        <w:trPr>
          <w:trHeight w:val="301"/>
        </w:trPr>
        <w:tc>
          <w:tcPr>
            <w:tcW w:w="4540" w:type="dxa"/>
            <w:vAlign w:val="bottom"/>
            <w:tcBorders>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7254875</wp:posOffset>
            </wp:positionH>
            <wp:positionV relativeFrom="paragraph">
              <wp:posOffset>-27305</wp:posOffset>
            </wp:positionV>
            <wp:extent cx="33020" cy="406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0"/>
          </w:cols>
          <w:pgMar w:left="240" w:top="123" w:right="199" w:bottom="1440"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136525</wp:posOffset>
            </wp:positionH>
            <wp:positionV relativeFrom="page">
              <wp:posOffset>88900</wp:posOffset>
            </wp:positionV>
            <wp:extent cx="7303770"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303770" cy="27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ind w:left="5"/>
        <w:spacing w:after="0"/>
        <w:rPr>
          <w:sz w:val="20"/>
          <w:szCs w:val="20"/>
          <w:color w:val="auto"/>
        </w:rPr>
      </w:pPr>
      <w:r>
        <w:rPr>
          <w:rFonts w:ascii="Arial" w:cs="Arial" w:eastAsia="Arial" w:hAnsi="Arial"/>
          <w:sz w:val="14"/>
          <w:szCs w:val="14"/>
          <w:color w:val="auto"/>
        </w:rPr>
        <w:t xml:space="preserve">Effective </w:t>
      </w:r>
      <w:r>
        <w:rPr>
          <w:rFonts w:ascii="Arial" w:cs="Arial" w:eastAsia="Arial" w:hAnsi="Arial"/>
          <w:sz w:val="14"/>
          <w:szCs w:val="14"/>
          <w:b w:val="1"/>
          <w:bCs w:val="1"/>
          <w:color w:val="auto"/>
        </w:rPr>
        <w:t>________________</w:t>
      </w:r>
      <w:r>
        <w:rPr>
          <w:rFonts w:ascii="Arial" w:cs="Arial" w:eastAsia="Arial" w:hAnsi="Arial"/>
          <w:sz w:val="14"/>
          <w:szCs w:val="14"/>
          <w:color w:val="auto"/>
        </w:rPr>
        <w:t>, you (the Optionholder) have been granted a Nonstatutory Stock Option (this Option) to buy ____________ shares of Enanta Pharmaceuticals, Inc. (the C</w:t>
      </w:r>
    </w:p>
    <w:p>
      <w:pPr>
        <w:spacing w:after="0" w:line="44" w:lineRule="exact"/>
        <w:rPr>
          <w:sz w:val="20"/>
          <w:szCs w:val="20"/>
          <w:color w:val="auto"/>
        </w:rPr>
      </w:pPr>
    </w:p>
    <w:p>
      <w:pPr>
        <w:ind w:left="5"/>
        <w:spacing w:after="0"/>
        <w:rPr>
          <w:sz w:val="20"/>
          <w:szCs w:val="20"/>
          <w:color w:val="auto"/>
        </w:rPr>
      </w:pPr>
      <w:r>
        <w:rPr>
          <w:rFonts w:ascii="Arial" w:cs="Arial" w:eastAsia="Arial" w:hAnsi="Arial"/>
          <w:sz w:val="16"/>
          <w:szCs w:val="16"/>
          <w:color w:val="auto"/>
        </w:rPr>
        <w:t>Stock at an exercise price of $______ per share (the Option Price).</w:t>
      </w:r>
    </w:p>
    <w:p>
      <w:pPr>
        <w:spacing w:after="0" w:line="215" w:lineRule="exact"/>
        <w:rPr>
          <w:sz w:val="20"/>
          <w:szCs w:val="20"/>
          <w:color w:val="auto"/>
        </w:rPr>
      </w:pPr>
    </w:p>
    <w:p>
      <w:pPr>
        <w:ind w:left="5"/>
        <w:spacing w:after="0"/>
        <w:rPr>
          <w:sz w:val="20"/>
          <w:szCs w:val="20"/>
          <w:color w:val="auto"/>
        </w:rPr>
      </w:pPr>
      <w:r>
        <w:rPr>
          <w:rFonts w:ascii="Arial" w:cs="Arial" w:eastAsia="Arial" w:hAnsi="Arial"/>
          <w:sz w:val="16"/>
          <w:szCs w:val="16"/>
          <w:color w:val="auto"/>
        </w:rPr>
        <w:t>The total exercise price of this Option is $</w:t>
      </w:r>
      <w:r>
        <w:rPr>
          <w:rFonts w:ascii="Arial" w:cs="Arial" w:eastAsia="Arial" w:hAnsi="Arial"/>
          <w:sz w:val="16"/>
          <w:szCs w:val="16"/>
          <w:b w:val="1"/>
          <w:bCs w:val="1"/>
          <w:color w:val="auto"/>
        </w:rPr>
        <w:t>_________</w:t>
      </w:r>
      <w:r>
        <w:rPr>
          <w:rFonts w:ascii="Arial" w:cs="Arial" w:eastAsia="Arial" w:hAnsi="Arial"/>
          <w:sz w:val="16"/>
          <w:szCs w:val="16"/>
          <w:color w:val="auto"/>
        </w:rPr>
        <w:t>.</w:t>
      </w:r>
    </w:p>
    <w:p>
      <w:pPr>
        <w:spacing w:after="0" w:line="222" w:lineRule="exact"/>
        <w:rPr>
          <w:sz w:val="20"/>
          <w:szCs w:val="20"/>
          <w:color w:val="auto"/>
        </w:rPr>
      </w:pPr>
    </w:p>
    <w:p>
      <w:pPr>
        <w:ind w:left="5"/>
        <w:spacing w:after="0"/>
        <w:rPr>
          <w:sz w:val="20"/>
          <w:szCs w:val="20"/>
          <w:color w:val="auto"/>
        </w:rPr>
      </w:pPr>
      <w:r>
        <w:rPr>
          <w:rFonts w:ascii="Arial" w:cs="Arial" w:eastAsia="Arial" w:hAnsi="Arial"/>
          <w:sz w:val="16"/>
          <w:szCs w:val="16"/>
          <w:color w:val="auto"/>
        </w:rPr>
        <w:t>This Option will become exercisable, or vest, in accordance with the Vesting Types shown below, and will expire on the Expiration Date shown below</w:t>
      </w:r>
    </w:p>
    <w:p>
      <w:pPr>
        <w:spacing w:after="0" w:line="14" w:lineRule="exact"/>
        <w:rPr>
          <w:sz w:val="20"/>
          <w:szCs w:val="20"/>
          <w:color w:val="auto"/>
        </w:rPr>
      </w:pPr>
    </w:p>
    <w:p>
      <w:pPr>
        <w:ind w:left="5"/>
        <w:spacing w:after="0"/>
        <w:rPr>
          <w:sz w:val="20"/>
          <w:szCs w:val="20"/>
          <w:color w:val="auto"/>
        </w:rPr>
      </w:pPr>
      <w:r>
        <w:rPr>
          <w:rFonts w:ascii="Arial" w:cs="Arial" w:eastAsia="Arial" w:hAnsi="Arial"/>
          <w:sz w:val="19"/>
          <w:szCs w:val="19"/>
          <w:color w:val="auto"/>
        </w:rPr>
        <w:t>SharesVesting TypeFull VestingExpiration Date</w:t>
      </w:r>
    </w:p>
    <w:p>
      <w:pPr>
        <w:jc w:val="both"/>
        <w:ind w:left="5"/>
        <w:spacing w:after="0" w:line="269" w:lineRule="auto"/>
        <w:rPr>
          <w:sz w:val="20"/>
          <w:szCs w:val="20"/>
          <w:color w:val="auto"/>
        </w:rPr>
      </w:pPr>
      <w:r>
        <w:rPr>
          <w:rFonts w:ascii="Arial" w:cs="Arial" w:eastAsia="Arial" w:hAnsi="Arial"/>
          <w:sz w:val="15"/>
          <w:szCs w:val="15"/>
          <w:color w:val="auto"/>
        </w:rPr>
        <w:t>This Option shall not be treated as an Incentive Stock Option under Section 422 of the Internal Revenue Code of 1986, as amended. This notice, together with the accom Pharmaceuticals, Inc. 2019 Equity Incentive Plan Nonstatutory Stock Option Terms and Conditions (the Terms and Conditions), as well as the Enanta Pharmaceuticals, Inc Incentive Plan (the Plan) incorporated by reference into the Terms and Conditions, constitute the entire agreement between you and the Company regarding this Option. By you offer, which you have confirmed on the Company’s electronic stock plan system, you agree to the terms of this Option, the Terms and Conditions and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left="1620"/>
        <w:spacing w:after="0"/>
        <w:rPr>
          <w:sz w:val="20"/>
          <w:szCs w:val="20"/>
          <w:color w:val="auto"/>
        </w:rPr>
      </w:pPr>
      <w:r>
        <w:rPr>
          <w:rFonts w:ascii="Arial" w:cs="Arial" w:eastAsia="Arial" w:hAnsi="Arial"/>
          <w:sz w:val="16"/>
          <w:szCs w:val="16"/>
          <w:b w:val="1"/>
          <w:bCs w:val="1"/>
          <w:color w:val="auto"/>
        </w:rPr>
        <w:t>ENANTA PHARMACEUTICALS, INC.</w:t>
      </w:r>
    </w:p>
    <w:p>
      <w:pPr>
        <w:spacing w:after="0" w:line="195" w:lineRule="exact"/>
        <w:rPr>
          <w:sz w:val="20"/>
          <w:szCs w:val="20"/>
          <w:color w:val="auto"/>
        </w:rPr>
      </w:pPr>
    </w:p>
    <w:p>
      <w:pPr>
        <w:jc w:val="center"/>
        <w:ind w:left="1620"/>
        <w:spacing w:after="0"/>
        <w:rPr>
          <w:sz w:val="20"/>
          <w:szCs w:val="20"/>
          <w:color w:val="auto"/>
        </w:rPr>
      </w:pPr>
      <w:r>
        <w:rPr>
          <w:rFonts w:ascii="Arial" w:cs="Arial" w:eastAsia="Arial" w:hAnsi="Arial"/>
          <w:sz w:val="16"/>
          <w:szCs w:val="16"/>
          <w:b w:val="1"/>
          <w:bCs w:val="1"/>
          <w:color w:val="auto"/>
        </w:rPr>
        <w:t>2019 EQUITY INCENTIVE PLAN</w:t>
      </w:r>
    </w:p>
    <w:p>
      <w:pPr>
        <w:spacing w:after="0" w:line="195" w:lineRule="exact"/>
        <w:rPr>
          <w:sz w:val="20"/>
          <w:szCs w:val="20"/>
          <w:color w:val="auto"/>
        </w:rPr>
      </w:pPr>
    </w:p>
    <w:p>
      <w:pPr>
        <w:ind w:left="4845"/>
        <w:spacing w:after="0"/>
        <w:rPr>
          <w:sz w:val="20"/>
          <w:szCs w:val="20"/>
          <w:color w:val="auto"/>
        </w:rPr>
      </w:pPr>
      <w:r>
        <w:rPr>
          <w:rFonts w:ascii="Arial" w:cs="Arial" w:eastAsia="Arial" w:hAnsi="Arial"/>
          <w:sz w:val="16"/>
          <w:szCs w:val="16"/>
          <w:b w:val="1"/>
          <w:bCs w:val="1"/>
          <w:u w:val="single" w:color="auto"/>
          <w:color w:val="auto"/>
        </w:rPr>
        <w:t>Nonstatutory Stock Option Terms and Conditions</w:t>
      </w:r>
    </w:p>
    <w:p>
      <w:pPr>
        <w:spacing w:after="0" w:line="199" w:lineRule="exact"/>
        <w:rPr>
          <w:sz w:val="20"/>
          <w:szCs w:val="20"/>
          <w:color w:val="auto"/>
        </w:rPr>
      </w:pPr>
    </w:p>
    <w:p>
      <w:pPr>
        <w:ind w:left="5" w:hanging="5"/>
        <w:spacing w:after="0" w:line="276" w:lineRule="auto"/>
        <w:tabs>
          <w:tab w:leader="none" w:pos="202" w:val="left"/>
        </w:tabs>
        <w:numPr>
          <w:ilvl w:val="0"/>
          <w:numId w:val="49"/>
        </w:numPr>
        <w:rPr>
          <w:rFonts w:ascii="Arial" w:cs="Arial" w:eastAsia="Arial" w:hAnsi="Arial"/>
          <w:sz w:val="15"/>
          <w:szCs w:val="15"/>
          <w:color w:val="auto"/>
        </w:rPr>
      </w:pPr>
      <w:r>
        <w:rPr>
          <w:rFonts w:ascii="Arial" w:cs="Arial" w:eastAsia="Arial" w:hAnsi="Arial"/>
          <w:sz w:val="15"/>
          <w:szCs w:val="15"/>
          <w:u w:val="single" w:color="auto"/>
          <w:color w:val="auto"/>
        </w:rPr>
        <w:t>Plan Incorporated by Reference</w:t>
      </w:r>
      <w:r>
        <w:rPr>
          <w:rFonts w:ascii="Arial" w:cs="Arial" w:eastAsia="Arial" w:hAnsi="Arial"/>
          <w:sz w:val="15"/>
          <w:szCs w:val="15"/>
          <w:color w:val="auto"/>
        </w:rPr>
        <w:t>. The option subject to these Terms and Conditions (the Option) is issued pursuant to the terms of the Plan and may be amended as provided in the used and not otherwise defined in the accompanying Notice of Grant of Nonstatutory Stock Option and these Terms and Conditions have the meanings given to them in the Conditions do not set forth all the terms and conditions of the Plan applicable to stock options, which are incorporated herein by this reference. The Committee administers the Pla regarding the operation of the Plan are final and binding. Copies of the Plan may be obtained upon written request without charge from the Company.</w:t>
      </w:r>
    </w:p>
    <w:p>
      <w:pPr>
        <w:spacing w:after="0" w:line="58" w:lineRule="exact"/>
        <w:rPr>
          <w:rFonts w:ascii="Arial" w:cs="Arial" w:eastAsia="Arial" w:hAnsi="Arial"/>
          <w:sz w:val="15"/>
          <w:szCs w:val="15"/>
          <w:color w:val="auto"/>
        </w:rPr>
      </w:pPr>
    </w:p>
    <w:p>
      <w:pPr>
        <w:ind w:left="5" w:hanging="5"/>
        <w:spacing w:after="0" w:line="268" w:lineRule="auto"/>
        <w:tabs>
          <w:tab w:leader="none" w:pos="214"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Option Price</w:t>
      </w:r>
      <w:r>
        <w:rPr>
          <w:rFonts w:ascii="Arial" w:cs="Arial" w:eastAsia="Arial" w:hAnsi="Arial"/>
          <w:sz w:val="16"/>
          <w:szCs w:val="16"/>
          <w:color w:val="auto"/>
        </w:rPr>
        <w:t>. The price to be paid for each share of Common Stock issued upon exercise of the whole or any part of this Option is the Option Price set forth in the accompan Nonstatutory Stock Option.</w:t>
      </w:r>
    </w:p>
    <w:p>
      <w:pPr>
        <w:spacing w:after="0" w:line="62" w:lineRule="exact"/>
        <w:rPr>
          <w:rFonts w:ascii="Arial" w:cs="Arial" w:eastAsia="Arial" w:hAnsi="Arial"/>
          <w:sz w:val="16"/>
          <w:szCs w:val="16"/>
          <w:color w:val="auto"/>
        </w:rPr>
      </w:pPr>
    </w:p>
    <w:p>
      <w:pPr>
        <w:jc w:val="both"/>
        <w:ind w:left="5" w:right="60" w:hanging="5"/>
        <w:spacing w:after="0" w:line="341" w:lineRule="auto"/>
        <w:tabs>
          <w:tab w:leader="none" w:pos="202" w:val="left"/>
        </w:tabs>
        <w:numPr>
          <w:ilvl w:val="0"/>
          <w:numId w:val="49"/>
        </w:numPr>
        <w:rPr>
          <w:rFonts w:ascii="Arial" w:cs="Arial" w:eastAsia="Arial" w:hAnsi="Arial"/>
          <w:sz w:val="14"/>
          <w:szCs w:val="14"/>
          <w:color w:val="auto"/>
        </w:rPr>
      </w:pPr>
      <w:r>
        <w:rPr>
          <w:rFonts w:ascii="Arial" w:cs="Arial" w:eastAsia="Arial" w:hAnsi="Arial"/>
          <w:sz w:val="14"/>
          <w:szCs w:val="14"/>
          <w:u w:val="single" w:color="auto"/>
          <w:color w:val="auto"/>
        </w:rPr>
        <w:t>Exercisability Schedule</w:t>
      </w:r>
      <w:r>
        <w:rPr>
          <w:rFonts w:ascii="Arial" w:cs="Arial" w:eastAsia="Arial" w:hAnsi="Arial"/>
          <w:sz w:val="14"/>
          <w:szCs w:val="14"/>
          <w:color w:val="auto"/>
        </w:rPr>
        <w:t>. This Option may be exercised at any time and from time to time for the number of shares and in accordance with its exercisability, or vesting, schedule, accompanying Notice of Grant of Nonstatutory Stock Option, but only for the purchase of whole shares. This Option may not be exercised as to any shares after the Expiration Date.</w:t>
      </w:r>
    </w:p>
    <w:p>
      <w:pPr>
        <w:spacing w:after="0" w:line="15" w:lineRule="exact"/>
        <w:rPr>
          <w:rFonts w:ascii="Arial" w:cs="Arial" w:eastAsia="Arial" w:hAnsi="Arial"/>
          <w:sz w:val="14"/>
          <w:szCs w:val="14"/>
          <w:color w:val="auto"/>
        </w:rPr>
      </w:pPr>
    </w:p>
    <w:p>
      <w:pPr>
        <w:jc w:val="both"/>
        <w:ind w:left="5" w:hanging="5"/>
        <w:spacing w:after="0" w:line="271" w:lineRule="auto"/>
        <w:tabs>
          <w:tab w:leader="none" w:pos="202" w:val="left"/>
        </w:tabs>
        <w:numPr>
          <w:ilvl w:val="0"/>
          <w:numId w:val="49"/>
        </w:numPr>
        <w:rPr>
          <w:rFonts w:ascii="Arial" w:cs="Arial" w:eastAsia="Arial" w:hAnsi="Arial"/>
          <w:sz w:val="15"/>
          <w:szCs w:val="15"/>
          <w:color w:val="auto"/>
        </w:rPr>
      </w:pPr>
      <w:r>
        <w:rPr>
          <w:rFonts w:ascii="Arial" w:cs="Arial" w:eastAsia="Arial" w:hAnsi="Arial"/>
          <w:sz w:val="15"/>
          <w:szCs w:val="15"/>
          <w:u w:val="single" w:color="auto"/>
          <w:color w:val="auto"/>
        </w:rPr>
        <w:t>Method of Exercise</w:t>
      </w:r>
      <w:r>
        <w:rPr>
          <w:rFonts w:ascii="Arial" w:cs="Arial" w:eastAsia="Arial" w:hAnsi="Arial"/>
          <w:sz w:val="15"/>
          <w:szCs w:val="15"/>
          <w:color w:val="auto"/>
        </w:rPr>
        <w:t>. To exercise this Option, the Optionholder shall send an instruction to exercise all or a portion of this Option via the Company’s electronic stock plan system, s shares with respect to which this Option is being exercised, accompanied by payment of the Option Price for such shares in cash, by electronic transfer, by certified check or in such ot Committee may approve, including shares of Common Stock of the Company valued at their Fair Market Value on the date of delivery,. Promptly following such notice, the Compan Company’s Transfer Agent to release to the Optionholder’s account the number of shares with respect to which this Option is being exercised, net of any shares sold by the Optionhold has selected a so-called “cashless exercise”. The released shares will then be available to the Optionholder for trading at the Optionholder’s discretion, subject to the Optionholder’s ob Company amounts for the withholding of taxes (see Section 10 below).</w:t>
      </w:r>
    </w:p>
    <w:p>
      <w:pPr>
        <w:spacing w:after="0" w:line="61" w:lineRule="exact"/>
        <w:rPr>
          <w:rFonts w:ascii="Arial" w:cs="Arial" w:eastAsia="Arial" w:hAnsi="Arial"/>
          <w:sz w:val="15"/>
          <w:szCs w:val="15"/>
          <w:color w:val="auto"/>
        </w:rPr>
      </w:pPr>
    </w:p>
    <w:p>
      <w:pPr>
        <w:ind w:left="5" w:right="40" w:hanging="5"/>
        <w:spacing w:after="0" w:line="268" w:lineRule="auto"/>
        <w:tabs>
          <w:tab w:leader="none" w:pos="238"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Rights as a Stockholder or Employee</w:t>
      </w:r>
      <w:r>
        <w:rPr>
          <w:rFonts w:ascii="Arial" w:cs="Arial" w:eastAsia="Arial" w:hAnsi="Arial"/>
          <w:sz w:val="16"/>
          <w:szCs w:val="16"/>
          <w:color w:val="auto"/>
        </w:rPr>
        <w:t>. The Optionholder shall not have any rights in respect of shares as to which this Option has not been exercised and payment has not above. The Optionholder shall not have any rights to continued employment by the Company or its Affiliates by virtue of the grant of this Option.</w:t>
      </w:r>
    </w:p>
    <w:p>
      <w:pPr>
        <w:spacing w:after="0" w:line="62" w:lineRule="exact"/>
        <w:rPr>
          <w:rFonts w:ascii="Arial" w:cs="Arial" w:eastAsia="Arial" w:hAnsi="Arial"/>
          <w:sz w:val="16"/>
          <w:szCs w:val="16"/>
          <w:color w:val="auto"/>
        </w:rPr>
      </w:pPr>
    </w:p>
    <w:p>
      <w:pPr>
        <w:jc w:val="both"/>
        <w:ind w:left="5" w:hanging="5"/>
        <w:spacing w:after="0" w:line="252" w:lineRule="auto"/>
        <w:tabs>
          <w:tab w:leader="none" w:pos="202"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Recapitalization, Mergers, Etc</w:t>
      </w:r>
      <w:r>
        <w:rPr>
          <w:rFonts w:ascii="Arial" w:cs="Arial" w:eastAsia="Arial" w:hAnsi="Arial"/>
          <w:sz w:val="16"/>
          <w:szCs w:val="16"/>
          <w:color w:val="auto"/>
        </w:rPr>
        <w:t>. As provided in the Plan, in the event of corporate transactions affecting the Company’s outstanding Common Stock, the Committee shall equitabl kind of shares subject to this Option and the exercise price hereunder or make provision for a cash payment. If such transaction involves a consolidation or merger of the Company sale or exchange of all or substantially all of the assets of the Company or a reorganization or liquidation of the Company, then in lieu of the foregoing, the Committee may up Optionholder provide that this Option shall terminate on a date not less than 20 days after the date of such notice unless theretofore exercised. In connection with such notice, th discretion accelerate or waive any deferred exercise period.</w:t>
      </w:r>
    </w:p>
    <w:p>
      <w:pPr>
        <w:spacing w:after="0" w:line="75" w:lineRule="exact"/>
        <w:rPr>
          <w:rFonts w:ascii="Arial" w:cs="Arial" w:eastAsia="Arial" w:hAnsi="Arial"/>
          <w:sz w:val="16"/>
          <w:szCs w:val="16"/>
          <w:color w:val="auto"/>
        </w:rPr>
      </w:pPr>
    </w:p>
    <w:p>
      <w:pPr>
        <w:ind w:left="5" w:hanging="5"/>
        <w:spacing w:after="0" w:line="268" w:lineRule="auto"/>
        <w:tabs>
          <w:tab w:leader="none" w:pos="202"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Option Not Transferable</w:t>
      </w:r>
      <w:r>
        <w:rPr>
          <w:rFonts w:ascii="Arial" w:cs="Arial" w:eastAsia="Arial" w:hAnsi="Arial"/>
          <w:sz w:val="16"/>
          <w:szCs w:val="16"/>
          <w:color w:val="auto"/>
        </w:rPr>
        <w:t>. This Option is not transferable by the Optionholder otherwise than by will or the laws of descent and distribution, and is exercisable, during the Optionh the Optionholder. The naming of a Designated Beneficiary does not constitute a transfer.</w:t>
      </w:r>
    </w:p>
    <w:p>
      <w:pPr>
        <w:spacing w:after="0" w:line="62" w:lineRule="exact"/>
        <w:rPr>
          <w:rFonts w:ascii="Arial" w:cs="Arial" w:eastAsia="Arial" w:hAnsi="Arial"/>
          <w:sz w:val="16"/>
          <w:szCs w:val="16"/>
          <w:color w:val="auto"/>
        </w:rPr>
      </w:pPr>
    </w:p>
    <w:p>
      <w:pPr>
        <w:jc w:val="both"/>
        <w:ind w:left="5" w:hanging="5"/>
        <w:spacing w:after="0" w:line="251" w:lineRule="auto"/>
        <w:tabs>
          <w:tab w:leader="none" w:pos="214"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Exercise of Option After Termination of Employment</w:t>
      </w:r>
      <w:r>
        <w:rPr>
          <w:rFonts w:ascii="Arial" w:cs="Arial" w:eastAsia="Arial" w:hAnsi="Arial"/>
          <w:sz w:val="16"/>
          <w:szCs w:val="16"/>
          <w:color w:val="auto"/>
        </w:rPr>
        <w:t>. If the Optionholder’s status as an employee, director or consultant of the Company or a corporation (or parent or subsid corporation) issuing or assuming a stock option in a transaction to which section 424(a) of the Code applies, is terminated for any reason other than by disability (within the meaning o Code) or death, the Optionholder may exercise the rights which were available to the Optionholder at the time of such termination only within three months from the date of termi terminated as a result of disability, such rights may be exercised within twelve months from the date of termination. Upon the death of the Optionholder, his or her Designated B right, at any time within twelve months after the date of death, to exercise in whole or in part any rights that were available to the Optionholder at the time of death. Notwithstanding under this Option may be exercised after the Expiration Date.</w:t>
      </w:r>
    </w:p>
    <w:p>
      <w:pPr>
        <w:spacing w:after="0" w:line="75" w:lineRule="exact"/>
        <w:rPr>
          <w:rFonts w:ascii="Arial" w:cs="Arial" w:eastAsia="Arial" w:hAnsi="Arial"/>
          <w:sz w:val="16"/>
          <w:szCs w:val="16"/>
          <w:color w:val="auto"/>
        </w:rPr>
      </w:pPr>
    </w:p>
    <w:p>
      <w:pPr>
        <w:jc w:val="both"/>
        <w:ind w:left="5" w:hanging="5"/>
        <w:spacing w:after="0" w:line="257" w:lineRule="auto"/>
        <w:tabs>
          <w:tab w:leader="none" w:pos="202"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Compliance with Securities Laws</w:t>
      </w:r>
      <w:r>
        <w:rPr>
          <w:rFonts w:ascii="Arial" w:cs="Arial" w:eastAsia="Arial" w:hAnsi="Arial"/>
          <w:sz w:val="16"/>
          <w:szCs w:val="16"/>
          <w:color w:val="auto"/>
        </w:rPr>
        <w:t>. It shall be a condition to the Optionholder’s right to purchase shares of Common Stock hereunder that the Company may, in its discretion, requ Common Stock reserved for issue upon the exercise of this Option shall have been duly listed, upon official notice of issuance, upon any national securities exchange or automated qu the Company’s Common Stock</w:t>
      </w:r>
    </w:p>
    <w:p>
      <w:pPr>
        <w:spacing w:after="0" w:line="71" w:lineRule="exact"/>
        <w:rPr>
          <w:sz w:val="20"/>
          <w:szCs w:val="20"/>
          <w:color w:val="auto"/>
        </w:rPr>
      </w:pPr>
    </w:p>
    <w:p>
      <w:pPr>
        <w:ind w:left="5"/>
        <w:spacing w:after="0" w:line="290" w:lineRule="auto"/>
        <w:rPr>
          <w:sz w:val="20"/>
          <w:szCs w:val="20"/>
          <w:color w:val="auto"/>
        </w:rPr>
      </w:pPr>
      <w:r>
        <w:rPr>
          <w:rFonts w:ascii="Arial" w:cs="Arial" w:eastAsia="Arial" w:hAnsi="Arial"/>
          <w:sz w:val="14"/>
          <w:szCs w:val="14"/>
          <w:color w:val="auto"/>
        </w:rPr>
        <w:t>may then be listed or quoted, (b) that either (i) a registration statement under the Securities Act of 1933 with respect to the shares shall be in effect, or (ii) in the opinion of couns proposed purchase shall be exempt from registration under that Act and the Optionholder shall have made such undertakings and agreements with the Company as the Company may</w:t>
      </w:r>
    </w:p>
    <w:p>
      <w:pPr>
        <w:spacing w:after="0" w:line="1" w:lineRule="exact"/>
        <w:rPr>
          <w:sz w:val="20"/>
          <w:szCs w:val="20"/>
          <w:color w:val="auto"/>
        </w:rPr>
      </w:pPr>
    </w:p>
    <w:p>
      <w:pPr>
        <w:jc w:val="both"/>
        <w:ind w:left="5" w:hanging="5"/>
        <w:spacing w:after="0" w:line="250" w:lineRule="auto"/>
        <w:tabs>
          <w:tab w:leader="none" w:pos="222"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that such other steps, if any, as counsel for the Company shall consider necessary to comply with any law applicable to the issue of such shares by the Company shall have been ta the Optionholder, or both. The shares purchased under this Option may may be subject to such stop transfer restrictions as counsel for the Company shall consider necessary to com law.</w:t>
      </w:r>
    </w:p>
    <w:p>
      <w:pPr>
        <w:spacing w:after="0" w:line="76" w:lineRule="exact"/>
        <w:rPr>
          <w:sz w:val="20"/>
          <w:szCs w:val="20"/>
          <w:color w:val="auto"/>
        </w:rPr>
      </w:pPr>
    </w:p>
    <w:p>
      <w:pPr>
        <w:jc w:val="both"/>
        <w:ind w:left="5" w:hanging="5"/>
        <w:spacing w:after="0" w:line="276" w:lineRule="auto"/>
        <w:tabs>
          <w:tab w:leader="none" w:pos="281" w:val="left"/>
        </w:tabs>
        <w:numPr>
          <w:ilvl w:val="0"/>
          <w:numId w:val="51"/>
        </w:numPr>
        <w:rPr>
          <w:rFonts w:ascii="Arial" w:cs="Arial" w:eastAsia="Arial" w:hAnsi="Arial"/>
          <w:sz w:val="15"/>
          <w:szCs w:val="15"/>
          <w:color w:val="auto"/>
        </w:rPr>
      </w:pPr>
      <w:r>
        <w:rPr>
          <w:rFonts w:ascii="Arial" w:cs="Arial" w:eastAsia="Arial" w:hAnsi="Arial"/>
          <w:sz w:val="15"/>
          <w:szCs w:val="15"/>
          <w:u w:val="single" w:color="auto"/>
          <w:color w:val="auto"/>
        </w:rPr>
        <w:t>Payment of Taxes</w:t>
      </w:r>
      <w:r>
        <w:rPr>
          <w:rFonts w:ascii="Arial" w:cs="Arial" w:eastAsia="Arial" w:hAnsi="Arial"/>
          <w:sz w:val="15"/>
          <w:szCs w:val="15"/>
          <w:color w:val="auto"/>
        </w:rPr>
        <w:t>. The Optionholder shall pay to the Company, or make provision satisfactory to the Company for payment of, any taxes required by law to be withheld with resp this Option. The Committee may, in its discretion, require any other Federal or state taxes imposed on the sale of the shares to be paid by the Optionholder. In the Committee’s discre obligations may be paid in whole or in part in shares of Common Stock, including shares retained from the exercise of this Option, valued at their Fair Market Value on the date of del may, to the extent permitted by law, deduct any such tax obligations from any payment of any kind otherwise due to the Optionholder.</w:t>
      </w:r>
    </w:p>
    <w:p>
      <w:pPr>
        <w:sectPr>
          <w:pgSz w:w="11900" w:h="16838" w:orient="portrait"/>
          <w:cols w:equalWidth="0" w:num="1">
            <w:col w:w="11525"/>
          </w:cols>
          <w:pgMar w:left="235" w:top="123" w:right="139" w:bottom="1440" w:gutter="0" w:footer="0" w:header="0"/>
        </w:sectPr>
      </w:pPr>
    </w:p>
    <w:bookmarkStart w:id="56" w:name="page57"/>
    <w:bookmarkEnd w:id="56"/>
    <w:p>
      <w:pPr>
        <w:jc w:val="right"/>
        <w:spacing w:after="0"/>
        <w:rPr>
          <w:sz w:val="20"/>
          <w:szCs w:val="20"/>
          <w:color w:val="auto"/>
        </w:rPr>
      </w:pPr>
      <w:r>
        <w:rPr>
          <w:rFonts w:ascii="Arial" w:cs="Arial" w:eastAsia="Arial" w:hAnsi="Arial"/>
          <w:sz w:val="16"/>
          <w:szCs w:val="16"/>
          <w:b w:val="1"/>
          <w:bCs w:val="1"/>
          <w:color w:val="auto"/>
        </w:rPr>
        <w:t>Exhibit 10.3</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00" w:type="dxa"/>
            <w:vAlign w:val="bottom"/>
          </w:tcPr>
          <w:p>
            <w:pPr>
              <w:spacing w:after="0"/>
              <w:rPr>
                <w:sz w:val="20"/>
                <w:szCs w:val="20"/>
                <w:color w:val="auto"/>
              </w:rPr>
            </w:pPr>
            <w:r>
              <w:rPr>
                <w:rFonts w:ascii="Arial" w:cs="Arial" w:eastAsia="Arial" w:hAnsi="Arial"/>
                <w:sz w:val="16"/>
                <w:szCs w:val="16"/>
                <w:color w:val="auto"/>
              </w:rPr>
              <w:t>Notice of Grant of Nonstatutory Stock Option {Non-Employee Directors}</w:t>
            </w:r>
          </w:p>
        </w:tc>
        <w:tc>
          <w:tcPr>
            <w:tcW w:w="5400" w:type="dxa"/>
            <w:vAlign w:val="bottom"/>
          </w:tcPr>
          <w:p>
            <w:pPr>
              <w:ind w:left="260"/>
              <w:spacing w:after="0"/>
              <w:rPr>
                <w:sz w:val="20"/>
                <w:szCs w:val="20"/>
                <w:color w:val="auto"/>
              </w:rPr>
            </w:pPr>
            <w:r>
              <w:rPr>
                <w:rFonts w:ascii="Arial" w:cs="Arial" w:eastAsia="Arial" w:hAnsi="Arial"/>
                <w:sz w:val="16"/>
                <w:szCs w:val="16"/>
                <w:color w:val="auto"/>
              </w:rPr>
              <w:t>Enanta Pharmaceuticals, Inc. ID: 04-3205099</w:t>
            </w:r>
          </w:p>
        </w:tc>
      </w:tr>
      <w:tr>
        <w:trPr>
          <w:trHeight w:val="189"/>
        </w:trPr>
        <w:tc>
          <w:tcPr>
            <w:tcW w:w="5300" w:type="dxa"/>
            <w:vAlign w:val="bottom"/>
          </w:tcPr>
          <w:p>
            <w:pPr>
              <w:spacing w:after="0"/>
              <w:rPr>
                <w:sz w:val="16"/>
                <w:szCs w:val="16"/>
                <w:color w:val="auto"/>
              </w:rPr>
            </w:pPr>
          </w:p>
        </w:tc>
        <w:tc>
          <w:tcPr>
            <w:tcW w:w="5400" w:type="dxa"/>
            <w:vAlign w:val="bottom"/>
          </w:tcPr>
          <w:p>
            <w:pPr>
              <w:ind w:left="260"/>
              <w:spacing w:after="0"/>
              <w:rPr>
                <w:sz w:val="20"/>
                <w:szCs w:val="20"/>
                <w:color w:val="auto"/>
              </w:rPr>
            </w:pPr>
            <w:r>
              <w:rPr>
                <w:rFonts w:ascii="Arial" w:cs="Arial" w:eastAsia="Arial" w:hAnsi="Arial"/>
                <w:sz w:val="16"/>
                <w:szCs w:val="16"/>
                <w:color w:val="auto"/>
              </w:rPr>
              <w:t>500 Arsenal Street</w:t>
            </w:r>
          </w:p>
        </w:tc>
      </w:tr>
      <w:tr>
        <w:trPr>
          <w:trHeight w:val="200"/>
        </w:trPr>
        <w:tc>
          <w:tcPr>
            <w:tcW w:w="5300" w:type="dxa"/>
            <w:vAlign w:val="bottom"/>
          </w:tcPr>
          <w:p>
            <w:pPr>
              <w:spacing w:after="0"/>
              <w:rPr>
                <w:sz w:val="17"/>
                <w:szCs w:val="17"/>
                <w:color w:val="auto"/>
              </w:rPr>
            </w:pPr>
          </w:p>
        </w:tc>
        <w:tc>
          <w:tcPr>
            <w:tcW w:w="5400" w:type="dxa"/>
            <w:vAlign w:val="bottom"/>
          </w:tcPr>
          <w:p>
            <w:pPr>
              <w:ind w:left="260"/>
              <w:spacing w:after="0"/>
              <w:rPr>
                <w:sz w:val="20"/>
                <w:szCs w:val="20"/>
                <w:color w:val="auto"/>
              </w:rPr>
            </w:pPr>
            <w:r>
              <w:rPr>
                <w:rFonts w:ascii="Arial" w:cs="Arial" w:eastAsia="Arial" w:hAnsi="Arial"/>
                <w:sz w:val="16"/>
                <w:szCs w:val="16"/>
                <w:color w:val="auto"/>
              </w:rPr>
              <w:t>Watertown, MA 02472</w:t>
            </w:r>
          </w:p>
        </w:tc>
      </w:tr>
      <w:tr>
        <w:trPr>
          <w:trHeight w:val="194"/>
        </w:trPr>
        <w:tc>
          <w:tcPr>
            <w:tcW w:w="5300" w:type="dxa"/>
            <w:vAlign w:val="bottom"/>
            <w:tcBorders>
              <w:bottom w:val="single" w:sz="8" w:color="auto"/>
            </w:tcBorders>
          </w:tcPr>
          <w:p>
            <w:pPr>
              <w:spacing w:after="0"/>
              <w:rPr>
                <w:sz w:val="16"/>
                <w:szCs w:val="16"/>
                <w:color w:val="auto"/>
              </w:rPr>
            </w:pPr>
          </w:p>
        </w:tc>
        <w:tc>
          <w:tcPr>
            <w:tcW w:w="5400" w:type="dxa"/>
            <w:vAlign w:val="bottom"/>
            <w:tcBorders>
              <w:bottom w:val="single" w:sz="8" w:color="auto"/>
            </w:tcBorders>
          </w:tcPr>
          <w:p>
            <w:pPr>
              <w:spacing w:after="0"/>
              <w:rPr>
                <w:sz w:val="16"/>
                <w:szCs w:val="16"/>
                <w:color w:val="auto"/>
              </w:rPr>
            </w:pPr>
          </w:p>
        </w:tc>
      </w:tr>
      <w:tr>
        <w:trPr>
          <w:trHeight w:val="366"/>
        </w:trPr>
        <w:tc>
          <w:tcPr>
            <w:tcW w:w="5300" w:type="dxa"/>
            <w:vAlign w:val="bottom"/>
          </w:tcPr>
          <w:p>
            <w:pPr>
              <w:spacing w:after="0"/>
              <w:rPr>
                <w:sz w:val="20"/>
                <w:szCs w:val="20"/>
                <w:color w:val="auto"/>
              </w:rPr>
            </w:pPr>
            <w:r>
              <w:rPr>
                <w:rFonts w:ascii="Arial" w:cs="Arial" w:eastAsia="Arial" w:hAnsi="Arial"/>
                <w:sz w:val="16"/>
                <w:szCs w:val="16"/>
                <w:color w:val="auto"/>
              </w:rPr>
              <w:t>Optionholder:</w:t>
            </w:r>
          </w:p>
        </w:tc>
        <w:tc>
          <w:tcPr>
            <w:tcW w:w="5400" w:type="dxa"/>
            <w:vAlign w:val="bottom"/>
          </w:tcPr>
          <w:p>
            <w:pPr>
              <w:ind w:left="260"/>
              <w:spacing w:after="0"/>
              <w:rPr>
                <w:sz w:val="20"/>
                <w:szCs w:val="20"/>
                <w:color w:val="auto"/>
              </w:rPr>
            </w:pPr>
            <w:r>
              <w:rPr>
                <w:rFonts w:ascii="Arial" w:cs="Arial" w:eastAsia="Arial" w:hAnsi="Arial"/>
                <w:sz w:val="16"/>
                <w:szCs w:val="16"/>
                <w:color w:val="auto"/>
              </w:rPr>
              <w:t>Option Number:</w:t>
            </w:r>
          </w:p>
        </w:tc>
      </w:tr>
      <w:tr>
        <w:trPr>
          <w:trHeight w:val="200"/>
        </w:trPr>
        <w:tc>
          <w:tcPr>
            <w:tcW w:w="5300" w:type="dxa"/>
            <w:vAlign w:val="bottom"/>
          </w:tcPr>
          <w:p>
            <w:pPr>
              <w:spacing w:after="0"/>
              <w:rPr>
                <w:sz w:val="20"/>
                <w:szCs w:val="20"/>
                <w:color w:val="auto"/>
              </w:rPr>
            </w:pPr>
            <w:r>
              <w:rPr>
                <w:rFonts w:ascii="Arial" w:cs="Arial" w:eastAsia="Arial" w:hAnsi="Arial"/>
                <w:sz w:val="16"/>
                <w:szCs w:val="16"/>
                <w:color w:val="auto"/>
              </w:rPr>
              <w:t>[Name and Address]</w:t>
            </w:r>
          </w:p>
        </w:tc>
        <w:tc>
          <w:tcPr>
            <w:tcW w:w="5400" w:type="dxa"/>
            <w:vAlign w:val="bottom"/>
          </w:tcPr>
          <w:p>
            <w:pPr>
              <w:ind w:left="260"/>
              <w:spacing w:after="0"/>
              <w:rPr>
                <w:sz w:val="20"/>
                <w:szCs w:val="20"/>
                <w:color w:val="auto"/>
              </w:rPr>
            </w:pPr>
            <w:r>
              <w:rPr>
                <w:rFonts w:ascii="Arial" w:cs="Arial" w:eastAsia="Arial" w:hAnsi="Arial"/>
                <w:sz w:val="16"/>
                <w:szCs w:val="16"/>
                <w:color w:val="auto"/>
              </w:rPr>
              <w:t>Plan: 2019 Equity Incentive Plan</w:t>
            </w:r>
          </w:p>
        </w:tc>
      </w:tr>
      <w:tr>
        <w:trPr>
          <w:trHeight w:val="159"/>
        </w:trPr>
        <w:tc>
          <w:tcPr>
            <w:tcW w:w="5300" w:type="dxa"/>
            <w:vAlign w:val="bottom"/>
            <w:tcBorders>
              <w:bottom w:val="single" w:sz="8" w:color="auto"/>
            </w:tcBorders>
          </w:tcPr>
          <w:p>
            <w:pPr>
              <w:spacing w:after="0"/>
              <w:rPr>
                <w:sz w:val="13"/>
                <w:szCs w:val="13"/>
                <w:color w:val="auto"/>
              </w:rPr>
            </w:pPr>
          </w:p>
        </w:tc>
        <w:tc>
          <w:tcPr>
            <w:tcW w:w="5400" w:type="dxa"/>
            <w:vAlign w:val="bottom"/>
            <w:tcBorders>
              <w:bottom w:val="single" w:sz="8" w:color="auto"/>
            </w:tcBorders>
          </w:tcPr>
          <w:p>
            <w:pPr>
              <w:spacing w:after="0"/>
              <w:rPr>
                <w:sz w:val="13"/>
                <w:szCs w:val="13"/>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Effective </w:t>
      </w:r>
      <w:r>
        <w:rPr>
          <w:rFonts w:ascii="Arial" w:cs="Arial" w:eastAsia="Arial" w:hAnsi="Arial"/>
          <w:sz w:val="15"/>
          <w:szCs w:val="15"/>
          <w:b w:val="1"/>
          <w:bCs w:val="1"/>
          <w:color w:val="auto"/>
        </w:rPr>
        <w:t>_____________</w:t>
      </w:r>
      <w:r>
        <w:rPr>
          <w:rFonts w:ascii="Arial" w:cs="Arial" w:eastAsia="Arial" w:hAnsi="Arial"/>
          <w:sz w:val="15"/>
          <w:szCs w:val="15"/>
          <w:color w:val="auto"/>
        </w:rPr>
        <w:t xml:space="preserve"> (the Option Date), you (the Optionholder) have been granted a Nonstatutory Stock Option (this Option) to buy </w:t>
      </w:r>
      <w:r>
        <w:rPr>
          <w:rFonts w:ascii="Arial" w:cs="Arial" w:eastAsia="Arial" w:hAnsi="Arial"/>
          <w:sz w:val="15"/>
          <w:szCs w:val="15"/>
          <w:b w:val="1"/>
          <w:bCs w:val="1"/>
          <w:color w:val="auto"/>
        </w:rPr>
        <w:t>_____________</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of Common Stock of Enanta Pharmaceuticals, Inc. (the Company) at an exercise price of $____________ per share.</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The total exercise price of the shares granted is $_____________.</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Shares in each period will become fully vested on the date shown:</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SharesVest TypeFull VestExpiration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479425</wp:posOffset>
            </wp:positionV>
            <wp:extent cx="6797675" cy="152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679767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ind w:right="80"/>
        <w:spacing w:after="0" w:line="252" w:lineRule="auto"/>
        <w:rPr>
          <w:sz w:val="20"/>
          <w:szCs w:val="20"/>
          <w:color w:val="auto"/>
        </w:rPr>
      </w:pPr>
      <w:r>
        <w:rPr>
          <w:rFonts w:ascii="Arial" w:cs="Arial" w:eastAsia="Arial" w:hAnsi="Arial"/>
          <w:sz w:val="16"/>
          <w:szCs w:val="16"/>
          <w:color w:val="auto"/>
        </w:rPr>
        <w:t>This Option shall not be treated as an Incentive Stock Option under Section 422 of the Internal Revenue Code of 1986, as amended. This notice, together with the accompanying Nonstatutory Stock Option Terms and Conditions {Non-Employee Directors} (the Terms and Conditions), as well as the Enanta Pharmaceuticals, Inc. 2019 Equity Incentive Plan (the Plan) incorporated by reference into the Terms and Conditions, constitute the entire agreement between you and the Company regarding this Option. By your acceptance of this notice, which is confirmed on the Company’s electronic stock plan system, you agree to the terms of this Option, the Terms and Conditions and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386080</wp:posOffset>
            </wp:positionV>
            <wp:extent cx="6797675" cy="152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6797675" cy="152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824230</wp:posOffset>
            </wp:positionV>
            <wp:extent cx="7303770" cy="406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0700"/>
          </w:cols>
          <w:pgMar w:left="240" w:top="312" w:right="959" w:bottom="1440" w:gutter="0" w:footer="0" w:header="0"/>
        </w:sectPr>
      </w:pPr>
    </w:p>
    <w:bookmarkStart w:id="57" w:name="page58"/>
    <w:bookmarkEnd w:id="57"/>
    <w:p>
      <w:pPr>
        <w:ind w:left="4325"/>
        <w:spacing w:after="0"/>
        <w:rPr>
          <w:sz w:val="20"/>
          <w:szCs w:val="20"/>
          <w:color w:val="auto"/>
        </w:rPr>
      </w:pPr>
      <w:r>
        <w:rPr>
          <w:rFonts w:ascii="Arial" w:cs="Arial" w:eastAsia="Arial" w:hAnsi="Arial"/>
          <w:sz w:val="16"/>
          <w:szCs w:val="16"/>
          <w:b w:val="1"/>
          <w:bCs w:val="1"/>
          <w:color w:val="auto"/>
        </w:rPr>
        <w:t>ENANTA PHARMACEUTICALS, INC.</w:t>
      </w:r>
    </w:p>
    <w:p>
      <w:pPr>
        <w:spacing w:after="0" w:line="21" w:lineRule="exact"/>
        <w:rPr>
          <w:sz w:val="20"/>
          <w:szCs w:val="20"/>
          <w:color w:val="auto"/>
        </w:rPr>
      </w:pPr>
    </w:p>
    <w:p>
      <w:pPr>
        <w:ind w:left="4525"/>
        <w:spacing w:after="0"/>
        <w:rPr>
          <w:sz w:val="20"/>
          <w:szCs w:val="20"/>
          <w:color w:val="auto"/>
        </w:rPr>
      </w:pPr>
      <w:r>
        <w:rPr>
          <w:rFonts w:ascii="Arial" w:cs="Arial" w:eastAsia="Arial" w:hAnsi="Arial"/>
          <w:sz w:val="16"/>
          <w:szCs w:val="16"/>
          <w:b w:val="1"/>
          <w:bCs w:val="1"/>
          <w:color w:val="auto"/>
        </w:rPr>
        <w:t>2019 EQUITY INCENTIVE PLAN</w:t>
      </w:r>
    </w:p>
    <w:p>
      <w:pPr>
        <w:spacing w:after="0" w:line="85"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u w:val="single" w:color="auto"/>
          <w:color w:val="auto"/>
        </w:rPr>
        <w:t>Nonstatutory Stock Option Terms and Conditions</w:t>
      </w:r>
    </w:p>
    <w:p>
      <w:pPr>
        <w:spacing w:after="0" w:line="195"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u w:val="single" w:color="auto"/>
          <w:color w:val="auto"/>
        </w:rPr>
        <w:t>{Non-Employee Directors}</w:t>
      </w:r>
    </w:p>
    <w:p>
      <w:pPr>
        <w:spacing w:after="0" w:line="199" w:lineRule="exact"/>
        <w:rPr>
          <w:sz w:val="20"/>
          <w:szCs w:val="20"/>
          <w:color w:val="auto"/>
        </w:rPr>
      </w:pPr>
    </w:p>
    <w:p>
      <w:pPr>
        <w:jc w:val="both"/>
        <w:ind w:left="5" w:hanging="5"/>
        <w:spacing w:after="0" w:line="252" w:lineRule="auto"/>
        <w:tabs>
          <w:tab w:leader="none" w:pos="202"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Plan Incorporated by Reference</w:t>
      </w:r>
      <w:r>
        <w:rPr>
          <w:rFonts w:ascii="Arial" w:cs="Arial" w:eastAsia="Arial" w:hAnsi="Arial"/>
          <w:sz w:val="16"/>
          <w:szCs w:val="16"/>
          <w:color w:val="auto"/>
        </w:rPr>
        <w:t>. The option subject to these Terms and Conditions (this Option) was issued pursuant to the terms of the Plan and may be amended as provided in the Plan. Capitalized terms used and not otherwise defined in the accompanying Notice of Grant of Nonstatutory Stock Option {Non-Employee Directors} have the meanings given to them in the Plan. These Terms and Conditions do not set forth all the terms and conditions of the Plan applicable to stock options, which are incorporated herein by this reference. The Committee administers the Plan and its determinations regarding the operation of the Plan are final and binding. Copies of the Plan may be obtained upon written request without charge from the Company.</w:t>
      </w:r>
    </w:p>
    <w:p>
      <w:pPr>
        <w:spacing w:after="0" w:line="75" w:lineRule="exact"/>
        <w:rPr>
          <w:rFonts w:ascii="Arial" w:cs="Arial" w:eastAsia="Arial" w:hAnsi="Arial"/>
          <w:sz w:val="16"/>
          <w:szCs w:val="16"/>
          <w:color w:val="auto"/>
        </w:rPr>
      </w:pPr>
    </w:p>
    <w:p>
      <w:pPr>
        <w:ind w:left="5" w:right="20" w:hanging="5"/>
        <w:spacing w:after="0" w:line="268" w:lineRule="auto"/>
        <w:tabs>
          <w:tab w:leader="none" w:pos="202"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Option Price</w:t>
      </w:r>
      <w:r>
        <w:rPr>
          <w:rFonts w:ascii="Arial" w:cs="Arial" w:eastAsia="Arial" w:hAnsi="Arial"/>
          <w:sz w:val="16"/>
          <w:szCs w:val="16"/>
          <w:color w:val="auto"/>
        </w:rPr>
        <w:t>. The price to be paid for each share of Common Stock issued upon exercise of the whole or any part of this Option is the Option Price set forth in the accompanying Notice of Grant of Nonstatutory Stock Option.</w:t>
      </w:r>
    </w:p>
    <w:p>
      <w:pPr>
        <w:spacing w:after="0" w:line="62" w:lineRule="exact"/>
        <w:rPr>
          <w:rFonts w:ascii="Arial" w:cs="Arial" w:eastAsia="Arial" w:hAnsi="Arial"/>
          <w:sz w:val="16"/>
          <w:szCs w:val="16"/>
          <w:color w:val="auto"/>
        </w:rPr>
      </w:pPr>
    </w:p>
    <w:p>
      <w:pPr>
        <w:jc w:val="both"/>
        <w:ind w:left="5" w:right="20" w:hanging="5"/>
        <w:spacing w:after="0" w:line="257" w:lineRule="auto"/>
        <w:tabs>
          <w:tab w:leader="none" w:pos="202"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Exercisability Schedule</w:t>
      </w:r>
      <w:r>
        <w:rPr>
          <w:rFonts w:ascii="Arial" w:cs="Arial" w:eastAsia="Arial" w:hAnsi="Arial"/>
          <w:sz w:val="16"/>
          <w:szCs w:val="16"/>
          <w:color w:val="auto"/>
        </w:rPr>
        <w:t>. This Option may be exercised at any time and from time to time for the number of shares and in accordance with its exercisability, or vesting, schedule, which is described in the accompanying Notice of Grant of Nonstatutory Stock Option {Non-Employee Directors} , but only for the purchase of whole shares. This Option may not be exercised as to any shares after the Expiration Date.</w:t>
      </w:r>
    </w:p>
    <w:p>
      <w:pPr>
        <w:spacing w:after="0" w:line="71" w:lineRule="exact"/>
        <w:rPr>
          <w:rFonts w:ascii="Arial" w:cs="Arial" w:eastAsia="Arial" w:hAnsi="Arial"/>
          <w:sz w:val="16"/>
          <w:szCs w:val="16"/>
          <w:color w:val="auto"/>
        </w:rPr>
      </w:pPr>
    </w:p>
    <w:p>
      <w:pPr>
        <w:ind w:left="5" w:right="20" w:hanging="5"/>
        <w:spacing w:after="0" w:line="293" w:lineRule="auto"/>
        <w:tabs>
          <w:tab w:leader="none" w:pos="202" w:val="left"/>
        </w:tabs>
        <w:numPr>
          <w:ilvl w:val="0"/>
          <w:numId w:val="52"/>
        </w:numPr>
        <w:rPr>
          <w:rFonts w:ascii="Arial" w:cs="Arial" w:eastAsia="Arial" w:hAnsi="Arial"/>
          <w:sz w:val="14"/>
          <w:szCs w:val="14"/>
          <w:color w:val="auto"/>
        </w:rPr>
      </w:pPr>
      <w:r>
        <w:rPr>
          <w:rFonts w:ascii="Arial" w:cs="Arial" w:eastAsia="Arial" w:hAnsi="Arial"/>
          <w:sz w:val="14"/>
          <w:szCs w:val="14"/>
          <w:u w:val="single" w:color="auto"/>
          <w:color w:val="auto"/>
        </w:rPr>
        <w:t>Method of Exercise</w:t>
      </w:r>
      <w:r>
        <w:rPr>
          <w:rFonts w:ascii="Arial" w:cs="Arial" w:eastAsia="Arial" w:hAnsi="Arial"/>
          <w:sz w:val="14"/>
          <w:szCs w:val="14"/>
          <w:color w:val="auto"/>
        </w:rPr>
        <w:t>. To exercise this Option, the Optionholder shall send an instruction to exercise all or a portion of this Option via the Company’s electronic stock plan system, specifying the number of shares with respect to which this Option is being exercised, accompanied by payment of the Option Price for such shares in cash, by electronic transfer, by certified check or in such other form, if any, as the Committee may approve, including shares of Common Stock of the Company valued at their Fair Market Value on the date of delivery. Promptly following such notice, the Company will instruct the Company’s Transfer Agent to release to the Optionholder’s account the number of shares with respect to which this Option is being exercised, net of any shares sold by the Optionholder if the Optionholder has selected a so-called “cashless exercise”. The released shares will then be available to the Optionholder for trading at the Optionholder’s discretion, subject to the Optionholder’s obligation, if any, as may hereafter arise requiring the withholding of taxes.</w:t>
      </w:r>
    </w:p>
    <w:p>
      <w:pPr>
        <w:spacing w:after="0" w:line="50" w:lineRule="exact"/>
        <w:rPr>
          <w:rFonts w:ascii="Arial" w:cs="Arial" w:eastAsia="Arial" w:hAnsi="Arial"/>
          <w:sz w:val="14"/>
          <w:szCs w:val="14"/>
          <w:color w:val="auto"/>
        </w:rPr>
      </w:pPr>
    </w:p>
    <w:p>
      <w:pPr>
        <w:ind w:left="5" w:hanging="5"/>
        <w:spacing w:after="0" w:line="341" w:lineRule="auto"/>
        <w:tabs>
          <w:tab w:leader="none" w:pos="214" w:val="left"/>
        </w:tabs>
        <w:numPr>
          <w:ilvl w:val="0"/>
          <w:numId w:val="52"/>
        </w:numPr>
        <w:rPr>
          <w:rFonts w:ascii="Arial" w:cs="Arial" w:eastAsia="Arial" w:hAnsi="Arial"/>
          <w:sz w:val="14"/>
          <w:szCs w:val="14"/>
          <w:color w:val="auto"/>
        </w:rPr>
      </w:pPr>
      <w:r>
        <w:rPr>
          <w:rFonts w:ascii="Arial" w:cs="Arial" w:eastAsia="Arial" w:hAnsi="Arial"/>
          <w:sz w:val="14"/>
          <w:szCs w:val="14"/>
          <w:u w:val="single" w:color="auto"/>
          <w:color w:val="auto"/>
        </w:rPr>
        <w:t>Rights as a Stockholder or Director</w:t>
      </w:r>
      <w:r>
        <w:rPr>
          <w:rFonts w:ascii="Arial" w:cs="Arial" w:eastAsia="Arial" w:hAnsi="Arial"/>
          <w:sz w:val="14"/>
          <w:szCs w:val="14"/>
          <w:color w:val="auto"/>
        </w:rPr>
        <w:t>. The Optionholder shall not have any rights in respect of shares as to which this Option has not been exercised and payment has not been made as provided above. The Optionholder shall not have any rights to continued service as a director of the Company or its Affiliates by virtue of the grant of this Option.</w:t>
      </w:r>
    </w:p>
    <w:p>
      <w:pPr>
        <w:spacing w:after="0" w:line="15" w:lineRule="exact"/>
        <w:rPr>
          <w:rFonts w:ascii="Arial" w:cs="Arial" w:eastAsia="Arial" w:hAnsi="Arial"/>
          <w:sz w:val="14"/>
          <w:szCs w:val="14"/>
          <w:color w:val="auto"/>
        </w:rPr>
      </w:pPr>
    </w:p>
    <w:p>
      <w:pPr>
        <w:jc w:val="both"/>
        <w:ind w:left="5" w:hanging="5"/>
        <w:spacing w:after="0" w:line="296" w:lineRule="auto"/>
        <w:tabs>
          <w:tab w:leader="none" w:pos="238" w:val="left"/>
        </w:tabs>
        <w:numPr>
          <w:ilvl w:val="0"/>
          <w:numId w:val="52"/>
        </w:numPr>
        <w:rPr>
          <w:rFonts w:ascii="Arial" w:cs="Arial" w:eastAsia="Arial" w:hAnsi="Arial"/>
          <w:sz w:val="14"/>
          <w:szCs w:val="14"/>
          <w:color w:val="auto"/>
        </w:rPr>
      </w:pPr>
      <w:r>
        <w:rPr>
          <w:rFonts w:ascii="Arial" w:cs="Arial" w:eastAsia="Arial" w:hAnsi="Arial"/>
          <w:sz w:val="14"/>
          <w:szCs w:val="14"/>
          <w:u w:val="single" w:color="auto"/>
          <w:color w:val="auto"/>
        </w:rPr>
        <w:t>Recapitalization, Mergers, Etc</w:t>
      </w:r>
      <w:r>
        <w:rPr>
          <w:rFonts w:ascii="Arial" w:cs="Arial" w:eastAsia="Arial" w:hAnsi="Arial"/>
          <w:sz w:val="14"/>
          <w:szCs w:val="14"/>
          <w:color w:val="auto"/>
        </w:rPr>
        <w:t>. As provided in the Plan, in the event of corporate transactions affecting the Company’s outstanding Common Stock, the Committee shall equitably adjust the number and kind of shares subject to this Option and the exercise price hereunder or make provision for a cash payment. If such transaction involves a consolidation or merger of the Company with another entity, the sale or exchange of all or substantially all of the assets of the Company or a reorganization or liquidation of the Company, then in lieu of the foregoing, the Committee may upon written notice to the Optionholder provide that this Option shall terminate on a date not less than 20 days after the date of such notice unless theretofore exercised. In connection with such notice, the Committee may in its discretion accelerate or waive any deferred exercise period.</w:t>
      </w:r>
    </w:p>
    <w:p>
      <w:pPr>
        <w:spacing w:after="0" w:line="48" w:lineRule="exact"/>
        <w:rPr>
          <w:rFonts w:ascii="Arial" w:cs="Arial" w:eastAsia="Arial" w:hAnsi="Arial"/>
          <w:sz w:val="14"/>
          <w:szCs w:val="14"/>
          <w:color w:val="auto"/>
        </w:rPr>
      </w:pPr>
    </w:p>
    <w:p>
      <w:pPr>
        <w:ind w:left="5" w:right="20" w:hanging="5"/>
        <w:spacing w:after="0" w:line="268" w:lineRule="auto"/>
        <w:tabs>
          <w:tab w:leader="none" w:pos="238"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Option Not Transferable</w:t>
      </w:r>
      <w:r>
        <w:rPr>
          <w:rFonts w:ascii="Arial" w:cs="Arial" w:eastAsia="Arial" w:hAnsi="Arial"/>
          <w:sz w:val="16"/>
          <w:szCs w:val="16"/>
          <w:color w:val="auto"/>
        </w:rPr>
        <w:t>. This Option is not transferable by the Optionholder otherwise than by will or the laws of descent and distribution, and is exercisable, during the Optionholder’s lifetime, only by the Optionholder. The naming of a Designated Beneficiary does not constitute a transfer.</w:t>
      </w:r>
    </w:p>
    <w:p>
      <w:pPr>
        <w:spacing w:after="0" w:line="62" w:lineRule="exact"/>
        <w:rPr>
          <w:rFonts w:ascii="Arial" w:cs="Arial" w:eastAsia="Arial" w:hAnsi="Arial"/>
          <w:sz w:val="16"/>
          <w:szCs w:val="16"/>
          <w:color w:val="auto"/>
        </w:rPr>
      </w:pPr>
    </w:p>
    <w:p>
      <w:pPr>
        <w:jc w:val="both"/>
        <w:ind w:left="5" w:hanging="5"/>
        <w:spacing w:after="0" w:line="273" w:lineRule="auto"/>
        <w:tabs>
          <w:tab w:leader="none" w:pos="238" w:val="left"/>
        </w:tabs>
        <w:numPr>
          <w:ilvl w:val="0"/>
          <w:numId w:val="52"/>
        </w:numPr>
        <w:rPr>
          <w:rFonts w:ascii="Arial" w:cs="Arial" w:eastAsia="Arial" w:hAnsi="Arial"/>
          <w:sz w:val="15"/>
          <w:szCs w:val="15"/>
          <w:color w:val="auto"/>
        </w:rPr>
      </w:pPr>
      <w:r>
        <w:rPr>
          <w:rFonts w:ascii="Arial" w:cs="Arial" w:eastAsia="Arial" w:hAnsi="Arial"/>
          <w:sz w:val="15"/>
          <w:szCs w:val="15"/>
          <w:u w:val="single" w:color="auto"/>
          <w:color w:val="auto"/>
        </w:rPr>
        <w:t>Exercise of Option After Termination of Service</w:t>
      </w:r>
      <w:r>
        <w:rPr>
          <w:rFonts w:ascii="Arial" w:cs="Arial" w:eastAsia="Arial" w:hAnsi="Arial"/>
          <w:sz w:val="15"/>
          <w:szCs w:val="15"/>
          <w:color w:val="auto"/>
        </w:rPr>
        <w:t>. If the Optionholder’s status as a director of the Company or a corporation (or parent or subsidiary corporation of such corporation) issuing or assuming a stock option in a transaction to which section 424(a) of the Code applies, is terminated for any reason the Optionholder may exercise the rights which were available to the Optionholder at the time of such termination only within two years from the date of termination. Upon the death of the Optionholder, his or her Designated Beneficiary shall have the right, at any time within twelve months after the date of death, to exercise in whole or in part any rights that were available to the Optionholder at the time of death. Notwithstanding the foregoing, no rights under this Option may be exercised after the 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288925</wp:posOffset>
            </wp:positionV>
            <wp:extent cx="7303770" cy="406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312" w:right="219" w:bottom="1440" w:gutter="0" w:footer="0" w:header="0"/>
        </w:sectPr>
      </w:pPr>
    </w:p>
    <w:bookmarkStart w:id="58" w:name="page59"/>
    <w:bookmarkEnd w:id="58"/>
    <w:p>
      <w:pPr>
        <w:jc w:val="both"/>
        <w:ind w:left="5" w:hanging="5"/>
        <w:spacing w:after="0" w:line="249" w:lineRule="auto"/>
        <w:tabs>
          <w:tab w:leader="none" w:pos="214"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Compliance with Securities Laws</w:t>
      </w:r>
      <w:r>
        <w:rPr>
          <w:rFonts w:ascii="Arial" w:cs="Arial" w:eastAsia="Arial" w:hAnsi="Arial"/>
          <w:sz w:val="16"/>
          <w:szCs w:val="16"/>
          <w:color w:val="auto"/>
        </w:rPr>
        <w:t>. It shall be a condition to the Optionholder’s right to purchase shares of Common Stock hereunder that the Company may, in its discretion, require (a) that the shares of Common Stock reserved for issue upon the exercise of this Option shall have been duly listed, upon official notice of issuance, upon any national securities exchange or automated quotation system on which the Company’s Common Stock may then be listed or quoted, (b) that either (i) a registration statement under the Securities Act of 1933 with respect to the shares shall be in effect, or (ii) in the opinion of counsel for the Company, the proposed purchase shall be exempt from registration under that Act and the Optionholder shall have made such undertakings and agreements with the Company as the Company may reasonably require, and (c) that such other steps, if any, as counsel for the Company shall consider necessary to comply with any law applicable to the issue of such shares by the Company shall have been taken by the Company or the Optionholder, or both. The shares purchased under this Option may be subject to such stop transfer restrictions as counsel for the Company shall consider necessary to comply with any applicable law.</w:t>
      </w:r>
    </w:p>
    <w:p>
      <w:pPr>
        <w:sectPr>
          <w:pgSz w:w="11900" w:h="16838" w:orient="portrait"/>
          <w:cols w:equalWidth="0" w:num="1">
            <w:col w:w="11445"/>
          </w:cols>
          <w:pgMar w:left="235" w:top="316" w:right="219" w:bottom="1440" w:gutter="0" w:footer="0" w:header="0"/>
        </w:sectPr>
      </w:pPr>
    </w:p>
    <w:bookmarkStart w:id="59" w:name="page60"/>
    <w:bookmarkEnd w:id="59"/>
    <w:p>
      <w:pPr>
        <w:jc w:val="right"/>
        <w:ind w:right="80"/>
        <w:spacing w:after="0"/>
        <w:rPr>
          <w:sz w:val="20"/>
          <w:szCs w:val="20"/>
          <w:color w:val="auto"/>
        </w:rPr>
      </w:pPr>
      <w:r>
        <w:rPr>
          <w:rFonts w:ascii="Arial" w:cs="Arial" w:eastAsia="Arial" w:hAnsi="Arial"/>
          <w:sz w:val="16"/>
          <w:szCs w:val="16"/>
          <w:b w:val="1"/>
          <w:bCs w:val="1"/>
          <w:color w:val="auto"/>
        </w:rPr>
        <w:t>Exhibit 10.4</w:t>
      </w:r>
    </w:p>
    <w:p>
      <w:pPr>
        <w:spacing w:after="0" w:line="21"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ENANTA PHARMACEUTICALS, INC.</w:t>
      </w:r>
    </w:p>
    <w:p>
      <w:pPr>
        <w:spacing w:after="0" w:line="180"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2019 Equity Incentive Plan</w:t>
      </w:r>
    </w:p>
    <w:p>
      <w:pPr>
        <w:spacing w:after="0" w:line="21"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u w:val="single" w:color="auto"/>
          <w:color w:val="auto"/>
        </w:rPr>
        <w:t>Relative Total Stockholder Return Unit Certificate</w:t>
      </w:r>
    </w:p>
    <w:p>
      <w:pPr>
        <w:spacing w:after="0" w:line="176" w:lineRule="exact"/>
        <w:rPr>
          <w:sz w:val="20"/>
          <w:szCs w:val="20"/>
          <w:color w:val="auto"/>
        </w:rPr>
      </w:pPr>
    </w:p>
    <w:tbl>
      <w:tblPr>
        <w:tblLayout w:type="fixed"/>
        <w:tblInd w:w="130" w:type="dxa"/>
        <w:tblCellMar>
          <w:top w:w="0" w:type="dxa"/>
          <w:left w:w="0" w:type="dxa"/>
          <w:bottom w:w="0" w:type="dxa"/>
          <w:right w:w="0" w:type="dxa"/>
        </w:tblCellMar>
      </w:tblPr>
      <w:tr>
        <w:trPr>
          <w:trHeight w:val="201"/>
        </w:trPr>
        <w:tc>
          <w:tcPr>
            <w:tcW w:w="57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rTSRU Certificate Number: rTSRU-</w:t>
            </w:r>
          </w:p>
        </w:tc>
        <w:tc>
          <w:tcPr>
            <w:tcW w:w="5660" w:type="dxa"/>
            <w:vAlign w:val="bottom"/>
            <w:tcBorders>
              <w:top w:val="single" w:sz="8" w:color="auto"/>
              <w:bottom w:val="single" w:sz="8" w:color="auto"/>
            </w:tcBorders>
          </w:tcPr>
          <w:p>
            <w:pPr>
              <w:ind w:left="5180"/>
              <w:spacing w:after="0"/>
              <w:rPr>
                <w:sz w:val="20"/>
                <w:szCs w:val="20"/>
                <w:color w:val="auto"/>
              </w:rPr>
            </w:pPr>
            <w:r>
              <w:rPr>
                <w:rFonts w:ascii="Arial" w:cs="Arial" w:eastAsia="Arial" w:hAnsi="Arial"/>
                <w:sz w:val="16"/>
                <w:szCs w:val="16"/>
                <w:color w:val="auto"/>
                <w:w w:val="94"/>
              </w:rPr>
              <w:t>rTSRU</w:t>
            </w:r>
          </w:p>
        </w:tc>
      </w:tr>
    </w:tbl>
    <w:p>
      <w:pPr>
        <w:spacing w:after="0" w:line="390" w:lineRule="exact"/>
        <w:rPr>
          <w:sz w:val="20"/>
          <w:szCs w:val="20"/>
          <w:color w:val="auto"/>
        </w:rPr>
      </w:pPr>
    </w:p>
    <w:p>
      <w:pPr>
        <w:jc w:val="both"/>
        <w:ind w:right="80"/>
        <w:spacing w:after="0" w:line="276" w:lineRule="auto"/>
        <w:rPr>
          <w:sz w:val="20"/>
          <w:szCs w:val="20"/>
          <w:color w:val="auto"/>
        </w:rPr>
      </w:pPr>
      <w:r>
        <w:rPr>
          <w:rFonts w:ascii="Arial" w:cs="Arial" w:eastAsia="Arial" w:hAnsi="Arial"/>
          <w:sz w:val="15"/>
          <w:szCs w:val="15"/>
          <w:color w:val="auto"/>
        </w:rPr>
        <w:t>This Relative Total Stockholder Return Unit Certificate confirms that Enanta Pharmaceuticals, Inc. (the “</w:t>
      </w:r>
      <w:r>
        <w:rPr>
          <w:rFonts w:ascii="Arial" w:cs="Arial" w:eastAsia="Arial" w:hAnsi="Arial"/>
          <w:sz w:val="15"/>
          <w:szCs w:val="15"/>
          <w:u w:val="single" w:color="auto"/>
          <w:color w:val="auto"/>
        </w:rPr>
        <w:t>Company</w:t>
      </w:r>
      <w:r>
        <w:rPr>
          <w:rFonts w:ascii="Arial" w:cs="Arial" w:eastAsia="Arial" w:hAnsi="Arial"/>
          <w:sz w:val="15"/>
          <w:szCs w:val="15"/>
          <w:color w:val="auto"/>
        </w:rPr>
        <w:t>”), a Delaware corporation, has granted to the person named below (“</w:t>
      </w:r>
      <w:r>
        <w:rPr>
          <w:rFonts w:ascii="Arial" w:cs="Arial" w:eastAsia="Arial" w:hAnsi="Arial"/>
          <w:sz w:val="15"/>
          <w:szCs w:val="15"/>
          <w:u w:val="single" w:color="auto"/>
          <w:color w:val="auto"/>
        </w:rPr>
        <w:t>Participant</w:t>
      </w:r>
      <w:r>
        <w:rPr>
          <w:rFonts w:ascii="Arial" w:cs="Arial" w:eastAsia="Arial" w:hAnsi="Arial"/>
          <w:sz w:val="15"/>
          <w:szCs w:val="15"/>
          <w:color w:val="auto"/>
        </w:rPr>
        <w:t>”) an award (this “</w:t>
      </w:r>
      <w:r>
        <w:rPr>
          <w:rFonts w:ascii="Arial" w:cs="Arial" w:eastAsia="Arial" w:hAnsi="Arial"/>
          <w:sz w:val="15"/>
          <w:szCs w:val="15"/>
          <w:u w:val="single" w:color="auto"/>
          <w:color w:val="auto"/>
        </w:rPr>
        <w:t>Award</w:t>
      </w:r>
      <w:r>
        <w:rPr>
          <w:rFonts w:ascii="Arial" w:cs="Arial" w:eastAsia="Arial" w:hAnsi="Arial"/>
          <w:sz w:val="15"/>
          <w:szCs w:val="15"/>
          <w:color w:val="auto"/>
        </w:rPr>
        <w:t>”) of the number of Relative Total Stockholder Return Units (“</w:t>
      </w:r>
      <w:r>
        <w:rPr>
          <w:rFonts w:ascii="Arial" w:cs="Arial" w:eastAsia="Arial" w:hAnsi="Arial"/>
          <w:sz w:val="15"/>
          <w:szCs w:val="15"/>
          <w:u w:val="single" w:color="auto"/>
          <w:color w:val="auto"/>
        </w:rPr>
        <w:t>rTSRUs</w:t>
      </w:r>
      <w:r>
        <w:rPr>
          <w:rFonts w:ascii="Arial" w:cs="Arial" w:eastAsia="Arial" w:hAnsi="Arial"/>
          <w:sz w:val="15"/>
          <w:szCs w:val="15"/>
          <w:color w:val="auto"/>
        </w:rPr>
        <w:t>”) set forth above pursuant to the Company’s 2019 Equity Incentive Plan (the “</w:t>
      </w:r>
      <w:r>
        <w:rPr>
          <w:rFonts w:ascii="Arial" w:cs="Arial" w:eastAsia="Arial" w:hAnsi="Arial"/>
          <w:sz w:val="15"/>
          <w:szCs w:val="15"/>
          <w:u w:val="single" w:color="auto"/>
          <w:color w:val="auto"/>
        </w:rPr>
        <w:t>Plan</w:t>
      </w:r>
      <w:r>
        <w:rPr>
          <w:rFonts w:ascii="Arial" w:cs="Arial" w:eastAsia="Arial" w:hAnsi="Arial"/>
          <w:sz w:val="15"/>
          <w:szCs w:val="15"/>
          <w:color w:val="auto"/>
        </w:rPr>
        <w:t>”), each rTSRU representing the right to receive one share of the Company’s Common Stock, $.01 par value per share (the “</w:t>
      </w:r>
      <w:r>
        <w:rPr>
          <w:rFonts w:ascii="Arial" w:cs="Arial" w:eastAsia="Arial" w:hAnsi="Arial"/>
          <w:sz w:val="15"/>
          <w:szCs w:val="15"/>
          <w:u w:val="single" w:color="auto"/>
          <w:color w:val="auto"/>
        </w:rPr>
        <w:t>Common Stock</w:t>
      </w:r>
      <w:r>
        <w:rPr>
          <w:rFonts w:ascii="Arial" w:cs="Arial" w:eastAsia="Arial" w:hAnsi="Arial"/>
          <w:sz w:val="15"/>
          <w:szCs w:val="15"/>
          <w:color w:val="auto"/>
        </w:rPr>
        <w:t>”), subject to adjustment as provided below, and subject to the definitions and terms and conditions set forth or otherwise referenced below.</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Name of Participant:</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Target Number of rTSRU Shares:</w:t>
      </w:r>
    </w:p>
    <w:p>
      <w:pPr>
        <w:spacing w:after="0" w:line="89" w:lineRule="exact"/>
        <w:rPr>
          <w:sz w:val="20"/>
          <w:szCs w:val="20"/>
          <w:color w:val="auto"/>
        </w:rPr>
      </w:pPr>
    </w:p>
    <w:p>
      <w:pPr>
        <w:ind w:left="1900" w:right="180" w:hanging="1904"/>
        <w:spacing w:after="0" w:line="267" w:lineRule="auto"/>
        <w:tabs>
          <w:tab w:leader="none" w:pos="1880" w:val="left"/>
        </w:tabs>
        <w:rPr>
          <w:sz w:val="20"/>
          <w:szCs w:val="20"/>
          <w:color w:val="auto"/>
        </w:rPr>
      </w:pPr>
      <w:r>
        <w:rPr>
          <w:rFonts w:ascii="Arial" w:cs="Arial" w:eastAsia="Arial" w:hAnsi="Arial"/>
          <w:sz w:val="16"/>
          <w:szCs w:val="16"/>
          <w:color w:val="auto"/>
        </w:rPr>
        <w:t>Vesting Schedule:</w:t>
      </w:r>
      <w:r>
        <w:rPr>
          <w:sz w:val="20"/>
          <w:szCs w:val="20"/>
          <w:color w:val="auto"/>
        </w:rPr>
        <w:tab/>
      </w:r>
      <w:r>
        <w:rPr>
          <w:rFonts w:ascii="Arial" w:cs="Arial" w:eastAsia="Arial" w:hAnsi="Arial"/>
          <w:sz w:val="14"/>
          <w:szCs w:val="14"/>
          <w:color w:val="auto"/>
        </w:rPr>
        <w:t>If the Company’s Ending Price is higher than the Baseline Price, a number of whole shares of Common Stock (rounding down) subject to this Award shall vest in an amount equal to (A) 50% of the Target Number of rTSRU Shares if the Company’s TSR ranks in the 65th percentile of the Comparator Group, but not if it is less, and shall be adjusted to (B) 100% of the Target Number of rTSRU Shares if the Company’s TSR ranks in the 75th percentile of the Comparator Group, and (C) 150% of the Target Number of rTSRU Shares if the Company’s TSR ranks at or above the 85th percentile of the Comparator Group, in each case as determined by the Company’s Compensation Committee in good faith using the discrete percentile ranking method that includes the Company in the ranking, and in the case of the Company’s TSR ranking falling between any two of those percentiles, straight-line interpolation will be used to make such adjustment between the price of the 65th percentile and the 75th percentile, and between the 75th percentile and the 85th percentile, to determine a graduated payout for actual ranking of the Company’s TSR (e.g. if 65th percentile has a 110% increase in TSR, the 75th percentile has a 130% increase, and the Company’s TSR has increased by 120%, then the rTSRUs would vest at the mid-point, namely 75% of the Target Number of rTSRU Shares); provided, however, that none of the rTSRUs shall vest if the Company’s Ending Price is not higher than the Baseline Price. (The meanings of capitalized terms not defined above are set forth in the accompanying Appendix of rTSRU Definitions and Formulas.)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460" w:type="dxa"/>
            <w:vAlign w:val="bottom"/>
          </w:tcPr>
          <w:p>
            <w:pPr>
              <w:spacing w:after="0"/>
              <w:rPr>
                <w:sz w:val="20"/>
                <w:szCs w:val="20"/>
                <w:color w:val="auto"/>
              </w:rPr>
            </w:pPr>
            <w:r>
              <w:rPr>
                <w:rFonts w:ascii="Arial" w:cs="Arial" w:eastAsia="Arial" w:hAnsi="Arial"/>
                <w:sz w:val="16"/>
                <w:szCs w:val="16"/>
                <w:color w:val="auto"/>
              </w:rPr>
              <w:t>Baseline Period:</w:t>
            </w:r>
          </w:p>
        </w:tc>
        <w:tc>
          <w:tcPr>
            <w:tcW w:w="9800" w:type="dxa"/>
            <w:vAlign w:val="bottom"/>
            <w:gridSpan w:val="3"/>
          </w:tcPr>
          <w:p>
            <w:pPr>
              <w:ind w:left="440"/>
              <w:spacing w:after="0"/>
              <w:rPr>
                <w:sz w:val="20"/>
                <w:szCs w:val="20"/>
                <w:color w:val="auto"/>
              </w:rPr>
            </w:pPr>
            <w:r>
              <w:rPr>
                <w:rFonts w:ascii="Arial" w:cs="Arial" w:eastAsia="Arial" w:hAnsi="Arial"/>
                <w:sz w:val="14"/>
                <w:szCs w:val="14"/>
                <w:color w:val="auto"/>
              </w:rPr>
              <w:t>The 60 calendar days immediately before January 1,_____</w:t>
            </w:r>
            <w:r>
              <w:rPr>
                <w:rFonts w:ascii="Arial" w:cs="Arial" w:eastAsia="Arial" w:hAnsi="Arial"/>
                <w:sz w:val="15"/>
                <w:szCs w:val="15"/>
                <w:color w:val="auto"/>
              </w:rPr>
              <w:t>.</w:t>
            </w:r>
          </w:p>
        </w:tc>
      </w:tr>
      <w:tr>
        <w:trPr>
          <w:trHeight w:val="379"/>
        </w:trPr>
        <w:tc>
          <w:tcPr>
            <w:tcW w:w="1460" w:type="dxa"/>
            <w:vAlign w:val="bottom"/>
          </w:tcPr>
          <w:p>
            <w:pPr>
              <w:spacing w:after="0"/>
              <w:rPr>
                <w:sz w:val="20"/>
                <w:szCs w:val="20"/>
                <w:color w:val="auto"/>
              </w:rPr>
            </w:pPr>
            <w:r>
              <w:rPr>
                <w:rFonts w:ascii="Arial" w:cs="Arial" w:eastAsia="Arial" w:hAnsi="Arial"/>
                <w:sz w:val="16"/>
                <w:szCs w:val="16"/>
                <w:color w:val="auto"/>
              </w:rPr>
              <w:t>Ending Period:</w:t>
            </w:r>
          </w:p>
        </w:tc>
        <w:tc>
          <w:tcPr>
            <w:tcW w:w="9800" w:type="dxa"/>
            <w:vAlign w:val="bottom"/>
            <w:gridSpan w:val="3"/>
          </w:tcPr>
          <w:p>
            <w:pPr>
              <w:ind w:left="660"/>
              <w:spacing w:after="0"/>
              <w:rPr>
                <w:sz w:val="20"/>
                <w:szCs w:val="20"/>
                <w:color w:val="auto"/>
              </w:rPr>
            </w:pPr>
            <w:r>
              <w:rPr>
                <w:rFonts w:ascii="Arial" w:cs="Arial" w:eastAsia="Arial" w:hAnsi="Arial"/>
                <w:sz w:val="14"/>
                <w:szCs w:val="14"/>
                <w:color w:val="auto"/>
              </w:rPr>
              <w:t>The 60 calendar days immediately before January 1,_____.</w:t>
            </w:r>
          </w:p>
        </w:tc>
      </w:tr>
      <w:tr>
        <w:trPr>
          <w:trHeight w:val="379"/>
        </w:trPr>
        <w:tc>
          <w:tcPr>
            <w:tcW w:w="11260" w:type="dxa"/>
            <w:vAlign w:val="bottom"/>
            <w:gridSpan w:val="4"/>
          </w:tcPr>
          <w:p>
            <w:pPr>
              <w:ind w:left="340"/>
              <w:spacing w:after="0"/>
              <w:rPr>
                <w:sz w:val="20"/>
                <w:szCs w:val="20"/>
                <w:color w:val="auto"/>
              </w:rPr>
            </w:pPr>
            <w:r>
              <w:rPr>
                <w:rFonts w:ascii="Arial" w:cs="Arial" w:eastAsia="Arial" w:hAnsi="Arial"/>
                <w:sz w:val="16"/>
                <w:szCs w:val="16"/>
                <w:color w:val="auto"/>
              </w:rPr>
              <w:t xml:space="preserve">Performance Period: </w:t>
            </w:r>
            <w:r>
              <w:rPr>
                <w:rFonts w:ascii="Arial" w:cs="Arial" w:eastAsia="Arial" w:hAnsi="Arial"/>
                <w:sz w:val="14"/>
                <w:szCs w:val="14"/>
                <w:color w:val="auto"/>
              </w:rPr>
              <w:t>The period ending December 31, ______.</w:t>
            </w:r>
          </w:p>
        </w:tc>
      </w:tr>
      <w:tr>
        <w:trPr>
          <w:trHeight w:val="360"/>
        </w:trPr>
        <w:tc>
          <w:tcPr>
            <w:tcW w:w="1460" w:type="dxa"/>
            <w:vAlign w:val="bottom"/>
          </w:tcPr>
          <w:p>
            <w:pPr>
              <w:spacing w:after="0"/>
              <w:rPr>
                <w:sz w:val="20"/>
                <w:szCs w:val="20"/>
                <w:color w:val="auto"/>
              </w:rPr>
            </w:pPr>
            <w:r>
              <w:rPr>
                <w:rFonts w:ascii="Arial" w:cs="Arial" w:eastAsia="Arial" w:hAnsi="Arial"/>
                <w:sz w:val="16"/>
                <w:szCs w:val="16"/>
                <w:color w:val="auto"/>
              </w:rPr>
              <w:t>Settlement:</w:t>
            </w:r>
          </w:p>
        </w:tc>
        <w:tc>
          <w:tcPr>
            <w:tcW w:w="9800" w:type="dxa"/>
            <w:vAlign w:val="bottom"/>
            <w:gridSpan w:val="3"/>
          </w:tcPr>
          <w:p>
            <w:pPr>
              <w:ind w:left="440"/>
              <w:spacing w:after="0"/>
              <w:rPr>
                <w:sz w:val="20"/>
                <w:szCs w:val="20"/>
                <w:color w:val="auto"/>
              </w:rPr>
            </w:pPr>
            <w:r>
              <w:rPr>
                <w:rFonts w:ascii="Arial" w:cs="Arial" w:eastAsia="Arial" w:hAnsi="Arial"/>
                <w:sz w:val="14"/>
                <w:szCs w:val="14"/>
                <w:color w:val="auto"/>
                <w:w w:val="92"/>
              </w:rPr>
              <w:t>All vested rTSRUs will settle, and the underlying vested shares of the Company’s Common Stock will be issued to the Participant, subject to Participant’s continued</w:t>
            </w:r>
          </w:p>
        </w:tc>
      </w:tr>
      <w:tr>
        <w:trPr>
          <w:trHeight w:val="150"/>
        </w:trPr>
        <w:tc>
          <w:tcPr>
            <w:tcW w:w="1460" w:type="dxa"/>
            <w:vAlign w:val="bottom"/>
          </w:tcPr>
          <w:p>
            <w:pPr>
              <w:spacing w:after="0"/>
              <w:rPr>
                <w:sz w:val="13"/>
                <w:szCs w:val="13"/>
                <w:color w:val="auto"/>
              </w:rPr>
            </w:pPr>
          </w:p>
        </w:tc>
        <w:tc>
          <w:tcPr>
            <w:tcW w:w="9800" w:type="dxa"/>
            <w:vAlign w:val="bottom"/>
            <w:gridSpan w:val="3"/>
          </w:tcPr>
          <w:p>
            <w:pPr>
              <w:ind w:left="440"/>
              <w:spacing w:after="0" w:line="151" w:lineRule="exact"/>
              <w:rPr>
                <w:sz w:val="20"/>
                <w:szCs w:val="20"/>
                <w:color w:val="auto"/>
              </w:rPr>
            </w:pPr>
            <w:r>
              <w:rPr>
                <w:rFonts w:ascii="Arial" w:cs="Arial" w:eastAsia="Arial" w:hAnsi="Arial"/>
                <w:sz w:val="14"/>
                <w:szCs w:val="14"/>
                <w:color w:val="auto"/>
                <w:w w:val="93"/>
              </w:rPr>
              <w:t>employment with the Company, and subject to tax withholding, on the later date (the “Settlement Date”) of (A) the first February 12 (or if such date is not a trading</w:t>
            </w:r>
          </w:p>
        </w:tc>
      </w:tr>
      <w:tr>
        <w:trPr>
          <w:trHeight w:val="20"/>
        </w:trPr>
        <w:tc>
          <w:tcPr>
            <w:tcW w:w="146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185"/>
        </w:trPr>
        <w:tc>
          <w:tcPr>
            <w:tcW w:w="1460" w:type="dxa"/>
            <w:vAlign w:val="bottom"/>
          </w:tcPr>
          <w:p>
            <w:pPr>
              <w:spacing w:after="0"/>
              <w:rPr>
                <w:sz w:val="16"/>
                <w:szCs w:val="16"/>
                <w:color w:val="auto"/>
              </w:rPr>
            </w:pPr>
          </w:p>
        </w:tc>
        <w:tc>
          <w:tcPr>
            <w:tcW w:w="9800" w:type="dxa"/>
            <w:vAlign w:val="bottom"/>
            <w:gridSpan w:val="3"/>
          </w:tcPr>
          <w:p>
            <w:pPr>
              <w:ind w:left="440"/>
              <w:spacing w:after="0"/>
              <w:rPr>
                <w:sz w:val="20"/>
                <w:szCs w:val="20"/>
                <w:color w:val="auto"/>
              </w:rPr>
            </w:pPr>
            <w:r>
              <w:rPr>
                <w:rFonts w:ascii="Arial" w:cs="Arial" w:eastAsia="Arial" w:hAnsi="Arial"/>
                <w:sz w:val="14"/>
                <w:szCs w:val="14"/>
                <w:color w:val="auto"/>
                <w:w w:val="92"/>
              </w:rPr>
              <w:t>day, then the first trading day thereafter) after the close of the Company’s _____ fiscal year or (B) if there is any change in the Company’s fiscal year, the first day of</w:t>
            </w:r>
          </w:p>
        </w:tc>
      </w:tr>
      <w:tr>
        <w:trPr>
          <w:trHeight w:val="180"/>
        </w:trPr>
        <w:tc>
          <w:tcPr>
            <w:tcW w:w="1460" w:type="dxa"/>
            <w:vAlign w:val="bottom"/>
          </w:tcPr>
          <w:p>
            <w:pPr>
              <w:spacing w:after="0"/>
              <w:rPr>
                <w:sz w:val="15"/>
                <w:szCs w:val="15"/>
                <w:color w:val="auto"/>
              </w:rPr>
            </w:pPr>
          </w:p>
        </w:tc>
        <w:tc>
          <w:tcPr>
            <w:tcW w:w="9800" w:type="dxa"/>
            <w:vAlign w:val="bottom"/>
            <w:gridSpan w:val="3"/>
          </w:tcPr>
          <w:p>
            <w:pPr>
              <w:ind w:left="440"/>
              <w:spacing w:after="0"/>
              <w:rPr>
                <w:sz w:val="20"/>
                <w:szCs w:val="20"/>
                <w:color w:val="auto"/>
              </w:rPr>
            </w:pPr>
            <w:r>
              <w:rPr>
                <w:rFonts w:ascii="Arial" w:cs="Arial" w:eastAsia="Arial" w:hAnsi="Arial"/>
                <w:sz w:val="14"/>
                <w:szCs w:val="14"/>
                <w:color w:val="auto"/>
              </w:rPr>
              <w:t>the third calendar month after the close of the Company’s _____ fiscal year.</w:t>
            </w:r>
          </w:p>
        </w:tc>
      </w:tr>
    </w:tbl>
    <w:p>
      <w:pPr>
        <w:spacing w:after="0" w:line="182" w:lineRule="exact"/>
        <w:rPr>
          <w:sz w:val="20"/>
          <w:szCs w:val="20"/>
          <w:color w:val="auto"/>
        </w:rPr>
      </w:pPr>
    </w:p>
    <w:p>
      <w:pPr>
        <w:jc w:val="both"/>
        <w:ind w:right="280"/>
        <w:spacing w:after="0" w:line="268" w:lineRule="auto"/>
        <w:rPr>
          <w:sz w:val="20"/>
          <w:szCs w:val="20"/>
          <w:color w:val="auto"/>
        </w:rPr>
      </w:pPr>
      <w:r>
        <w:rPr>
          <w:rFonts w:ascii="Arial" w:cs="Arial" w:eastAsia="Arial" w:hAnsi="Arial"/>
          <w:sz w:val="16"/>
          <w:szCs w:val="16"/>
          <w:color w:val="auto"/>
        </w:rPr>
        <w:t xml:space="preserve">By acceptance of this Award, Participant agrees to all the terms and conditions hereof, including, without limitation, those set forth in the Plan and in the accompanying </w:t>
      </w:r>
      <w:r>
        <w:rPr>
          <w:rFonts w:ascii="Arial" w:cs="Arial" w:eastAsia="Arial" w:hAnsi="Arial"/>
          <w:sz w:val="16"/>
          <w:szCs w:val="16"/>
          <w:u w:val="single" w:color="auto"/>
          <w:color w:val="auto"/>
        </w:rPr>
        <w:t>Appendix</w:t>
      </w:r>
      <w:r>
        <w:rPr>
          <w:rFonts w:ascii="Arial" w:cs="Arial" w:eastAsia="Arial" w:hAnsi="Arial"/>
          <w:sz w:val="16"/>
          <w:szCs w:val="16"/>
          <w:color w:val="auto"/>
        </w:rPr>
        <w:t xml:space="preserve"> </w:t>
      </w:r>
      <w:r>
        <w:rPr>
          <w:rFonts w:ascii="Arial" w:cs="Arial" w:eastAsia="Arial" w:hAnsi="Arial"/>
          <w:sz w:val="16"/>
          <w:szCs w:val="16"/>
          <w:u w:val="single" w:color="auto"/>
          <w:color w:val="auto"/>
        </w:rPr>
        <w:t>of rTSRU Definitions and Formulas</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Terms and Conditions of rTSRU Award</w:t>
      </w:r>
      <w:r>
        <w:rPr>
          <w:rFonts w:ascii="Arial" w:cs="Arial" w:eastAsia="Arial" w:hAnsi="Arial"/>
          <w:sz w:val="16"/>
          <w:szCs w:val="16"/>
          <w:color w:val="auto"/>
        </w:rPr>
        <w:t>.</w:t>
      </w:r>
    </w:p>
    <w:p>
      <w:pPr>
        <w:spacing w:after="0" w:line="153" w:lineRule="exact"/>
        <w:rPr>
          <w:sz w:val="20"/>
          <w:szCs w:val="20"/>
          <w:color w:val="auto"/>
        </w:rPr>
      </w:pPr>
    </w:p>
    <w:p>
      <w:pPr>
        <w:ind w:left="3380"/>
        <w:spacing w:after="0"/>
        <w:rPr>
          <w:sz w:val="20"/>
          <w:szCs w:val="20"/>
          <w:color w:val="auto"/>
        </w:rPr>
      </w:pPr>
      <w:r>
        <w:rPr>
          <w:rFonts w:ascii="Arial" w:cs="Arial" w:eastAsia="Arial" w:hAnsi="Arial"/>
          <w:sz w:val="16"/>
          <w:szCs w:val="16"/>
          <w:b w:val="1"/>
          <w:bCs w:val="1"/>
          <w:color w:val="auto"/>
        </w:rPr>
        <w:t>ENANTA PHARMACEUTICALS, INC</w:t>
      </w:r>
      <w:r>
        <w:rPr>
          <w:rFonts w:ascii="Arial" w:cs="Arial" w:eastAsia="Arial" w:hAnsi="Arial"/>
          <w:sz w:val="16"/>
          <w:szCs w:val="16"/>
          <w:color w:val="auto"/>
        </w:rPr>
        <w:t>.</w:t>
      </w:r>
    </w:p>
    <w:p>
      <w:pPr>
        <w:spacing w:after="0" w:line="38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Senior Vice President, Finance &amp; Administration and Chief Financial Officer</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426720</wp:posOffset>
            </wp:positionV>
            <wp:extent cx="7303770" cy="406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520"/>
          </w:cols>
          <w:pgMar w:left="240" w:top="123" w:right="139" w:bottom="1440" w:gutter="0" w:footer="0" w:header="0"/>
        </w:sectPr>
      </w:pPr>
    </w:p>
    <w:bookmarkStart w:id="60" w:name="page61"/>
    <w:bookmarkEnd w:id="60"/>
    <w:p>
      <w:pPr>
        <w:jc w:val="center"/>
        <w:ind w:right="-59"/>
        <w:spacing w:after="0"/>
        <w:rPr>
          <w:sz w:val="20"/>
          <w:szCs w:val="20"/>
          <w:color w:val="auto"/>
        </w:rPr>
      </w:pPr>
      <w:r>
        <w:rPr>
          <w:rFonts w:ascii="Arial" w:cs="Arial" w:eastAsia="Arial" w:hAnsi="Arial"/>
          <w:sz w:val="17"/>
          <w:szCs w:val="17"/>
          <w:b w:val="1"/>
          <w:bCs w:val="1"/>
          <w:color w:val="auto"/>
        </w:rPr>
        <w:t>ENANTA PHARMACEUTICALS, INC.</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u w:val="single" w:color="auto"/>
          <w:color w:val="auto"/>
        </w:rPr>
        <w:t>Appendix of rTSRU Definitions and Formulas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Comparator</w:t>
      </w:r>
    </w:p>
    <w:p>
      <w:pPr>
        <w:spacing w:after="0" w:line="17" w:lineRule="exact"/>
        <w:rPr>
          <w:sz w:val="20"/>
          <w:szCs w:val="20"/>
          <w:color w:val="auto"/>
        </w:rPr>
      </w:pPr>
    </w:p>
    <w:p>
      <w:pPr>
        <w:ind w:left="1140" w:right="120" w:hanging="1016"/>
        <w:spacing w:after="0" w:line="253" w:lineRule="auto"/>
        <w:tabs>
          <w:tab w:leader="none" w:pos="1120" w:val="left"/>
        </w:tabs>
        <w:rPr>
          <w:sz w:val="20"/>
          <w:szCs w:val="20"/>
          <w:color w:val="auto"/>
        </w:rPr>
      </w:pPr>
      <w:r>
        <w:rPr>
          <w:rFonts w:ascii="Arial" w:cs="Arial" w:eastAsia="Arial" w:hAnsi="Arial"/>
          <w:sz w:val="16"/>
          <w:szCs w:val="16"/>
          <w:u w:val="single" w:color="auto"/>
          <w:color w:val="auto"/>
        </w:rPr>
        <w:t>Group</w:t>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means the list of component companies (each a “Peer Company”, and collectively, the “Peer Companies”) that are in the Nasdaq Biotechnology Index at the end of the Baseline Period, adjusted as follows after the Baseline Period:</w:t>
      </w:r>
    </w:p>
    <w:p>
      <w:pPr>
        <w:spacing w:after="0" w:line="169" w:lineRule="exact"/>
        <w:rPr>
          <w:sz w:val="20"/>
          <w:szCs w:val="20"/>
          <w:color w:val="auto"/>
        </w:rPr>
      </w:pPr>
    </w:p>
    <w:p>
      <w:pPr>
        <w:ind w:left="1700" w:hanging="567"/>
        <w:spacing w:after="0" w:line="254" w:lineRule="auto"/>
        <w:rPr>
          <w:sz w:val="20"/>
          <w:szCs w:val="20"/>
          <w:color w:val="auto"/>
        </w:rPr>
      </w:pPr>
      <w:r>
        <w:rPr>
          <w:rFonts w:ascii="Arial" w:cs="Arial" w:eastAsia="Arial" w:hAnsi="Arial"/>
          <w:sz w:val="16"/>
          <w:szCs w:val="16"/>
          <w:color w:val="auto"/>
        </w:rPr>
        <w:t>(i)in the event of a merger, acquisition or business combination transaction of a Peer Company with or by another Peer Company, the surviving entity shall remain a Peer Company;</w:t>
      </w:r>
    </w:p>
    <w:p>
      <w:pPr>
        <w:ind w:left="1700" w:right="80" w:hanging="567"/>
        <w:spacing w:after="0" w:line="246" w:lineRule="auto"/>
        <w:rPr>
          <w:sz w:val="20"/>
          <w:szCs w:val="20"/>
          <w:color w:val="auto"/>
        </w:rPr>
      </w:pPr>
      <w:r>
        <w:rPr>
          <w:rFonts w:ascii="Arial" w:cs="Arial" w:eastAsia="Arial" w:hAnsi="Arial"/>
          <w:sz w:val="16"/>
          <w:szCs w:val="16"/>
          <w:color w:val="auto"/>
        </w:rPr>
        <w:t>(ii)in the event of a merger of a Peer Company with an entity that is not a Peer Company, or the acquisition or business combination transaction by or with a Peer Company or with an entity that is not a Peer Company, in each case where the Peer Company is the surviving entity and remains publicly traded, the surviving entity shall remain a Peer Company;</w:t>
      </w:r>
    </w:p>
    <w:p>
      <w:pPr>
        <w:spacing w:after="0" w:line="2" w:lineRule="exact"/>
        <w:rPr>
          <w:sz w:val="20"/>
          <w:szCs w:val="20"/>
          <w:color w:val="auto"/>
        </w:rPr>
      </w:pPr>
    </w:p>
    <w:p>
      <w:pPr>
        <w:ind w:left="1700" w:right="60" w:hanging="567"/>
        <w:spacing w:after="0" w:line="246" w:lineRule="auto"/>
        <w:rPr>
          <w:sz w:val="20"/>
          <w:szCs w:val="20"/>
          <w:color w:val="auto"/>
        </w:rPr>
      </w:pPr>
      <w:r>
        <w:rPr>
          <w:rFonts w:ascii="Arial" w:cs="Arial" w:eastAsia="Arial" w:hAnsi="Arial"/>
          <w:sz w:val="16"/>
          <w:szCs w:val="16"/>
          <w:color w:val="auto"/>
        </w:rPr>
        <w:t>(iii)in the event of a merger or acquisition or business combination transaction of a Peer Company by or with an entity that is not a Peer Company, a “going private” transaction involving a Peer Company or the liquidation of a Peer Company, in each case where the Peer Company is not the surviving entity or is otherwise no longer publicly traded, the company shall no longer be a Peer Company;</w:t>
      </w:r>
    </w:p>
    <w:p>
      <w:pPr>
        <w:spacing w:after="0" w:line="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(iv)in the event of a bankruptcy of a Peer Company, such company shall remain a Peer Company; and</w:t>
      </w:r>
    </w:p>
    <w:p>
      <w:pPr>
        <w:spacing w:after="0" w:line="5"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(v)the Peer Companies will not be changed due to any annual or other rebalancing of the Nasdaq Biotechnology Index after the Baseline Period.</w:t>
      </w:r>
    </w:p>
    <w:p>
      <w:pPr>
        <w:spacing w:after="0" w:line="89" w:lineRule="exact"/>
        <w:rPr>
          <w:sz w:val="20"/>
          <w:szCs w:val="20"/>
          <w:color w:val="auto"/>
        </w:rPr>
      </w:pPr>
    </w:p>
    <w:p>
      <w:pPr>
        <w:ind w:left="1140" w:right="100" w:hanging="1135"/>
        <w:spacing w:after="0" w:line="26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Baseline Price</w:t>
      </w:r>
      <w:r>
        <w:rPr>
          <w:rFonts w:ascii="Arial" w:cs="Arial" w:eastAsia="Arial" w:hAnsi="Arial"/>
          <w:sz w:val="16"/>
          <w:szCs w:val="16"/>
          <w:color w:val="auto"/>
        </w:rPr>
        <w:t>” means, with respect to the Company or any Peer Company, the average daily closing price of the respective company’s common stock for the trading days in the Baseline Period.</w:t>
      </w:r>
    </w:p>
    <w:p>
      <w:pPr>
        <w:spacing w:after="0" w:line="157" w:lineRule="exact"/>
        <w:rPr>
          <w:sz w:val="20"/>
          <w:szCs w:val="20"/>
          <w:color w:val="auto"/>
        </w:rPr>
      </w:pPr>
    </w:p>
    <w:p>
      <w:pPr>
        <w:ind w:left="1140" w:right="100" w:hanging="1135"/>
        <w:spacing w:after="0" w:line="268" w:lineRule="auto"/>
        <w:tabs>
          <w:tab w:leader="none" w:pos="1120" w:val="left"/>
        </w:tabs>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Ending Price</w:t>
      </w:r>
      <w:r>
        <w:rPr>
          <w:rFonts w:ascii="Arial" w:cs="Arial" w:eastAsia="Arial" w:hAnsi="Arial"/>
          <w:sz w:val="16"/>
          <w:szCs w:val="16"/>
          <w:color w:val="auto"/>
        </w:rPr>
        <w:t>”</w:t>
        <w:tab/>
        <w:t>means, with respect to the Company or any Peer Company, the average daily closing price of the respective company’s common stock for the trading days in the Ending Period.</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rTSRU Shares</w:t>
      </w:r>
      <w:r>
        <w:rPr>
          <w:rFonts w:ascii="Arial" w:cs="Arial" w:eastAsia="Arial" w:hAnsi="Arial"/>
          <w:sz w:val="16"/>
          <w:szCs w:val="16"/>
          <w:color w:val="auto"/>
        </w:rPr>
        <w:t>” means the shares of Common Stock issuable with respect to the rTSRUs subject to the Award.</w:t>
      </w:r>
    </w:p>
    <w:p>
      <w:pPr>
        <w:spacing w:after="0" w:line="100"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The total stockholder return (“TSR”) of the Company and of each Peer Company shall be determined by the following formula:</w:t>
      </w:r>
    </w:p>
    <w:p>
      <w:pPr>
        <w:spacing w:after="0" w:line="195"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 xml:space="preserve">TSR = </w:t>
      </w:r>
      <w:r>
        <w:rPr>
          <w:rFonts w:ascii="Arial" w:cs="Arial" w:eastAsia="Arial" w:hAnsi="Arial"/>
          <w:sz w:val="16"/>
          <w:szCs w:val="16"/>
          <w:u w:val="single" w:color="auto"/>
          <w:color w:val="auto"/>
        </w:rPr>
        <w:t>(Ending Price – Baseline Price) + Reinvested Dividends</w:t>
      </w:r>
    </w:p>
    <w:p>
      <w:pPr>
        <w:spacing w:after="0" w:line="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Baseline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303770" cy="406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380"/>
          </w:cols>
          <w:pgMar w:left="240" w:top="320" w:right="279" w:bottom="1440" w:gutter="0" w:footer="0" w:header="0"/>
        </w:sectPr>
      </w:pPr>
    </w:p>
    <w:bookmarkStart w:id="61" w:name="page62"/>
    <w:bookmarkEnd w:id="61"/>
    <w:p>
      <w:pPr>
        <w:ind w:left="280" w:right="100"/>
        <w:spacing w:after="0" w:line="268" w:lineRule="auto"/>
        <w:rPr>
          <w:sz w:val="20"/>
          <w:szCs w:val="20"/>
          <w:color w:val="auto"/>
        </w:rPr>
      </w:pPr>
      <w:r>
        <w:rPr>
          <w:rFonts w:ascii="Arial" w:cs="Arial" w:eastAsia="Arial" w:hAnsi="Arial"/>
          <w:sz w:val="16"/>
          <w:szCs w:val="16"/>
          <w:color w:val="auto"/>
        </w:rPr>
        <w:t>Provided, that, if the Company or any Peer Company pays a cash dividend during the Performance Period, the dividend shall be deemed to be reinvested in the issuer’s common stock as of the dividend payment date (a “Reinvested Dividend”) .</w:t>
      </w:r>
    </w:p>
    <w:p>
      <w:pPr>
        <w:spacing w:after="0" w:line="157" w:lineRule="exact"/>
        <w:rPr>
          <w:sz w:val="20"/>
          <w:szCs w:val="20"/>
          <w:color w:val="auto"/>
        </w:rPr>
      </w:pPr>
    </w:p>
    <w:p>
      <w:pPr>
        <w:jc w:val="both"/>
        <w:ind w:right="60" w:hanging="1135"/>
        <w:spacing w:after="0" w:line="257" w:lineRule="auto"/>
        <w:rPr>
          <w:sz w:val="20"/>
          <w:szCs w:val="20"/>
          <w:color w:val="auto"/>
        </w:rPr>
      </w:pPr>
      <w:r>
        <w:rPr>
          <w:rFonts w:ascii="Arial" w:cs="Arial" w:eastAsia="Arial" w:hAnsi="Arial"/>
          <w:sz w:val="16"/>
          <w:szCs w:val="16"/>
          <w:color w:val="auto"/>
        </w:rPr>
        <w:t>“r</w:t>
      </w:r>
      <w:r>
        <w:rPr>
          <w:rFonts w:ascii="Arial" w:cs="Arial" w:eastAsia="Arial" w:hAnsi="Arial"/>
          <w:sz w:val="16"/>
          <w:szCs w:val="16"/>
          <w:u w:val="single" w:color="auto"/>
          <w:color w:val="auto"/>
        </w:rPr>
        <w:t>TSR</w:t>
      </w:r>
      <w:r>
        <w:rPr>
          <w:rFonts w:ascii="Arial" w:cs="Arial" w:eastAsia="Arial" w:hAnsi="Arial"/>
          <w:sz w:val="16"/>
          <w:szCs w:val="16"/>
          <w:color w:val="auto"/>
        </w:rPr>
        <w:t>”</w:t>
      </w:r>
      <w:r>
        <w:rPr>
          <w:sz w:val="20"/>
          <w:szCs w:val="20"/>
          <w:color w:val="auto"/>
        </w:rPr>
        <w:t xml:space="preserve"> </w:t>
      </w:r>
      <w:r>
        <w:rPr>
          <w:rFonts w:ascii="Arial" w:cs="Arial" w:eastAsia="Arial" w:hAnsi="Arial"/>
          <w:sz w:val="16"/>
          <w:szCs w:val="16"/>
          <w:color w:val="auto"/>
        </w:rPr>
        <w:t>means the Company’s TSR relative to the TSR of each of the Peer Companies. The rTSR will be determined by ranking the Company and the Peer Companies from highest to lowest according to their respective TSRs. After this ranking, the percentile performance of the Company relative to the Peer Companies will be determined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2570480</wp:posOffset>
            </wp:positionH>
            <wp:positionV relativeFrom="paragraph">
              <wp:posOffset>-6350</wp:posOffset>
            </wp:positionV>
            <wp:extent cx="668655" cy="3003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668655" cy="3003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where:</w:t>
      </w:r>
    </w:p>
    <w:p>
      <w:pPr>
        <w:spacing w:after="0" w:line="1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“P” represents the percentile performance which will be rounded, if necessary, to the nearest whole percentile by application of regular rounding.</w:t>
      </w:r>
    </w:p>
    <w:p>
      <w:pPr>
        <w:spacing w:after="0" w:line="1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 represents the number of companies in the Comparator Group, including the Company.</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“R” represents Company’s ranking among the companies in the Comparator Group.</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Example: </w:t>
      </w:r>
      <w:r>
        <w:rPr>
          <w:rFonts w:ascii="Arial" w:cs="Arial" w:eastAsia="Arial" w:hAnsi="Arial"/>
          <w:sz w:val="15"/>
          <w:szCs w:val="15"/>
          <w:color w:val="auto"/>
        </w:rPr>
        <w:t>If there are 24 Peer Companies, and the Company ranked 7</w:t>
      </w:r>
      <w:r>
        <w:rPr>
          <w:rFonts w:ascii="Arial" w:cs="Arial" w:eastAsia="Arial" w:hAnsi="Arial"/>
          <w:sz w:val="12"/>
          <w:szCs w:val="12"/>
          <w:color w:val="auto"/>
        </w:rPr>
        <w:t>th</w:t>
      </w:r>
      <w:r>
        <w:rPr>
          <w:rFonts w:ascii="Arial" w:cs="Arial" w:eastAsia="Arial" w:hAnsi="Arial"/>
          <w:sz w:val="15"/>
          <w:szCs w:val="15"/>
          <w:color w:val="auto"/>
        </w:rPr>
        <w:t>, the performance would be at the 75</w:t>
      </w:r>
      <w:r>
        <w:rPr>
          <w:rFonts w:ascii="Arial" w:cs="Arial" w:eastAsia="Arial" w:hAnsi="Arial"/>
          <w:sz w:val="12"/>
          <w:szCs w:val="12"/>
          <w:color w:val="auto"/>
        </w:rPr>
        <w:t>th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percentile: .75 = 1 – ((7-1)/(25-1)).</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rTSR will be calculated by the Compensation Committee of the Board of Directors of the Company in good faith based on the terms set forth in this </w:t>
      </w:r>
      <w:r>
        <w:rPr>
          <w:rFonts w:ascii="Arial" w:cs="Arial" w:eastAsia="Arial" w:hAnsi="Arial"/>
          <w:sz w:val="14"/>
          <w:szCs w:val="14"/>
          <w:u w:val="single" w:color="auto"/>
          <w:color w:val="auto"/>
        </w:rPr>
        <w:t>Appendix A.</w:t>
      </w:r>
    </w:p>
    <w:p>
      <w:pPr>
        <w:spacing w:after="0" w:line="218" w:lineRule="exact"/>
        <w:rPr>
          <w:sz w:val="20"/>
          <w:szCs w:val="20"/>
          <w:color w:val="auto"/>
        </w:rPr>
      </w:pPr>
    </w:p>
    <w:p>
      <w:pPr>
        <w:ind w:right="440"/>
        <w:spacing w:after="0" w:line="268" w:lineRule="auto"/>
        <w:rPr>
          <w:sz w:val="20"/>
          <w:szCs w:val="20"/>
          <w:color w:val="auto"/>
        </w:rPr>
      </w:pPr>
      <w:r>
        <w:rPr>
          <w:rFonts w:ascii="Arial" w:cs="Arial" w:eastAsia="Arial" w:hAnsi="Arial"/>
          <w:sz w:val="16"/>
          <w:szCs w:val="16"/>
          <w:color w:val="auto"/>
        </w:rPr>
        <w:t>In the event of a payout percentage level above 100%, Participant will be awarded additional rTSRU Shares so that the total number of rTSRU Shares that vest equals the Target Number of rTSRU Shares multiplied by the payout percentage level.</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In no event shall the number of rTSRU Shares issued exceed 150% of the Target Number of rTSRU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539750</wp:posOffset>
            </wp:positionV>
            <wp:extent cx="7303770" cy="406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0180"/>
          </w:cols>
          <w:pgMar w:left="1380" w:top="328" w:right="339" w:bottom="1440" w:gutter="0" w:footer="0" w:header="0"/>
        </w:sectPr>
      </w:pPr>
    </w:p>
    <w:bookmarkStart w:id="62" w:name="page63"/>
    <w:bookmarkEnd w:id="62"/>
    <w:p>
      <w:pPr>
        <w:ind w:left="4425"/>
        <w:spacing w:after="0"/>
        <w:rPr>
          <w:sz w:val="20"/>
          <w:szCs w:val="20"/>
          <w:color w:val="auto"/>
        </w:rPr>
      </w:pPr>
      <w:r>
        <w:rPr>
          <w:rFonts w:ascii="Arial" w:cs="Arial" w:eastAsia="Arial" w:hAnsi="Arial"/>
          <w:sz w:val="16"/>
          <w:szCs w:val="16"/>
          <w:b w:val="1"/>
          <w:bCs w:val="1"/>
          <w:color w:val="auto"/>
        </w:rPr>
        <w:t>ENANTA PHARACEUTICALS, INC.</w:t>
      </w:r>
    </w:p>
    <w:p>
      <w:pPr>
        <w:spacing w:after="0" w:line="21" w:lineRule="exact"/>
        <w:rPr>
          <w:sz w:val="20"/>
          <w:szCs w:val="20"/>
          <w:color w:val="auto"/>
        </w:rPr>
      </w:pPr>
    </w:p>
    <w:p>
      <w:pPr>
        <w:ind w:left="4385"/>
        <w:spacing w:after="0"/>
        <w:rPr>
          <w:sz w:val="20"/>
          <w:szCs w:val="20"/>
          <w:color w:val="auto"/>
        </w:rPr>
      </w:pPr>
      <w:r>
        <w:rPr>
          <w:rFonts w:ascii="Arial" w:cs="Arial" w:eastAsia="Arial" w:hAnsi="Arial"/>
          <w:sz w:val="16"/>
          <w:szCs w:val="16"/>
          <w:b w:val="1"/>
          <w:bCs w:val="1"/>
          <w:u w:val="single" w:color="auto"/>
          <w:color w:val="auto"/>
        </w:rPr>
        <w:t>Terms and Conditions of rTSRU Award</w:t>
      </w:r>
    </w:p>
    <w:p>
      <w:pPr>
        <w:spacing w:after="0" w:line="183" w:lineRule="exact"/>
        <w:rPr>
          <w:sz w:val="20"/>
          <w:szCs w:val="20"/>
          <w:color w:val="auto"/>
        </w:rPr>
      </w:pPr>
    </w:p>
    <w:p>
      <w:pPr>
        <w:ind w:left="5" w:right="40" w:hanging="5"/>
        <w:spacing w:after="0" w:line="311" w:lineRule="auto"/>
        <w:tabs>
          <w:tab w:leader="none" w:pos="163" w:val="left"/>
        </w:tabs>
        <w:numPr>
          <w:ilvl w:val="0"/>
          <w:numId w:val="54"/>
        </w:numPr>
        <w:rPr>
          <w:rFonts w:ascii="Arial" w:cs="Arial" w:eastAsia="Arial" w:hAnsi="Arial"/>
          <w:sz w:val="14"/>
          <w:szCs w:val="14"/>
          <w:color w:val="auto"/>
        </w:rPr>
      </w:pPr>
      <w:r>
        <w:rPr>
          <w:rFonts w:ascii="Arial" w:cs="Arial" w:eastAsia="Arial" w:hAnsi="Arial"/>
          <w:sz w:val="14"/>
          <w:szCs w:val="14"/>
          <w:b w:val="1"/>
          <w:bCs w:val="1"/>
          <w:i w:val="1"/>
          <w:iCs w:val="1"/>
          <w:color w:val="auto"/>
        </w:rPr>
        <w:t>The Plan</w:t>
      </w:r>
      <w:r>
        <w:rPr>
          <w:rFonts w:ascii="Arial" w:cs="Arial" w:eastAsia="Arial" w:hAnsi="Arial"/>
          <w:sz w:val="14"/>
          <w:szCs w:val="14"/>
          <w:color w:val="auto"/>
        </w:rPr>
        <w:t>. In the event of any conflict between the terms of the Plan and this Award, the terms of the Plan shall govern. The Committee administers the Plan and its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determinations regarding the operation of the Plan are final. Subject to the limitations set forth in the Plan, the Committee may amend the Plan or this Award. Capitalized terms used but not defined herein shall have the meaning set forth in the Plan. Copies of the Plan may be obtained upon written request without charge from the Secretary of the Company.</w:t>
      </w:r>
    </w:p>
    <w:p>
      <w:pPr>
        <w:spacing w:after="0" w:line="131" w:lineRule="exact"/>
        <w:rPr>
          <w:rFonts w:ascii="Arial" w:cs="Arial" w:eastAsia="Arial" w:hAnsi="Arial"/>
          <w:sz w:val="14"/>
          <w:szCs w:val="14"/>
          <w:color w:val="auto"/>
        </w:rPr>
      </w:pPr>
    </w:p>
    <w:p>
      <w:pPr>
        <w:ind w:left="5" w:right="40" w:hanging="5"/>
        <w:spacing w:after="0" w:line="254" w:lineRule="auto"/>
        <w:tabs>
          <w:tab w:leader="none" w:pos="163" w:val="left"/>
        </w:tabs>
        <w:numPr>
          <w:ilvl w:val="0"/>
          <w:numId w:val="54"/>
        </w:numPr>
        <w:rPr>
          <w:rFonts w:ascii="Arial" w:cs="Arial" w:eastAsia="Arial" w:hAnsi="Arial"/>
          <w:sz w:val="16"/>
          <w:szCs w:val="16"/>
          <w:color w:val="auto"/>
        </w:rPr>
      </w:pPr>
      <w:r>
        <w:rPr>
          <w:rFonts w:ascii="Arial" w:cs="Arial" w:eastAsia="Arial" w:hAnsi="Arial"/>
          <w:sz w:val="16"/>
          <w:szCs w:val="16"/>
          <w:b w:val="1"/>
          <w:bCs w:val="1"/>
          <w:i w:val="1"/>
          <w:iCs w:val="1"/>
          <w:color w:val="auto"/>
        </w:rPr>
        <w:t>No Rights as Stockholder or Employee</w:t>
      </w:r>
      <w:r>
        <w:rPr>
          <w:rFonts w:ascii="Arial" w:cs="Arial" w:eastAsia="Arial" w:hAnsi="Arial"/>
          <w:sz w:val="16"/>
          <w:szCs w:val="16"/>
          <w:color w:val="auto"/>
        </w:rPr>
        <w:t>. Participant shall not have any of the rights or privileges of a stockholder of the Company with respect to the rTSRUs granted pursuant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this Award unless and until shares of Common Stock have been issued and delivered to Participant. The rights of Participant with respect to the rTSRUs shall remain forfeitable at all times prior to the date on which such rights vest and settle in accordance with Sections 3, 4 and 6. Participant shall not have any rights to continued employment by the Company by virtue of the grant of this Award.</w:t>
      </w:r>
    </w:p>
    <w:p>
      <w:pPr>
        <w:spacing w:after="0" w:line="167" w:lineRule="exact"/>
        <w:rPr>
          <w:rFonts w:ascii="Arial" w:cs="Arial" w:eastAsia="Arial" w:hAnsi="Arial"/>
          <w:sz w:val="16"/>
          <w:szCs w:val="16"/>
          <w:color w:val="auto"/>
        </w:rPr>
      </w:pPr>
    </w:p>
    <w:p>
      <w:pPr>
        <w:ind w:left="5" w:right="140" w:hanging="5"/>
        <w:spacing w:after="0" w:line="251" w:lineRule="auto"/>
        <w:tabs>
          <w:tab w:leader="none" w:pos="163" w:val="left"/>
        </w:tabs>
        <w:numPr>
          <w:ilvl w:val="0"/>
          <w:numId w:val="54"/>
        </w:numPr>
        <w:rPr>
          <w:rFonts w:ascii="Arial" w:cs="Arial" w:eastAsia="Arial" w:hAnsi="Arial"/>
          <w:sz w:val="16"/>
          <w:szCs w:val="16"/>
          <w:color w:val="auto"/>
        </w:rPr>
      </w:pPr>
      <w:r>
        <w:rPr>
          <w:rFonts w:ascii="Arial" w:cs="Arial" w:eastAsia="Arial" w:hAnsi="Arial"/>
          <w:sz w:val="16"/>
          <w:szCs w:val="16"/>
          <w:b w:val="1"/>
          <w:bCs w:val="1"/>
          <w:i w:val="1"/>
          <w:iCs w:val="1"/>
          <w:color w:val="auto"/>
        </w:rPr>
        <w:t>Settlement of rTSRUs: Issuance of Common Stock</w:t>
      </w:r>
      <w:r>
        <w:rPr>
          <w:rFonts w:ascii="Arial" w:cs="Arial" w:eastAsia="Arial" w:hAnsi="Arial"/>
          <w:sz w:val="16"/>
          <w:szCs w:val="16"/>
          <w:color w:val="auto"/>
        </w:rPr>
        <w:t>. No shares of Common Stock shall be issued to Participant except to the extent that the rTSRUs vest in accordance with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Vesting Schedule, which is set forth on the accompanying certificate for this Award. Subject to Section 7 below, and only if Participant remains continuously employed by the Company until the Settlement Date (except as set forth in Section 4 and 6 below), the Company shall deliver to Participant, on or promptly after the Settlement Date, the vested shares of Common Stock represented by the whole rTSRUs that have vested on or before such date. The value of any fractional share of Common Stock that is vested shall be paid in cash at the time the whole shares are delivered to Participant. The shares of Common Stock issued on settlement of vested rTSRUs shall be free of all restrictions on transferability and forfeiture under this Award.</w:t>
      </w:r>
    </w:p>
    <w:p>
      <w:pPr>
        <w:spacing w:after="0" w:line="170" w:lineRule="exact"/>
        <w:rPr>
          <w:rFonts w:ascii="Arial" w:cs="Arial" w:eastAsia="Arial" w:hAnsi="Arial"/>
          <w:sz w:val="16"/>
          <w:szCs w:val="16"/>
          <w:color w:val="auto"/>
        </w:rPr>
      </w:pPr>
    </w:p>
    <w:p>
      <w:pPr>
        <w:ind w:left="5" w:right="60" w:hanging="5"/>
        <w:spacing w:after="0" w:line="252" w:lineRule="auto"/>
        <w:tabs>
          <w:tab w:leader="none" w:pos="163" w:val="left"/>
        </w:tabs>
        <w:numPr>
          <w:ilvl w:val="0"/>
          <w:numId w:val="5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Termination due to Disability, or Death. </w:t>
      </w:r>
      <w:r>
        <w:rPr>
          <w:rFonts w:ascii="Arial" w:cs="Arial" w:eastAsia="Arial" w:hAnsi="Arial"/>
          <w:sz w:val="16"/>
          <w:szCs w:val="16"/>
          <w:color w:val="auto"/>
        </w:rPr>
        <w:t>In the event Participant’s employment is terminated by reason of disability or death before the Settlement Date, the vesting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rTSRUs will be prorated based on the number of days during the Performance Period that the Participant was on the payroll of the Company as an active employee. Issuance of any rTSRU Shares will be made at the same time as settlement would have been made had Participant not had a termination of employment, and the vesting of any rTSRUs will in all respects be subject to the Company’s actual rTSR achieved during the full Performance Period. "Disability" means a disability entitling Participant to benefits under the long-term disability policy sponsored by the Company that applies to Participant.</w:t>
      </w:r>
    </w:p>
    <w:p>
      <w:pPr>
        <w:spacing w:after="0" w:line="169" w:lineRule="exact"/>
        <w:rPr>
          <w:rFonts w:ascii="Arial" w:cs="Arial" w:eastAsia="Arial" w:hAnsi="Arial"/>
          <w:sz w:val="16"/>
          <w:szCs w:val="16"/>
          <w:color w:val="auto"/>
        </w:rPr>
      </w:pPr>
    </w:p>
    <w:p>
      <w:pPr>
        <w:ind w:left="5" w:right="100" w:hanging="5"/>
        <w:spacing w:after="0" w:line="302" w:lineRule="auto"/>
        <w:tabs>
          <w:tab w:leader="none" w:pos="163" w:val="left"/>
        </w:tabs>
        <w:numPr>
          <w:ilvl w:val="0"/>
          <w:numId w:val="54"/>
        </w:numPr>
        <w:rPr>
          <w:rFonts w:ascii="Arial" w:cs="Arial" w:eastAsia="Arial" w:hAnsi="Arial"/>
          <w:sz w:val="15"/>
          <w:szCs w:val="15"/>
          <w:color w:val="auto"/>
        </w:rPr>
      </w:pPr>
      <w:r>
        <w:rPr>
          <w:rFonts w:ascii="Arial" w:cs="Arial" w:eastAsia="Arial" w:hAnsi="Arial"/>
          <w:sz w:val="15"/>
          <w:szCs w:val="15"/>
          <w:b w:val="1"/>
          <w:bCs w:val="1"/>
          <w:i w:val="1"/>
          <w:iCs w:val="1"/>
          <w:color w:val="auto"/>
        </w:rPr>
        <w:t>Other Termination of Employment</w:t>
      </w:r>
      <w:r>
        <w:rPr>
          <w:rFonts w:ascii="Arial" w:cs="Arial" w:eastAsia="Arial" w:hAnsi="Arial"/>
          <w:sz w:val="15"/>
          <w:szCs w:val="15"/>
          <w:color w:val="auto"/>
        </w:rPr>
        <w:t>. If, prior to settlement of the rTSRUs on the Settlement Date, Participant ceases to be an employee of the Company for any reason (voluntary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or involuntary), then, except as set forth in Section 4 above, Participant’s rights to all of the unvested rTSRUs shall be immediately and irrevocably forfeited.</w:t>
      </w:r>
    </w:p>
    <w:p>
      <w:pPr>
        <w:spacing w:after="0" w:line="133" w:lineRule="exact"/>
        <w:rPr>
          <w:rFonts w:ascii="Arial" w:cs="Arial" w:eastAsia="Arial" w:hAnsi="Arial"/>
          <w:sz w:val="15"/>
          <w:szCs w:val="15"/>
          <w:color w:val="auto"/>
        </w:rPr>
      </w:pPr>
    </w:p>
    <w:p>
      <w:pPr>
        <w:ind w:left="5" w:right="160" w:hanging="5"/>
        <w:spacing w:after="0" w:line="293" w:lineRule="auto"/>
        <w:tabs>
          <w:tab w:leader="none" w:pos="163" w:val="left"/>
        </w:tabs>
        <w:numPr>
          <w:ilvl w:val="0"/>
          <w:numId w:val="54"/>
        </w:numPr>
        <w:rPr>
          <w:rFonts w:ascii="Arial" w:cs="Arial" w:eastAsia="Arial" w:hAnsi="Arial"/>
          <w:sz w:val="14"/>
          <w:szCs w:val="14"/>
          <w:color w:val="auto"/>
        </w:rPr>
      </w:pPr>
      <w:r>
        <w:rPr>
          <w:rFonts w:ascii="Arial" w:cs="Arial" w:eastAsia="Arial" w:hAnsi="Arial"/>
          <w:sz w:val="14"/>
          <w:szCs w:val="14"/>
          <w:b w:val="1"/>
          <w:bCs w:val="1"/>
          <w:i w:val="1"/>
          <w:iCs w:val="1"/>
          <w:color w:val="auto"/>
        </w:rPr>
        <w:t>Change in Control</w:t>
      </w:r>
      <w:r>
        <w:rPr>
          <w:rFonts w:ascii="Arial" w:cs="Arial" w:eastAsia="Arial" w:hAnsi="Arial"/>
          <w:sz w:val="14"/>
          <w:szCs w:val="14"/>
          <w:color w:val="auto"/>
        </w:rPr>
        <w:t>. In the event of a Change in Control (as such term is defined in the Participant’s employment agreement) affecting the Company’s outstanding Common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 xml:space="preserve">Stock, the Committee (i) shall provide for the acceleration of any time period relating to the payment of the Award and shall issue a number of rTSRU Shares calculated based on the actual performance of Enanta common stock and the other companies in the Comparator Group as of the Adjusted Ending Date using Ending Prices based on the earlier of December 31, </w:t>
      </w:r>
      <w:r>
        <w:rPr>
          <w:rFonts w:ascii="Arial" w:cs="Arial" w:eastAsia="Arial" w:hAnsi="Arial"/>
          <w:sz w:val="12"/>
          <w:szCs w:val="12"/>
          <w:color w:val="auto"/>
        </w:rPr>
        <w:t>______</w:t>
      </w:r>
      <w:r>
        <w:rPr>
          <w:rFonts w:ascii="Arial" w:cs="Arial" w:eastAsia="Arial" w:hAnsi="Arial"/>
          <w:sz w:val="14"/>
          <w:szCs w:val="14"/>
          <w:color w:val="auto"/>
        </w:rPr>
        <w:t xml:space="preserve"> or the date of the Change in Control (using as the last day of the 60-day measurement period for the Ending Price in the case of an earlier Change in Control, the second trading day before the closing of the Change in Control transaction (the “Adjusted Ending Date”)), subject to applicable tax withholding, or (ii) provide for payment to the Participant of cash or other property with a fair market value equal to the number of rTSRU Shares calculated as provided in the preceding clause (i).</w:t>
      </w:r>
    </w:p>
    <w:p>
      <w:pPr>
        <w:spacing w:after="0" w:line="145" w:lineRule="exact"/>
        <w:rPr>
          <w:rFonts w:ascii="Arial" w:cs="Arial" w:eastAsia="Arial" w:hAnsi="Arial"/>
          <w:sz w:val="14"/>
          <w:szCs w:val="14"/>
          <w:color w:val="auto"/>
        </w:rPr>
      </w:pPr>
    </w:p>
    <w:p>
      <w:pPr>
        <w:ind w:left="5" w:hanging="5"/>
        <w:spacing w:after="0" w:line="257" w:lineRule="auto"/>
        <w:tabs>
          <w:tab w:leader="none" w:pos="163" w:val="left"/>
        </w:tabs>
        <w:numPr>
          <w:ilvl w:val="0"/>
          <w:numId w:val="5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Adjustments in Number of Shares Subject to the Award. </w:t>
      </w:r>
      <w:r>
        <w:rPr>
          <w:rFonts w:ascii="Arial" w:cs="Arial" w:eastAsia="Arial" w:hAnsi="Arial"/>
          <w:sz w:val="16"/>
          <w:szCs w:val="16"/>
          <w:color w:val="auto"/>
        </w:rPr>
        <w:t>The number of shares of Common Stock issuable pursuant to this Award will be adjusted proportionately for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 or decrease in the number of issued shares of Common Stock resulting from any stock split, combination or exchange of shares, consolidation, spin-off or recapitalization of shares, or any similar capital adjustment or the payment of any stock dividend.</w:t>
      </w:r>
    </w:p>
    <w:p>
      <w:pPr>
        <w:spacing w:after="0" w:line="166" w:lineRule="exact"/>
        <w:rPr>
          <w:rFonts w:ascii="Arial" w:cs="Arial" w:eastAsia="Arial" w:hAnsi="Arial"/>
          <w:sz w:val="16"/>
          <w:szCs w:val="16"/>
          <w:color w:val="auto"/>
        </w:rPr>
      </w:pPr>
    </w:p>
    <w:p>
      <w:pPr>
        <w:ind w:left="5" w:right="180" w:hanging="5"/>
        <w:spacing w:after="0" w:line="268" w:lineRule="auto"/>
        <w:tabs>
          <w:tab w:leader="none" w:pos="163" w:val="left"/>
        </w:tabs>
        <w:numPr>
          <w:ilvl w:val="0"/>
          <w:numId w:val="54"/>
        </w:numPr>
        <w:rPr>
          <w:rFonts w:ascii="Arial" w:cs="Arial" w:eastAsia="Arial" w:hAnsi="Arial"/>
          <w:sz w:val="16"/>
          <w:szCs w:val="16"/>
          <w:color w:val="auto"/>
        </w:rPr>
      </w:pPr>
      <w:r>
        <w:rPr>
          <w:rFonts w:ascii="Arial" w:cs="Arial" w:eastAsia="Arial" w:hAnsi="Arial"/>
          <w:sz w:val="16"/>
          <w:szCs w:val="16"/>
          <w:b w:val="1"/>
          <w:bCs w:val="1"/>
          <w:i w:val="1"/>
          <w:iCs w:val="1"/>
          <w:color w:val="auto"/>
        </w:rPr>
        <w:t>Restriction on Transfer</w:t>
      </w:r>
      <w:r>
        <w:rPr>
          <w:rFonts w:ascii="Arial" w:cs="Arial" w:eastAsia="Arial" w:hAnsi="Arial"/>
          <w:sz w:val="16"/>
          <w:szCs w:val="16"/>
          <w:color w:val="auto"/>
        </w:rPr>
        <w:t>. The rTSRUs are not transferable by Participant otherwise than by will or the laws of descent and distribution. The naming of a Designated Beneficiary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does not constitute a transfer.</w:t>
      </w:r>
    </w:p>
    <w:p>
      <w:pPr>
        <w:spacing w:after="0" w:line="156" w:lineRule="exact"/>
        <w:rPr>
          <w:rFonts w:ascii="Arial" w:cs="Arial" w:eastAsia="Arial" w:hAnsi="Arial"/>
          <w:sz w:val="16"/>
          <w:szCs w:val="16"/>
          <w:color w:val="auto"/>
        </w:rPr>
      </w:pPr>
    </w:p>
    <w:p>
      <w:pPr>
        <w:ind w:left="5" w:right="120" w:hanging="5"/>
        <w:spacing w:after="0" w:line="257" w:lineRule="auto"/>
        <w:tabs>
          <w:tab w:leader="none" w:pos="163" w:val="left"/>
        </w:tabs>
        <w:numPr>
          <w:ilvl w:val="0"/>
          <w:numId w:val="54"/>
        </w:numPr>
        <w:rPr>
          <w:rFonts w:ascii="Arial" w:cs="Arial" w:eastAsia="Arial" w:hAnsi="Arial"/>
          <w:sz w:val="16"/>
          <w:szCs w:val="16"/>
          <w:color w:val="auto"/>
        </w:rPr>
      </w:pPr>
      <w:r>
        <w:rPr>
          <w:rFonts w:ascii="Arial" w:cs="Arial" w:eastAsia="Arial" w:hAnsi="Arial"/>
          <w:sz w:val="16"/>
          <w:szCs w:val="16"/>
          <w:b w:val="1"/>
          <w:bCs w:val="1"/>
          <w:i w:val="1"/>
          <w:iCs w:val="1"/>
          <w:color w:val="auto"/>
        </w:rPr>
        <w:t>Income Tax Matters</w:t>
      </w:r>
      <w:r>
        <w:rPr>
          <w:rFonts w:ascii="Arial" w:cs="Arial" w:eastAsia="Arial" w:hAnsi="Arial"/>
          <w:sz w:val="16"/>
          <w:szCs w:val="16"/>
          <w:color w:val="auto"/>
        </w:rPr>
        <w:t>. In order to comply with all withholding requirements under applicable federal and state income tax laws and regulations, the Company shall withhold such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number of the rTSRU Shares otherwise issuable on the Settlement Date, valued at their fair market value on the Settlement Date, as the Company determines is appropriate consistent with then applicable federal and state income tax withholding requirements.</w:t>
      </w:r>
    </w:p>
    <w:p>
      <w:pPr>
        <w:spacing w:after="0" w:line="166" w:lineRule="exact"/>
        <w:rPr>
          <w:rFonts w:ascii="Arial" w:cs="Arial" w:eastAsia="Arial" w:hAnsi="Arial"/>
          <w:sz w:val="16"/>
          <w:szCs w:val="16"/>
          <w:color w:val="auto"/>
        </w:rPr>
      </w:pPr>
    </w:p>
    <w:p>
      <w:pPr>
        <w:ind w:left="5" w:right="160" w:hanging="5"/>
        <w:spacing w:after="0" w:line="268" w:lineRule="auto"/>
        <w:tabs>
          <w:tab w:leader="none" w:pos="242" w:val="left"/>
        </w:tabs>
        <w:numPr>
          <w:ilvl w:val="0"/>
          <w:numId w:val="54"/>
        </w:numPr>
        <w:rPr>
          <w:rFonts w:ascii="Arial" w:cs="Arial" w:eastAsia="Arial" w:hAnsi="Arial"/>
          <w:sz w:val="16"/>
          <w:szCs w:val="16"/>
          <w:color w:val="auto"/>
        </w:rPr>
      </w:pPr>
      <w:r>
        <w:rPr>
          <w:rFonts w:ascii="Arial" w:cs="Arial" w:eastAsia="Arial" w:hAnsi="Arial"/>
          <w:sz w:val="16"/>
          <w:szCs w:val="16"/>
          <w:b w:val="1"/>
          <w:bCs w:val="1"/>
          <w:i w:val="1"/>
          <w:iCs w:val="1"/>
          <w:color w:val="auto"/>
        </w:rPr>
        <w:t>Section 409A</w:t>
      </w:r>
      <w:r>
        <w:rPr>
          <w:rFonts w:ascii="Arial" w:cs="Arial" w:eastAsia="Arial" w:hAnsi="Arial"/>
          <w:sz w:val="16"/>
          <w:szCs w:val="16"/>
          <w:color w:val="auto"/>
        </w:rPr>
        <w:t>. In the event that the Committee determines that any amounts will be immediately taxable to Participant under Section 409A of the Code and related Department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Treasury guidance (or subject Participant to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34925</wp:posOffset>
            </wp:positionV>
            <wp:extent cx="7303770" cy="406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123" w:right="219" w:bottom="1440" w:gutter="0" w:footer="0" w:header="0"/>
        </w:sectPr>
      </w:pPr>
    </w:p>
    <w:bookmarkStart w:id="63" w:name="page64"/>
    <w:bookmarkEnd w:id="63"/>
    <w:p>
      <w:pPr>
        <w:ind w:left="5" w:right="160"/>
        <w:spacing w:after="0" w:line="290" w:lineRule="auto"/>
        <w:rPr>
          <w:sz w:val="20"/>
          <w:szCs w:val="20"/>
          <w:color w:val="auto"/>
        </w:rPr>
      </w:pPr>
      <w:r>
        <w:rPr>
          <w:rFonts w:ascii="Arial" w:cs="Arial" w:eastAsia="Arial" w:hAnsi="Arial"/>
          <w:sz w:val="14"/>
          <w:szCs w:val="14"/>
          <w:color w:val="auto"/>
        </w:rPr>
        <w:t>penalty tax thereunder) in connection with the grant, vesting or settlement of the rTSRUs or any provision of this Award or the Plan, the Company may (i) adopt such amendments to this Award (having prospective or retroactive effect) that the Committee determines to be necessary or appropriate to preserve the intended tax treatment of the rTSRUs and/or</w:t>
      </w:r>
    </w:p>
    <w:p>
      <w:pPr>
        <w:spacing w:after="0" w:line="1" w:lineRule="exact"/>
        <w:rPr>
          <w:sz w:val="20"/>
          <w:szCs w:val="20"/>
          <w:color w:val="auto"/>
        </w:rPr>
      </w:pPr>
    </w:p>
    <w:p>
      <w:pPr>
        <w:ind w:left="5" w:right="340" w:hanging="5"/>
        <w:spacing w:after="0" w:line="324" w:lineRule="auto"/>
        <w:tabs>
          <w:tab w:leader="none" w:pos="237" w:val="left"/>
        </w:tabs>
        <w:numPr>
          <w:ilvl w:val="0"/>
          <w:numId w:val="55"/>
        </w:numPr>
        <w:rPr>
          <w:rFonts w:ascii="Arial" w:cs="Arial" w:eastAsia="Arial" w:hAnsi="Arial"/>
          <w:sz w:val="14"/>
          <w:szCs w:val="14"/>
          <w:color w:val="auto"/>
        </w:rPr>
      </w:pPr>
      <w:r>
        <w:rPr>
          <w:rFonts w:ascii="Arial" w:cs="Arial" w:eastAsia="Arial" w:hAnsi="Arial"/>
          <w:sz w:val="14"/>
          <w:szCs w:val="14"/>
          <w:color w:val="auto"/>
        </w:rPr>
        <w:t>take such other actions as the Committee determines to be necessary or appropriate to comply with the requirements of Section 409A of the Code and related Department of Treasury guidance, including such Department of Treasury guidance and other interpretive materials as may be issued after the date on which such rTSRUs were awarded.</w:t>
      </w:r>
    </w:p>
    <w:p>
      <w:pPr>
        <w:spacing w:after="0" w:line="122" w:lineRule="exact"/>
        <w:rPr>
          <w:sz w:val="20"/>
          <w:szCs w:val="20"/>
          <w:color w:val="auto"/>
        </w:rPr>
      </w:pPr>
    </w:p>
    <w:p>
      <w:pPr>
        <w:ind w:left="5" w:right="20" w:hanging="5"/>
        <w:spacing w:after="0" w:line="269" w:lineRule="auto"/>
        <w:tabs>
          <w:tab w:leader="none" w:pos="236" w:val="left"/>
        </w:tabs>
        <w:numPr>
          <w:ilvl w:val="0"/>
          <w:numId w:val="56"/>
        </w:numPr>
        <w:rPr>
          <w:rFonts w:ascii="Arial" w:cs="Arial" w:eastAsia="Arial" w:hAnsi="Arial"/>
          <w:sz w:val="15"/>
          <w:szCs w:val="15"/>
          <w:color w:val="auto"/>
        </w:rPr>
      </w:pPr>
      <w:r>
        <w:rPr>
          <w:rFonts w:ascii="Arial" w:cs="Arial" w:eastAsia="Arial" w:hAnsi="Arial"/>
          <w:sz w:val="15"/>
          <w:szCs w:val="15"/>
          <w:b w:val="1"/>
          <w:bCs w:val="1"/>
          <w:i w:val="1"/>
          <w:iCs w:val="1"/>
          <w:color w:val="auto"/>
        </w:rPr>
        <w:t>Conditions for Issuance of Shares</w:t>
      </w:r>
      <w:r>
        <w:rPr>
          <w:rFonts w:ascii="Arial" w:cs="Arial" w:eastAsia="Arial" w:hAnsi="Arial"/>
          <w:sz w:val="15"/>
          <w:szCs w:val="15"/>
          <w:color w:val="auto"/>
        </w:rPr>
        <w:t>. The Company shall not be required to deliver any shares of Common Stock upon vesting of any rTSRUs until (i) such shares of Common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Stock have been admitted to listing on all stock exchanges on which the Common Stock is then listed and (ii) the requirements of any federal or state securities laws, rules or regulations or other laws or rules (including the rules of any securities exchange) as may be determined by the Company to be applicable are satisfied, provided however, that the Company may only so delay delivery of shares of Common Stock to the extent that such deferral complies with the provisions of Section 409A of the Code and related Department of Treasury guidance. Except as provided in the preceding sentence, in no event will shares of Common Stock be delivered later than the date that is two and one-half (2 1/2) months from the end of the calendar year in which the applicable rTSRUs vest. Any shares of Common Stock delivered under this Award may be subject to such stop transfer restrictions as counsel for the Company shall consider necessary to comply with any applicable law.</w:t>
      </w:r>
    </w:p>
    <w:p>
      <w:pPr>
        <w:spacing w:after="0" w:line="160" w:lineRule="exact"/>
        <w:rPr>
          <w:rFonts w:ascii="Arial" w:cs="Arial" w:eastAsia="Arial" w:hAnsi="Arial"/>
          <w:sz w:val="15"/>
          <w:szCs w:val="15"/>
          <w:color w:val="auto"/>
        </w:rPr>
      </w:pPr>
    </w:p>
    <w:p>
      <w:pPr>
        <w:ind w:left="5" w:right="640" w:hanging="5"/>
        <w:spacing w:after="0" w:line="268" w:lineRule="auto"/>
        <w:tabs>
          <w:tab w:leader="none" w:pos="242" w:val="left"/>
        </w:tabs>
        <w:numPr>
          <w:ilvl w:val="0"/>
          <w:numId w:val="5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Clawback Policy. </w:t>
      </w:r>
      <w:r>
        <w:rPr>
          <w:rFonts w:ascii="Arial" w:cs="Arial" w:eastAsia="Arial" w:hAnsi="Arial"/>
          <w:sz w:val="16"/>
          <w:szCs w:val="16"/>
          <w:color w:val="auto"/>
        </w:rPr>
        <w:t>This Award and any Common Stock issued hereunder is subject to any so-called “clawback policy” that may be adopted by the Company’s Board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Directors, as amended from time to time.</w:t>
      </w:r>
    </w:p>
    <w:p>
      <w:pPr>
        <w:spacing w:after="0" w:line="156" w:lineRule="exact"/>
        <w:rPr>
          <w:rFonts w:ascii="Arial" w:cs="Arial" w:eastAsia="Arial" w:hAnsi="Arial"/>
          <w:sz w:val="16"/>
          <w:szCs w:val="16"/>
          <w:color w:val="auto"/>
        </w:rPr>
      </w:pPr>
    </w:p>
    <w:p>
      <w:pPr>
        <w:jc w:val="both"/>
        <w:ind w:left="5" w:right="340" w:hanging="5"/>
        <w:spacing w:after="0" w:line="257" w:lineRule="auto"/>
        <w:tabs>
          <w:tab w:leader="none" w:pos="242" w:val="left"/>
        </w:tabs>
        <w:numPr>
          <w:ilvl w:val="0"/>
          <w:numId w:val="56"/>
        </w:numPr>
        <w:rPr>
          <w:rFonts w:ascii="Arial" w:cs="Arial" w:eastAsia="Arial" w:hAnsi="Arial"/>
          <w:sz w:val="16"/>
          <w:szCs w:val="16"/>
          <w:color w:val="auto"/>
        </w:rPr>
      </w:pPr>
      <w:r>
        <w:rPr>
          <w:rFonts w:ascii="Arial" w:cs="Arial" w:eastAsia="Arial" w:hAnsi="Arial"/>
          <w:sz w:val="16"/>
          <w:szCs w:val="16"/>
          <w:b w:val="1"/>
          <w:bCs w:val="1"/>
          <w:i w:val="1"/>
          <w:iCs w:val="1"/>
          <w:color w:val="auto"/>
        </w:rPr>
        <w:t>Notices</w:t>
      </w:r>
      <w:r>
        <w:rPr>
          <w:rFonts w:ascii="Arial" w:cs="Arial" w:eastAsia="Arial" w:hAnsi="Arial"/>
          <w:sz w:val="16"/>
          <w:szCs w:val="16"/>
          <w:color w:val="auto"/>
        </w:rPr>
        <w:t>. Any written notices provided for in this Award that are sent by mail shall be deemed received three business days after mailing, but not later than the date of actual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receipt. Notices shall be directed, if to Participant, at the Participant’s address indicated by the Company’s records and, if to the Company, at the Company’s principal executive office.</w:t>
      </w:r>
    </w:p>
    <w:p>
      <w:pPr>
        <w:spacing w:after="0" w:line="166" w:lineRule="exact"/>
        <w:rPr>
          <w:rFonts w:ascii="Arial" w:cs="Arial" w:eastAsia="Arial" w:hAnsi="Arial"/>
          <w:sz w:val="16"/>
          <w:szCs w:val="16"/>
          <w:color w:val="auto"/>
        </w:rPr>
      </w:pPr>
    </w:p>
    <w:p>
      <w:pPr>
        <w:jc w:val="both"/>
        <w:ind w:left="5" w:right="240" w:hanging="5"/>
        <w:spacing w:after="0" w:line="282" w:lineRule="auto"/>
        <w:tabs>
          <w:tab w:leader="none" w:pos="242" w:val="left"/>
        </w:tabs>
        <w:numPr>
          <w:ilvl w:val="0"/>
          <w:numId w:val="56"/>
        </w:numPr>
        <w:rPr>
          <w:rFonts w:ascii="Arial" w:cs="Arial" w:eastAsia="Arial" w:hAnsi="Arial"/>
          <w:sz w:val="15"/>
          <w:szCs w:val="15"/>
          <w:color w:val="auto"/>
        </w:rPr>
      </w:pPr>
      <w:r>
        <w:rPr>
          <w:rFonts w:ascii="Arial" w:cs="Arial" w:eastAsia="Arial" w:hAnsi="Arial"/>
          <w:sz w:val="15"/>
          <w:szCs w:val="15"/>
          <w:b w:val="1"/>
          <w:bCs w:val="1"/>
          <w:i w:val="1"/>
          <w:iCs w:val="1"/>
          <w:color w:val="auto"/>
        </w:rPr>
        <w:t>Miscellaneous</w:t>
      </w:r>
      <w:r>
        <w:rPr>
          <w:rFonts w:ascii="Arial" w:cs="Arial" w:eastAsia="Arial" w:hAnsi="Arial"/>
          <w:sz w:val="15"/>
          <w:szCs w:val="15"/>
          <w:color w:val="auto"/>
        </w:rPr>
        <w:t>. The right of Participant to receive shares of Common Stock pursuant to this Award is an unfunded and unsecured obligation of the Company. The Participant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shall have no rights under this Award other than those of an unsecured general creditor of the Company. Subject to the restrictions on transfer set forth herein, this Award shall be binding upon and inure to the benefit of the heirs, legatees, legal representatives, successors and assigns of the parties hereto.</w:t>
      </w:r>
    </w:p>
    <w:p>
      <w:pPr>
        <w:spacing w:after="0" w:line="149" w:lineRule="exact"/>
        <w:rPr>
          <w:rFonts w:ascii="Arial" w:cs="Arial" w:eastAsia="Arial" w:hAnsi="Arial"/>
          <w:sz w:val="15"/>
          <w:szCs w:val="15"/>
          <w:color w:val="auto"/>
        </w:rPr>
      </w:pPr>
    </w:p>
    <w:p>
      <w:pPr>
        <w:ind w:left="5" w:right="220" w:hanging="5"/>
        <w:spacing w:after="0" w:line="268" w:lineRule="auto"/>
        <w:tabs>
          <w:tab w:leader="none" w:pos="242" w:val="left"/>
        </w:tabs>
        <w:numPr>
          <w:ilvl w:val="0"/>
          <w:numId w:val="56"/>
        </w:numPr>
        <w:rPr>
          <w:rFonts w:ascii="Arial" w:cs="Arial" w:eastAsia="Arial" w:hAnsi="Arial"/>
          <w:sz w:val="16"/>
          <w:szCs w:val="16"/>
          <w:color w:val="auto"/>
        </w:rPr>
      </w:pPr>
      <w:r>
        <w:rPr>
          <w:rFonts w:ascii="Arial" w:cs="Arial" w:eastAsia="Arial" w:hAnsi="Arial"/>
          <w:sz w:val="16"/>
          <w:szCs w:val="16"/>
          <w:b w:val="1"/>
          <w:bCs w:val="1"/>
          <w:i w:val="1"/>
          <w:iCs w:val="1"/>
          <w:color w:val="auto"/>
        </w:rPr>
        <w:t>Governing Law</w:t>
      </w:r>
      <w:r>
        <w:rPr>
          <w:rFonts w:ascii="Arial" w:cs="Arial" w:eastAsia="Arial" w:hAnsi="Arial"/>
          <w:sz w:val="16"/>
          <w:szCs w:val="16"/>
          <w:color w:val="auto"/>
        </w:rPr>
        <w:t>. This Award shall be governed by and construed in accordance with the laws of the State of Delaware and applicable federal law, without regard to choice-of-law principles.</w:t>
      </w:r>
    </w:p>
    <w:p>
      <w:pPr>
        <w:spacing w:after="0" w:line="156" w:lineRule="exact"/>
        <w:rPr>
          <w:rFonts w:ascii="Arial" w:cs="Arial" w:eastAsia="Arial" w:hAnsi="Arial"/>
          <w:sz w:val="16"/>
          <w:szCs w:val="16"/>
          <w:color w:val="auto"/>
        </w:rPr>
      </w:pPr>
    </w:p>
    <w:p>
      <w:pPr>
        <w:jc w:val="both"/>
        <w:ind w:left="5" w:right="20" w:hanging="5"/>
        <w:spacing w:after="0" w:line="254" w:lineRule="auto"/>
        <w:tabs>
          <w:tab w:leader="none" w:pos="242" w:val="left"/>
        </w:tabs>
        <w:numPr>
          <w:ilvl w:val="0"/>
          <w:numId w:val="56"/>
        </w:numPr>
        <w:rPr>
          <w:rFonts w:ascii="Arial" w:cs="Arial" w:eastAsia="Arial" w:hAnsi="Arial"/>
          <w:sz w:val="16"/>
          <w:szCs w:val="16"/>
          <w:color w:val="auto"/>
        </w:rPr>
      </w:pPr>
      <w:r>
        <w:rPr>
          <w:rFonts w:ascii="Arial" w:cs="Arial" w:eastAsia="Arial" w:hAnsi="Arial"/>
          <w:sz w:val="16"/>
          <w:szCs w:val="16"/>
          <w:b w:val="1"/>
          <w:bCs w:val="1"/>
          <w:i w:val="1"/>
          <w:iCs w:val="1"/>
          <w:color w:val="auto"/>
        </w:rPr>
        <w:t>Severability</w:t>
      </w:r>
      <w:r>
        <w:rPr>
          <w:rFonts w:ascii="Arial" w:cs="Arial" w:eastAsia="Arial" w:hAnsi="Arial"/>
          <w:sz w:val="16"/>
          <w:szCs w:val="16"/>
          <w:color w:val="auto"/>
        </w:rPr>
        <w:t>. If one or more of the provisions of this Award shall be held invalid, illegal or unenforceable in any respect, the validity, legality and enforceability of the remaining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Award to be construed so as to foster the intent of this Award and the Plan.</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Updated March 2019</w:t>
      </w:r>
    </w:p>
    <w:p>
      <w:pPr>
        <w:sectPr>
          <w:pgSz w:w="11900" w:h="16838" w:orient="portrait"/>
          <w:cols w:equalWidth="0" w:num="1">
            <w:col w:w="11445"/>
          </w:cols>
          <w:pgMar w:left="235" w:top="127" w:right="219" w:bottom="1440" w:gutter="0" w:footer="0" w:header="0"/>
        </w:sectPr>
      </w:pPr>
    </w:p>
    <w:bookmarkStart w:id="64" w:name="page65"/>
    <w:bookmarkEnd w:id="64"/>
    <w:p>
      <w:pPr>
        <w:jc w:val="right"/>
        <w:spacing w:after="0"/>
        <w:rPr>
          <w:sz w:val="20"/>
          <w:szCs w:val="20"/>
          <w:color w:val="auto"/>
        </w:rPr>
      </w:pPr>
      <w:r>
        <w:rPr>
          <w:rFonts w:ascii="Arial" w:cs="Arial" w:eastAsia="Arial" w:hAnsi="Arial"/>
          <w:sz w:val="16"/>
          <w:szCs w:val="16"/>
          <w:b w:val="1"/>
          <w:bCs w:val="1"/>
          <w:color w:val="auto"/>
        </w:rPr>
        <w:t>Exhibit 10.5</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ENANTA PHARMACEUTICALS, INC.</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2019 Equity Incentive Plan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Performance Share Unit Certificate</w:t>
      </w:r>
    </w:p>
    <w:p>
      <w:pPr>
        <w:spacing w:after="0" w:line="389" w:lineRule="exact"/>
        <w:rPr>
          <w:sz w:val="20"/>
          <w:szCs w:val="20"/>
          <w:color w:val="auto"/>
        </w:rPr>
      </w:pPr>
    </w:p>
    <w:tbl>
      <w:tblPr>
        <w:tblLayout w:type="fixed"/>
        <w:tblInd w:w="130" w:type="dxa"/>
        <w:tblCellMar>
          <w:top w:w="0" w:type="dxa"/>
          <w:left w:w="0" w:type="dxa"/>
          <w:bottom w:w="0" w:type="dxa"/>
          <w:right w:w="0" w:type="dxa"/>
        </w:tblCellMar>
      </w:tblPr>
      <w:tr>
        <w:trPr>
          <w:trHeight w:val="201"/>
        </w:trPr>
        <w:tc>
          <w:tcPr>
            <w:tcW w:w="566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PSU Certificate Number: PSU</w:t>
            </w:r>
          </w:p>
        </w:tc>
        <w:tc>
          <w:tcPr>
            <w:tcW w:w="5640" w:type="dxa"/>
            <w:vAlign w:val="bottom"/>
            <w:tcBorders>
              <w:top w:val="single" w:sz="8" w:color="auto"/>
              <w:bottom w:val="single" w:sz="8" w:color="auto"/>
              <w:right w:val="single" w:sz="8" w:color="auto"/>
            </w:tcBorders>
          </w:tcPr>
          <w:p>
            <w:pPr>
              <w:ind w:left="5280"/>
              <w:spacing w:after="0"/>
              <w:rPr>
                <w:sz w:val="20"/>
                <w:szCs w:val="20"/>
                <w:color w:val="auto"/>
              </w:rPr>
            </w:pPr>
            <w:r>
              <w:rPr>
                <w:rFonts w:ascii="Arial" w:cs="Arial" w:eastAsia="Arial" w:hAnsi="Arial"/>
                <w:sz w:val="16"/>
                <w:szCs w:val="16"/>
                <w:color w:val="auto"/>
                <w:w w:val="78"/>
              </w:rPr>
              <w:t>PSUs</w:t>
            </w:r>
          </w:p>
        </w:tc>
      </w:tr>
    </w:tbl>
    <w:p>
      <w:pPr>
        <w:spacing w:after="0" w:line="181" w:lineRule="exact"/>
        <w:rPr>
          <w:sz w:val="20"/>
          <w:szCs w:val="20"/>
          <w:color w:val="auto"/>
        </w:rPr>
      </w:pPr>
    </w:p>
    <w:p>
      <w:pPr>
        <w:jc w:val="both"/>
        <w:ind w:right="20"/>
        <w:spacing w:after="0" w:line="274" w:lineRule="auto"/>
        <w:rPr>
          <w:sz w:val="20"/>
          <w:szCs w:val="20"/>
          <w:color w:val="auto"/>
        </w:rPr>
      </w:pPr>
      <w:r>
        <w:rPr>
          <w:rFonts w:ascii="Arial" w:cs="Arial" w:eastAsia="Arial" w:hAnsi="Arial"/>
          <w:sz w:val="14"/>
          <w:szCs w:val="14"/>
          <w:color w:val="auto"/>
        </w:rPr>
        <w:t>This Performance Share Unit Certificate confirms that Enanta Pharmaceuticals, Inc. (the “</w:t>
      </w:r>
      <w:r>
        <w:rPr>
          <w:rFonts w:ascii="Arial" w:cs="Arial" w:eastAsia="Arial" w:hAnsi="Arial"/>
          <w:sz w:val="14"/>
          <w:szCs w:val="14"/>
          <w:u w:val="single" w:color="auto"/>
          <w:color w:val="auto"/>
        </w:rPr>
        <w:t>Company</w:t>
      </w:r>
      <w:r>
        <w:rPr>
          <w:rFonts w:ascii="Arial" w:cs="Arial" w:eastAsia="Arial" w:hAnsi="Arial"/>
          <w:sz w:val="14"/>
          <w:szCs w:val="14"/>
          <w:color w:val="auto"/>
        </w:rPr>
        <w:t>”), a Delaware corporation, has granted to the person named below (“</w:t>
      </w:r>
      <w:r>
        <w:rPr>
          <w:rFonts w:ascii="Arial" w:cs="Arial" w:eastAsia="Arial" w:hAnsi="Arial"/>
          <w:sz w:val="14"/>
          <w:szCs w:val="14"/>
          <w:u w:val="single" w:color="auto"/>
          <w:color w:val="auto"/>
        </w:rPr>
        <w:t>Participant</w:t>
      </w:r>
      <w:r>
        <w:rPr>
          <w:rFonts w:ascii="Arial" w:cs="Arial" w:eastAsia="Arial" w:hAnsi="Arial"/>
          <w:sz w:val="14"/>
          <w:szCs w:val="14"/>
          <w:color w:val="auto"/>
        </w:rPr>
        <w:t>”) an award (this “</w:t>
      </w:r>
      <w:r>
        <w:rPr>
          <w:rFonts w:ascii="Arial" w:cs="Arial" w:eastAsia="Arial" w:hAnsi="Arial"/>
          <w:sz w:val="14"/>
          <w:szCs w:val="14"/>
          <w:u w:val="single" w:color="auto"/>
          <w:color w:val="auto"/>
        </w:rPr>
        <w:t>Award</w:t>
      </w:r>
      <w:r>
        <w:rPr>
          <w:rFonts w:ascii="Arial" w:cs="Arial" w:eastAsia="Arial" w:hAnsi="Arial"/>
          <w:sz w:val="14"/>
          <w:szCs w:val="14"/>
          <w:color w:val="auto"/>
        </w:rPr>
        <w:t>”) of the number of Performance Share Units (“</w:t>
      </w:r>
      <w:r>
        <w:rPr>
          <w:rFonts w:ascii="Arial" w:cs="Arial" w:eastAsia="Arial" w:hAnsi="Arial"/>
          <w:sz w:val="14"/>
          <w:szCs w:val="14"/>
          <w:u w:val="single" w:color="auto"/>
          <w:color w:val="auto"/>
        </w:rPr>
        <w:t>PSUs</w:t>
      </w:r>
      <w:r>
        <w:rPr>
          <w:rFonts w:ascii="Arial" w:cs="Arial" w:eastAsia="Arial" w:hAnsi="Arial"/>
          <w:sz w:val="14"/>
          <w:szCs w:val="14"/>
          <w:color w:val="auto"/>
        </w:rPr>
        <w:t>”) set forth above pursuant to the Company’s 2019 Equity Incentive Plan (the “</w:t>
      </w:r>
      <w:r>
        <w:rPr>
          <w:rFonts w:ascii="Arial" w:cs="Arial" w:eastAsia="Arial" w:hAnsi="Arial"/>
          <w:sz w:val="14"/>
          <w:szCs w:val="14"/>
          <w:u w:val="single" w:color="auto"/>
          <w:color w:val="auto"/>
        </w:rPr>
        <w:t>Plan</w:t>
      </w:r>
      <w:r>
        <w:rPr>
          <w:rFonts w:ascii="Arial" w:cs="Arial" w:eastAsia="Arial" w:hAnsi="Arial"/>
          <w:sz w:val="14"/>
          <w:szCs w:val="14"/>
          <w:color w:val="auto"/>
        </w:rPr>
        <w:t>”), each PSU representing the right to receive one share of the Company’s Common Stock, $.01 par value per share (the “</w:t>
      </w:r>
      <w:r>
        <w:rPr>
          <w:rFonts w:ascii="Arial" w:cs="Arial" w:eastAsia="Arial" w:hAnsi="Arial"/>
          <w:sz w:val="14"/>
          <w:szCs w:val="14"/>
          <w:u w:val="single" w:color="auto"/>
          <w:color w:val="auto"/>
        </w:rPr>
        <w:t>Common Stock</w:t>
      </w:r>
      <w:r>
        <w:rPr>
          <w:rFonts w:ascii="Arial" w:cs="Arial" w:eastAsia="Arial" w:hAnsi="Arial"/>
          <w:sz w:val="14"/>
          <w:szCs w:val="14"/>
          <w:color w:val="auto"/>
        </w:rPr>
        <w:t>”), subject to adjustment as provided below and subject to the definitions and terms and conditions set forth or otherwise referenced below.</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Name of Participant:</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Address:</w:t>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Target Number of PSU Shares:</w:t>
      </w:r>
    </w:p>
    <w:p>
      <w:pPr>
        <w:spacing w:after="0" w:line="179" w:lineRule="exact"/>
        <w:rPr>
          <w:sz w:val="20"/>
          <w:szCs w:val="20"/>
          <w:color w:val="auto"/>
        </w:rPr>
      </w:pPr>
    </w:p>
    <w:p>
      <w:pPr>
        <w:spacing w:after="0"/>
        <w:tabs>
          <w:tab w:leader="none" w:pos="1980" w:val="left"/>
        </w:tabs>
        <w:rPr>
          <w:sz w:val="20"/>
          <w:szCs w:val="20"/>
          <w:color w:val="auto"/>
        </w:rPr>
      </w:pPr>
      <w:r>
        <w:rPr>
          <w:rFonts w:ascii="Arial" w:cs="Arial" w:eastAsia="Arial" w:hAnsi="Arial"/>
          <w:sz w:val="14"/>
          <w:szCs w:val="14"/>
          <w:color w:val="auto"/>
        </w:rPr>
        <w:t>Vesting Schedule:</w:t>
      </w:r>
      <w:r>
        <w:rPr>
          <w:sz w:val="20"/>
          <w:szCs w:val="20"/>
          <w:color w:val="auto"/>
        </w:rPr>
        <w:tab/>
      </w:r>
      <w:r>
        <w:rPr>
          <w:rFonts w:ascii="Arial" w:cs="Arial" w:eastAsia="Arial" w:hAnsi="Arial"/>
          <w:sz w:val="12"/>
          <w:szCs w:val="12"/>
          <w:color w:val="auto"/>
        </w:rPr>
        <w:t>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Performance Period:  On or before _____________________</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740" w:type="dxa"/>
            <w:vAlign w:val="bottom"/>
          </w:tcPr>
          <w:p>
            <w:pPr>
              <w:ind w:left="560"/>
              <w:spacing w:after="0"/>
              <w:rPr>
                <w:sz w:val="20"/>
                <w:szCs w:val="20"/>
                <w:color w:val="auto"/>
              </w:rPr>
            </w:pPr>
            <w:r>
              <w:rPr>
                <w:rFonts w:ascii="Arial" w:cs="Arial" w:eastAsia="Arial" w:hAnsi="Arial"/>
                <w:sz w:val="14"/>
                <w:szCs w:val="14"/>
                <w:color w:val="auto"/>
              </w:rPr>
              <w:t>R&amp;D Milestones:</w:t>
            </w:r>
          </w:p>
        </w:tc>
        <w:tc>
          <w:tcPr>
            <w:tcW w:w="5280" w:type="dxa"/>
            <w:vAlign w:val="bottom"/>
          </w:tcPr>
          <w:p>
            <w:pPr>
              <w:ind w:left="180"/>
              <w:spacing w:after="0"/>
              <w:rPr>
                <w:sz w:val="20"/>
                <w:szCs w:val="20"/>
                <w:color w:val="auto"/>
              </w:rPr>
            </w:pPr>
            <w:r>
              <w:rPr>
                <w:rFonts w:ascii="Arial" w:cs="Arial" w:eastAsia="Arial" w:hAnsi="Arial"/>
                <w:sz w:val="14"/>
                <w:szCs w:val="14"/>
                <w:color w:val="auto"/>
              </w:rPr>
              <w:t>________________________________________</w:t>
            </w:r>
          </w:p>
        </w:tc>
        <w:tc>
          <w:tcPr>
            <w:tcW w:w="920" w:type="dxa"/>
            <w:vAlign w:val="bottom"/>
          </w:tcPr>
          <w:p>
            <w:pPr>
              <w:spacing w:after="0"/>
              <w:rPr>
                <w:sz w:val="15"/>
                <w:szCs w:val="15"/>
                <w:color w:val="auto"/>
              </w:rPr>
            </w:pPr>
          </w:p>
        </w:tc>
        <w:tc>
          <w:tcPr>
            <w:tcW w:w="3460" w:type="dxa"/>
            <w:vAlign w:val="bottom"/>
          </w:tcPr>
          <w:p>
            <w:pPr>
              <w:spacing w:after="0"/>
              <w:rPr>
                <w:sz w:val="15"/>
                <w:szCs w:val="15"/>
                <w:color w:val="auto"/>
              </w:rPr>
            </w:pPr>
          </w:p>
        </w:tc>
      </w:tr>
      <w:tr>
        <w:trPr>
          <w:trHeight w:val="707"/>
        </w:trPr>
        <w:tc>
          <w:tcPr>
            <w:tcW w:w="1740" w:type="dxa"/>
            <w:vAlign w:val="bottom"/>
          </w:tcPr>
          <w:p>
            <w:pPr>
              <w:spacing w:after="0"/>
              <w:rPr>
                <w:sz w:val="20"/>
                <w:szCs w:val="20"/>
                <w:color w:val="auto"/>
              </w:rPr>
            </w:pPr>
            <w:r>
              <w:rPr>
                <w:rFonts w:ascii="Arial" w:cs="Arial" w:eastAsia="Arial" w:hAnsi="Arial"/>
                <w:sz w:val="14"/>
                <w:szCs w:val="14"/>
                <w:color w:val="auto"/>
              </w:rPr>
              <w:t>Settlement:</w:t>
            </w:r>
          </w:p>
        </w:tc>
        <w:tc>
          <w:tcPr>
            <w:tcW w:w="9660" w:type="dxa"/>
            <w:vAlign w:val="bottom"/>
            <w:gridSpan w:val="3"/>
          </w:tcPr>
          <w:p>
            <w:pPr>
              <w:ind w:left="380"/>
              <w:spacing w:after="0"/>
              <w:rPr>
                <w:sz w:val="20"/>
                <w:szCs w:val="20"/>
                <w:color w:val="auto"/>
              </w:rPr>
            </w:pPr>
            <w:r>
              <w:rPr>
                <w:rFonts w:ascii="Arial" w:cs="Arial" w:eastAsia="Arial" w:hAnsi="Arial"/>
                <w:sz w:val="14"/>
                <w:szCs w:val="14"/>
                <w:color w:val="auto"/>
                <w:w w:val="97"/>
              </w:rPr>
              <w:t>All vested PSUs will settle, and the underlying shares of the Company’s Common Stock will be issued to the Participant, subject to Participant’s continued</w:t>
            </w:r>
          </w:p>
        </w:tc>
      </w:tr>
      <w:tr>
        <w:trPr>
          <w:trHeight w:val="150"/>
        </w:trPr>
        <w:tc>
          <w:tcPr>
            <w:tcW w:w="1740" w:type="dxa"/>
            <w:vAlign w:val="bottom"/>
          </w:tcPr>
          <w:p>
            <w:pPr>
              <w:spacing w:after="0"/>
              <w:rPr>
                <w:sz w:val="13"/>
                <w:szCs w:val="13"/>
                <w:color w:val="auto"/>
              </w:rPr>
            </w:pPr>
          </w:p>
        </w:tc>
        <w:tc>
          <w:tcPr>
            <w:tcW w:w="9660" w:type="dxa"/>
            <w:vAlign w:val="bottom"/>
            <w:gridSpan w:val="3"/>
          </w:tcPr>
          <w:p>
            <w:pPr>
              <w:ind w:left="380"/>
              <w:spacing w:after="0" w:line="151" w:lineRule="exact"/>
              <w:rPr>
                <w:sz w:val="20"/>
                <w:szCs w:val="20"/>
                <w:color w:val="auto"/>
              </w:rPr>
            </w:pPr>
            <w:r>
              <w:rPr>
                <w:rFonts w:ascii="Arial" w:cs="Arial" w:eastAsia="Arial" w:hAnsi="Arial"/>
                <w:sz w:val="14"/>
                <w:szCs w:val="14"/>
                <w:color w:val="auto"/>
                <w:w w:val="92"/>
              </w:rPr>
              <w:t>employment with the Company, and subject to tax withholding, on the later date (the “Settlement Date”) of (A) the first February 12 (or if such date is not a trading</w:t>
            </w:r>
          </w:p>
        </w:tc>
      </w:tr>
      <w:tr>
        <w:trPr>
          <w:trHeight w:val="20"/>
        </w:trPr>
        <w:tc>
          <w:tcPr>
            <w:tcW w:w="17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r>
      <w:tr>
        <w:trPr>
          <w:trHeight w:val="185"/>
        </w:trPr>
        <w:tc>
          <w:tcPr>
            <w:tcW w:w="1740" w:type="dxa"/>
            <w:vAlign w:val="bottom"/>
          </w:tcPr>
          <w:p>
            <w:pPr>
              <w:spacing w:after="0"/>
              <w:rPr>
                <w:sz w:val="16"/>
                <w:szCs w:val="16"/>
                <w:color w:val="auto"/>
              </w:rPr>
            </w:pPr>
          </w:p>
        </w:tc>
        <w:tc>
          <w:tcPr>
            <w:tcW w:w="9660" w:type="dxa"/>
            <w:vAlign w:val="bottom"/>
            <w:gridSpan w:val="3"/>
          </w:tcPr>
          <w:p>
            <w:pPr>
              <w:ind w:left="380"/>
              <w:spacing w:after="0"/>
              <w:rPr>
                <w:sz w:val="20"/>
                <w:szCs w:val="20"/>
                <w:color w:val="auto"/>
              </w:rPr>
            </w:pPr>
            <w:r>
              <w:rPr>
                <w:rFonts w:ascii="Arial" w:cs="Arial" w:eastAsia="Arial" w:hAnsi="Arial"/>
                <w:sz w:val="14"/>
                <w:szCs w:val="14"/>
                <w:color w:val="auto"/>
                <w:w w:val="93"/>
              </w:rPr>
              <w:t>day, then the first trading day thereafter) after the close of the Company’s _______ fiscal year or (B) if there is any change in the Company’s fiscal year, the first</w:t>
            </w:r>
          </w:p>
        </w:tc>
      </w:tr>
      <w:tr>
        <w:trPr>
          <w:trHeight w:val="180"/>
        </w:trPr>
        <w:tc>
          <w:tcPr>
            <w:tcW w:w="1740" w:type="dxa"/>
            <w:vAlign w:val="bottom"/>
          </w:tcPr>
          <w:p>
            <w:pPr>
              <w:spacing w:after="0"/>
              <w:rPr>
                <w:sz w:val="15"/>
                <w:szCs w:val="15"/>
                <w:color w:val="auto"/>
              </w:rPr>
            </w:pPr>
          </w:p>
        </w:tc>
        <w:tc>
          <w:tcPr>
            <w:tcW w:w="9660" w:type="dxa"/>
            <w:vAlign w:val="bottom"/>
            <w:gridSpan w:val="3"/>
          </w:tcPr>
          <w:p>
            <w:pPr>
              <w:ind w:left="380"/>
              <w:spacing w:after="0"/>
              <w:rPr>
                <w:sz w:val="20"/>
                <w:szCs w:val="20"/>
                <w:color w:val="auto"/>
              </w:rPr>
            </w:pPr>
            <w:r>
              <w:rPr>
                <w:rFonts w:ascii="Arial" w:cs="Arial" w:eastAsia="Arial" w:hAnsi="Arial"/>
                <w:sz w:val="14"/>
                <w:szCs w:val="14"/>
                <w:color w:val="auto"/>
              </w:rPr>
              <w:t>day of the third calendar month after the close of the Company’s ________ fiscal year.</w:t>
            </w:r>
          </w:p>
        </w:tc>
      </w:tr>
    </w:tbl>
    <w:p>
      <w:pPr>
        <w:spacing w:after="0" w:line="174" w:lineRule="exact"/>
        <w:rPr>
          <w:sz w:val="20"/>
          <w:szCs w:val="20"/>
          <w:color w:val="auto"/>
        </w:rPr>
      </w:pPr>
    </w:p>
    <w:p>
      <w:pPr>
        <w:ind w:right="300" w:firstLine="177"/>
        <w:spacing w:after="0" w:line="293" w:lineRule="auto"/>
        <w:rPr>
          <w:sz w:val="20"/>
          <w:szCs w:val="20"/>
          <w:color w:val="auto"/>
        </w:rPr>
      </w:pPr>
      <w:r>
        <w:rPr>
          <w:rFonts w:ascii="Arial" w:cs="Arial" w:eastAsia="Arial" w:hAnsi="Arial"/>
          <w:sz w:val="14"/>
          <w:szCs w:val="14"/>
          <w:color w:val="auto"/>
        </w:rPr>
        <w:t xml:space="preserve">By acceptance of this Award, Participant agrees to all the terms and conditions hereof, including, without limitation, those set forth in the Plan and in the accompanying </w:t>
      </w:r>
      <w:r>
        <w:rPr>
          <w:rFonts w:ascii="Arial" w:cs="Arial" w:eastAsia="Arial" w:hAnsi="Arial"/>
          <w:sz w:val="14"/>
          <w:szCs w:val="14"/>
          <w:u w:val="single" w:color="auto"/>
          <w:color w:val="auto"/>
        </w:rPr>
        <w:t>Terms and Conditions of</w:t>
      </w:r>
      <w:r>
        <w:rPr>
          <w:rFonts w:ascii="Arial" w:cs="Arial" w:eastAsia="Arial" w:hAnsi="Arial"/>
          <w:sz w:val="14"/>
          <w:szCs w:val="14"/>
          <w:color w:val="auto"/>
        </w:rPr>
        <w:t xml:space="preserve"> </w:t>
      </w:r>
      <w:r>
        <w:rPr>
          <w:rFonts w:ascii="Arial" w:cs="Arial" w:eastAsia="Arial" w:hAnsi="Arial"/>
          <w:sz w:val="14"/>
          <w:szCs w:val="14"/>
          <w:u w:val="single" w:color="auto"/>
          <w:color w:val="auto"/>
        </w:rPr>
        <w:t>PSU Award</w:t>
      </w:r>
      <w:r>
        <w:rPr>
          <w:rFonts w:ascii="Arial" w:cs="Arial" w:eastAsia="Arial" w:hAnsi="Arial"/>
          <w:sz w:val="14"/>
          <w:szCs w:val="14"/>
          <w:color w:val="auto"/>
        </w:rPr>
        <w:t>.</w:t>
      </w:r>
    </w:p>
    <w:p>
      <w:pPr>
        <w:spacing w:after="0" w:line="131" w:lineRule="exact"/>
        <w:rPr>
          <w:sz w:val="20"/>
          <w:szCs w:val="20"/>
          <w:color w:val="auto"/>
        </w:rPr>
      </w:pPr>
    </w:p>
    <w:p>
      <w:pPr>
        <w:ind w:left="3380"/>
        <w:spacing w:after="0"/>
        <w:rPr>
          <w:sz w:val="20"/>
          <w:szCs w:val="20"/>
          <w:color w:val="auto"/>
        </w:rPr>
      </w:pPr>
      <w:r>
        <w:rPr>
          <w:rFonts w:ascii="Arial" w:cs="Arial" w:eastAsia="Arial" w:hAnsi="Arial"/>
          <w:sz w:val="16"/>
          <w:szCs w:val="16"/>
          <w:b w:val="1"/>
          <w:bCs w:val="1"/>
          <w:color w:val="auto"/>
        </w:rPr>
        <w:t>ENANTA PHARMACEUTICALS, INC</w:t>
      </w:r>
      <w:r>
        <w:rPr>
          <w:rFonts w:ascii="Arial" w:cs="Arial" w:eastAsia="Arial" w:hAnsi="Arial"/>
          <w:sz w:val="16"/>
          <w:szCs w:val="16"/>
          <w:color w:val="auto"/>
        </w:rPr>
        <w:t>.</w:t>
      </w:r>
    </w:p>
    <w:p>
      <w:pPr>
        <w:spacing w:after="0" w:line="200" w:lineRule="exact"/>
        <w:rPr>
          <w:sz w:val="20"/>
          <w:szCs w:val="20"/>
          <w:color w:val="auto"/>
        </w:rPr>
      </w:pPr>
    </w:p>
    <w:p>
      <w:pPr>
        <w:spacing w:after="0" w:line="377"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Senior Vice President, Finance &amp; Administration and Chief Financial Officer</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539750</wp:posOffset>
            </wp:positionV>
            <wp:extent cx="7303770" cy="406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12" w:right="219" w:bottom="1440" w:gutter="0" w:footer="0" w:header="0"/>
        </w:sectPr>
      </w:pPr>
    </w:p>
    <w:bookmarkStart w:id="65" w:name="page66"/>
    <w:bookmarkEnd w:id="65"/>
    <w:p>
      <w:pPr>
        <w:jc w:val="center"/>
        <w:ind w:right="-24"/>
        <w:spacing w:after="0"/>
        <w:rPr>
          <w:sz w:val="20"/>
          <w:szCs w:val="20"/>
          <w:color w:val="auto"/>
        </w:rPr>
      </w:pPr>
      <w:r>
        <w:rPr>
          <w:rFonts w:ascii="Arial" w:cs="Arial" w:eastAsia="Arial" w:hAnsi="Arial"/>
          <w:sz w:val="16"/>
          <w:szCs w:val="16"/>
          <w:b w:val="1"/>
          <w:bCs w:val="1"/>
          <w:color w:val="auto"/>
        </w:rPr>
        <w:t>ENANTA PHARMACEUTICALS, INC.</w:t>
      </w:r>
    </w:p>
    <w:p>
      <w:pPr>
        <w:spacing w:after="0" w:line="21" w:lineRule="exact"/>
        <w:rPr>
          <w:sz w:val="20"/>
          <w:szCs w:val="20"/>
          <w:color w:val="auto"/>
        </w:rPr>
      </w:pPr>
    </w:p>
    <w:p>
      <w:pPr>
        <w:jc w:val="center"/>
        <w:ind w:right="-24"/>
        <w:spacing w:after="0"/>
        <w:rPr>
          <w:sz w:val="20"/>
          <w:szCs w:val="20"/>
          <w:color w:val="auto"/>
        </w:rPr>
      </w:pPr>
      <w:r>
        <w:rPr>
          <w:rFonts w:ascii="Arial" w:cs="Arial" w:eastAsia="Arial" w:hAnsi="Arial"/>
          <w:sz w:val="16"/>
          <w:szCs w:val="16"/>
          <w:b w:val="1"/>
          <w:bCs w:val="1"/>
          <w:u w:val="single" w:color="auto"/>
          <w:color w:val="auto"/>
        </w:rPr>
        <w:t>Terms and Conditions of PSU Award</w:t>
      </w:r>
    </w:p>
    <w:p>
      <w:pPr>
        <w:spacing w:after="0" w:line="183" w:lineRule="exact"/>
        <w:rPr>
          <w:sz w:val="20"/>
          <w:szCs w:val="20"/>
          <w:color w:val="auto"/>
        </w:rPr>
      </w:pPr>
    </w:p>
    <w:p>
      <w:pPr>
        <w:ind w:left="5" w:right="20" w:hanging="5"/>
        <w:spacing w:after="0" w:line="311" w:lineRule="auto"/>
        <w:tabs>
          <w:tab w:leader="none" w:pos="163" w:val="left"/>
        </w:tabs>
        <w:numPr>
          <w:ilvl w:val="0"/>
          <w:numId w:val="57"/>
        </w:numPr>
        <w:rPr>
          <w:rFonts w:ascii="Arial" w:cs="Arial" w:eastAsia="Arial" w:hAnsi="Arial"/>
          <w:sz w:val="14"/>
          <w:szCs w:val="14"/>
          <w:color w:val="auto"/>
        </w:rPr>
      </w:pPr>
      <w:r>
        <w:rPr>
          <w:rFonts w:ascii="Arial" w:cs="Arial" w:eastAsia="Arial" w:hAnsi="Arial"/>
          <w:sz w:val="14"/>
          <w:szCs w:val="14"/>
          <w:b w:val="1"/>
          <w:bCs w:val="1"/>
          <w:i w:val="1"/>
          <w:iCs w:val="1"/>
          <w:color w:val="auto"/>
        </w:rPr>
        <w:t>The Plan</w:t>
      </w:r>
      <w:r>
        <w:rPr>
          <w:rFonts w:ascii="Arial" w:cs="Arial" w:eastAsia="Arial" w:hAnsi="Arial"/>
          <w:sz w:val="14"/>
          <w:szCs w:val="14"/>
          <w:color w:val="auto"/>
        </w:rPr>
        <w:t>. In the event of any conflict between the terms of the Plan and this Award, the terms of the Plan shall govern. The Committee administers the Plan and its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determinations regarding the operation of the Plan are final. Subject to the limitations set forth in the Plan, the Committee may amend the Plan or this Award. Capitalized terms used but not defined herein shall have the meaning set forth in the Plan. Copies of the Plan may be obtained upon written request without charge from the Secretary of the Company.</w:t>
      </w:r>
    </w:p>
    <w:p>
      <w:pPr>
        <w:spacing w:after="0" w:line="131" w:lineRule="exact"/>
        <w:rPr>
          <w:rFonts w:ascii="Arial" w:cs="Arial" w:eastAsia="Arial" w:hAnsi="Arial"/>
          <w:sz w:val="14"/>
          <w:szCs w:val="14"/>
          <w:color w:val="auto"/>
        </w:rPr>
      </w:pPr>
    </w:p>
    <w:p>
      <w:pPr>
        <w:ind w:left="5" w:right="220" w:hanging="5"/>
        <w:spacing w:after="0" w:line="254" w:lineRule="auto"/>
        <w:tabs>
          <w:tab w:leader="none" w:pos="163" w:val="left"/>
        </w:tabs>
        <w:numPr>
          <w:ilvl w:val="0"/>
          <w:numId w:val="57"/>
        </w:numPr>
        <w:rPr>
          <w:rFonts w:ascii="Arial" w:cs="Arial" w:eastAsia="Arial" w:hAnsi="Arial"/>
          <w:sz w:val="16"/>
          <w:szCs w:val="16"/>
          <w:color w:val="auto"/>
        </w:rPr>
      </w:pPr>
      <w:r>
        <w:rPr>
          <w:rFonts w:ascii="Arial" w:cs="Arial" w:eastAsia="Arial" w:hAnsi="Arial"/>
          <w:sz w:val="16"/>
          <w:szCs w:val="16"/>
          <w:b w:val="1"/>
          <w:bCs w:val="1"/>
          <w:i w:val="1"/>
          <w:iCs w:val="1"/>
          <w:color w:val="auto"/>
        </w:rPr>
        <w:t>No Rights as Stockholder or Employee</w:t>
      </w:r>
      <w:r>
        <w:rPr>
          <w:rFonts w:ascii="Arial" w:cs="Arial" w:eastAsia="Arial" w:hAnsi="Arial"/>
          <w:sz w:val="16"/>
          <w:szCs w:val="16"/>
          <w:color w:val="auto"/>
        </w:rPr>
        <w:t>. Participant shall not have any of the rights or privileges of a stockholder of the Company with respect to the PSUs granted pursuant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this Award unless and until shares of Common Stock have been issued and delivered to Participant. The rights of Participant with respect to the PSUs subject to this Award shall remain forfeitable at all times prior to the date on which such rights vest and settle in accordance with Sections 3, 4, 5 and 6. Participant shall not have any rights to continued employment by the Company by virtue of the grant of this Award.</w:t>
      </w:r>
    </w:p>
    <w:p>
      <w:pPr>
        <w:spacing w:after="0" w:line="167" w:lineRule="exact"/>
        <w:rPr>
          <w:rFonts w:ascii="Arial" w:cs="Arial" w:eastAsia="Arial" w:hAnsi="Arial"/>
          <w:sz w:val="16"/>
          <w:szCs w:val="16"/>
          <w:color w:val="auto"/>
        </w:rPr>
      </w:pPr>
    </w:p>
    <w:p>
      <w:pPr>
        <w:ind w:left="5" w:right="20" w:hanging="5"/>
        <w:spacing w:after="0" w:line="251" w:lineRule="auto"/>
        <w:tabs>
          <w:tab w:leader="none" w:pos="163" w:val="left"/>
        </w:tabs>
        <w:numPr>
          <w:ilvl w:val="0"/>
          <w:numId w:val="57"/>
        </w:numPr>
        <w:rPr>
          <w:rFonts w:ascii="Arial" w:cs="Arial" w:eastAsia="Arial" w:hAnsi="Arial"/>
          <w:sz w:val="16"/>
          <w:szCs w:val="16"/>
          <w:color w:val="auto"/>
        </w:rPr>
      </w:pPr>
      <w:r>
        <w:rPr>
          <w:rFonts w:ascii="Arial" w:cs="Arial" w:eastAsia="Arial" w:hAnsi="Arial"/>
          <w:sz w:val="16"/>
          <w:szCs w:val="16"/>
          <w:b w:val="1"/>
          <w:bCs w:val="1"/>
          <w:i w:val="1"/>
          <w:iCs w:val="1"/>
          <w:color w:val="auto"/>
        </w:rPr>
        <w:t>Settlement of PSUs: Issuance of Common Stock</w:t>
      </w:r>
      <w:r>
        <w:rPr>
          <w:rFonts w:ascii="Arial" w:cs="Arial" w:eastAsia="Arial" w:hAnsi="Arial"/>
          <w:sz w:val="16"/>
          <w:szCs w:val="16"/>
          <w:color w:val="auto"/>
        </w:rPr>
        <w:t>. No shares of Common Stock shall be issued to Participant except to the extent that the PSUs vest in accordance with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Vesting Schedule, which is set forth on the accompanying certificate for this Award. Subject to Section 7 below, and only if Participant remains continuously employed by the Company until the Settlement Date (except as set forth in Section 4 and 6 below), the Company shall deliver to Participant, on or promptly after the Settlement Date, the vested shares of Common Stock represented by the whole PSUs that have vested on or before such date. The value of any fractional share of Common Stock that is vested shall be paid in cash at the time the whole shares are delivered to Participant. The shares of Common Stock issued on settlement of vested PSUs shall be free of all restrictions on transferability and forfeiture under this Award.</w:t>
      </w:r>
    </w:p>
    <w:p>
      <w:pPr>
        <w:spacing w:after="0" w:line="170" w:lineRule="exact"/>
        <w:rPr>
          <w:rFonts w:ascii="Arial" w:cs="Arial" w:eastAsia="Arial" w:hAnsi="Arial"/>
          <w:sz w:val="16"/>
          <w:szCs w:val="16"/>
          <w:color w:val="auto"/>
        </w:rPr>
      </w:pPr>
    </w:p>
    <w:p>
      <w:pPr>
        <w:ind w:left="5" w:right="100" w:hanging="5"/>
        <w:spacing w:after="0" w:line="252" w:lineRule="auto"/>
        <w:tabs>
          <w:tab w:leader="none" w:pos="163" w:val="left"/>
        </w:tabs>
        <w:numPr>
          <w:ilvl w:val="0"/>
          <w:numId w:val="5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Termination due to Disability, or Death. </w:t>
      </w:r>
      <w:r>
        <w:rPr>
          <w:rFonts w:ascii="Arial" w:cs="Arial" w:eastAsia="Arial" w:hAnsi="Arial"/>
          <w:sz w:val="16"/>
          <w:szCs w:val="16"/>
          <w:color w:val="auto"/>
        </w:rPr>
        <w:t>In the event Participant’s employment is terminated by reason of disability or death, the vesting of the PSUs, including any dividend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equivalent PSUs, will be prorated based on the number of days during the Performance Period that the Participant spent on the active payroll of the Company. Issuance of any vested shares of Common Stock will be made at the same time as settlement would have been made had Participant not had a termination of employment and will in all respects be subject to the Company’s actual R&amp;D Milestones achieved during the full Performance Period. "Disability" means a disability entitling Participant to benefits under the long-term disability policy sponsored by the Company that applies to Participant.</w:t>
      </w:r>
    </w:p>
    <w:p>
      <w:pPr>
        <w:spacing w:after="0" w:line="169" w:lineRule="exact"/>
        <w:rPr>
          <w:rFonts w:ascii="Arial" w:cs="Arial" w:eastAsia="Arial" w:hAnsi="Arial"/>
          <w:sz w:val="16"/>
          <w:szCs w:val="16"/>
          <w:color w:val="auto"/>
        </w:rPr>
      </w:pPr>
    </w:p>
    <w:p>
      <w:pPr>
        <w:jc w:val="both"/>
        <w:ind w:left="5" w:right="60" w:hanging="5"/>
        <w:spacing w:after="0" w:line="257" w:lineRule="auto"/>
        <w:tabs>
          <w:tab w:leader="none" w:pos="163" w:val="left"/>
        </w:tabs>
        <w:numPr>
          <w:ilvl w:val="0"/>
          <w:numId w:val="57"/>
        </w:numPr>
        <w:rPr>
          <w:rFonts w:ascii="Arial" w:cs="Arial" w:eastAsia="Arial" w:hAnsi="Arial"/>
          <w:sz w:val="16"/>
          <w:szCs w:val="16"/>
          <w:color w:val="auto"/>
        </w:rPr>
      </w:pPr>
      <w:r>
        <w:rPr>
          <w:rFonts w:ascii="Arial" w:cs="Arial" w:eastAsia="Arial" w:hAnsi="Arial"/>
          <w:sz w:val="16"/>
          <w:szCs w:val="16"/>
          <w:b w:val="1"/>
          <w:bCs w:val="1"/>
          <w:i w:val="1"/>
          <w:iCs w:val="1"/>
          <w:color w:val="auto"/>
        </w:rPr>
        <w:t>Other Termination of Employment</w:t>
      </w:r>
      <w:r>
        <w:rPr>
          <w:rFonts w:ascii="Arial" w:cs="Arial" w:eastAsia="Arial" w:hAnsi="Arial"/>
          <w:sz w:val="16"/>
          <w:szCs w:val="16"/>
          <w:color w:val="auto"/>
        </w:rPr>
        <w:t>. If, prior to settlement of the PSUs on the Settlement Date, Participant ceases to be an employee of the Company for any reason (voluntary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involuntary), then except as set forth in Section 4 above, Participant’s rights to all of the unvested PSUs shall be immediately and irrevocably forfeited. Dividend-equivalent PSUs will be forfeited and canceled along with the PSUs with which they are associated.</w:t>
      </w:r>
    </w:p>
    <w:p>
      <w:pPr>
        <w:spacing w:after="0" w:line="166" w:lineRule="exact"/>
        <w:rPr>
          <w:rFonts w:ascii="Arial" w:cs="Arial" w:eastAsia="Arial" w:hAnsi="Arial"/>
          <w:sz w:val="16"/>
          <w:szCs w:val="16"/>
          <w:color w:val="auto"/>
        </w:rPr>
      </w:pPr>
    </w:p>
    <w:p>
      <w:pPr>
        <w:ind w:left="5" w:hanging="5"/>
        <w:spacing w:after="0" w:line="251" w:lineRule="auto"/>
        <w:tabs>
          <w:tab w:leader="none" w:pos="163" w:val="left"/>
        </w:tabs>
        <w:numPr>
          <w:ilvl w:val="0"/>
          <w:numId w:val="57"/>
        </w:numPr>
        <w:rPr>
          <w:rFonts w:ascii="Arial" w:cs="Arial" w:eastAsia="Arial" w:hAnsi="Arial"/>
          <w:sz w:val="16"/>
          <w:szCs w:val="16"/>
          <w:color w:val="auto"/>
        </w:rPr>
      </w:pPr>
      <w:r>
        <w:rPr>
          <w:rFonts w:ascii="Arial" w:cs="Arial" w:eastAsia="Arial" w:hAnsi="Arial"/>
          <w:sz w:val="16"/>
          <w:szCs w:val="16"/>
          <w:b w:val="1"/>
          <w:bCs w:val="1"/>
          <w:i w:val="1"/>
          <w:iCs w:val="1"/>
          <w:color w:val="auto"/>
        </w:rPr>
        <w:t>Change in Control</w:t>
      </w:r>
      <w:r>
        <w:rPr>
          <w:rFonts w:ascii="Arial" w:cs="Arial" w:eastAsia="Arial" w:hAnsi="Arial"/>
          <w:sz w:val="16"/>
          <w:szCs w:val="16"/>
          <w:color w:val="auto"/>
        </w:rPr>
        <w:t>. In the event of a Change in Control (as such term is defined in the Participant’s employment agreement) affecting the Company’s outstanding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the Committee shall (i) provide for the acceleration of any time period relating to the payment of the Award and shall issue the Target Number of PSU Shares subject to the Award, or such greater number as the Committee may determine have already vested upon achievement of more than one of the R&amp;D Milestones, immediately before the closing of the transaction resulting in the Change of Control, subject to applicable tax withholding, or (ii) provide for payment to the Participant of cash or other property with a fair market value equal to the Target Number of PSU Shares, or such greater number, as the case may be, as the Committee has determined have vested under the Award immediately before such closing.</w:t>
      </w:r>
    </w:p>
    <w:p>
      <w:pPr>
        <w:spacing w:after="0" w:line="170" w:lineRule="exact"/>
        <w:rPr>
          <w:rFonts w:ascii="Arial" w:cs="Arial" w:eastAsia="Arial" w:hAnsi="Arial"/>
          <w:sz w:val="16"/>
          <w:szCs w:val="16"/>
          <w:color w:val="auto"/>
        </w:rPr>
      </w:pPr>
    </w:p>
    <w:p>
      <w:pPr>
        <w:ind w:left="5" w:right="100" w:hanging="5"/>
        <w:spacing w:after="0" w:line="257" w:lineRule="auto"/>
        <w:tabs>
          <w:tab w:leader="none" w:pos="202" w:val="left"/>
        </w:tabs>
        <w:numPr>
          <w:ilvl w:val="0"/>
          <w:numId w:val="5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Adjustments in Number of Shares Subject to the Award. </w:t>
      </w:r>
      <w:r>
        <w:rPr>
          <w:rFonts w:ascii="Arial" w:cs="Arial" w:eastAsia="Arial" w:hAnsi="Arial"/>
          <w:sz w:val="16"/>
          <w:szCs w:val="16"/>
          <w:color w:val="auto"/>
        </w:rPr>
        <w:t>The number of PSUs subject to the Award will be adjusted proportionately for any increase or decrease in the number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issued shares of Common Stock resulting from any stock split, combination or exchange of shares, consolidation, spin-off or recapitalization of shares, or any similar capital adjustment or the payment of any stock dividend.</w:t>
      </w:r>
    </w:p>
    <w:p>
      <w:pPr>
        <w:spacing w:after="0" w:line="166" w:lineRule="exact"/>
        <w:rPr>
          <w:rFonts w:ascii="Arial" w:cs="Arial" w:eastAsia="Arial" w:hAnsi="Arial"/>
          <w:sz w:val="16"/>
          <w:szCs w:val="16"/>
          <w:color w:val="auto"/>
        </w:rPr>
      </w:pPr>
    </w:p>
    <w:p>
      <w:pPr>
        <w:ind w:left="5" w:right="280" w:hanging="5"/>
        <w:spacing w:after="0" w:line="268" w:lineRule="auto"/>
        <w:tabs>
          <w:tab w:leader="none" w:pos="202" w:val="left"/>
        </w:tabs>
        <w:numPr>
          <w:ilvl w:val="0"/>
          <w:numId w:val="57"/>
        </w:numPr>
        <w:rPr>
          <w:rFonts w:ascii="Arial" w:cs="Arial" w:eastAsia="Arial" w:hAnsi="Arial"/>
          <w:sz w:val="16"/>
          <w:szCs w:val="16"/>
          <w:color w:val="auto"/>
        </w:rPr>
      </w:pPr>
      <w:r>
        <w:rPr>
          <w:rFonts w:ascii="Arial" w:cs="Arial" w:eastAsia="Arial" w:hAnsi="Arial"/>
          <w:sz w:val="16"/>
          <w:szCs w:val="16"/>
          <w:b w:val="1"/>
          <w:bCs w:val="1"/>
          <w:i w:val="1"/>
          <w:iCs w:val="1"/>
          <w:color w:val="auto"/>
        </w:rPr>
        <w:t>Restriction on Transfer</w:t>
      </w:r>
      <w:r>
        <w:rPr>
          <w:rFonts w:ascii="Arial" w:cs="Arial" w:eastAsia="Arial" w:hAnsi="Arial"/>
          <w:sz w:val="16"/>
          <w:szCs w:val="16"/>
          <w:color w:val="auto"/>
        </w:rPr>
        <w:t>. The PSUs are not transferable by Participant otherwise than by will or the laws of descent and distribution. The naming of a Designated Beneficiary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does not constitute a transfer.</w:t>
      </w:r>
    </w:p>
    <w:p>
      <w:pPr>
        <w:spacing w:after="0" w:line="156" w:lineRule="exact"/>
        <w:rPr>
          <w:rFonts w:ascii="Arial" w:cs="Arial" w:eastAsia="Arial" w:hAnsi="Arial"/>
          <w:sz w:val="16"/>
          <w:szCs w:val="16"/>
          <w:color w:val="auto"/>
        </w:rPr>
      </w:pPr>
    </w:p>
    <w:p>
      <w:pPr>
        <w:ind w:left="5" w:right="20" w:hanging="5"/>
        <w:spacing w:after="0" w:line="257" w:lineRule="auto"/>
        <w:tabs>
          <w:tab w:leader="none" w:pos="163" w:val="left"/>
        </w:tabs>
        <w:numPr>
          <w:ilvl w:val="0"/>
          <w:numId w:val="57"/>
        </w:numPr>
        <w:rPr>
          <w:rFonts w:ascii="Arial" w:cs="Arial" w:eastAsia="Arial" w:hAnsi="Arial"/>
          <w:sz w:val="16"/>
          <w:szCs w:val="16"/>
          <w:color w:val="auto"/>
        </w:rPr>
      </w:pPr>
      <w:r>
        <w:rPr>
          <w:rFonts w:ascii="Arial" w:cs="Arial" w:eastAsia="Arial" w:hAnsi="Arial"/>
          <w:sz w:val="16"/>
          <w:szCs w:val="16"/>
          <w:b w:val="1"/>
          <w:bCs w:val="1"/>
          <w:i w:val="1"/>
          <w:iCs w:val="1"/>
          <w:color w:val="auto"/>
        </w:rPr>
        <w:t>Income Tax Matters</w:t>
      </w:r>
      <w:r>
        <w:rPr>
          <w:rFonts w:ascii="Arial" w:cs="Arial" w:eastAsia="Arial" w:hAnsi="Arial"/>
          <w:sz w:val="16"/>
          <w:szCs w:val="16"/>
          <w:color w:val="auto"/>
        </w:rPr>
        <w:t>. In order to comply with all withholding requirements under applicable federal and state income tax laws and regulations, the Company shall withhold such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number of the shares of Common Stock otherwise issuable on the Settlement Date, valued at their fair market value on the Settlement Date, as the Company determines is consistent with then applicable federal and state income tax withholding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160655</wp:posOffset>
            </wp:positionV>
            <wp:extent cx="7303770" cy="406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25"/>
          </w:cols>
          <w:pgMar w:left="235" w:top="312" w:right="239" w:bottom="1440" w:gutter="0" w:footer="0" w:header="0"/>
        </w:sectPr>
      </w:pPr>
    </w:p>
    <w:bookmarkStart w:id="66" w:name="page67"/>
    <w:bookmarkEnd w:id="66"/>
    <w:p>
      <w:pPr>
        <w:ind w:left="5" w:right="40" w:hanging="5"/>
        <w:spacing w:after="0" w:line="251" w:lineRule="auto"/>
        <w:tabs>
          <w:tab w:leader="none" w:pos="242" w:val="left"/>
        </w:tabs>
        <w:numPr>
          <w:ilvl w:val="0"/>
          <w:numId w:val="58"/>
        </w:numPr>
        <w:rPr>
          <w:rFonts w:ascii="Arial" w:cs="Arial" w:eastAsia="Arial" w:hAnsi="Arial"/>
          <w:sz w:val="16"/>
          <w:szCs w:val="16"/>
          <w:color w:val="auto"/>
        </w:rPr>
      </w:pPr>
      <w:r>
        <w:rPr>
          <w:rFonts w:ascii="Arial" w:cs="Arial" w:eastAsia="Arial" w:hAnsi="Arial"/>
          <w:sz w:val="16"/>
          <w:szCs w:val="16"/>
          <w:b w:val="1"/>
          <w:bCs w:val="1"/>
          <w:i w:val="1"/>
          <w:iCs w:val="1"/>
          <w:color w:val="auto"/>
        </w:rPr>
        <w:t>Section 409A</w:t>
      </w:r>
      <w:r>
        <w:rPr>
          <w:rFonts w:ascii="Arial" w:cs="Arial" w:eastAsia="Arial" w:hAnsi="Arial"/>
          <w:sz w:val="16"/>
          <w:szCs w:val="16"/>
          <w:color w:val="auto"/>
        </w:rPr>
        <w:t>. In the event that the Committee determines that any amounts will be immediately taxable to Participant under Section 409A of the Code and related Department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Treasury guidance (or are reasonably expected to subject Participant to a penalty tax thereunder) in connection with the grant, vesting or settlement of the PSUs or any provision of this Award or the Plan, the Company may (i) adopt such amendments to this Award (having prospective or retroactive effect) that the Committee determines to be necessary or appropriate to preserve the intended tax treatment of the PSUs and/or (ii) take such other actions as the Committee determines to be necessary or appropriate to comply with the requirements of Section 409A of the Code and related Department of Treasury guidance, including such Department of Treasury guidance and other interpretive materials as may be issued after the date on which such PSUs were granted.</w:t>
      </w:r>
    </w:p>
    <w:p>
      <w:pPr>
        <w:spacing w:after="0" w:line="170" w:lineRule="exact"/>
        <w:rPr>
          <w:rFonts w:ascii="Arial" w:cs="Arial" w:eastAsia="Arial" w:hAnsi="Arial"/>
          <w:sz w:val="16"/>
          <w:szCs w:val="16"/>
          <w:color w:val="auto"/>
        </w:rPr>
      </w:pPr>
    </w:p>
    <w:p>
      <w:pPr>
        <w:ind w:left="5" w:right="20" w:hanging="5"/>
        <w:spacing w:after="0" w:line="269" w:lineRule="auto"/>
        <w:tabs>
          <w:tab w:leader="none" w:pos="236" w:val="left"/>
        </w:tabs>
        <w:numPr>
          <w:ilvl w:val="0"/>
          <w:numId w:val="58"/>
        </w:numPr>
        <w:rPr>
          <w:rFonts w:ascii="Arial" w:cs="Arial" w:eastAsia="Arial" w:hAnsi="Arial"/>
          <w:sz w:val="15"/>
          <w:szCs w:val="15"/>
          <w:color w:val="auto"/>
        </w:rPr>
      </w:pPr>
      <w:r>
        <w:rPr>
          <w:rFonts w:ascii="Arial" w:cs="Arial" w:eastAsia="Arial" w:hAnsi="Arial"/>
          <w:sz w:val="15"/>
          <w:szCs w:val="15"/>
          <w:b w:val="1"/>
          <w:bCs w:val="1"/>
          <w:i w:val="1"/>
          <w:iCs w:val="1"/>
          <w:color w:val="auto"/>
        </w:rPr>
        <w:t>Conditions for Issuance of Shares</w:t>
      </w:r>
      <w:r>
        <w:rPr>
          <w:rFonts w:ascii="Arial" w:cs="Arial" w:eastAsia="Arial" w:hAnsi="Arial"/>
          <w:sz w:val="15"/>
          <w:szCs w:val="15"/>
          <w:color w:val="auto"/>
        </w:rPr>
        <w:t>. The Company shall not be required to deliver any shares of Common Stock upon vesting of any PSUs until (i) such shares of Common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Stock have been admitted to listing on all stock exchanges on which the Common Stock is then listed and (ii) the requirements of any federal or state securities laws, rules or regulations or other laws or rules (including the rules of any securities exchange) as may be determined by the Company to be applicable are satisfied, provided however, that the Company may only so delay delivery of shares of Common Stock to the extent that such deferral complies with the provisions of Section 409A of the Code and related Department of Treasury guidance. Except as provided in the preceding sentence, in no event will shares of Common Stock be delivered later than the date that is two and one-half (2 1/2) months from the end of the calendar year in which the applicable PSUs vest. Any shares of Common Stock delivered under this Award may be subject to such stop transfer restrictions as counsel for the Company shall consider necessary to comply with any applicable law.</w:t>
      </w:r>
    </w:p>
    <w:p>
      <w:pPr>
        <w:spacing w:after="0" w:line="160" w:lineRule="exact"/>
        <w:rPr>
          <w:rFonts w:ascii="Arial" w:cs="Arial" w:eastAsia="Arial" w:hAnsi="Arial"/>
          <w:sz w:val="15"/>
          <w:szCs w:val="15"/>
          <w:color w:val="auto"/>
        </w:rPr>
      </w:pPr>
    </w:p>
    <w:p>
      <w:pPr>
        <w:ind w:left="5" w:right="640" w:hanging="5"/>
        <w:spacing w:after="0" w:line="268" w:lineRule="auto"/>
        <w:tabs>
          <w:tab w:leader="none" w:pos="242" w:val="left"/>
        </w:tabs>
        <w:numPr>
          <w:ilvl w:val="0"/>
          <w:numId w:val="5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Clawback Policy. </w:t>
      </w:r>
      <w:r>
        <w:rPr>
          <w:rFonts w:ascii="Arial" w:cs="Arial" w:eastAsia="Arial" w:hAnsi="Arial"/>
          <w:sz w:val="16"/>
          <w:szCs w:val="16"/>
          <w:color w:val="auto"/>
        </w:rPr>
        <w:t>This Award and any Common Stock issued hereunder is subject to any so-called “clawback policy” that may be adopted by the Company’s Board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Directors, as amended from time to time.</w:t>
      </w:r>
    </w:p>
    <w:p>
      <w:pPr>
        <w:spacing w:after="0" w:line="156" w:lineRule="exact"/>
        <w:rPr>
          <w:rFonts w:ascii="Arial" w:cs="Arial" w:eastAsia="Arial" w:hAnsi="Arial"/>
          <w:sz w:val="16"/>
          <w:szCs w:val="16"/>
          <w:color w:val="auto"/>
        </w:rPr>
      </w:pPr>
    </w:p>
    <w:p>
      <w:pPr>
        <w:jc w:val="both"/>
        <w:ind w:left="5" w:right="340" w:hanging="5"/>
        <w:spacing w:after="0" w:line="257" w:lineRule="auto"/>
        <w:tabs>
          <w:tab w:leader="none" w:pos="242" w:val="left"/>
        </w:tabs>
        <w:numPr>
          <w:ilvl w:val="0"/>
          <w:numId w:val="58"/>
        </w:numPr>
        <w:rPr>
          <w:rFonts w:ascii="Arial" w:cs="Arial" w:eastAsia="Arial" w:hAnsi="Arial"/>
          <w:sz w:val="16"/>
          <w:szCs w:val="16"/>
          <w:color w:val="auto"/>
        </w:rPr>
      </w:pPr>
      <w:r>
        <w:rPr>
          <w:rFonts w:ascii="Arial" w:cs="Arial" w:eastAsia="Arial" w:hAnsi="Arial"/>
          <w:sz w:val="16"/>
          <w:szCs w:val="16"/>
          <w:b w:val="1"/>
          <w:bCs w:val="1"/>
          <w:i w:val="1"/>
          <w:iCs w:val="1"/>
          <w:color w:val="auto"/>
        </w:rPr>
        <w:t>Notices</w:t>
      </w:r>
      <w:r>
        <w:rPr>
          <w:rFonts w:ascii="Arial" w:cs="Arial" w:eastAsia="Arial" w:hAnsi="Arial"/>
          <w:sz w:val="16"/>
          <w:szCs w:val="16"/>
          <w:color w:val="auto"/>
        </w:rPr>
        <w:t>. Any written notices provided for in this Award that are sent by mail shall be deemed received three business days after mailing, but not later than the date of actual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receipt. Notices shall be directed, if to Participant, at the Participant’s address indicated by the Company’s records and, if to the Company, at the Company’s principal executive office.</w:t>
      </w:r>
    </w:p>
    <w:p>
      <w:pPr>
        <w:spacing w:after="0" w:line="166" w:lineRule="exact"/>
        <w:rPr>
          <w:rFonts w:ascii="Arial" w:cs="Arial" w:eastAsia="Arial" w:hAnsi="Arial"/>
          <w:sz w:val="16"/>
          <w:szCs w:val="16"/>
          <w:color w:val="auto"/>
        </w:rPr>
      </w:pPr>
    </w:p>
    <w:p>
      <w:pPr>
        <w:jc w:val="both"/>
        <w:ind w:left="5" w:right="240" w:hanging="5"/>
        <w:spacing w:after="0" w:line="282" w:lineRule="auto"/>
        <w:tabs>
          <w:tab w:leader="none" w:pos="242" w:val="left"/>
        </w:tabs>
        <w:numPr>
          <w:ilvl w:val="0"/>
          <w:numId w:val="58"/>
        </w:numPr>
        <w:rPr>
          <w:rFonts w:ascii="Arial" w:cs="Arial" w:eastAsia="Arial" w:hAnsi="Arial"/>
          <w:sz w:val="15"/>
          <w:szCs w:val="15"/>
          <w:color w:val="auto"/>
        </w:rPr>
      </w:pPr>
      <w:r>
        <w:rPr>
          <w:rFonts w:ascii="Arial" w:cs="Arial" w:eastAsia="Arial" w:hAnsi="Arial"/>
          <w:sz w:val="15"/>
          <w:szCs w:val="15"/>
          <w:b w:val="1"/>
          <w:bCs w:val="1"/>
          <w:i w:val="1"/>
          <w:iCs w:val="1"/>
          <w:color w:val="auto"/>
        </w:rPr>
        <w:t>Miscellaneous</w:t>
      </w:r>
      <w:r>
        <w:rPr>
          <w:rFonts w:ascii="Arial" w:cs="Arial" w:eastAsia="Arial" w:hAnsi="Arial"/>
          <w:sz w:val="15"/>
          <w:szCs w:val="15"/>
          <w:color w:val="auto"/>
        </w:rPr>
        <w:t>. The right of Participant to receive shares of Common Stock pursuant to this Award is an unfunded and unsecured obligation of the Company. The Participant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shall have no rights under this Award other than those of an unsecured general creditor of the Company. Subject to the restrictions on transfer set forth herein, this Award shall be binding upon and inure to the benefit of the heirs, legatees, legal representatives, successors and assigns of the parties hereto.</w:t>
      </w:r>
    </w:p>
    <w:p>
      <w:pPr>
        <w:spacing w:after="0" w:line="149" w:lineRule="exact"/>
        <w:rPr>
          <w:rFonts w:ascii="Arial" w:cs="Arial" w:eastAsia="Arial" w:hAnsi="Arial"/>
          <w:sz w:val="15"/>
          <w:szCs w:val="15"/>
          <w:color w:val="auto"/>
        </w:rPr>
      </w:pPr>
    </w:p>
    <w:p>
      <w:pPr>
        <w:ind w:left="5" w:right="220" w:hanging="5"/>
        <w:spacing w:after="0" w:line="268" w:lineRule="auto"/>
        <w:tabs>
          <w:tab w:leader="none" w:pos="242" w:val="left"/>
        </w:tabs>
        <w:numPr>
          <w:ilvl w:val="0"/>
          <w:numId w:val="58"/>
        </w:numPr>
        <w:rPr>
          <w:rFonts w:ascii="Arial" w:cs="Arial" w:eastAsia="Arial" w:hAnsi="Arial"/>
          <w:sz w:val="16"/>
          <w:szCs w:val="16"/>
          <w:color w:val="auto"/>
        </w:rPr>
      </w:pPr>
      <w:r>
        <w:rPr>
          <w:rFonts w:ascii="Arial" w:cs="Arial" w:eastAsia="Arial" w:hAnsi="Arial"/>
          <w:sz w:val="16"/>
          <w:szCs w:val="16"/>
          <w:b w:val="1"/>
          <w:bCs w:val="1"/>
          <w:i w:val="1"/>
          <w:iCs w:val="1"/>
          <w:color w:val="auto"/>
        </w:rPr>
        <w:t>Governing Law</w:t>
      </w:r>
      <w:r>
        <w:rPr>
          <w:rFonts w:ascii="Arial" w:cs="Arial" w:eastAsia="Arial" w:hAnsi="Arial"/>
          <w:sz w:val="16"/>
          <w:szCs w:val="16"/>
          <w:color w:val="auto"/>
        </w:rPr>
        <w:t>. This Award shall be governed by and construed in accordance with the laws of the State of Delaware and applicable federal law, without regard to choice-of-law principles.</w:t>
      </w:r>
    </w:p>
    <w:p>
      <w:pPr>
        <w:spacing w:after="0" w:line="156" w:lineRule="exact"/>
        <w:rPr>
          <w:rFonts w:ascii="Arial" w:cs="Arial" w:eastAsia="Arial" w:hAnsi="Arial"/>
          <w:sz w:val="16"/>
          <w:szCs w:val="16"/>
          <w:color w:val="auto"/>
        </w:rPr>
      </w:pPr>
    </w:p>
    <w:p>
      <w:pPr>
        <w:jc w:val="both"/>
        <w:ind w:left="5" w:right="20" w:hanging="5"/>
        <w:spacing w:after="0" w:line="254" w:lineRule="auto"/>
        <w:tabs>
          <w:tab w:leader="none" w:pos="242" w:val="left"/>
        </w:tabs>
        <w:numPr>
          <w:ilvl w:val="0"/>
          <w:numId w:val="58"/>
        </w:numPr>
        <w:rPr>
          <w:rFonts w:ascii="Arial" w:cs="Arial" w:eastAsia="Arial" w:hAnsi="Arial"/>
          <w:sz w:val="16"/>
          <w:szCs w:val="16"/>
          <w:color w:val="auto"/>
        </w:rPr>
      </w:pPr>
      <w:r>
        <w:rPr>
          <w:rFonts w:ascii="Arial" w:cs="Arial" w:eastAsia="Arial" w:hAnsi="Arial"/>
          <w:sz w:val="16"/>
          <w:szCs w:val="16"/>
          <w:b w:val="1"/>
          <w:bCs w:val="1"/>
          <w:i w:val="1"/>
          <w:iCs w:val="1"/>
          <w:color w:val="auto"/>
        </w:rPr>
        <w:t>Severability</w:t>
      </w:r>
      <w:r>
        <w:rPr>
          <w:rFonts w:ascii="Arial" w:cs="Arial" w:eastAsia="Arial" w:hAnsi="Arial"/>
          <w:sz w:val="16"/>
          <w:szCs w:val="16"/>
          <w:color w:val="auto"/>
        </w:rPr>
        <w:t>. If one or more of the provisions of this Award shall be held invalid, illegal or unenforceable in any respect, the validity, legality and enforceability of the remaining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Award to be construed so as to foster the intent of this Award and the Plan.</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Updated March 2019</w:t>
      </w:r>
    </w:p>
    <w:p>
      <w:pPr>
        <w:sectPr>
          <w:pgSz w:w="11900" w:h="16838" w:orient="portrait"/>
          <w:cols w:equalWidth="0" w:num="1">
            <w:col w:w="11445"/>
          </w:cols>
          <w:pgMar w:left="235" w:top="316" w:right="219" w:bottom="1440" w:gutter="0" w:footer="0" w:header="0"/>
        </w:sectPr>
      </w:pPr>
    </w:p>
    <w:bookmarkStart w:id="67" w:name="page68"/>
    <w:bookmarkEnd w:id="67"/>
    <w:p>
      <w:pPr>
        <w:jc w:val="right"/>
        <w:spacing w:after="0"/>
        <w:rPr>
          <w:sz w:val="20"/>
          <w:szCs w:val="20"/>
          <w:color w:val="auto"/>
        </w:rPr>
      </w:pPr>
      <w:r>
        <w:rPr>
          <w:rFonts w:ascii="Arial" w:cs="Arial" w:eastAsia="Arial" w:hAnsi="Arial"/>
          <w:sz w:val="16"/>
          <w:szCs w:val="16"/>
          <w:b w:val="1"/>
          <w:bCs w:val="1"/>
          <w:color w:val="auto"/>
        </w:rPr>
        <w:t>Exhibit 31.1</w:t>
      </w:r>
    </w:p>
    <w:p>
      <w:pPr>
        <w:spacing w:after="0" w:line="195"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CERTIFICATION</w:t>
      </w:r>
    </w:p>
    <w:p>
      <w:pPr>
        <w:spacing w:after="0" w:line="199" w:lineRule="exact"/>
        <w:rPr>
          <w:sz w:val="20"/>
          <w:szCs w:val="20"/>
          <w:color w:val="auto"/>
        </w:rPr>
      </w:pPr>
    </w:p>
    <w:p>
      <w:pPr>
        <w:ind w:left="5"/>
        <w:spacing w:after="0"/>
        <w:rPr>
          <w:sz w:val="20"/>
          <w:szCs w:val="20"/>
          <w:color w:val="auto"/>
        </w:rPr>
      </w:pPr>
      <w:r>
        <w:rPr>
          <w:rFonts w:ascii="Arial" w:cs="Arial" w:eastAsia="Arial" w:hAnsi="Arial"/>
          <w:sz w:val="16"/>
          <w:szCs w:val="16"/>
          <w:color w:val="auto"/>
        </w:rPr>
        <w:t>I, Jay R. Luly, Ph.D., certify that:</w:t>
      </w:r>
    </w:p>
    <w:p>
      <w:pPr>
        <w:spacing w:after="0" w:line="100" w:lineRule="exact"/>
        <w:rPr>
          <w:sz w:val="20"/>
          <w:szCs w:val="20"/>
          <w:color w:val="auto"/>
        </w:rPr>
      </w:pPr>
    </w:p>
    <w:p>
      <w:pPr>
        <w:ind w:left="505" w:hanging="505"/>
        <w:spacing w:after="0"/>
        <w:tabs>
          <w:tab w:leader="none" w:pos="505" w:val="left"/>
        </w:tabs>
        <w:numPr>
          <w:ilvl w:val="0"/>
          <w:numId w:val="59"/>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Enanta Pharmaceuticals, Inc.;</w:t>
      </w:r>
    </w:p>
    <w:p>
      <w:pPr>
        <w:spacing w:after="0" w:line="99" w:lineRule="exact"/>
        <w:rPr>
          <w:rFonts w:ascii="Arial" w:cs="Arial" w:eastAsia="Arial" w:hAnsi="Arial"/>
          <w:sz w:val="16"/>
          <w:szCs w:val="16"/>
          <w:color w:val="auto"/>
        </w:rPr>
      </w:pPr>
    </w:p>
    <w:p>
      <w:pPr>
        <w:ind w:left="505" w:right="140" w:hanging="505"/>
        <w:spacing w:after="0" w:line="302" w:lineRule="auto"/>
        <w:tabs>
          <w:tab w:leader="none" w:pos="505" w:val="left"/>
        </w:tabs>
        <w:numPr>
          <w:ilvl w:val="0"/>
          <w:numId w:val="5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Arial" w:cs="Arial" w:eastAsia="Arial" w:hAnsi="Arial"/>
          <w:sz w:val="15"/>
          <w:szCs w:val="15"/>
          <w:color w:val="auto"/>
        </w:rPr>
      </w:pPr>
    </w:p>
    <w:p>
      <w:pPr>
        <w:ind w:left="505" w:right="20" w:hanging="505"/>
        <w:spacing w:after="0" w:line="268" w:lineRule="auto"/>
        <w:tabs>
          <w:tab w:leader="none" w:pos="505" w:val="left"/>
        </w:tabs>
        <w:numPr>
          <w:ilvl w:val="0"/>
          <w:numId w:val="5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6"/>
          <w:szCs w:val="16"/>
          <w:color w:val="auto"/>
        </w:rPr>
      </w:pPr>
    </w:p>
    <w:p>
      <w:pPr>
        <w:ind w:left="505" w:right="280" w:hanging="505"/>
        <w:spacing w:after="0" w:line="341" w:lineRule="auto"/>
        <w:tabs>
          <w:tab w:leader="none" w:pos="505"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15d- 15(f)) for the registrant and have:</w:t>
      </w:r>
    </w:p>
    <w:p>
      <w:pPr>
        <w:spacing w:after="0" w:line="15" w:lineRule="exact"/>
        <w:rPr>
          <w:rFonts w:ascii="Arial" w:cs="Arial" w:eastAsia="Arial" w:hAnsi="Arial"/>
          <w:sz w:val="14"/>
          <w:szCs w:val="14"/>
          <w:color w:val="auto"/>
        </w:rPr>
      </w:pPr>
    </w:p>
    <w:p>
      <w:pPr>
        <w:jc w:val="both"/>
        <w:ind w:left="1025" w:right="200" w:hanging="517"/>
        <w:spacing w:after="0" w:line="257" w:lineRule="auto"/>
        <w:tabs>
          <w:tab w:leader="none" w:pos="1025" w:val="left"/>
        </w:tabs>
        <w:numPr>
          <w:ilvl w:val="1"/>
          <w:numId w:val="5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Arial" w:cs="Arial" w:eastAsia="Arial" w:hAnsi="Arial"/>
          <w:sz w:val="16"/>
          <w:szCs w:val="16"/>
          <w:color w:val="auto"/>
        </w:rPr>
      </w:pPr>
    </w:p>
    <w:p>
      <w:pPr>
        <w:ind w:left="1025" w:right="240" w:hanging="517"/>
        <w:spacing w:after="0" w:line="257" w:lineRule="auto"/>
        <w:tabs>
          <w:tab w:leader="none" w:pos="1025" w:val="left"/>
        </w:tabs>
        <w:numPr>
          <w:ilvl w:val="1"/>
          <w:numId w:val="5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Arial" w:cs="Arial" w:eastAsia="Arial" w:hAnsi="Arial"/>
          <w:sz w:val="16"/>
          <w:szCs w:val="16"/>
          <w:color w:val="auto"/>
        </w:rPr>
      </w:pPr>
    </w:p>
    <w:p>
      <w:pPr>
        <w:ind w:left="1025" w:right="660" w:hanging="517"/>
        <w:spacing w:after="0" w:line="268" w:lineRule="auto"/>
        <w:tabs>
          <w:tab w:leader="none" w:pos="1025" w:val="left"/>
        </w:tabs>
        <w:numPr>
          <w:ilvl w:val="1"/>
          <w:numId w:val="5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6"/>
          <w:szCs w:val="16"/>
          <w:color w:val="auto"/>
        </w:rPr>
      </w:pPr>
    </w:p>
    <w:p>
      <w:pPr>
        <w:ind w:left="1025" w:right="320" w:hanging="517"/>
        <w:spacing w:after="0" w:line="257" w:lineRule="auto"/>
        <w:tabs>
          <w:tab w:leader="none" w:pos="1025" w:val="left"/>
        </w:tabs>
        <w:numPr>
          <w:ilvl w:val="1"/>
          <w:numId w:val="5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Arial" w:cs="Arial" w:eastAsia="Arial" w:hAnsi="Arial"/>
          <w:sz w:val="16"/>
          <w:szCs w:val="16"/>
          <w:color w:val="auto"/>
        </w:rPr>
      </w:pPr>
    </w:p>
    <w:p>
      <w:pPr>
        <w:ind w:left="505" w:right="120" w:hanging="505"/>
        <w:spacing w:after="0" w:line="268" w:lineRule="auto"/>
        <w:tabs>
          <w:tab w:leader="none" w:pos="505"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6"/>
          <w:szCs w:val="16"/>
          <w:color w:val="auto"/>
        </w:rPr>
      </w:pPr>
    </w:p>
    <w:p>
      <w:pPr>
        <w:ind w:left="1025" w:right="200" w:hanging="517"/>
        <w:spacing w:after="0" w:line="268" w:lineRule="auto"/>
        <w:tabs>
          <w:tab w:leader="none" w:pos="1025" w:val="left"/>
        </w:tabs>
        <w:numPr>
          <w:ilvl w:val="1"/>
          <w:numId w:val="5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6"/>
          <w:szCs w:val="16"/>
          <w:color w:val="auto"/>
        </w:rPr>
      </w:pPr>
    </w:p>
    <w:p>
      <w:pPr>
        <w:ind w:left="1025" w:right="460" w:hanging="517"/>
        <w:spacing w:after="0" w:line="268" w:lineRule="auto"/>
        <w:tabs>
          <w:tab w:leader="none" w:pos="1025" w:val="left"/>
        </w:tabs>
        <w:numPr>
          <w:ilvl w:val="1"/>
          <w:numId w:val="5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5"/>
        <w:spacing w:after="0"/>
        <w:rPr>
          <w:sz w:val="20"/>
          <w:szCs w:val="20"/>
          <w:color w:val="auto"/>
        </w:rPr>
      </w:pPr>
      <w:r>
        <w:rPr>
          <w:rFonts w:ascii="Arial" w:cs="Arial" w:eastAsia="Arial" w:hAnsi="Arial"/>
          <w:sz w:val="16"/>
          <w:szCs w:val="16"/>
          <w:color w:val="auto"/>
        </w:rPr>
        <w:t>Date: May 10, 2019</w:t>
      </w:r>
    </w:p>
    <w:p>
      <w:pPr>
        <w:spacing w:after="0" w:line="195" w:lineRule="exact"/>
        <w:rPr>
          <w:sz w:val="20"/>
          <w:szCs w:val="20"/>
          <w:color w:val="auto"/>
        </w:rPr>
      </w:pPr>
    </w:p>
    <w:p>
      <w:pPr>
        <w:ind w:left="6865"/>
        <w:spacing w:after="0"/>
        <w:rPr>
          <w:sz w:val="20"/>
          <w:szCs w:val="20"/>
          <w:color w:val="auto"/>
        </w:rPr>
      </w:pPr>
      <w:r>
        <w:rPr>
          <w:rFonts w:ascii="Arial" w:cs="Arial" w:eastAsia="Arial" w:hAnsi="Arial"/>
          <w:sz w:val="16"/>
          <w:szCs w:val="16"/>
          <w:color w:val="auto"/>
        </w:rPr>
        <w:t>/s/ Jay R. Luly, Ph.D.</w:t>
      </w:r>
    </w:p>
    <w:p>
      <w:pPr>
        <w:spacing w:after="0" w:line="17" w:lineRule="exact"/>
        <w:rPr>
          <w:sz w:val="20"/>
          <w:szCs w:val="20"/>
          <w:color w:val="auto"/>
        </w:rPr>
      </w:pPr>
    </w:p>
    <w:p>
      <w:pPr>
        <w:ind w:left="6865"/>
        <w:spacing w:after="0"/>
        <w:rPr>
          <w:sz w:val="20"/>
          <w:szCs w:val="20"/>
          <w:color w:val="auto"/>
        </w:rPr>
      </w:pPr>
      <w:r>
        <w:rPr>
          <w:rFonts w:ascii="Arial" w:cs="Arial" w:eastAsia="Arial" w:hAnsi="Arial"/>
          <w:sz w:val="16"/>
          <w:szCs w:val="16"/>
          <w:color w:val="auto"/>
        </w:rPr>
        <w:t>Jay R. Luly,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4364355</wp:posOffset>
            </wp:positionH>
            <wp:positionV relativeFrom="paragraph">
              <wp:posOffset>-115570</wp:posOffset>
            </wp:positionV>
            <wp:extent cx="2899410"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2899410" cy="7620"/>
                    </a:xfrm>
                    <a:prstGeom prst="rect">
                      <a:avLst/>
                    </a:prstGeom>
                    <a:noFill/>
                  </pic:spPr>
                </pic:pic>
              </a:graphicData>
            </a:graphic>
          </wp:anchor>
        </w:drawing>
      </w:r>
    </w:p>
    <w:p>
      <w:pPr>
        <w:ind w:left="6865"/>
        <w:spacing w:after="0"/>
        <w:rPr>
          <w:sz w:val="20"/>
          <w:szCs w:val="20"/>
          <w:color w:val="auto"/>
        </w:rPr>
      </w:pPr>
      <w:r>
        <w:rPr>
          <w:rFonts w:ascii="Arial" w:cs="Arial" w:eastAsia="Arial" w:hAnsi="Arial"/>
          <w:sz w:val="16"/>
          <w:szCs w:val="16"/>
          <w:color w:val="auto"/>
        </w:rPr>
        <w:t>Chief Executive Officer</w:t>
      </w:r>
    </w:p>
    <w:p>
      <w:pPr>
        <w:sectPr>
          <w:pgSz w:w="11900" w:h="16838" w:orient="portrait"/>
          <w:cols w:equalWidth="0" w:num="1">
            <w:col w:w="11445"/>
          </w:cols>
          <w:pgMar w:left="235" w:top="123" w:right="219" w:bottom="1440" w:gutter="0" w:footer="0" w:header="0"/>
        </w:sectPr>
      </w:pPr>
    </w:p>
    <w:bookmarkStart w:id="68" w:name="page69"/>
    <w:bookmarkEnd w:id="68"/>
    <w:p>
      <w:pPr>
        <w:jc w:val="right"/>
        <w:spacing w:after="0"/>
        <w:rPr>
          <w:sz w:val="20"/>
          <w:szCs w:val="20"/>
          <w:color w:val="auto"/>
        </w:rPr>
      </w:pPr>
      <w:r>
        <w:rPr>
          <w:rFonts w:ascii="Arial" w:cs="Arial" w:eastAsia="Arial" w:hAnsi="Arial"/>
          <w:sz w:val="16"/>
          <w:szCs w:val="16"/>
          <w:b w:val="1"/>
          <w:bCs w:val="1"/>
          <w:color w:val="auto"/>
        </w:rPr>
        <w:t>Exhibit 31.2</w:t>
      </w:r>
    </w:p>
    <w:p>
      <w:pPr>
        <w:spacing w:after="0" w:line="195"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CERTIFICATION</w:t>
      </w:r>
    </w:p>
    <w:p>
      <w:pPr>
        <w:spacing w:after="0" w:line="199" w:lineRule="exact"/>
        <w:rPr>
          <w:sz w:val="20"/>
          <w:szCs w:val="20"/>
          <w:color w:val="auto"/>
        </w:rPr>
      </w:pPr>
    </w:p>
    <w:p>
      <w:pPr>
        <w:ind w:left="5"/>
        <w:spacing w:after="0"/>
        <w:rPr>
          <w:sz w:val="20"/>
          <w:szCs w:val="20"/>
          <w:color w:val="auto"/>
        </w:rPr>
      </w:pPr>
      <w:r>
        <w:rPr>
          <w:rFonts w:ascii="Arial" w:cs="Arial" w:eastAsia="Arial" w:hAnsi="Arial"/>
          <w:sz w:val="16"/>
          <w:szCs w:val="16"/>
          <w:color w:val="auto"/>
        </w:rPr>
        <w:t>I, Paul J. Mellett, certify that:</w:t>
      </w:r>
    </w:p>
    <w:p>
      <w:pPr>
        <w:spacing w:after="0" w:line="100" w:lineRule="exact"/>
        <w:rPr>
          <w:sz w:val="20"/>
          <w:szCs w:val="20"/>
          <w:color w:val="auto"/>
        </w:rPr>
      </w:pPr>
    </w:p>
    <w:p>
      <w:pPr>
        <w:ind w:left="505" w:hanging="505"/>
        <w:spacing w:after="0"/>
        <w:tabs>
          <w:tab w:leader="none" w:pos="505" w:val="left"/>
        </w:tabs>
        <w:numPr>
          <w:ilvl w:val="0"/>
          <w:numId w:val="60"/>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Enanta Pharmaceuticals, Inc.;</w:t>
      </w:r>
    </w:p>
    <w:p>
      <w:pPr>
        <w:spacing w:after="0" w:line="99" w:lineRule="exact"/>
        <w:rPr>
          <w:rFonts w:ascii="Arial" w:cs="Arial" w:eastAsia="Arial" w:hAnsi="Arial"/>
          <w:sz w:val="16"/>
          <w:szCs w:val="16"/>
          <w:color w:val="auto"/>
        </w:rPr>
      </w:pPr>
    </w:p>
    <w:p>
      <w:pPr>
        <w:ind w:left="505" w:right="140" w:hanging="505"/>
        <w:spacing w:after="0" w:line="302" w:lineRule="auto"/>
        <w:tabs>
          <w:tab w:leader="none" w:pos="505" w:val="left"/>
        </w:tabs>
        <w:numPr>
          <w:ilvl w:val="0"/>
          <w:numId w:val="6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Arial" w:cs="Arial" w:eastAsia="Arial" w:hAnsi="Arial"/>
          <w:sz w:val="15"/>
          <w:szCs w:val="15"/>
          <w:color w:val="auto"/>
        </w:rPr>
      </w:pPr>
    </w:p>
    <w:p>
      <w:pPr>
        <w:ind w:left="505" w:right="20" w:hanging="505"/>
        <w:spacing w:after="0" w:line="268" w:lineRule="auto"/>
        <w:tabs>
          <w:tab w:leader="none" w:pos="505" w:val="left"/>
        </w:tabs>
        <w:numPr>
          <w:ilvl w:val="0"/>
          <w:numId w:val="6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6"/>
          <w:szCs w:val="16"/>
          <w:color w:val="auto"/>
        </w:rPr>
      </w:pPr>
    </w:p>
    <w:p>
      <w:pPr>
        <w:ind w:left="505" w:right="280" w:hanging="505"/>
        <w:spacing w:after="0" w:line="341" w:lineRule="auto"/>
        <w:tabs>
          <w:tab w:leader="none" w:pos="505"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15d- 15(f)) for the registrant and have:</w:t>
      </w:r>
    </w:p>
    <w:p>
      <w:pPr>
        <w:spacing w:after="0" w:line="15" w:lineRule="exact"/>
        <w:rPr>
          <w:rFonts w:ascii="Arial" w:cs="Arial" w:eastAsia="Arial" w:hAnsi="Arial"/>
          <w:sz w:val="14"/>
          <w:szCs w:val="14"/>
          <w:color w:val="auto"/>
        </w:rPr>
      </w:pPr>
    </w:p>
    <w:p>
      <w:pPr>
        <w:jc w:val="both"/>
        <w:ind w:left="1025" w:right="200" w:hanging="517"/>
        <w:spacing w:after="0" w:line="257" w:lineRule="auto"/>
        <w:tabs>
          <w:tab w:leader="none" w:pos="1025" w:val="left"/>
        </w:tabs>
        <w:numPr>
          <w:ilvl w:val="1"/>
          <w:numId w:val="6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Arial" w:cs="Arial" w:eastAsia="Arial" w:hAnsi="Arial"/>
          <w:sz w:val="16"/>
          <w:szCs w:val="16"/>
          <w:color w:val="auto"/>
        </w:rPr>
      </w:pPr>
    </w:p>
    <w:p>
      <w:pPr>
        <w:ind w:left="1025" w:right="240" w:hanging="517"/>
        <w:spacing w:after="0" w:line="257" w:lineRule="auto"/>
        <w:tabs>
          <w:tab w:leader="none" w:pos="1025" w:val="left"/>
        </w:tabs>
        <w:numPr>
          <w:ilvl w:val="1"/>
          <w:numId w:val="6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Arial" w:cs="Arial" w:eastAsia="Arial" w:hAnsi="Arial"/>
          <w:sz w:val="16"/>
          <w:szCs w:val="16"/>
          <w:color w:val="auto"/>
        </w:rPr>
      </w:pPr>
    </w:p>
    <w:p>
      <w:pPr>
        <w:ind w:left="1025" w:right="660" w:hanging="517"/>
        <w:spacing w:after="0" w:line="268" w:lineRule="auto"/>
        <w:tabs>
          <w:tab w:leader="none" w:pos="1025" w:val="left"/>
        </w:tabs>
        <w:numPr>
          <w:ilvl w:val="1"/>
          <w:numId w:val="6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6"/>
          <w:szCs w:val="16"/>
          <w:color w:val="auto"/>
        </w:rPr>
      </w:pPr>
    </w:p>
    <w:p>
      <w:pPr>
        <w:ind w:left="1025" w:right="320" w:hanging="517"/>
        <w:spacing w:after="0" w:line="257" w:lineRule="auto"/>
        <w:tabs>
          <w:tab w:leader="none" w:pos="1025" w:val="left"/>
        </w:tabs>
        <w:numPr>
          <w:ilvl w:val="1"/>
          <w:numId w:val="6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Arial" w:cs="Arial" w:eastAsia="Arial" w:hAnsi="Arial"/>
          <w:sz w:val="16"/>
          <w:szCs w:val="16"/>
          <w:color w:val="auto"/>
        </w:rPr>
      </w:pPr>
    </w:p>
    <w:p>
      <w:pPr>
        <w:ind w:left="505" w:right="120" w:hanging="505"/>
        <w:spacing w:after="0" w:line="268" w:lineRule="auto"/>
        <w:tabs>
          <w:tab w:leader="none" w:pos="505"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6"/>
          <w:szCs w:val="16"/>
          <w:color w:val="auto"/>
        </w:rPr>
      </w:pPr>
    </w:p>
    <w:p>
      <w:pPr>
        <w:ind w:left="1025" w:right="200" w:hanging="517"/>
        <w:spacing w:after="0" w:line="268" w:lineRule="auto"/>
        <w:tabs>
          <w:tab w:leader="none" w:pos="1025" w:val="left"/>
        </w:tabs>
        <w:numPr>
          <w:ilvl w:val="1"/>
          <w:numId w:val="6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6"/>
          <w:szCs w:val="16"/>
          <w:color w:val="auto"/>
        </w:rPr>
      </w:pPr>
    </w:p>
    <w:p>
      <w:pPr>
        <w:ind w:left="1025" w:right="460" w:hanging="517"/>
        <w:spacing w:after="0" w:line="268" w:lineRule="auto"/>
        <w:tabs>
          <w:tab w:leader="none" w:pos="1025" w:val="left"/>
        </w:tabs>
        <w:numPr>
          <w:ilvl w:val="1"/>
          <w:numId w:val="6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5"/>
        <w:spacing w:after="0"/>
        <w:rPr>
          <w:sz w:val="20"/>
          <w:szCs w:val="20"/>
          <w:color w:val="auto"/>
        </w:rPr>
      </w:pPr>
      <w:r>
        <w:rPr>
          <w:rFonts w:ascii="Arial" w:cs="Arial" w:eastAsia="Arial" w:hAnsi="Arial"/>
          <w:sz w:val="16"/>
          <w:szCs w:val="16"/>
          <w:color w:val="auto"/>
        </w:rPr>
        <w:t>Date: May 10, 2019</w:t>
      </w:r>
    </w:p>
    <w:p>
      <w:pPr>
        <w:spacing w:after="0" w:line="195" w:lineRule="exact"/>
        <w:rPr>
          <w:sz w:val="20"/>
          <w:szCs w:val="20"/>
          <w:color w:val="auto"/>
        </w:rPr>
      </w:pPr>
    </w:p>
    <w:p>
      <w:pPr>
        <w:ind w:left="6865"/>
        <w:spacing w:after="0"/>
        <w:rPr>
          <w:sz w:val="20"/>
          <w:szCs w:val="20"/>
          <w:color w:val="auto"/>
        </w:rPr>
      </w:pPr>
      <w:r>
        <w:rPr>
          <w:rFonts w:ascii="Arial" w:cs="Arial" w:eastAsia="Arial" w:hAnsi="Arial"/>
          <w:sz w:val="16"/>
          <w:szCs w:val="16"/>
          <w:color w:val="auto"/>
        </w:rPr>
        <w:t>/s/ Paul J. Mellett</w:t>
      </w:r>
    </w:p>
    <w:p>
      <w:pPr>
        <w:spacing w:after="0" w:line="17" w:lineRule="exact"/>
        <w:rPr>
          <w:sz w:val="20"/>
          <w:szCs w:val="20"/>
          <w:color w:val="auto"/>
        </w:rPr>
      </w:pPr>
    </w:p>
    <w:p>
      <w:pPr>
        <w:ind w:left="6865"/>
        <w:spacing w:after="0"/>
        <w:rPr>
          <w:sz w:val="20"/>
          <w:szCs w:val="20"/>
          <w:color w:val="auto"/>
        </w:rPr>
      </w:pPr>
      <w:r>
        <w:rPr>
          <w:rFonts w:ascii="Arial" w:cs="Arial" w:eastAsia="Arial" w:hAnsi="Arial"/>
          <w:sz w:val="16"/>
          <w:szCs w:val="16"/>
          <w:color w:val="auto"/>
        </w:rPr>
        <w:t>Paul J.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4364355</wp:posOffset>
            </wp:positionH>
            <wp:positionV relativeFrom="paragraph">
              <wp:posOffset>-115570</wp:posOffset>
            </wp:positionV>
            <wp:extent cx="2899410"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2899410" cy="7620"/>
                    </a:xfrm>
                    <a:prstGeom prst="rect">
                      <a:avLst/>
                    </a:prstGeom>
                    <a:noFill/>
                  </pic:spPr>
                </pic:pic>
              </a:graphicData>
            </a:graphic>
          </wp:anchor>
        </w:drawing>
      </w:r>
    </w:p>
    <w:p>
      <w:pPr>
        <w:ind w:left="6865"/>
        <w:spacing w:after="0"/>
        <w:rPr>
          <w:sz w:val="20"/>
          <w:szCs w:val="20"/>
          <w:color w:val="auto"/>
        </w:rPr>
      </w:pPr>
      <w:r>
        <w:rPr>
          <w:rFonts w:ascii="Arial" w:cs="Arial" w:eastAsia="Arial" w:hAnsi="Arial"/>
          <w:sz w:val="16"/>
          <w:szCs w:val="16"/>
          <w:color w:val="auto"/>
        </w:rPr>
        <w:t>Chief Financial Officer</w:t>
      </w:r>
    </w:p>
    <w:p>
      <w:pPr>
        <w:sectPr>
          <w:pgSz w:w="11900" w:h="16838" w:orient="portrait"/>
          <w:cols w:equalWidth="0" w:num="1">
            <w:col w:w="11445"/>
          </w:cols>
          <w:pgMar w:left="235" w:top="123" w:right="219" w:bottom="1440" w:gutter="0" w:footer="0" w:header="0"/>
        </w:sectPr>
      </w:pPr>
    </w:p>
    <w:bookmarkStart w:id="69" w:name="page70"/>
    <w:bookmarkEnd w:id="69"/>
    <w:p>
      <w:pPr>
        <w:jc w:val="right"/>
        <w:spacing w:after="0"/>
        <w:rPr>
          <w:sz w:val="20"/>
          <w:szCs w:val="20"/>
          <w:color w:val="auto"/>
        </w:rPr>
      </w:pPr>
      <w:r>
        <w:rPr>
          <w:rFonts w:ascii="Arial" w:cs="Arial" w:eastAsia="Arial" w:hAnsi="Arial"/>
          <w:sz w:val="16"/>
          <w:szCs w:val="16"/>
          <w:b w:val="1"/>
          <w:bCs w:val="1"/>
          <w:color w:val="auto"/>
        </w:rPr>
        <w:t>Exhibit 32.1</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ENANTA PHARMACEUTICALS, INC.</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Periodic Financial Report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906 of the Sarbanes-Oxley Act of 2002</w:t>
      </w:r>
    </w:p>
    <w:p>
      <w:pPr>
        <w:spacing w:after="0" w:line="183" w:lineRule="exact"/>
        <w:rPr>
          <w:sz w:val="20"/>
          <w:szCs w:val="20"/>
          <w:color w:val="auto"/>
        </w:rPr>
      </w:pPr>
    </w:p>
    <w:p>
      <w:pPr>
        <w:ind w:right="120"/>
        <w:spacing w:after="0" w:line="254" w:lineRule="auto"/>
        <w:rPr>
          <w:sz w:val="20"/>
          <w:szCs w:val="20"/>
          <w:color w:val="auto"/>
        </w:rPr>
      </w:pPr>
      <w:r>
        <w:rPr>
          <w:rFonts w:ascii="Arial" w:cs="Arial" w:eastAsia="Arial" w:hAnsi="Arial"/>
          <w:sz w:val="16"/>
          <w:szCs w:val="16"/>
          <w:color w:val="auto"/>
        </w:rPr>
        <w:t>Each of the undersigned officers of Enanta Pharmaceuticals, Inc. (“Enanta”) certifies, to his knowledge and solely for the purposes of 18 U.S.C. Section 1350, as adopted pursuant to Section 906 of the Sarbanes-Oxley Act of 2002, that the Quarterly Report on Form 10-Q of Enanta for the quarter ended March 31, 2019 fully complies with the requirements of Section 13(a) or 15(d) of the Securities Exchange Act of 1934 and that information contained in the Form 10-Q fairly presents, in all material respects, the financial condition and results of operations of Enanta.</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100" w:type="dxa"/>
            <w:vAlign w:val="bottom"/>
          </w:tcPr>
          <w:p>
            <w:pPr>
              <w:spacing w:after="0"/>
              <w:rPr>
                <w:sz w:val="20"/>
                <w:szCs w:val="20"/>
                <w:color w:val="auto"/>
              </w:rPr>
            </w:pPr>
            <w:r>
              <w:rPr>
                <w:rFonts w:ascii="Arial" w:cs="Arial" w:eastAsia="Arial" w:hAnsi="Arial"/>
                <w:sz w:val="16"/>
                <w:szCs w:val="16"/>
                <w:color w:val="auto"/>
              </w:rPr>
              <w:t>Dated: May 10, 2019</w:t>
            </w:r>
          </w:p>
        </w:tc>
        <w:tc>
          <w:tcPr>
            <w:tcW w:w="3220" w:type="dxa"/>
            <w:vAlign w:val="bottom"/>
          </w:tcPr>
          <w:p>
            <w:pPr>
              <w:ind w:left="2760"/>
              <w:spacing w:after="0"/>
              <w:rPr>
                <w:sz w:val="20"/>
                <w:szCs w:val="20"/>
                <w:color w:val="auto"/>
              </w:rPr>
            </w:pPr>
            <w:r>
              <w:rPr>
                <w:rFonts w:ascii="Arial" w:cs="Arial" w:eastAsia="Arial" w:hAnsi="Arial"/>
                <w:sz w:val="16"/>
                <w:szCs w:val="16"/>
                <w:color w:val="auto"/>
              </w:rPr>
              <w:t>By:</w:t>
            </w:r>
          </w:p>
        </w:tc>
        <w:tc>
          <w:tcPr>
            <w:tcW w:w="41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Jay R. Luly, Ph.D.</w:t>
            </w:r>
          </w:p>
        </w:tc>
      </w:tr>
      <w:tr>
        <w:trPr>
          <w:trHeight w:val="169"/>
        </w:trPr>
        <w:tc>
          <w:tcPr>
            <w:tcW w:w="41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4120" w:type="dxa"/>
            <w:vAlign w:val="bottom"/>
          </w:tcPr>
          <w:p>
            <w:pPr>
              <w:spacing w:after="0" w:line="169" w:lineRule="exact"/>
              <w:rPr>
                <w:sz w:val="20"/>
                <w:szCs w:val="20"/>
                <w:color w:val="auto"/>
              </w:rPr>
            </w:pPr>
            <w:r>
              <w:rPr>
                <w:rFonts w:ascii="Arial" w:cs="Arial" w:eastAsia="Arial" w:hAnsi="Arial"/>
                <w:sz w:val="16"/>
                <w:szCs w:val="16"/>
                <w:color w:val="auto"/>
              </w:rPr>
              <w:t>Jay R. Luly, Ph.D.</w:t>
            </w:r>
          </w:p>
        </w:tc>
      </w:tr>
      <w:tr>
        <w:trPr>
          <w:trHeight w:val="200"/>
        </w:trPr>
        <w:tc>
          <w:tcPr>
            <w:tcW w:w="410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4120" w:type="dxa"/>
            <w:vAlign w:val="bottom"/>
          </w:tcPr>
          <w:p>
            <w:pPr>
              <w:spacing w:after="0"/>
              <w:rPr>
                <w:sz w:val="20"/>
                <w:szCs w:val="20"/>
                <w:color w:val="auto"/>
              </w:rPr>
            </w:pPr>
            <w:r>
              <w:rPr>
                <w:rFonts w:ascii="Arial" w:cs="Arial" w:eastAsia="Arial" w:hAnsi="Arial"/>
                <w:sz w:val="16"/>
                <w:szCs w:val="16"/>
                <w:color w:val="auto"/>
              </w:rPr>
              <w:t>Chief Executive Officer</w:t>
            </w:r>
          </w:p>
        </w:tc>
      </w:tr>
      <w:tr>
        <w:trPr>
          <w:trHeight w:val="403"/>
        </w:trPr>
        <w:tc>
          <w:tcPr>
            <w:tcW w:w="4100" w:type="dxa"/>
            <w:vAlign w:val="bottom"/>
          </w:tcPr>
          <w:p>
            <w:pPr>
              <w:spacing w:after="0"/>
              <w:rPr>
                <w:sz w:val="20"/>
                <w:szCs w:val="20"/>
                <w:color w:val="auto"/>
              </w:rPr>
            </w:pPr>
            <w:r>
              <w:rPr>
                <w:rFonts w:ascii="Arial" w:cs="Arial" w:eastAsia="Arial" w:hAnsi="Arial"/>
                <w:sz w:val="16"/>
                <w:szCs w:val="16"/>
                <w:color w:val="auto"/>
              </w:rPr>
              <w:t>Dated: May 10, 2019</w:t>
            </w:r>
          </w:p>
        </w:tc>
        <w:tc>
          <w:tcPr>
            <w:tcW w:w="3220" w:type="dxa"/>
            <w:vAlign w:val="bottom"/>
          </w:tcPr>
          <w:p>
            <w:pPr>
              <w:ind w:left="2760"/>
              <w:spacing w:after="0"/>
              <w:rPr>
                <w:sz w:val="20"/>
                <w:szCs w:val="20"/>
                <w:color w:val="auto"/>
              </w:rPr>
            </w:pPr>
            <w:r>
              <w:rPr>
                <w:rFonts w:ascii="Arial" w:cs="Arial" w:eastAsia="Arial" w:hAnsi="Arial"/>
                <w:sz w:val="16"/>
                <w:szCs w:val="16"/>
                <w:color w:val="auto"/>
              </w:rPr>
              <w:t>By:</w:t>
            </w:r>
          </w:p>
        </w:tc>
        <w:tc>
          <w:tcPr>
            <w:tcW w:w="41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Paul J. Mellett</w:t>
            </w:r>
          </w:p>
        </w:tc>
      </w:tr>
      <w:tr>
        <w:trPr>
          <w:trHeight w:val="169"/>
        </w:trPr>
        <w:tc>
          <w:tcPr>
            <w:tcW w:w="41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4120" w:type="dxa"/>
            <w:vAlign w:val="bottom"/>
          </w:tcPr>
          <w:p>
            <w:pPr>
              <w:spacing w:after="0" w:line="169" w:lineRule="exact"/>
              <w:rPr>
                <w:sz w:val="20"/>
                <w:szCs w:val="20"/>
                <w:color w:val="auto"/>
              </w:rPr>
            </w:pPr>
            <w:r>
              <w:rPr>
                <w:rFonts w:ascii="Arial" w:cs="Arial" w:eastAsia="Arial" w:hAnsi="Arial"/>
                <w:sz w:val="16"/>
                <w:szCs w:val="16"/>
                <w:color w:val="auto"/>
              </w:rPr>
              <w:t>Paul J. Mellett</w:t>
            </w:r>
          </w:p>
        </w:tc>
      </w:tr>
      <w:tr>
        <w:trPr>
          <w:trHeight w:val="200"/>
        </w:trPr>
        <w:tc>
          <w:tcPr>
            <w:tcW w:w="410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4120" w:type="dxa"/>
            <w:vAlign w:val="bottom"/>
          </w:tcPr>
          <w:p>
            <w:pPr>
              <w:spacing w:after="0"/>
              <w:rPr>
                <w:sz w:val="20"/>
                <w:szCs w:val="20"/>
                <w:color w:val="auto"/>
              </w:rPr>
            </w:pPr>
            <w:r>
              <w:rPr>
                <w:rFonts w:ascii="Arial" w:cs="Arial" w:eastAsia="Arial" w:hAnsi="Arial"/>
                <w:sz w:val="16"/>
                <w:szCs w:val="16"/>
                <w:color w:val="auto"/>
              </w:rPr>
              <w:t>Chief Financial Officer</w:t>
            </w:r>
          </w:p>
        </w:tc>
      </w:tr>
    </w:tbl>
    <w:p>
      <w:pPr>
        <w:spacing w:after="0" w:line="1" w:lineRule="exact"/>
        <w:rPr>
          <w:sz w:val="20"/>
          <w:szCs w:val="20"/>
          <w:color w:val="auto"/>
        </w:rPr>
      </w:pPr>
    </w:p>
    <w:sectPr>
      <w:pgSz w:w="11900" w:h="16838" w:orient="portrait"/>
      <w:cols w:equalWidth="0" w:num="1">
        <w:col w:w="11440"/>
      </w:cols>
      <w:pgMar w:left="240" w:top="123"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1."/>
      <w:numFmt w:val="decimal"/>
      <w:start w:val="1"/>
    </w:lvl>
  </w:abstractNum>
  <w:abstractNum w:abstractNumId="3">
    <w:nsid w:val="6CEAF087"/>
    <w:multiLevelType w:val="hybridMultilevel"/>
    <w:lvl w:ilvl="0">
      <w:lvlJc w:val="left"/>
      <w:lvlText w:val="%1."/>
      <w:numFmt w:val="decimal"/>
      <w:start w:val="2"/>
    </w:lvl>
  </w:abstractNum>
  <w:abstractNum w:abstractNumId="4">
    <w:nsid w:val="22221A70"/>
    <w:multiLevelType w:val="hybridMultilevel"/>
    <w:lvl w:ilvl="0">
      <w:lvlJc w:val="left"/>
      <w:lvlText w:val="%1."/>
      <w:numFmt w:val="decimal"/>
      <w:start w:val="3"/>
    </w:lvl>
  </w:abstractNum>
  <w:abstractNum w:abstractNumId="5">
    <w:nsid w:val="4516DDE9"/>
    <w:multiLevelType w:val="hybridMultilevel"/>
    <w:lvl w:ilvl="0">
      <w:lvlJc w:val="left"/>
      <w:lvlText w:val="%1."/>
      <w:numFmt w:val="decimal"/>
      <w:start w:val="4"/>
    </w:lvl>
  </w:abstractNum>
  <w:abstractNum w:abstractNumId="6">
    <w:nsid w:val="3006C83E"/>
    <w:multiLevelType w:val="hybridMultilevel"/>
    <w:lvl w:ilvl="0">
      <w:lvlJc w:val="left"/>
      <w:lvlText w:val="%1."/>
      <w:numFmt w:val="decimal"/>
      <w:start w:val="5"/>
    </w:lvl>
  </w:abstractNum>
  <w:abstractNum w:abstractNumId="7">
    <w:nsid w:val="614FD4A1"/>
    <w:multiLevelType w:val="hybridMultilevel"/>
    <w:lvl w:ilvl="0">
      <w:lvlJc w:val="left"/>
      <w:lvlText w:val="%1."/>
      <w:numFmt w:val="decimal"/>
      <w:start w:val="6"/>
    </w:lvl>
  </w:abstractNum>
  <w:abstractNum w:abstractNumId="8">
    <w:nsid w:val="419AC241"/>
    <w:multiLevelType w:val="hybridMultilevel"/>
    <w:lvl w:ilvl="0">
      <w:lvlJc w:val="left"/>
      <w:lvlText w:val="%1."/>
      <w:numFmt w:val="decimal"/>
      <w:start w:val="7"/>
    </w:lvl>
  </w:abstractNum>
  <w:abstractNum w:abstractNumId="9">
    <w:nsid w:val="5577F8E1"/>
    <w:multiLevelType w:val="hybridMultilevel"/>
    <w:lvl w:ilvl="0">
      <w:lvlJc w:val="left"/>
      <w:lvlText w:val="%1."/>
      <w:numFmt w:val="decimal"/>
      <w:start w:val="8"/>
    </w:lvl>
  </w:abstractNum>
  <w:abstractNum w:abstractNumId="10">
    <w:nsid w:val="440BADFC"/>
    <w:multiLevelType w:val="hybridMultilevel"/>
    <w:lvl w:ilvl="0">
      <w:lvlJc w:val="left"/>
      <w:lvlText w:val="%1."/>
      <w:numFmt w:val="decimal"/>
      <w:start w:val="9"/>
    </w:lvl>
  </w:abstractNum>
  <w:abstractNum w:abstractNumId="11">
    <w:nsid w:val="5072367"/>
    <w:multiLevelType w:val="hybridMultilevel"/>
    <w:lvl w:ilvl="0">
      <w:lvlJc w:val="left"/>
      <w:lvlText w:val="%1."/>
      <w:numFmt w:val="decimal"/>
      <w:start w:val="10"/>
    </w:lvl>
  </w:abstractNum>
  <w:abstractNum w:abstractNumId="12">
    <w:nsid w:val="3804823E"/>
    <w:multiLevelType w:val="hybridMultilevel"/>
    <w:lvl w:ilvl="0">
      <w:lvlJc w:val="left"/>
      <w:lvlText w:val="%1."/>
      <w:numFmt w:val="decimal"/>
      <w:start w:val="1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
      <w:numFmt w:val="bullet"/>
      <w:start w:val="1"/>
    </w:lvl>
    <w:lvl w:ilvl="1">
      <w:lvlJc w:val="left"/>
      <w:lvlText w:val="o"/>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1)"/>
      <w:numFmt w:val="decimal"/>
      <w:start w:val="938"/>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1)"/>
      <w:numFmt w:val="lowerLetter"/>
      <w:start w:val="1"/>
    </w:lvl>
  </w:abstractNum>
  <w:abstractNum w:abstractNumId="24">
    <w:nsid w:val="6A2342EC"/>
    <w:multiLevelType w:val="hybridMultilevel"/>
    <w:lvl w:ilvl="0">
      <w:lvlJc w:val="left"/>
      <w:lvlText w:val="%1)"/>
      <w:numFmt w:val="lowerLetter"/>
      <w:start w:val="2"/>
    </w:lvl>
  </w:abstractNum>
  <w:abstractNum w:abstractNumId="25">
    <w:nsid w:val="2A487CB0"/>
    <w:multiLevelType w:val="hybridMultilevel"/>
    <w:lvl w:ilvl="0">
      <w:lvlJc w:val="left"/>
      <w:lvlText w:val="•"/>
      <w:numFmt w:val="bullet"/>
      <w:start w:val="1"/>
    </w:lvl>
  </w:abstractNum>
  <w:abstractNum w:abstractNumId="26">
    <w:nsid w:val="1D4ED43B"/>
    <w:multiLevelType w:val="hybridMultilevel"/>
    <w:lvl w:ilvl="0">
      <w:lvlJc w:val="left"/>
      <w:lvlText w:val="•"/>
      <w:numFmt w:val="bullet"/>
      <w:start w:val="1"/>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
      <w:numFmt w:val="bullet"/>
      <w:start w:val="1"/>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
      <w:numFmt w:val="bullet"/>
      <w:start w:val="1"/>
    </w:lvl>
  </w:abstractNum>
  <w:abstractNum w:abstractNumId="32">
    <w:nsid w:val="542289EC"/>
    <w:multiLevelType w:val="hybridMultilevel"/>
    <w:lvl w:ilvl="0">
      <w:lvlJc w:val="left"/>
      <w:lvlText w:val="•"/>
      <w:numFmt w:val="bullet"/>
      <w:start w:val="1"/>
    </w:lvl>
  </w:abstractNum>
  <w:abstractNum w:abstractNumId="33">
    <w:nsid w:val="6DE91B18"/>
    <w:multiLevelType w:val="hybridMultilevel"/>
    <w:lvl w:ilvl="0">
      <w:lvlJc w:val="left"/>
      <w:lvlText w:val="•"/>
      <w:numFmt w:val="bullet"/>
      <w:start w:val="1"/>
    </w:lvl>
  </w:abstractNum>
  <w:abstractNum w:abstractNumId="34">
    <w:nsid w:val="38437FDB"/>
    <w:multiLevelType w:val="hybridMultilevel"/>
    <w:lvl w:ilvl="0">
      <w:lvlJc w:val="left"/>
      <w:lvlText w:val="•"/>
      <w:numFmt w:val="bullet"/>
      <w:start w:val="1"/>
    </w:lvl>
  </w:abstractNum>
  <w:abstractNum w:abstractNumId="35">
    <w:nsid w:val="7644A45C"/>
    <w:multiLevelType w:val="hybridMultilevel"/>
    <w:lvl w:ilvl="0">
      <w:lvlJc w:val="left"/>
      <w:lvlText w:val="•"/>
      <w:numFmt w:val="bullet"/>
      <w:start w:val="1"/>
    </w:lvl>
  </w:abstractNum>
  <w:abstractNum w:abstractNumId="36">
    <w:nsid w:val="32FFF902"/>
    <w:multiLevelType w:val="hybridMultilevel"/>
    <w:lvl w:ilvl="0">
      <w:lvlJc w:val="left"/>
      <w:lvlText w:val="•"/>
      <w:numFmt w:val="bullet"/>
      <w:start w:val="1"/>
    </w:lvl>
  </w:abstractNum>
  <w:abstractNum w:abstractNumId="37">
    <w:nsid w:val="684A481A"/>
    <w:multiLevelType w:val="hybridMultilevel"/>
    <w:lvl w:ilvl="0">
      <w:lvlJc w:val="left"/>
      <w:lvlText w:val="•"/>
      <w:numFmt w:val="bullet"/>
      <w:start w:val="1"/>
    </w:lvl>
  </w:abstractNum>
  <w:abstractNum w:abstractNumId="38">
    <w:nsid w:val="579478FE"/>
    <w:multiLevelType w:val="hybridMultilevel"/>
    <w:lvl w:ilvl="0">
      <w:lvlJc w:val="left"/>
      <w:lvlText w:val="•"/>
      <w:numFmt w:val="bullet"/>
      <w:start w:val="1"/>
    </w:lvl>
  </w:abstractNum>
  <w:abstractNum w:abstractNumId="39">
    <w:nsid w:val="749ABB43"/>
    <w:multiLevelType w:val="hybridMultilevel"/>
    <w:lvl w:ilvl="0">
      <w:lvlJc w:val="left"/>
      <w:lvlText w:val="•"/>
      <w:numFmt w:val="bullet"/>
      <w:start w:val="1"/>
    </w:lvl>
  </w:abstractNum>
  <w:abstractNum w:abstractNumId="40">
    <w:nsid w:val="3DC240FB"/>
    <w:multiLevelType w:val="hybridMultilevel"/>
    <w:lvl w:ilvl="0">
      <w:lvlJc w:val="left"/>
      <w:lvlText w:val="•"/>
      <w:numFmt w:val="bullet"/>
      <w:start w:val="1"/>
    </w:lvl>
  </w:abstractNum>
  <w:abstractNum w:abstractNumId="41">
    <w:nsid w:val="1BA026FA"/>
    <w:multiLevelType w:val="hybridMultilevel"/>
    <w:lvl w:ilvl="0">
      <w:lvlJc w:val="left"/>
      <w:lvlText w:val="•"/>
      <w:numFmt w:val="bullet"/>
      <w:start w:val="1"/>
    </w:lvl>
  </w:abstractNum>
  <w:abstractNum w:abstractNumId="42">
    <w:nsid w:val="79A1DEAA"/>
    <w:multiLevelType w:val="hybridMultilevel"/>
    <w:lvl w:ilvl="0">
      <w:lvlJc w:val="left"/>
      <w:lvlText w:val="•"/>
      <w:numFmt w:val="bullet"/>
      <w:start w:val="1"/>
    </w:lvl>
  </w:abstractNum>
  <w:abstractNum w:abstractNumId="43">
    <w:nsid w:val="75C6C33A"/>
    <w:multiLevelType w:val="hybridMultilevel"/>
    <w:lvl w:ilvl="0">
      <w:lvlJc w:val="left"/>
      <w:lvlText w:val="•"/>
      <w:numFmt w:val="bullet"/>
      <w:start w:val="1"/>
    </w:lvl>
  </w:abstractNum>
  <w:abstractNum w:abstractNumId="44">
    <w:nsid w:val="12E685FB"/>
    <w:multiLevelType w:val="hybridMultilevel"/>
    <w:lvl w:ilvl="0">
      <w:lvlJc w:val="left"/>
      <w:lvlText w:val="•"/>
      <w:numFmt w:val="bullet"/>
      <w:start w:val="1"/>
    </w:lvl>
  </w:abstractNum>
  <w:abstractNum w:abstractNumId="45">
    <w:nsid w:val="70C6A529"/>
    <w:multiLevelType w:val="hybridMultilevel"/>
    <w:lvl w:ilvl="0">
      <w:lvlJc w:val="left"/>
      <w:lvlText w:val="•"/>
      <w:numFmt w:val="bullet"/>
      <w:start w:val="1"/>
    </w:lvl>
  </w:abstractNum>
  <w:abstractNum w:abstractNumId="46">
    <w:nsid w:val="520EEDD1"/>
    <w:multiLevelType w:val="hybridMultilevel"/>
    <w:lvl w:ilvl="0">
      <w:lvlJc w:val="left"/>
      <w:lvlText w:val="•"/>
      <w:numFmt w:val="bullet"/>
      <w:start w:val="1"/>
    </w:lvl>
  </w:abstractNum>
  <w:abstractNum w:abstractNumId="47">
    <w:nsid w:val="374A3FE6"/>
    <w:multiLevelType w:val="hybridMultilevel"/>
    <w:lvl w:ilvl="0">
      <w:lvlJc w:val="left"/>
      <w:lvlText w:val="%1"/>
      <w:numFmt w:val="decimal"/>
      <w:start w:val="101"/>
    </w:lvl>
  </w:abstractNum>
  <w:abstractNum w:abstractNumId="48">
    <w:nsid w:val="4F4EF005"/>
    <w:multiLevelType w:val="hybridMultilevel"/>
    <w:lvl w:ilvl="0">
      <w:lvlJc w:val="left"/>
      <w:lvlText w:val="%1."/>
      <w:numFmt w:val="decimal"/>
      <w:start w:val="1"/>
    </w:lvl>
  </w:abstractNum>
  <w:abstractNum w:abstractNumId="49">
    <w:nsid w:val="23F9C13C"/>
    <w:multiLevelType w:val="hybridMultilevel"/>
    <w:lvl w:ilvl="0">
      <w:lvlJc w:val="left"/>
      <w:lvlText w:val="(%1)"/>
      <w:numFmt w:val="lowerLetter"/>
      <w:start w:val="3"/>
    </w:lvl>
  </w:abstractNum>
  <w:abstractNum w:abstractNumId="50">
    <w:nsid w:val="649BB77C"/>
    <w:multiLevelType w:val="hybridMultilevel"/>
    <w:lvl w:ilvl="0">
      <w:lvlJc w:val="left"/>
      <w:lvlText w:val="%1."/>
      <w:numFmt w:val="decimal"/>
      <w:start w:val="10"/>
    </w:lvl>
  </w:abstractNum>
  <w:abstractNum w:abstractNumId="51">
    <w:nsid w:val="275AC794"/>
    <w:multiLevelType w:val="hybridMultilevel"/>
    <w:lvl w:ilvl="0">
      <w:lvlJc w:val="left"/>
      <w:lvlText w:val="%1."/>
      <w:numFmt w:val="decimal"/>
      <w:start w:val="1"/>
    </w:lvl>
  </w:abstractNum>
  <w:abstractNum w:abstractNumId="52">
    <w:nsid w:val="39386575"/>
    <w:multiLevelType w:val="hybridMultilevel"/>
    <w:lvl w:ilvl="0">
      <w:lvlJc w:val="left"/>
      <w:lvlText w:val="%1."/>
      <w:numFmt w:val="decimal"/>
      <w:start w:val="9"/>
    </w:lvl>
  </w:abstractNum>
  <w:abstractNum w:abstractNumId="53">
    <w:nsid w:val="1CF10FD8"/>
    <w:multiLevelType w:val="hybridMultilevel"/>
    <w:lvl w:ilvl="0">
      <w:lvlJc w:val="left"/>
      <w:lvlText w:val="%1."/>
      <w:numFmt w:val="decimal"/>
      <w:start w:val="1"/>
    </w:lvl>
  </w:abstractNum>
  <w:abstractNum w:abstractNumId="54">
    <w:nsid w:val="180115BE"/>
    <w:multiLevelType w:val="hybridMultilevel"/>
    <w:lvl w:ilvl="0">
      <w:lvlJc w:val="left"/>
      <w:lvlText w:val="(%1)"/>
      <w:numFmt w:val="lowerRoman"/>
      <w:start w:val="2"/>
    </w:lvl>
  </w:abstractNum>
  <w:abstractNum w:abstractNumId="55">
    <w:nsid w:val="235BA861"/>
    <w:multiLevelType w:val="hybridMultilevel"/>
    <w:lvl w:ilvl="0">
      <w:lvlJc w:val="left"/>
      <w:lvlText w:val="%1."/>
      <w:numFmt w:val="decimal"/>
      <w:start w:val="11"/>
    </w:lvl>
  </w:abstractNum>
  <w:abstractNum w:abstractNumId="56">
    <w:nsid w:val="47398C89"/>
    <w:multiLevelType w:val="hybridMultilevel"/>
    <w:lvl w:ilvl="0">
      <w:lvlJc w:val="left"/>
      <w:lvlText w:val="%1."/>
      <w:numFmt w:val="decimal"/>
      <w:start w:val="1"/>
    </w:lvl>
  </w:abstractNum>
  <w:abstractNum w:abstractNumId="57">
    <w:nsid w:val="354FE9F9"/>
    <w:multiLevelType w:val="hybridMultilevel"/>
    <w:lvl w:ilvl="0">
      <w:lvlJc w:val="left"/>
      <w:lvlText w:val="%1."/>
      <w:numFmt w:val="decimal"/>
      <w:start w:val="10"/>
    </w:lvl>
  </w:abstractNum>
  <w:abstractNum w:abstractNumId="58">
    <w:nsid w:val="15B5AF5C"/>
    <w:multiLevelType w:val="hybridMultilevel"/>
    <w:lvl w:ilvl="0">
      <w:lvlJc w:val="left"/>
      <w:lvlText w:val="%1."/>
      <w:numFmt w:val="decimal"/>
      <w:start w:val="1"/>
    </w:lvl>
    <w:lvl w:ilvl="1">
      <w:lvlJc w:val="left"/>
      <w:lvlText w:val="(%2)"/>
      <w:numFmt w:val="lowerLetter"/>
      <w:start w:val="1"/>
    </w:lvl>
  </w:abstractNum>
  <w:abstractNum w:abstractNumId="59">
    <w:nsid w:val="741226B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jpe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76" Type="http://schemas.openxmlformats.org/officeDocument/2006/relationships/hyperlink" Target="http://www.sec.gov/Archives/edgar/data/1177648/000119312513132679/d511662dex31.htm" TargetMode="External"/><Relationship Id="rId77" Type="http://schemas.openxmlformats.org/officeDocument/2006/relationships/hyperlink" Target="http://www.sec.gov/Archives/edgar/data/1177648/000119312515294582/d95810dex32.htm" TargetMode="External"/><Relationship Id="rId78" Type="http://schemas.openxmlformats.org/officeDocument/2006/relationships/hyperlink" Target="http://www.sec.gov/Archives/edgar/data/1177648/000156459019006792/enta-ex101_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2019-12-28T12:29:39Z</dcterms:created>
  <dcterms:modified xsi:type="dcterms:W3CDTF">2019-12-28T12:29:39Z</dcterms:modified>
</cp:coreProperties>
</file>