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580" w:right="1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1940" w:type="dxa"/>
            <w:vAlign w:val="bottom"/>
          </w:tcPr>
          <w:p>
            <w:pPr>
              <w:spacing w:after="0"/>
              <w:rPr>
                <w:sz w:val="18"/>
                <w:szCs w:val="18"/>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4800" w:type="dxa"/>
            <w:vAlign w:val="bottom"/>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09"/>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4"/>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18"/>
                <w:szCs w:val="18"/>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16"/>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0"/>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19"/>
                <w:szCs w:val="19"/>
                <w:color w:val="auto"/>
              </w:rPr>
            </w:pPr>
          </w:p>
        </w:tc>
        <w:tc>
          <w:tcPr>
            <w:tcW w:w="19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ENTA</w:t>
            </w:r>
          </w:p>
        </w:tc>
        <w:tc>
          <w:tcPr>
            <w:tcW w:w="50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54"/>
        </w:trPr>
        <w:tc>
          <w:tcPr>
            <w:tcW w:w="3820" w:type="dxa"/>
            <w:vAlign w:val="bottom"/>
            <w:tcBorders>
              <w:left w:val="single" w:sz="8" w:color="auto"/>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2" w:lineRule="exact"/>
        <w:rPr>
          <w:sz w:val="24"/>
          <w:szCs w:val="24"/>
          <w:color w:val="auto"/>
        </w:rPr>
      </w:pPr>
    </w:p>
    <w:p>
      <w:pPr>
        <w:jc w:val="both"/>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2025, the registrant had 21,377,923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2024 and as updated in Item 1A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r>
      <w:tr>
        <w:trPr>
          <w:trHeight w:val="210"/>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222,708</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299,852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301,029</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134,779</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221,750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247,838</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21,378 and 21,194 shares issued and outstanding at June 30, 2025</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September 30, 2024, respectively</w:t>
            </w: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0"/>
                <w:szCs w:val="20"/>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(386,229)</w:t>
            </w:r>
          </w:p>
        </w:tc>
        <w:tc>
          <w:tcPr>
            <w:tcW w:w="2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(323,040)</w:t>
            </w:r>
          </w:p>
        </w:tc>
      </w:tr>
      <w:tr>
        <w:trPr>
          <w:trHeight w:val="210"/>
        </w:trPr>
        <w:tc>
          <w:tcPr>
            <w:tcW w:w="7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301,029</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-3256915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-1567815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revenue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(18,893)</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(24,185)</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(66,963)</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(91,837)</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(2,355)</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(5,294)</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(18,226)</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(23,053)</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(64,881)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(88,602)</w:t>
            </w: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(18,255)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(22,658)</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(63,189)</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(87,222)</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7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-2167890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-2167890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-2167890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-1602105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-1602105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-1602105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-1036320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-1036320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-462280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-445135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-462280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-445135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7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42"/>
        </w:trPr>
        <w:tc>
          <w:tcPr>
            <w:tcW w:w="4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(18,255)</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(22,658)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(63,189)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(87,222)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FF0FC"/>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(18,433)</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(22,644)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(63,893)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(86,701)</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-316230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320" w:type="dxa"/>
            <w:vAlign w:val="bottom"/>
            <w:gridSpan w:val="4"/>
            <w:vMerge w:val="restart"/>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23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0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(323,040)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456,962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(345,330)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(22,644)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(22,644)</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461,522</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(367,974)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465,696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(386,229)</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0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CFF0FC"/>
            </w:tcBorders>
            <w:vMerge w:val="restart"/>
          </w:tcPr>
          <w:p>
            <w:pPr>
              <w:spacing w:after="0"/>
              <w:rPr>
                <w:sz w:val="24"/>
                <w:szCs w:val="24"/>
                <w:color w:val="auto"/>
              </w:rPr>
            </w:pPr>
          </w:p>
        </w:tc>
        <w:tc>
          <w:tcPr>
            <w:tcW w:w="1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0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(206,995)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(33,407)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432,608</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(240,402)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(31,157)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(31,157)</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438,128</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(271,559)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(22,658)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443,573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(294,217)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-4431030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-4413885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-4431030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-4413885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-4431030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-4413885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-4431030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-4413885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-4431030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-4413885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-3856990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-3856990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-3856990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-3856990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-3856990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-2990850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-2973705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-2990850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-2973705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-2990850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-2973705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-2990850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-2973705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-2990850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-2973705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-1748155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-1748155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-1748155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-1748155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-1748155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-890905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-890905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-890905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-890905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-890905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(63,189)</w:t>
            </w: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(87,222)</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19,077</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associated with the sale of future royalties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(1,399)</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(620)</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Non-cash royalty revenue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(2,020)</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premiums on marketable securities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(1,687)</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Income tax receivable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31,975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(1,451)</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4,558</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assets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(588)</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(2,360)</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(6,047)</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20" w:type="dxa"/>
            <w:vAlign w:val="bottom"/>
          </w:tcPr>
          <w:p>
            <w:pPr>
              <w:spacing w:after="0"/>
              <w:rPr>
                <w:sz w:val="18"/>
                <w:szCs w:val="18"/>
                <w:color w:val="auto"/>
              </w:rPr>
            </w:pPr>
          </w:p>
        </w:tc>
      </w:tr>
      <w:tr>
        <w:trPr>
          <w:trHeight w:val="203"/>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(436)</w:t>
            </w:r>
          </w:p>
        </w:tc>
      </w:tr>
      <w:tr>
        <w:trPr>
          <w:trHeight w:val="20"/>
        </w:trPr>
        <w:tc>
          <w:tcPr>
            <w:tcW w:w="76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(12,783)</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(68,364)</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(141,008)</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(307,283)</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190,497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355,442</w:t>
            </w:r>
          </w:p>
        </w:tc>
        <w:tc>
          <w:tcPr>
            <w:tcW w:w="120" w:type="dxa"/>
            <w:vAlign w:val="bottom"/>
            <w:shd w:val="clear" w:color="auto" w:fill="CFF0FC"/>
          </w:tcPr>
          <w:p>
            <w:pPr>
              <w:spacing w:after="0"/>
              <w:rPr>
                <w:sz w:val="18"/>
                <w:szCs w:val="18"/>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9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(11,438)</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(8,997)</w:t>
            </w:r>
          </w:p>
        </w:tc>
      </w:tr>
      <w:tr>
        <w:trPr>
          <w:trHeight w:val="196"/>
        </w:trPr>
        <w:tc>
          <w:tcPr>
            <w:tcW w:w="7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38,051</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39,162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(18,124)</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(20,215)</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(267)</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w:t>
            </w:r>
          </w:p>
        </w:tc>
      </w:tr>
      <w:tr>
        <w:trPr>
          <w:trHeight w:val="20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(18,297)</w:t>
            </w:r>
          </w:p>
        </w:tc>
        <w:tc>
          <w:tcPr>
            <w:tcW w:w="10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(20,411)</w:t>
            </w:r>
          </w:p>
        </w:tc>
      </w:tr>
      <w:tr>
        <w:trPr>
          <w:trHeight w:val="20"/>
        </w:trPr>
        <w:tc>
          <w:tcPr>
            <w:tcW w:w="76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6,971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(49,613)</w:t>
            </w: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41,201</w:t>
            </w: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12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48,172</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39,743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760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4"/>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120" w:type="dxa"/>
            <w:vAlign w:val="bottom"/>
            <w:shd w:val="clear" w:color="auto" w:fill="CFF0FC"/>
          </w:tcPr>
          <w:p>
            <w:pPr>
              <w:spacing w:after="0"/>
              <w:rPr>
                <w:sz w:val="19"/>
                <w:szCs w:val="19"/>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220" w:type="dxa"/>
            <w:vAlign w:val="bottom"/>
          </w:tcPr>
          <w:p>
            <w:pPr>
              <w:spacing w:after="0"/>
              <w:rPr>
                <w:sz w:val="17"/>
                <w:szCs w:val="17"/>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22,975</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interest</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7,185</w:t>
            </w:r>
          </w:p>
        </w:tc>
        <w:tc>
          <w:tcPr>
            <w:tcW w:w="220" w:type="dxa"/>
            <w:vAlign w:val="bottom"/>
          </w:tcPr>
          <w:p>
            <w:pPr>
              <w:spacing w:after="0"/>
              <w:rPr>
                <w:sz w:val="17"/>
                <w:szCs w:val="17"/>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9,187</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5,146</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120" w:type="dxa"/>
            <w:vAlign w:val="bottom"/>
            <w:shd w:val="clear" w:color="auto" w:fill="CFF0FC"/>
          </w:tcPr>
          <w:p>
            <w:pPr>
              <w:spacing w:after="0"/>
              <w:rPr>
                <w:sz w:val="17"/>
                <w:szCs w:val="17"/>
                <w:color w:val="auto"/>
              </w:rPr>
            </w:pPr>
          </w:p>
        </w:tc>
      </w:tr>
      <w:tr>
        <w:trPr>
          <w:trHeight w:val="222"/>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received from income tax refund</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220" w:type="dxa"/>
            <w:vAlign w:val="bottom"/>
          </w:tcPr>
          <w:p>
            <w:pPr>
              <w:spacing w:after="0"/>
              <w:rPr>
                <w:sz w:val="19"/>
                <w:szCs w:val="19"/>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-2995295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-2995295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-2172335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-2172335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-1623695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-1623695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-1075055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-1057910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-1075055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-1057910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for virology and immunology indications. The Company discovered glecaprevir, the second of two antiviral protease inhibitors developed through its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2024 was derived from audited financial statements but does not include all disclosures required by accounting principles generally accepted in the United States of America (“GAAP”). The accompanying unaudited condensed consolidated financial statements as of June 30, 2025 and for the three and nine months ended June 30,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2024.</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June 30, 2025 and results of operations for the three and nine months ended June 30, 2025 and 2024 and cash flows for the nine months ended June 30, 2025 and 2024 have been made. The results of operations for the three and nine months ended June 30, 2025 are not necessarily indicative of the results of operations that may be expected for subsequent quarters or the year ending September 30, 2025.</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$63,189 for the nine months ended June 30, 2025 and $116,045 for the year ended September 30, 2024. As of June 30, 2025, the Company had an accumulated deficit of $386,229. The Company expects to continue to generate operating losses for the foreseeable future as the Company continues to advance its wholly-owned programs. As of June 30, 2025, the Company had $204,111 in cash, cash equivalents and short-term marketable securities. The Company expects that its cash, cash equivalents and short-term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2024.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56"/>
        </w:trPr>
        <w:tc>
          <w:tcPr>
            <w:tcW w:w="7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5,953</w:t>
            </w:r>
          </w:p>
        </w:tc>
        <w:tc>
          <w:tcPr>
            <w:tcW w:w="6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5,236</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93</w:t>
            </w:r>
          </w:p>
        </w:tc>
        <w:tc>
          <w:tcPr>
            <w:tcW w:w="6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93</w:t>
            </w:r>
          </w:p>
        </w:tc>
        <w:tc>
          <w:tcPr>
            <w:tcW w:w="6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414</w:t>
            </w:r>
          </w:p>
        </w:tc>
        <w:tc>
          <w:tcPr>
            <w:tcW w:w="6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and interim periods within the fiscal year beginning October 1, 2025, on a retrospective basis with early adoption permitted. This accounting standard will require additional disclosures about segment information, however, the Company does not expect ASU 2023-07 to have a material impact on the Company’s consolidated financial position or results of operations.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requires public entities to provide disaggregated disclosure of income statement expenses. Public entities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June 30, 2025 and September 30, 2024, and indicate the fair value hierarchy of the valuation inputs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2025 Using:</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9"/>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2024 Using:</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-2211070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-2193925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-2211070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-2193925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-2211070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-2193925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-1910715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-1910715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-1910715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-616585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-616585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-616585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June 30, 2025 and 2024, there were no transfers between Level 1, Level 2 and Level 3.</w:t>
      </w:r>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fair value of Level 1 instruments are valued using quoted prices in active markets. The fair value of Level 2 instruments classified as marketable securities are typically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1,930 outstanding shares of Series 1 nonconvertible preferred stock as of June 30, 2025 and September 30, 2024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27"/>
        </w:trPr>
        <w:tc>
          <w:tcPr>
            <w:tcW w:w="6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5"/>
        </w:trPr>
        <w:tc>
          <w:tcPr>
            <w:tcW w:w="660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rPr>
              <w:t>0%-65%</w:t>
            </w: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r>
      <w:tr>
        <w:trPr>
          <w:trHeight w:val="21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FF0FC"/>
          </w:tcPr>
          <w:p>
            <w:pPr>
              <w:jc w:val="center"/>
              <w:ind w:left="399"/>
              <w:spacing w:after="0"/>
              <w:rPr>
                <w:sz w:val="20"/>
                <w:szCs w:val="20"/>
                <w:color w:val="auto"/>
              </w:rPr>
            </w:pPr>
            <w:r>
              <w:rPr>
                <w:rFonts w:ascii="Times New Roman" w:cs="Times New Roman" w:eastAsia="Times New Roman" w:hAnsi="Times New Roman"/>
                <w:sz w:val="18"/>
                <w:szCs w:val="18"/>
                <w:color w:val="auto"/>
                <w:w w:val="98"/>
              </w:rPr>
              <w:t>9.00%</w:t>
            </w:r>
          </w:p>
        </w:tc>
        <w:tc>
          <w:tcPr>
            <w:tcW w:w="2800" w:type="dxa"/>
            <w:vAlign w:val="bottom"/>
            <w:gridSpan w:val="3"/>
            <w:shd w:val="clear" w:color="auto" w:fill="CFF0FC"/>
          </w:tcPr>
          <w:p>
            <w:pPr>
              <w:jc w:val="center"/>
              <w:ind w:left="502"/>
              <w:spacing w:after="0"/>
              <w:rPr>
                <w:sz w:val="20"/>
                <w:szCs w:val="20"/>
                <w:color w:val="auto"/>
              </w:rPr>
            </w:pPr>
            <w:r>
              <w:rPr>
                <w:rFonts w:ascii="Times New Roman" w:cs="Times New Roman" w:eastAsia="Times New Roman" w:hAnsi="Times New Roman"/>
                <w:sz w:val="18"/>
                <w:szCs w:val="18"/>
                <w:color w:val="auto"/>
                <w:w w:val="98"/>
              </w:rPr>
              <w:t>9.00%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and nine months ended June 30,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June 30, 2025 and is based on current estimates of future royalties expected to be paid to OMERS over the next 7 years, which are considered Level 3 inputs. See Note 8 for a rollforward of the liability.</w:t>
      </w:r>
    </w:p>
    <w:p>
      <w:pPr>
        <w:spacing w:after="0" w:line="7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September 30, 2024, the fair value of available-for-sale marketable securities, by type of security,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-1148080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-1148080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-1148080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-1148080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September 30, 2024, marketable securities consisted of investments that mature within one year.</w:t>
      </w:r>
    </w:p>
    <w:p>
      <w:pPr>
        <w:spacing w:after="0" w:line="22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2025 and September 30, 2024:</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w:t>
            </w: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(22,521)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(25,047)</w:t>
            </w: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2024, construction in progress related primarily to leasehold improvements for the new laboratory and office space located at 4 Kingsbury Avenue in Watertown, Massachusetts. We moved into the facility in November 2024 and placed substantially all of those costs into service at that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2025 and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Pr>
          <w:p>
            <w:pPr>
              <w:spacing w:after="0"/>
              <w:rPr>
                <w:sz w:val="15"/>
                <w:szCs w:val="15"/>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3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$1,341,000 through June 30, 2025.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9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estimated future cash flows resulted in an effective annual imputed interest rate of approximately 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tc>
      </w:tr>
      <w:tr>
        <w:trPr>
          <w:trHeight w:val="173"/>
        </w:trPr>
        <w:tc>
          <w:tcPr>
            <w:tcW w:w="46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100" w:type="dxa"/>
            <w:vAlign w:val="bottom"/>
          </w:tcPr>
          <w:p>
            <w:pPr>
              <w:spacing w:after="0"/>
              <w:rPr>
                <w:sz w:val="15"/>
                <w:szCs w:val="15"/>
                <w:color w:val="auto"/>
              </w:rPr>
            </w:pPr>
          </w:p>
        </w:tc>
      </w:tr>
      <w:tr>
        <w:trPr>
          <w:trHeight w:val="209"/>
        </w:trPr>
        <w:tc>
          <w:tcPr>
            <w:tcW w:w="46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3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169,241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(9,981)</w:t>
            </w: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Payments on royalty sale liability</w:t>
            </w:r>
          </w:p>
        </w:tc>
        <w:tc>
          <w:tcPr>
            <w:tcW w:w="3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(17,375)</w:t>
            </w: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 of capitalized interest of $519</w:t>
            </w:r>
          </w:p>
        </w:tc>
        <w:tc>
          <w:tcPr>
            <w:tcW w:w="3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18"/>
                <w:szCs w:val="18"/>
                <w:color w:val="auto"/>
              </w:rPr>
            </w:pPr>
          </w:p>
        </w:tc>
      </w:tr>
      <w:tr>
        <w:trPr>
          <w:trHeight w:val="24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3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100" w:type="dxa"/>
            <w:vAlign w:val="bottom"/>
            <w:shd w:val="clear" w:color="auto" w:fill="CFF0FC"/>
          </w:tcPr>
          <w:p>
            <w:pPr>
              <w:spacing w:after="0"/>
              <w:rPr>
                <w:sz w:val="21"/>
                <w:szCs w:val="21"/>
                <w:color w:val="auto"/>
              </w:rPr>
            </w:pPr>
          </w:p>
        </w:tc>
      </w:tr>
      <w:tr>
        <w:trPr>
          <w:trHeight w:val="628"/>
        </w:trPr>
        <w:tc>
          <w:tcPr>
            <w:tcW w:w="4640" w:type="dxa"/>
            <w:vAlign w:val="bottom"/>
            <w:tcBorders>
              <w:top w:val="single" w:sz="8" w:color="CFF0FC"/>
            </w:tcBorders>
          </w:tcPr>
          <w:p>
            <w:pPr>
              <w:spacing w:after="0"/>
              <w:rPr>
                <w:sz w:val="24"/>
                <w:szCs w:val="24"/>
                <w:color w:val="auto"/>
              </w:rPr>
            </w:pPr>
          </w:p>
        </w:tc>
        <w:tc>
          <w:tcPr>
            <w:tcW w:w="3780" w:type="dxa"/>
            <w:vAlign w:val="bottom"/>
            <w:tcBorders>
              <w:top w:val="single" w:sz="8" w:color="CFF0FC"/>
            </w:tcBorders>
          </w:tcPr>
          <w:p>
            <w:pPr>
              <w:jc w:val="right"/>
              <w:ind w:right="26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December 2024, and March 2025, and its 2024 Inducement Stock Incentive Plan, which was adopted by the Board of Directors in April 2024 and amended in December 2024 for awards to new employees. The Company also has outstanding stock option awards under its 2012 Equity Incentive Plan (the “2012 Plan”), but is no longer granting awards under this plan.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June 30,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6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June 30, 2025</w:t>
            </w: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gridSpan w:val="2"/>
            <w:shd w:val="clear" w:color="auto" w:fill="CFF0FC"/>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36.02</w:t>
            </w:r>
          </w:p>
        </w:tc>
        <w:tc>
          <w:tcPr>
            <w:tcW w:w="162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c>
          <w:tcPr>
            <w:tcW w:w="400" w:type="dxa"/>
            <w:vAlign w:val="bottom"/>
            <w:tcBorders>
              <w:bottom w:val="single" w:sz="8" w:color="CFF0FC"/>
            </w:tcBorders>
            <w:gridSpan w:val="2"/>
            <w:shd w:val="clear" w:color="auto" w:fill="CFF0FC"/>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June 30, 2025</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3,873</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46.84</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-607695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(at target) for the year-to-date period ending June 30,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3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60" w:type="dxa"/>
            <w:vAlign w:val="bottom"/>
            <w:tcBorders>
              <w:top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27.98</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47.24</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June 30, 2025</w:t>
            </w:r>
          </w:p>
        </w:tc>
        <w:tc>
          <w:tcPr>
            <w:tcW w:w="12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332"/>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ending June 30, 2025:</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restart"/>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left="48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36.37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41.35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June 30, 2025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24.92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080" w:type="dxa"/>
            <w:vAlign w:val="bottom"/>
            <w:tcBorders>
              <w:top w:val="single" w:sz="8" w:color="CFF0FC"/>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-2630805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-2613660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-933450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-916305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June 30, 2025 and 2024, the Company recognized the following stock-based compensation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6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42"/>
        </w:trPr>
        <w:tc>
          <w:tcPr>
            <w:tcW w:w="46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6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Pr>
          <w:p>
            <w:pPr>
              <w:spacing w:after="0"/>
              <w:rPr>
                <w:sz w:val="18"/>
                <w:szCs w:val="18"/>
                <w:color w:val="auto"/>
              </w:rPr>
            </w:pPr>
          </w:p>
        </w:tc>
      </w:tr>
      <w:tr>
        <w:trPr>
          <w:trHeight w:val="229"/>
        </w:trPr>
        <w:tc>
          <w:tcPr>
            <w:tcW w:w="4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6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00" w:type="dxa"/>
            <w:vAlign w:val="bottom"/>
            <w:shd w:val="clear" w:color="auto" w:fill="CFF0FC"/>
          </w:tcPr>
          <w:p>
            <w:pPr>
              <w:spacing w:after="0"/>
              <w:rPr>
                <w:sz w:val="19"/>
                <w:szCs w:val="19"/>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07"/>
        </w:trPr>
        <w:tc>
          <w:tcPr>
            <w:tcW w:w="4620" w:type="dxa"/>
            <w:vAlign w:val="bottom"/>
          </w:tcPr>
          <w:p>
            <w:pPr>
              <w:spacing w:after="0"/>
              <w:rPr>
                <w:sz w:val="24"/>
                <w:szCs w:val="24"/>
                <w:color w:val="auto"/>
              </w:rPr>
            </w:pPr>
          </w:p>
        </w:tc>
        <w:tc>
          <w:tcPr>
            <w:tcW w:w="26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42"/>
        </w:trPr>
        <w:tc>
          <w:tcPr>
            <w:tcW w:w="46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6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8"/>
                <w:szCs w:val="18"/>
                <w:color w:val="auto"/>
              </w:rPr>
            </w:pPr>
          </w:p>
        </w:tc>
      </w:tr>
      <w:tr>
        <w:trPr>
          <w:trHeight w:val="229"/>
        </w:trPr>
        <w:tc>
          <w:tcPr>
            <w:tcW w:w="4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6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00" w:type="dxa"/>
            <w:vAlign w:val="bottom"/>
            <w:shd w:val="clear" w:color="auto" w:fill="CFF0FC"/>
          </w:tcPr>
          <w:p>
            <w:pPr>
              <w:spacing w:after="0"/>
              <w:rPr>
                <w:sz w:val="19"/>
                <w:szCs w:val="19"/>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-1285240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-1268095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-1285240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-1268095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-1285240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-1268095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June 30, 2025 and 2024,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an aggregate of $24,193 of unrecognized stock-based compensation cost, which is expected to be recognized over a weighted average period of 1.9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an income tax expense of $29 and an income tax benefit of $395, respectively. The income tax benefit for the three months ended June 30, 2024 was primarily due to interest earned on the federal income tax refund. The federal income tax refund of $33,785, inclusive of interest, was received in April 2025.</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the temporary and permanent extension of expiring provisions of the Tax Cuts and Jobs Act of 2017. The Company is assessing these impacts on its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a hearing on the motions was held on July 31, 2024. On December 23, 2024, the District Court issued a summary judgment decision ruling that the asserted claims of the ’953 Patent were invalid. In its decision, the District Court also denied the Company’s partial motion for summary judgment of infringement as moot in light of its allowance of summary judgment on invalidity. On February 3, 2025, the Company filed a notice of appeal with the United States Court of Appeals for the Federal Circuit. The Company filed its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right="120"/>
        <w:spacing w:after="0" w:line="266" w:lineRule="auto"/>
        <w:rPr>
          <w:sz w:val="20"/>
          <w:szCs w:val="20"/>
          <w:color w:val="auto"/>
        </w:rPr>
      </w:pPr>
      <w:r>
        <w:rPr>
          <w:rFonts w:ascii="Times New Roman" w:cs="Times New Roman" w:eastAsia="Times New Roman" w:hAnsi="Times New Roman"/>
          <w:sz w:val="18"/>
          <w:szCs w:val="18"/>
          <w:color w:val="auto"/>
        </w:rPr>
        <w:t>opening brief with the Federal Circuit on March 21, 2025. On May 21, 2025, Pfizer filed its response brief. The Company filed its reply on June 13, 2025. The timing for a decision on the appeal is currently uncertain. The Company records all legal expenses associated with the patent infringement suit as incurred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June 30,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has two real estate leases for properties located in Watertown, Massachusetts. The first lease is for office space located at 400 Talcott Avenue and the second lease is for office and laboratory space located at 4 Kingsbury Avenue.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annual minimum facility and equipment lease payments, net of the tenant improvement allowance under the Company’s 4 Kingsbury Avenue lease, as of June 30, 2025,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4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fiscal 2025</w:t>
            </w:r>
          </w:p>
        </w:tc>
        <w:tc>
          <w:tcPr>
            <w:tcW w:w="5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88,186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(29,071)</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58,050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2024 included in our Annual Report on Form 10-K for that fiscal year, which is referred to as our 2024 Form 10-K. Please refer to our note regarding forward-looking statements on page 2 of this Form 10-Q, which is incorporated herein by this reference.</w:t>
      </w:r>
    </w:p>
    <w:p>
      <w:pPr>
        <w:spacing w:after="0" w:line="75"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for virology and immunology indications.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and leading cause of U.S. hospitalization in young children and a significant cause of respiratory illness in older adults. Estimates suggest that, on average, each year RSV leads to three million hospitalizations globally in children under 5 years old and 177,000 hospitalizations in the U.S. in adults over the age of 65. Populations at high risk for severe RSV infection include infants and young children, adults older than 65 years of age, and those with comorbidities such as chronic heart or lung disease.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development stage programs in virology for the following disease targets:</w:t>
      </w:r>
    </w:p>
    <w:p>
      <w:pPr>
        <w:spacing w:after="0" w:line="117" w:lineRule="exact"/>
        <w:rPr>
          <w:sz w:val="20"/>
          <w:szCs w:val="20"/>
          <w:color w:val="auto"/>
        </w:rPr>
      </w:pPr>
    </w:p>
    <w:p>
      <w:pPr>
        <w:jc w:val="both"/>
        <w:ind w:left="1020" w:right="2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with hospitalization and death among the elderly and those with comorbidities, persistent symptoms referred to as long COVID, and new variants emerging on a regular basis; and</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inflammatory disease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targeting key mechanisms of immune response. Our initial focus has been on mechanisms involved in an overactive type 2 immune phenotype,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immune response upon encountering infections or allergens. An overactive response is a primary driver of a number of inflammatory diseases.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w:t>
      </w:r>
    </w:p>
    <w:p>
      <w:pPr>
        <w:spacing w:after="0" w:line="117" w:lineRule="exact"/>
        <w:rPr>
          <w:sz w:val="20"/>
          <w:szCs w:val="20"/>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receptor tyrosine kinase, known as KIT, which is critical for regulating mast cell survival and activation, including release of potent inflammatory mediators such as histamine, which is a primary driver of inflammation in the skin and implicated in multiple allergic diseases; and</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STAT6, a transcription factor uniquely responsible for interleukin-4 (IL-4)/interleukin-13 (IL-13) cell signaling, which drives a type 2 dominant phenotype and downstream inflammation.</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We currently plan to focus our initial immunology drug development proof-of-concept efforts on the following disease indications:</w:t>
      </w:r>
    </w:p>
    <w:p>
      <w:pPr>
        <w:spacing w:after="0" w:line="68" w:lineRule="exact"/>
        <w:rPr>
          <w:sz w:val="20"/>
          <w:szCs w:val="20"/>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June 30, 2025, we had $204.1 million in cash, cash equivalents and short-term marketable securities. Based on our operating plan, we expect that our existing cash, cash equivalents, short-term marketable securities, as well as the cash flows from our retained portion of future HCV royalties, will enable us to fund our operating expenses and capital expenditure requirements into fiscal 2028.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In virology, we have two clinical stage candidates for RSV – zelicapavir (formerly EDP-938) and EDP-323. Both of these compounds are replication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inhibitors that work by shutting down replication and the production of new virions, as opposed to the other mechanism in development of fusion inhibition that only blocks viral entry. Zelicapavir, which has Fast Track designation from the U.S. Food and Drug Administration, or FDA, is a potent inhibitor of the RSV N-protein for both major subgroups of RSV, referred to as RSV-A and RSV-B. Zelicapavir has been studied in two Phase 2 studies, each in a different high-risk patient population. EDP-323, which also has a Fast Track designation from the FDA, is an inhibitor of the RSV L-protein for both major subgroups of RSV that has completed a Phase 2 challenge study. We will evaluate potential partnership opportunities to advance our RSV programs to the next stage of clinical development.</w:t>
      </w:r>
    </w:p>
    <w:p>
      <w:pPr>
        <w:spacing w:after="0" w:line="77" w:lineRule="exact"/>
        <w:rPr>
          <w:sz w:val="20"/>
          <w:szCs w:val="20"/>
          <w:color w:val="auto"/>
        </w:rPr>
      </w:pPr>
    </w:p>
    <w:p>
      <w:pPr>
        <w:ind w:left="1020" w:right="20" w:hanging="503"/>
        <w:spacing w:after="0" w:line="25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Zelicapavir is a once-daily, oral, direct-acting antiviral selectively targeting the N-protein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statistically significant reductions in RSV viral load and symptoms in a human challenge model, Phase 2 clinical study. Zelicapavir was also tested in another Phase 2 exploratory study of otherwise healthy young adults (not at high risk for serious outcomes with RSV) to understand viral response to treatment in community-acquired RSV infection. With these studies, zelicapavir has demonstrated a favorable safety profile, consistent with that observed in over 500 subjects exposed to zelicapavir to date.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including pediatric patients and high-risk adults, all of which have significant unmet need:</w:t>
      </w:r>
    </w:p>
    <w:p>
      <w:pPr>
        <w:spacing w:after="0" w:line="80" w:lineRule="exact"/>
        <w:rPr>
          <w:rFonts w:ascii="Times New Roman" w:cs="Times New Roman" w:eastAsia="Times New Roman" w:hAnsi="Times New Roman"/>
          <w:sz w:val="18"/>
          <w:szCs w:val="18"/>
          <w:color w:val="auto"/>
        </w:rPr>
      </w:pPr>
    </w:p>
    <w:p>
      <w:pPr>
        <w:ind w:left="1540" w:right="6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Pediatric Study of Zelicapavir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In December 2024, we announced positive topline results from the first-in-pediatrics Phase 2</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randomized, double-blind, placebo-controlled study evaluating zelicapavir in approximately 90 hospitalized and non-hospitalized children aged 28 days to 36 months with RSV. The first part of the study included dose ranging in two different age cohorts, focused on safety and pharmacokinetics (PK), and the second part of the study focused on virology outcomes from a single dose selected from the first part of the study.</w:t>
      </w:r>
    </w:p>
    <w:p>
      <w:pPr>
        <w:spacing w:after="0" w:line="77" w:lineRule="exact"/>
        <w:rPr>
          <w:rFonts w:ascii="Times New Roman" w:cs="Times New Roman" w:eastAsia="Times New Roman" w:hAnsi="Times New Roman"/>
          <w:sz w:val="18"/>
          <w:szCs w:val="18"/>
          <w:color w:val="auto"/>
        </w:rPr>
      </w:pPr>
    </w:p>
    <w:p>
      <w:pPr>
        <w:ind w:left="2040" w:right="40" w:hanging="505"/>
        <w:spacing w:after="0" w:line="282"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demonstrated a favorable safety profile over the 5-day dosing period and through 23 days of follow-up. There were no adverse effects leading to treatment discontinuation or study withdrawal.</w:t>
      </w:r>
    </w:p>
    <w:p>
      <w:pPr>
        <w:spacing w:after="0" w:line="53" w:lineRule="exact"/>
        <w:rPr>
          <w:rFonts w:ascii="Times New Roman" w:cs="Times New Roman" w:eastAsia="Times New Roman" w:hAnsi="Times New Roman"/>
          <w:sz w:val="18"/>
          <w:szCs w:val="18"/>
          <w:color w:val="auto"/>
        </w:rPr>
      </w:pPr>
    </w:p>
    <w:p>
      <w:pPr>
        <w:ind w:left="2040" w:right="40" w:hanging="505"/>
        <w:spacing w:after="0" w:line="266"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achieved target drug exposure levels across all age groups and dosing cohorts. Exposure was similar across cohorts and doses, and all patients received a therapeutic dose. A dose of 5 mg/kg was selected for patients aged ≥ 28 days to &lt;12 months, and a dose of 7.5 mg/kg was selected for patients aged ≥12 months to ≤ 36 months.</w:t>
      </w:r>
    </w:p>
    <w:p>
      <w:pPr>
        <w:spacing w:after="0" w:line="67" w:lineRule="exact"/>
        <w:rPr>
          <w:rFonts w:ascii="Times New Roman" w:cs="Times New Roman" w:eastAsia="Times New Roman" w:hAnsi="Times New Roman"/>
          <w:sz w:val="18"/>
          <w:szCs w:val="18"/>
          <w:color w:val="auto"/>
        </w:rPr>
      </w:pPr>
    </w:p>
    <w:p>
      <w:pPr>
        <w:ind w:left="2040" w:hanging="505"/>
        <w:spacing w:after="0" w:line="253"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antiviral effect was observed for the primary and secondary virology endpoints in the overall pooled efficacy population, with the viral load decline peaking at 0.7 log on Day 9 compared to placebo. The primary endpoint for Part 2 of the study showed a more pronounced effect, with a viral load decline of 1.0 log at Day 3 and 1.4 log at Day 5 compared to placebo. Additionally, a rapid and robust antiviral effect was observed in the prespecified subset of patients who were randomized within 3 days of symptom onset, which represents about 40% of patients in the study (n=38/96). In these patients, a viral load decline of 0.9 log at Day 3 and 1.2 log at Day 5 was observed compared to placebo. Furthermore, zelicapavir treatment resulted in a greater proportion of patients having undetectable viral load at Days 5 and 9 compared to placebo and improvements in area under the curve (AUC) of change from baseline for viral load at all timepoints. Qualitative improvement in time to undetectable viral load was observed at early timepoints, although median time to undetectable viral load was similar between groups. Overall, virology results were similar regardless of age or whether patients were enrolled from a hospitalized or outpatient setting.</w:t>
      </w:r>
    </w:p>
    <w:p>
      <w:pPr>
        <w:spacing w:after="0" w:line="82" w:lineRule="exact"/>
        <w:rPr>
          <w:sz w:val="20"/>
          <w:szCs w:val="20"/>
          <w:color w:val="auto"/>
        </w:rPr>
      </w:pPr>
    </w:p>
    <w:p>
      <w:pPr>
        <w:ind w:left="1540" w:right="140" w:hanging="514"/>
        <w:spacing w:after="0" w:line="267"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High-Risk Adults Study of Zelicapavir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have an ongoing Phase 2b study in adults with RSV infection who are at high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complications. This includes patients who are older than 65 years of age and/or those who have asthma, chronic obstructive pulmonary disease, or COPD, or congestive heart failure. Patients enrolled in the study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1540" w:right="280"/>
        <w:spacing w:after="0" w:line="282" w:lineRule="auto"/>
        <w:rPr>
          <w:sz w:val="20"/>
          <w:szCs w:val="20"/>
          <w:color w:val="auto"/>
        </w:rPr>
      </w:pPr>
      <w:r>
        <w:rPr>
          <w:rFonts w:ascii="Times New Roman" w:cs="Times New Roman" w:eastAsia="Times New Roman" w:hAnsi="Times New Roman"/>
          <w:sz w:val="18"/>
          <w:szCs w:val="18"/>
          <w:color w:val="auto"/>
        </w:rPr>
        <w:t>were treated with zelicapavir or placebo for five days, with a primary endpoint of time to resolution of RSV lower respiratory tract disease symptoms. Enrollment of 186 patients was completed in May 2025, with topline data expected in September 2025.</w:t>
      </w:r>
    </w:p>
    <w:p>
      <w:pPr>
        <w:spacing w:after="0" w:line="52" w:lineRule="exact"/>
        <w:rPr>
          <w:sz w:val="20"/>
          <w:szCs w:val="20"/>
          <w:color w:val="auto"/>
        </w:rPr>
      </w:pPr>
    </w:p>
    <w:p>
      <w:pPr>
        <w:ind w:left="1020" w:right="8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an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4" w:lineRule="exact"/>
        <w:rPr>
          <w:sz w:val="20"/>
          <w:szCs w:val="20"/>
          <w:color w:val="auto"/>
        </w:rPr>
      </w:pPr>
    </w:p>
    <w:p>
      <w:pPr>
        <w:ind w:left="1540" w:right="80" w:hanging="514"/>
        <w:spacing w:after="0" w:line="258"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2a Study of EDP-323</w:t>
      </w:r>
      <w:r>
        <w:rPr>
          <w:rFonts w:ascii="Times New Roman" w:cs="Times New Roman" w:eastAsia="Times New Roman" w:hAnsi="Times New Roman"/>
          <w:sz w:val="18"/>
          <w:szCs w:val="18"/>
          <w:color w:val="auto"/>
        </w:rPr>
        <w:t>: In September 2024, we announced positive topline results for EDP-323 in a Phase 2a challenge study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adults infected with RSV. Treatment with EDP-323 achieved highly statistically significant (p=&lt;0.0001) reductions in both viral load and clinical symptoms compared to placebo. Overall, EDP-323 was generally well tolerated and demonstrated a favorable safety profile that was comparable to placebo over 5 days of dosing through Day 28 of follow-up. There were no serious adverse events and no discontinuations of EDP-323.</w:t>
      </w:r>
    </w:p>
    <w:p>
      <w:pPr>
        <w:spacing w:after="0" w:line="7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w:t>
      </w:r>
    </w:p>
    <w:p>
      <w:pPr>
        <w:spacing w:after="0" w:line="76" w:lineRule="exact"/>
        <w:rPr>
          <w:sz w:val="20"/>
          <w:szCs w:val="20"/>
          <w:color w:val="auto"/>
        </w:rPr>
      </w:pPr>
    </w:p>
    <w:p>
      <w:pPr>
        <w:ind w:left="1020" w:right="28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SPRINT Study of EDP-235: </w:t>
      </w:r>
      <w:r>
        <w:rPr>
          <w:rFonts w:ascii="Times New Roman" w:cs="Times New Roman" w:eastAsia="Times New Roman" w:hAnsi="Times New Roman"/>
          <w:sz w:val="18"/>
          <w:szCs w:val="18"/>
          <w:color w:val="auto"/>
        </w:rPr>
        <w:t>In May 2023, we reported topline results from a Phase 2 clinical trial of EDP-235 in non-hospitalized,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symptomatic patients with mild to moderate COVID-19 who were not at increased risk for developing severe disease, which was the only study population permitted by the FDA. EDP-235 met the primary endpoint of the trial and was generally safe and well-tolerated.</w:t>
      </w:r>
    </w:p>
    <w:p>
      <w:pPr>
        <w:spacing w:after="0" w:line="67" w:lineRule="exact"/>
        <w:rPr>
          <w:rFonts w:ascii="Times New Roman" w:cs="Times New Roman" w:eastAsia="Times New Roman" w:hAnsi="Times New Roman"/>
          <w:sz w:val="18"/>
          <w:szCs w:val="18"/>
          <w:color w:val="auto"/>
        </w:rPr>
      </w:pPr>
    </w:p>
    <w:p>
      <w:pPr>
        <w:jc w:val="right"/>
        <w:ind w:left="1540" w:right="10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dose-dependent improvement in total symptom score was observed with EDP-235 treatment compared to placebo, which achieved statistical significance (p&lt;0.05) in the 400 mg treatment group at multiple time points, starting as early as one day after the first dose.</w:t>
      </w:r>
    </w:p>
    <w:p>
      <w:pPr>
        <w:spacing w:after="0" w:line="31"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analysis of a subset of six symptoms showed a two-day shorter time (5 days to 3 days) to improvement in patients receiving EDP-235 400 mg who were enrolled within three days of symptom onset (p&lt;0.01).</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effect on virologic endpoints as measured in the nose was detected due to the rapid viral decline in the placebo arm of this highly immunologically-experienced, standard risk population.</w:t>
      </w:r>
    </w:p>
    <w:p>
      <w:pPr>
        <w:spacing w:after="0" w:line="54" w:lineRule="exact"/>
        <w:rPr>
          <w:sz w:val="20"/>
          <w:szCs w:val="20"/>
          <w:color w:val="auto"/>
        </w:rPr>
      </w:pPr>
    </w:p>
    <w:p>
      <w:pPr>
        <w:ind w:left="1540" w:hanging="514"/>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potential collaborations to progress EDP-235, as we will not advance this candidate into Phase 3 studies on our own.</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designing and developing highly potent and selective oral small molecule inhibitors targeting the following mechanisms of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w:t>
      </w:r>
    </w:p>
    <w:p>
      <w:pPr>
        <w:spacing w:after="0" w:line="51" w:lineRule="exact"/>
        <w:rPr>
          <w:sz w:val="20"/>
          <w:szCs w:val="20"/>
          <w:color w:val="auto"/>
        </w:rPr>
      </w:pPr>
    </w:p>
    <w:p>
      <w:pPr>
        <w:ind w:left="1020" w:right="2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xml:space="preserve">. We have a preclinical stage program to develop oral KIT inhibitors to treat CSU and potentially other indications by depleting mast cells, thereby addressing a primary driver of these diseases. We have discovered novel, potent and selective oral KIT inhibitors, which are in preclinical development. In the fourth quarter of 2024, we selected our lead development candidate, EPS-1421. This candidate demonstrates potent nanomolar activity in both binding and cellular function assays, with sub-nanomolar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is highly selective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absorption, distribution, metabolism and excretion (ADME) properties. We are conducting scale-up activities and IND-enabling studies for this program in 2025.</w:t>
      </w:r>
    </w:p>
    <w:p>
      <w:pPr>
        <w:spacing w:after="0" w:line="79"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STAT6 Inhibitors</w:t>
      </w:r>
      <w:r>
        <w:rPr>
          <w:rFonts w:ascii="Times New Roman" w:cs="Times New Roman" w:eastAsia="Times New Roman" w:hAnsi="Times New Roman"/>
          <w:sz w:val="18"/>
          <w:szCs w:val="18"/>
          <w:color w:val="auto"/>
        </w:rPr>
        <w:t>. We have a discovery stage program to develop an oral STAT6 inhibitor for the treatment of type 2 immune driven diseases, initially focusing on AD and potentially other indications by blocking the IL-4/IL-13 signaling pathway, thereby addressing a primary driver of these diseases. Our prototype inhibitors demonstrate nanomolar potency and high selectivity for STAT6 over other STATs in both biochemical and cellular assays, with good intrinsic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left="1020"/>
        <w:spacing w:after="0" w:line="266" w:lineRule="auto"/>
        <w:rPr>
          <w:sz w:val="20"/>
          <w:szCs w:val="20"/>
          <w:color w:val="auto"/>
        </w:rPr>
      </w:pPr>
      <w:r>
        <w:rPr>
          <w:rFonts w:ascii="Times New Roman" w:cs="Times New Roman" w:eastAsia="Times New Roman" w:hAnsi="Times New Roman"/>
          <w:sz w:val="18"/>
          <w:szCs w:val="18"/>
          <w:color w:val="auto"/>
        </w:rPr>
        <w:t>permeability and oral bioavailability. In addition, after a single oral dose, our prototype inhibitors have demonstrated rapid and complete inhibition of phosphorylated STAT6 in a mouse model. We are continuing to evaluate multiple compounds in preclinical studies, including toxicology studies, and conducting lead optimization activities. Our goal is to select a lead development candidate in the second half of 2025.</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expand our presence in immunology with the introduction of a third program in 2025.</w:t>
      </w:r>
    </w:p>
    <w:p>
      <w:pPr>
        <w:spacing w:after="0" w:line="11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72200" cy="24771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22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right="1640"/>
        <w:spacing w:after="0" w:line="249" w:lineRule="auto"/>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 **Continued development dependent on a future collaboration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and others.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acute or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for the treatment of chronic HCV.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 In June 2025, the FDA approved a label expansion for MAVYRET as the first and only treatment for acute HCV.</w:t>
      </w:r>
    </w:p>
    <w:p>
      <w:pPr>
        <w:spacing w:after="0" w:line="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a Phase 2b study of zelicapavir in high-risk adults, which completed enrollment in May 2025, and have completed a Phase 2b study of zelicapavir in pediatric patients and a Phase 2a human challenge study of EDP-323. We are also conducting preclinical research and discovery efforts in the field of immunology.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anticipate a reduction in our external research and development expenses, primarily driven by the timing of clinical trials in our RSV programs. These milestones, along with strategic adjustments, have positioned us to reduce spending in 2025 while maintaining our commitment to advancing key programs.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milestone and royalty payments received under our collaboration agreement with AbbVie, a $200.0 million payment received in April 2023 from our royalty sale agreement, and our existing cash, cash equivalents, and short-term marketable securities. Based on our operating plan, we believe that our existing cash, cash equivalents and short-term marketable securities, as well as the cash flows from our retained portion of future HCV royalties, will enable us to fund our operating expenses and capital expenditure requirements into fiscal 2028.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HCV.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and nine months ended June 30, 2025 and 2024:</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6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clinical or preclinical development, we have not generated any revenue from our own product sales. We do not expect to generate any revenue from product sales derived from these product candidates for at least the next several years.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anticipate a reduction in our external research and development expenses, primarily driven by the timing of clinical trials in our RSV programs. These milestones, along with strategic adjustments, have positioned us to reduce spending in 2025 while maintaining our commitment to advancing key programs. To date, we have not identified any significant impact of inflation on spending in research and development, but it is uncertain whether there will be inflationary impacts, including as a result of tariffs, in future periods.</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(expense) benefit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gridSpan w:val="2"/>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(1,618)</w:t>
            </w:r>
          </w:p>
        </w:tc>
        <w:tc>
          <w:tcPr>
            <w:tcW w:w="1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(2,355)</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(18,255)</w:t>
            </w: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(22,658)</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recognized revenue of $18.3 million during the three months ended June 30, 2025 as compared to $18.0 million during the three months ended June 30, 2024. The $0.3 million increase in revenue was primarily due to AbbVie’s higher reported HCV sales as compared to the same period in 2024.</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the number of patients treated and the effect of the label expansion for MAVYRET in the United States for the treatment of patients with acute HCV. In addition, at the beginning of each calendar year (the second quarter of our fiscal year), our royalty rate resets to the lowest tier for each of our royalty-bearing products licensed to AbbVie.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2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RSV</w:t>
            </w:r>
          </w:p>
        </w:tc>
        <w:tc>
          <w:tcPr>
            <w:tcW w:w="412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40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HBV</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KIT</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2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discovery</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programs for out-licensing</w:t>
            </w: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spacing w:after="0"/>
              <w:rPr>
                <w:sz w:val="18"/>
                <w:szCs w:val="18"/>
                <w:color w:val="auto"/>
              </w:rPr>
            </w:pPr>
          </w:p>
        </w:tc>
        <w:tc>
          <w:tcPr>
            <w:tcW w:w="29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9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-1919605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-1362075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decreased by $1.5 million compared to the same period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virology programs decreased by $2.3 million primarily due to the timing of clinical trials in our RSV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costs in our immunology programs increased by $1.1 million primarily due to the ongoing preclinical studies and lead optimization activities for our STAT6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decreased by $0.3 million primarily due to the completion of the discovery-stage activities related to our STAT6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$3.4 million for the three months ended June 30, 2025 compared to the same period in 2024. The change was primarily due to a decrease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decreased by $0.7 million for the three months ended June 30, 2025, as compared to the same period in 2024 due to the paydown of our obligation associated with our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by $1.2 million for the three months ended June 30, 2025, as compared to the same period in 2024.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income tax expense during the three months ended June 30, 2025 was primarily due to state income taxes. The income tax benefit during the three months ended June 30, 2024 related to interest recorded on our $33.8 million federal tax refund, which we received in April 2025.</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the temporary and permanent extension of expiring provisions of the Tax Cuts and Jobs Act of 2017. The Company is assessing these impacts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200" w:type="dxa"/>
            <w:vAlign w:val="bottom"/>
            <w:tcBorders>
              <w:right w:val="single" w:sz="8" w:color="CFF0FC"/>
            </w:tcBorders>
            <w:shd w:val="clear" w:color="auto" w:fill="CFF0FC"/>
          </w:tcPr>
          <w:p>
            <w:pPr>
              <w:spacing w:after="0"/>
              <w:rPr>
                <w:sz w:val="18"/>
                <w:szCs w:val="18"/>
                <w:color w:val="auto"/>
              </w:rPr>
            </w:pP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200" w:type="dxa"/>
            <w:vAlign w:val="bottom"/>
            <w:tcBorders>
              <w:right w:val="single" w:sz="8" w:color="CFF0FC"/>
            </w:tcBorders>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(5,294)</w:t>
            </w:r>
          </w:p>
        </w:tc>
        <w:tc>
          <w:tcPr>
            <w:tcW w:w="1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(8,359)</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00" w:type="dxa"/>
            <w:vAlign w:val="bottom"/>
            <w:tcBorders>
              <w:right w:val="single" w:sz="8" w:color="CFF0FC"/>
            </w:tcBorders>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8"/>
                <w:szCs w:val="18"/>
                <w:color w:val="auto"/>
              </w:rPr>
            </w:pPr>
          </w:p>
        </w:tc>
      </w:tr>
      <w:tr>
        <w:trPr>
          <w:trHeight w:val="22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(63,189)</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(87,222)</w:t>
            </w: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recognized revenue of $50.2 million during the nine months ended June 30, 2025 as compared to $53.0 million during the nine months ended June 30, 2024. The $2.8 million decrease in revenue was primarily due to AbbVie’s lower reported HCV sales as compared to the same period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2"/>
          </w:tcPr>
          <w:p>
            <w:pPr>
              <w:jc w:val="center"/>
              <w:ind w:right="7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RSV</w:t>
            </w:r>
          </w:p>
        </w:tc>
        <w:tc>
          <w:tcPr>
            <w:tcW w:w="10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380" w:type="dxa"/>
            <w:vAlign w:val="bottom"/>
            <w:gridSpan w:val="2"/>
            <w:shd w:val="clear" w:color="auto" w:fill="CFF0FC"/>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67,936</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HBV</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52,249</w:t>
            </w:r>
          </w:p>
        </w:tc>
        <w:tc>
          <w:tcPr>
            <w:tcW w:w="13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72,046</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3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discovery</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programs for out-licensing</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3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13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-1567815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-453390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8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nine months ended June 30, 2025 decreased by $17.8 million compared to the same period in 2024.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in our virology programs decreased by $19.8 million primarily due to the timing of our clinical trials in our RSV programs and, to a lesser extent, a decrease in costs associated with our COVID-19 program as we stopped further internal development and will only progress the program in the context of one or more collaborations.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costs in our immunology programs increased by $6.2 million primarily due to the initiation of preclinical studies and lead optimization activities for our STAT6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decreased by $4.2 million primarily due to the completion of the discovery-stage activities related to our STAT6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$9.9 million for the nine months ended June 30, 2025 compared to the same period in 2024. The change was primarily due to a decrease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decreased by $3.1 million for the nine months ended June 30, 2025, as compared to the same period in 2024 due to the paydown of our obligation associated with our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by $4.2 million for the nine months ended June 30, 2025, as compared to the same period in 2024.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income tax benefit during the nine months ended June 30, 2025 was primarily due to an additional federal tax refund from a net operating loss carryback of $0.9 million. The income tax benefit during the nine months ended June 30, 2024 related to interest recorded on our federal tax refund. We received our federal tax refund of $33.8 million in April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260"/>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OBBBA, which includes several changes to U.S. federal income tax law, including the temporary and permanent extension of expiring provisions of the Tax Cuts and Jobs Act of 2017. The Company is assessing the impact of these changes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June 30, 2025, our principal sources of liquidity were cash and cash equivalents and short-term marketable securities of $204.1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0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(12,783)</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(68,364)</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39,162</w:t>
            </w:r>
          </w:p>
        </w:tc>
        <w:tc>
          <w:tcPr>
            <w:tcW w:w="0" w:type="dxa"/>
            <w:vAlign w:val="bottom"/>
          </w:tcPr>
          <w:p>
            <w:pPr>
              <w:spacing w:after="0"/>
              <w:rPr>
                <w:sz w:val="1"/>
                <w:szCs w:val="1"/>
                <w:color w:val="auto"/>
              </w:rPr>
            </w:pPr>
          </w:p>
        </w:tc>
      </w:tr>
      <w:tr>
        <w:trPr>
          <w:trHeight w:val="216"/>
        </w:trPr>
        <w:tc>
          <w:tcPr>
            <w:tcW w:w="75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(18,297)</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(20,411)</w:t>
            </w:r>
          </w:p>
        </w:tc>
        <w:tc>
          <w:tcPr>
            <w:tcW w:w="0" w:type="dxa"/>
            <w:vAlign w:val="bottom"/>
          </w:tcPr>
          <w:p>
            <w:pPr>
              <w:spacing w:after="0"/>
              <w:rPr>
                <w:sz w:val="1"/>
                <w:szCs w:val="1"/>
                <w:color w:val="auto"/>
              </w:rPr>
            </w:pPr>
          </w:p>
        </w:tc>
      </w:tr>
      <w:tr>
        <w:trPr>
          <w:trHeight w:val="20"/>
        </w:trPr>
        <w:tc>
          <w:tcPr>
            <w:tcW w:w="758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0" w:type="dxa"/>
            <w:vAlign w:val="bottom"/>
          </w:tcPr>
          <w:p>
            <w:pPr>
              <w:jc w:val="right"/>
              <w:ind w:right="87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8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$12.8 million for the nine months ended June 30, 2025 as compared to cash used in operating activities of $68.4 million for the same period in 2024. Our cash used in operating activities decreased $55.6 million primarily due to lower research and development payments and receipt of a $33.8 million income tax refund in April 2025, offset by lower cash receipts associated with our AbbVie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$38.1 million for the nine months ended June 30, 2025 as compared to cash provided by investing activities of $39.2 million for the same period in 2024. Our cash provided by investing activities decreased $1.1 million, driven by the timing of maturities of marketable securities in 2025 compared to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$18.3 million for the nine months ended June 30, 2025 as compared to cash used in financing activities of $20.4 million for the same period in 2024. Our cash used in financing activities decreased $2.1 million, driven primarily by lower payments on our royalty sale agreement with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2025, we had $204.1 million in cash, cash equivalents and short-term marketable securities. Based on our operating plan, we believe that our existing cash, cash equivalents and short-term marketable securities as of June 30, 2025, as well as our retained portion of future HCV royalties, will enable us to fund our operating expenses and capital expenditure requirements into fiscal 2028.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lease space in Watertown, Massachusetts, under two separate lease agreements with one landlord.</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$2.2 million for the remainder of 2025, $8.5 million in 2026, $8.7 million in 2027, $9.0 million in 2028, $9.3 million in 2029, and $50.6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condensed consolidated balance sheets as a liability which will be reduced by the payments made to OMERS over the term of the Agreement.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2024 Form 10-K for </w:t>
      </w:r>
      <w:r>
        <w:rPr>
          <w:rFonts w:ascii="Times New Roman" w:cs="Times New Roman" w:eastAsia="Times New Roman" w:hAnsi="Times New Roman"/>
          <w:sz w:val="18"/>
          <w:szCs w:val="18"/>
          <w:color w:val="212529"/>
        </w:rPr>
        <w:t>information about our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accounting policies as well as a description of our other significant accounting policies</w:t>
      </w:r>
      <w:r>
        <w:rPr>
          <w:rFonts w:ascii="Times New Roman" w:cs="Times New Roman" w:eastAsia="Times New Roman" w:hAnsi="Times New Roman"/>
          <w:sz w:val="18"/>
          <w:szCs w:val="18"/>
          <w:color w:val="000000"/>
        </w:rPr>
        <w:t>. There have been no significant changes to our critical accounting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2025, there were no material changes to our market risk disclosures as set forth in Part II, Item 7A “Quantitative and Qualitative Disclosures About Market Risk” in our Annual Report on Form 10-K for the fiscal year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11 of the Notes to the Unaudited Condensed Consolidated Financial Statements contained in Part I, Item 1 of this Quarterly Report on Form 10-Q, which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2024 Form 10-K.</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such risk factors during the quarter ended June 30, 2025.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June 30, 2025, the officers (as defined in Rule 16a-1(f) under the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set forth below adopted or terminated a “Rule 10b5-1 trading arrangement” as that term is defined in Item 408(a) of Regulation S-K, all of which were entered into during an open trading window in accordance with the Company’s Securities Trading Policy and all of which were intended to satisfy Rule 10b5-1(c).</w:t>
      </w:r>
    </w:p>
    <w:p>
      <w:pPr>
        <w:spacing w:after="0" w:line="74" w:lineRule="exact"/>
        <w:rPr>
          <w:sz w:val="20"/>
          <w:szCs w:val="20"/>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2025, Paul J. Mellett, our Chief Financial and Administrative Officer, terminated a previously adopted Rule 10b5-1 trading plan. The plan was originally adopted on June 14, 2024 and scheduled to run through May 30, 2025. No trades were executed under the plan.</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2025, Jay R. Luly, Ph.D., our President, Chief Executive Officer and Director, adopted a Rule 10b5-1 trading plan providing for the sale of up to 110,000 and 80,000 shares of common stock vested under outstanding stock options, which are set to expire on November 20, 2025 and November 18, 2026, respectively, so long as the market price of our common stock is higher than certain minimum threshold prices specified in the plan in various periods between September 9, 2025 and May 29, 2026, or such earlier date as all authorized sales under the plan are completed.</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set forth above, no director or officer (as defined in Rule 16a-1(f) under the Exchange Act)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5140" w:type="dxa"/>
            <w:vAlign w:val="bottom"/>
            <w:gridSpan w:val="9"/>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514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9"/>
              </w:rPr>
            </w:pPr>
            <w:hyperlink r:id="rId255">
              <w:r>
                <w:rPr>
                  <w:rFonts w:ascii="Times New Roman" w:cs="Times New Roman" w:eastAsia="Times New Roman" w:hAnsi="Times New Roman"/>
                  <w:sz w:val="18"/>
                  <w:szCs w:val="18"/>
                  <w:color w:val="auto"/>
                  <w:w w:val="99"/>
                </w:rPr>
                <w:t>Restated Certificate of Incorporation of Enanta Pharmaceuticals, Inc.</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140" w:type="dxa"/>
            <w:vAlign w:val="bottom"/>
            <w:gridSpan w:val="9"/>
          </w:tcPr>
          <w:p>
            <w:pPr>
              <w:spacing w:after="0"/>
              <w:rPr>
                <w:rFonts w:ascii="Times New Roman" w:cs="Times New Roman" w:eastAsia="Times New Roman" w:hAnsi="Times New Roman"/>
                <w:sz w:val="18"/>
                <w:szCs w:val="18"/>
                <w:color w:val="auto"/>
              </w:rPr>
            </w:pPr>
            <w:hyperlink r:id="rId256">
              <w:r>
                <w:rPr>
                  <w:rFonts w:ascii="Times New Roman" w:cs="Times New Roman" w:eastAsia="Times New Roman" w:hAnsi="Times New Roman"/>
                  <w:sz w:val="18"/>
                  <w:szCs w:val="18"/>
                  <w:color w:val="auto"/>
                </w:rPr>
                <w:t>Amended and Restated Bylaws of Enanta Pharmaceuticals, Inc.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256">
              <w:r>
                <w:rPr>
                  <w:rFonts w:ascii="Times New Roman" w:cs="Times New Roman" w:eastAsia="Times New Roman" w:hAnsi="Times New Roman"/>
                  <w:sz w:val="18"/>
                  <w:szCs w:val="18"/>
                  <w:color w:val="auto"/>
                  <w:w w:val="98"/>
                </w:rPr>
                <w:t>amended and restated in August 2015)</w:t>
              </w:r>
            </w:hyperlink>
          </w:p>
        </w:tc>
        <w:tc>
          <w:tcPr>
            <w:tcW w:w="2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or 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906 of the Sarbanes-Oxley Act of 2002.</w:t>
            </w:r>
          </w:p>
        </w:tc>
        <w:tc>
          <w:tcPr>
            <w:tcW w:w="1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1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right="20" w:hanging="1011"/>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0"/>
                <w:szCs w:val="10"/>
                <w:color w:val="auto"/>
              </w:rPr>
            </w:pPr>
          </w:p>
        </w:tc>
        <w:tc>
          <w:tcPr>
            <w:tcW w:w="90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2025 (the "Form 10-Q")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2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91"/>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R. Luly, Ph.D.</w:t>
            </w:r>
          </w:p>
        </w:tc>
      </w:tr>
      <w:tr>
        <w:trPr>
          <w:trHeight w:val="234"/>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2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J. Mellett</w:t>
            </w:r>
          </w:p>
        </w:tc>
      </w:tr>
      <w:tr>
        <w:trPr>
          <w:trHeight w:val="191"/>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J. Mellett</w:t>
            </w:r>
          </w:p>
        </w:tc>
      </w:tr>
      <w:tr>
        <w:trPr>
          <w:trHeight w:val="234"/>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r>
        <w:trPr>
          <w:trHeight w:val="979"/>
        </w:trPr>
        <w:tc>
          <w:tcPr>
            <w:tcW w:w="42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o"/>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o"/>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o"/>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04"/>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55" Type="http://schemas.openxmlformats.org/officeDocument/2006/relationships/hyperlink" Target="https://www.sec.gov/Archives/edgar/data/1177648/000119312513132679/d511662dex31.htm" TargetMode="External"/><Relationship Id="rId256" Type="http://schemas.openxmlformats.org/officeDocument/2006/relationships/hyperlink" Target="https://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2025-08-13T15:10:15Z</dcterms:created>
  <dcterms:modified xsi:type="dcterms:W3CDTF">2025-08-13T15:10:15Z</dcterms:modified>
</cp:coreProperties>
</file>