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jc w:val="center"/>
        <w:spacing w:after="0" w:line="233"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6" w:lineRule="exact"/>
        <w:rPr>
          <w:sz w:val="24"/>
          <w:szCs w:val="24"/>
          <w:color w:val="auto"/>
        </w:rPr>
      </w:pPr>
    </w:p>
    <w:p>
      <w:pPr>
        <w:ind w:left="580" w:right="160" w:hanging="559"/>
        <w:spacing w:after="0" w:line="229"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580" w:right="140" w:hanging="559"/>
        <w:spacing w:after="0" w:line="229"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ENANTA PHARMACEUTICALS, INC.</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480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8"/>
              </w:rPr>
              <w:t>DELAWARE</w:t>
            </w:r>
          </w:p>
        </w:tc>
        <w:tc>
          <w:tcPr>
            <w:tcW w:w="1940" w:type="dxa"/>
            <w:vAlign w:val="bottom"/>
          </w:tcPr>
          <w:p>
            <w:pPr>
              <w:spacing w:after="0"/>
              <w:rPr>
                <w:sz w:val="17"/>
                <w:szCs w:val="17"/>
                <w:color w:val="auto"/>
              </w:rPr>
            </w:pPr>
          </w:p>
        </w:tc>
        <w:tc>
          <w:tcPr>
            <w:tcW w:w="4500" w:type="dxa"/>
            <w:vAlign w:val="bottom"/>
            <w:gridSpan w:val="2"/>
          </w:tcPr>
          <w:p>
            <w:pPr>
              <w:jc w:val="right"/>
              <w:ind w:right="1344"/>
              <w:spacing w:after="0"/>
              <w:rPr>
                <w:sz w:val="20"/>
                <w:szCs w:val="20"/>
                <w:color w:val="auto"/>
              </w:rPr>
            </w:pPr>
            <w:r>
              <w:rPr>
                <w:rFonts w:ascii="Arial" w:cs="Arial" w:eastAsia="Arial" w:hAnsi="Arial"/>
                <w:sz w:val="18"/>
                <w:szCs w:val="18"/>
                <w:b w:val="1"/>
                <w:bCs w:val="1"/>
                <w:color w:val="auto"/>
              </w:rPr>
              <w:t>04-3205099</w:t>
            </w:r>
          </w:p>
        </w:tc>
        <w:tc>
          <w:tcPr>
            <w:tcW w:w="0" w:type="dxa"/>
            <w:vAlign w:val="bottom"/>
          </w:tcPr>
          <w:p>
            <w:pPr>
              <w:spacing w:after="0"/>
              <w:rPr>
                <w:sz w:val="1"/>
                <w:szCs w:val="1"/>
                <w:color w:val="auto"/>
              </w:rPr>
            </w:pPr>
          </w:p>
        </w:tc>
      </w:tr>
      <w:tr>
        <w:trPr>
          <w:trHeight w:val="144"/>
        </w:trPr>
        <w:tc>
          <w:tcPr>
            <w:tcW w:w="4800" w:type="dxa"/>
            <w:vAlign w:val="bottom"/>
            <w:gridSpan w:val="3"/>
          </w:tcPr>
          <w:p>
            <w:pPr>
              <w:jc w:val="center"/>
              <w:ind w:right="108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0" w:type="dxa"/>
            <w:vAlign w:val="bottom"/>
          </w:tcPr>
          <w:p>
            <w:pPr>
              <w:jc w:val="center"/>
              <w:ind w:left="244"/>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8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4"/>
              </w:rPr>
              <w:t>incorporation or organization)</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556"/>
        </w:trPr>
        <w:tc>
          <w:tcPr>
            <w:tcW w:w="480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0"/>
              </w:rPr>
              <w:t>500 Arsenal Street</w:t>
            </w:r>
          </w:p>
        </w:tc>
        <w:tc>
          <w:tcPr>
            <w:tcW w:w="1940" w:type="dxa"/>
            <w:vAlign w:val="bottom"/>
          </w:tcPr>
          <w:p>
            <w:pPr>
              <w:spacing w:after="0"/>
              <w:rPr>
                <w:sz w:val="24"/>
                <w:szCs w:val="24"/>
                <w:color w:val="auto"/>
              </w:rPr>
            </w:pPr>
          </w:p>
        </w:tc>
        <w:tc>
          <w:tcPr>
            <w:tcW w:w="4500" w:type="dxa"/>
            <w:vAlign w:val="bottom"/>
            <w:gridSpan w:val="2"/>
            <w:vMerge w:val="restart"/>
          </w:tcPr>
          <w:p>
            <w:pPr>
              <w:jc w:val="right"/>
              <w:ind w:right="1544"/>
              <w:spacing w:after="0"/>
              <w:rPr>
                <w:sz w:val="20"/>
                <w:szCs w:val="20"/>
                <w:color w:val="auto"/>
              </w:rPr>
            </w:pPr>
            <w:r>
              <w:rPr>
                <w:rFonts w:ascii="Arial" w:cs="Arial" w:eastAsia="Arial" w:hAnsi="Arial"/>
                <w:sz w:val="18"/>
                <w:szCs w:val="18"/>
                <w:b w:val="1"/>
                <w:bCs w:val="1"/>
                <w:color w:val="auto"/>
              </w:rPr>
              <w:t>02472</w:t>
            </w:r>
          </w:p>
        </w:tc>
        <w:tc>
          <w:tcPr>
            <w:tcW w:w="0" w:type="dxa"/>
            <w:vAlign w:val="bottom"/>
          </w:tcPr>
          <w:p>
            <w:pPr>
              <w:spacing w:after="0"/>
              <w:rPr>
                <w:sz w:val="1"/>
                <w:szCs w:val="1"/>
                <w:color w:val="auto"/>
              </w:rPr>
            </w:pPr>
          </w:p>
        </w:tc>
      </w:tr>
      <w:tr>
        <w:trPr>
          <w:trHeight w:val="193"/>
        </w:trPr>
        <w:tc>
          <w:tcPr>
            <w:tcW w:w="4800" w:type="dxa"/>
            <w:vAlign w:val="bottom"/>
            <w:gridSpan w:val="3"/>
          </w:tcPr>
          <w:p>
            <w:pPr>
              <w:ind w:left="820"/>
              <w:spacing w:after="0" w:line="194" w:lineRule="exact"/>
              <w:rPr>
                <w:sz w:val="20"/>
                <w:szCs w:val="20"/>
                <w:color w:val="auto"/>
              </w:rPr>
            </w:pPr>
            <w:r>
              <w:rPr>
                <w:rFonts w:ascii="Arial" w:cs="Arial" w:eastAsia="Arial" w:hAnsi="Arial"/>
                <w:sz w:val="18"/>
                <w:szCs w:val="18"/>
                <w:b w:val="1"/>
                <w:bCs w:val="1"/>
                <w:color w:val="auto"/>
              </w:rPr>
              <w:t>Watertown, Massachusetts</w:t>
            </w:r>
          </w:p>
        </w:tc>
        <w:tc>
          <w:tcPr>
            <w:tcW w:w="1940" w:type="dxa"/>
            <w:vAlign w:val="bottom"/>
          </w:tcPr>
          <w:p>
            <w:pPr>
              <w:spacing w:after="0"/>
              <w:rPr>
                <w:sz w:val="16"/>
                <w:szCs w:val="16"/>
                <w:color w:val="auto"/>
              </w:rPr>
            </w:pPr>
          </w:p>
        </w:tc>
        <w:tc>
          <w:tcPr>
            <w:tcW w:w="4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90"/>
        </w:trPr>
        <w:tc>
          <w:tcPr>
            <w:tcW w:w="11240" w:type="dxa"/>
            <w:vAlign w:val="bottom"/>
            <w:gridSpan w:val="6"/>
          </w:tcPr>
          <w:p>
            <w:pPr>
              <w:ind w:left="3000"/>
              <w:spacing w:after="0"/>
              <w:rPr>
                <w:sz w:val="20"/>
                <w:szCs w:val="20"/>
                <w:color w:val="auto"/>
              </w:rPr>
            </w:pPr>
            <w:r>
              <w:rPr>
                <w:rFonts w:ascii="Arial" w:cs="Arial" w:eastAsia="Arial" w:hAnsi="Arial"/>
                <w:sz w:val="18"/>
                <w:szCs w:val="18"/>
                <w:b w:val="1"/>
                <w:bCs w:val="1"/>
                <w:color w:val="auto"/>
              </w:rPr>
              <w:t>(Registrants telephone number, including area code:) (617) 607-0800</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48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19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highlight w:val="white"/>
                <w:w w:val="89"/>
              </w:rPr>
              <w:t>Title of each class</w:t>
            </w:r>
          </w:p>
        </w:tc>
        <w:tc>
          <w:tcPr>
            <w:tcW w:w="980" w:type="dxa"/>
            <w:vAlign w:val="bottom"/>
            <w:tcBorders>
              <w:bottom w:val="single" w:sz="8" w:color="auto"/>
            </w:tcBorders>
            <w:gridSpan w:val="2"/>
          </w:tcPr>
          <w:p>
            <w:pPr>
              <w:spacing w:after="0"/>
              <w:rPr>
                <w:sz w:val="18"/>
                <w:szCs w:val="18"/>
                <w:color w:val="auto"/>
              </w:rPr>
            </w:pPr>
          </w:p>
        </w:tc>
        <w:tc>
          <w:tcPr>
            <w:tcW w:w="1940" w:type="dxa"/>
            <w:vAlign w:val="bottom"/>
            <w:tcBorders>
              <w:bottom w:val="single" w:sz="8" w:color="auto"/>
            </w:tcBorders>
          </w:tcPr>
          <w:p>
            <w:pPr>
              <w:jc w:val="center"/>
              <w:ind w:right="459"/>
              <w:spacing w:after="0"/>
              <w:rPr>
                <w:sz w:val="20"/>
                <w:szCs w:val="20"/>
                <w:color w:val="auto"/>
              </w:rPr>
            </w:pPr>
            <w:r>
              <w:rPr>
                <w:rFonts w:ascii="Arial" w:cs="Arial" w:eastAsia="Arial" w:hAnsi="Arial"/>
                <w:sz w:val="14"/>
                <w:szCs w:val="14"/>
                <w:b w:val="1"/>
                <w:bCs w:val="1"/>
                <w:color w:val="auto"/>
                <w:w w:val="94"/>
              </w:rPr>
              <w:t>Trading Symbol(s)</w:t>
            </w:r>
          </w:p>
        </w:tc>
        <w:tc>
          <w:tcPr>
            <w:tcW w:w="500" w:type="dxa"/>
            <w:vAlign w:val="bottom"/>
            <w:tcBorders>
              <w:bottom w:val="single" w:sz="8" w:color="auto"/>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60"/>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980" w:type="dxa"/>
            <w:vAlign w:val="bottom"/>
            <w:tcBorders>
              <w:bottom w:val="single" w:sz="8" w:color="auto"/>
            </w:tcBorders>
            <w:gridSpan w:val="2"/>
          </w:tcPr>
          <w:p>
            <w:pPr>
              <w:spacing w:after="0"/>
              <w:rPr>
                <w:sz w:val="22"/>
                <w:szCs w:val="22"/>
                <w:color w:val="auto"/>
              </w:rPr>
            </w:pPr>
          </w:p>
        </w:tc>
        <w:tc>
          <w:tcPr>
            <w:tcW w:w="1940" w:type="dxa"/>
            <w:vAlign w:val="bottom"/>
            <w:tcBorders>
              <w:bottom w:val="single" w:sz="8" w:color="auto"/>
            </w:tcBorders>
          </w:tcPr>
          <w:p>
            <w:pPr>
              <w:jc w:val="center"/>
              <w:ind w:right="459"/>
              <w:spacing w:after="0"/>
              <w:rPr>
                <w:sz w:val="20"/>
                <w:szCs w:val="20"/>
                <w:color w:val="auto"/>
              </w:rPr>
            </w:pPr>
            <w:r>
              <w:rPr>
                <w:rFonts w:ascii="Arial" w:cs="Arial" w:eastAsia="Arial" w:hAnsi="Arial"/>
                <w:sz w:val="18"/>
                <w:szCs w:val="18"/>
                <w:color w:val="auto"/>
                <w:w w:val="99"/>
              </w:rPr>
              <w:t>ENTA</w:t>
            </w:r>
          </w:p>
        </w:tc>
        <w:tc>
          <w:tcPr>
            <w:tcW w:w="500" w:type="dxa"/>
            <w:vAlign w:val="bottom"/>
            <w:tcBorders>
              <w:bottom w:val="single" w:sz="8" w:color="auto"/>
              <w:right w:val="single" w:sz="8" w:color="auto"/>
            </w:tcBorders>
          </w:tcPr>
          <w:p>
            <w:pPr>
              <w:spacing w:after="0"/>
              <w:rPr>
                <w:sz w:val="22"/>
                <w:szCs w:val="22"/>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NASDAQ</w:t>
            </w:r>
          </w:p>
        </w:tc>
        <w:tc>
          <w:tcPr>
            <w:tcW w:w="0" w:type="dxa"/>
            <w:vAlign w:val="bottom"/>
          </w:tcPr>
          <w:p>
            <w:pPr>
              <w:spacing w:after="0"/>
              <w:rPr>
                <w:sz w:val="1"/>
                <w:szCs w:val="1"/>
                <w:color w:val="auto"/>
              </w:rPr>
            </w:pPr>
          </w:p>
        </w:tc>
      </w:tr>
    </w:tbl>
    <w:p>
      <w:pPr>
        <w:spacing w:after="0" w:line="80" w:lineRule="exact"/>
        <w:rPr>
          <w:sz w:val="24"/>
          <w:szCs w:val="24"/>
          <w:color w:val="auto"/>
        </w:rPr>
      </w:pPr>
    </w:p>
    <w:p>
      <w:pPr>
        <w:ind w:right="60" w:firstLine="509"/>
        <w:spacing w:after="0" w:line="20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0" w:firstLine="509"/>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 w:firstLine="509"/>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47" w:lineRule="exact"/>
        <w:rPr>
          <w:sz w:val="24"/>
          <w:szCs w:val="24"/>
          <w:color w:val="auto"/>
        </w:rPr>
      </w:pPr>
    </w:p>
    <w:p>
      <w:pPr>
        <w:ind w:firstLine="509"/>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120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27, 2022, the registrant had 20,712,691,shares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511175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5"/>
          </w:tcPr>
          <w:p>
            <w:pPr>
              <w:ind w:left="2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9300" w:type="dxa"/>
            <w:vAlign w:val="bottom"/>
            <w:gridSpan w:val="19"/>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189" w:lineRule="exact"/>
              <w:rPr>
                <w:sz w:val="20"/>
                <w:szCs w:val="20"/>
                <w:color w:val="auto"/>
              </w:rPr>
            </w:pPr>
            <w:r>
              <w:rPr>
                <w:rFonts w:ascii="Arial" w:cs="Arial" w:eastAsia="Arial" w:hAnsi="Arial"/>
                <w:sz w:val="18"/>
                <w:szCs w:val="18"/>
                <w:color w:val="auto"/>
              </w:rPr>
              <w:t>Item 1.</w:t>
            </w: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19"/>
          </w:tcPr>
          <w:p>
            <w:pPr>
              <w:spacing w:after="0" w:line="169" w:lineRule="exact"/>
              <w:rPr>
                <w:rFonts w:ascii="Arial" w:cs="Arial" w:eastAsia="Arial" w:hAnsi="Arial"/>
                <w:sz w:val="18"/>
                <w:szCs w:val="18"/>
                <w:color w:val="0000FF"/>
              </w:rPr>
            </w:pPr>
            <w:hyperlink w:anchor="page3">
              <w:r>
                <w:rPr>
                  <w:rFonts w:ascii="Arial" w:cs="Arial" w:eastAsia="Arial" w:hAnsi="Arial"/>
                  <w:sz w:val="18"/>
                  <w:szCs w:val="18"/>
                  <w:color w:val="0000FF"/>
                </w:rPr>
                <w:t>Consolidated Financial Statements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w:t>
              </w:r>
            </w:hyperlink>
          </w:p>
        </w:tc>
        <w:tc>
          <w:tcPr>
            <w:tcW w:w="20" w:type="dxa"/>
            <w:vAlign w:val="bottom"/>
            <w:tcBorders>
              <w:top w:val="single" w:sz="8" w:color="0000FF"/>
              <w:bottom w:val="single" w:sz="8" w:color="0000EE"/>
            </w:tcBorders>
          </w:tcPr>
          <w:p>
            <w:pPr>
              <w:spacing w:after="0"/>
              <w:rPr>
                <w:sz w:val="14"/>
                <w:szCs w:val="14"/>
                <w:color w:val="auto"/>
              </w:rPr>
            </w:pPr>
          </w:p>
        </w:tc>
        <w:tc>
          <w:tcPr>
            <w:tcW w:w="380" w:type="dxa"/>
            <w:vAlign w:val="bottom"/>
            <w:tcBorders>
              <w:top w:val="single" w:sz="8" w:color="0000FF"/>
            </w:tcBorders>
            <w:gridSpan w:val="2"/>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20" w:type="dxa"/>
            <w:vAlign w:val="bottom"/>
            <w:gridSpan w:val="7"/>
          </w:tcPr>
          <w:p>
            <w:pPr>
              <w:spacing w:after="0" w:line="169" w:lineRule="exact"/>
              <w:rPr>
                <w:rFonts w:ascii="Arial" w:cs="Arial" w:eastAsia="Arial" w:hAnsi="Arial"/>
                <w:sz w:val="18"/>
                <w:szCs w:val="18"/>
                <w:color w:val="0000FF"/>
                <w:w w:val="94"/>
              </w:rPr>
            </w:pPr>
            <w:hyperlink w:anchor="page4">
              <w:r>
                <w:rPr>
                  <w:rFonts w:ascii="Arial" w:cs="Arial" w:eastAsia="Arial" w:hAnsi="Arial"/>
                  <w:sz w:val="18"/>
                  <w:szCs w:val="18"/>
                  <w:color w:val="0000FF"/>
                  <w:w w:val="94"/>
                </w:rPr>
                <w:t>Consolidated Statements of</w:t>
              </w:r>
            </w:hyperlink>
          </w:p>
        </w:tc>
        <w:tc>
          <w:tcPr>
            <w:tcW w:w="7180" w:type="dxa"/>
            <w:vAlign w:val="bottom"/>
            <w:gridSpan w:val="12"/>
          </w:tcPr>
          <w:p>
            <w:pPr>
              <w:spacing w:after="0" w:line="169" w:lineRule="exact"/>
              <w:rPr>
                <w:rFonts w:ascii="Arial" w:cs="Arial" w:eastAsia="Arial" w:hAnsi="Arial"/>
                <w:sz w:val="18"/>
                <w:szCs w:val="18"/>
                <w:color w:val="0000FF"/>
              </w:rPr>
            </w:pPr>
            <w:hyperlink w:anchor="page4">
              <w:r>
                <w:rPr>
                  <w:rFonts w:ascii="Arial" w:cs="Arial" w:eastAsia="Arial" w:hAnsi="Arial"/>
                  <w:sz w:val="18"/>
                  <w:szCs w:val="18"/>
                  <w:color w:val="0000FF"/>
                </w:rPr>
                <w:t>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00" w:type="dxa"/>
            <w:vAlign w:val="bottom"/>
            <w:gridSpan w:val="19"/>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Consolidated Statements of Comprehensive Loss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40" w:type="dxa"/>
            <w:vAlign w:val="bottom"/>
            <w:tcBorders>
              <w:top w:val="single" w:sz="8" w:color="0000FF"/>
            </w:tcBorders>
            <w:gridSpan w:val="14"/>
          </w:tcPr>
          <w:p>
            <w:pPr>
              <w:spacing w:after="0" w:line="169" w:lineRule="exact"/>
              <w:rPr>
                <w:rFonts w:ascii="Arial" w:cs="Arial" w:eastAsia="Arial" w:hAnsi="Arial"/>
                <w:sz w:val="18"/>
                <w:szCs w:val="18"/>
                <w:color w:val="0000FF"/>
                <w:w w:val="90"/>
              </w:rPr>
            </w:pPr>
            <w:hyperlink w:anchor="page6">
              <w:r>
                <w:rPr>
                  <w:rFonts w:ascii="Arial" w:cs="Arial" w:eastAsia="Arial" w:hAnsi="Arial"/>
                  <w:sz w:val="18"/>
                  <w:szCs w:val="18"/>
                  <w:color w:val="0000FF"/>
                  <w:w w:val="90"/>
                </w:rPr>
                <w:t>Consolidated Statements of Stockholders' Equity</w:t>
              </w:r>
            </w:hyperlink>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89"/>
              </w:rPr>
            </w:pPr>
            <w:hyperlink w:anchor="page7">
              <w:r>
                <w:rPr>
                  <w:rFonts w:ascii="Arial" w:cs="Arial" w:eastAsia="Arial" w:hAnsi="Arial"/>
                  <w:sz w:val="18"/>
                  <w:szCs w:val="18"/>
                  <w:color w:val="0000FF"/>
                  <w:w w:val="89"/>
                </w:rPr>
                <w:t>Consolidated Statements of Cash Flows</w:t>
              </w:r>
            </w:hyperlink>
          </w:p>
        </w:tc>
        <w:tc>
          <w:tcPr>
            <w:tcW w:w="20" w:type="dxa"/>
            <w:vAlign w:val="bottom"/>
            <w:tcBorders>
              <w:top w:val="single" w:sz="8" w:color="0000FF"/>
              <w:bottom w:val="single" w:sz="8" w:color="0000EE"/>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5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40" w:type="dxa"/>
            <w:vAlign w:val="bottom"/>
            <w:tcBorders>
              <w:bottom w:val="single" w:sz="8" w:color="0000FF"/>
            </w:tcBorders>
            <w:gridSpan w:val="15"/>
          </w:tcPr>
          <w:p>
            <w:pPr>
              <w:spacing w:after="0" w:line="169" w:lineRule="exact"/>
              <w:rPr>
                <w:rFonts w:ascii="Arial" w:cs="Arial" w:eastAsia="Arial" w:hAnsi="Arial"/>
                <w:sz w:val="18"/>
                <w:szCs w:val="18"/>
                <w:color w:val="0000FF"/>
                <w:w w:val="90"/>
              </w:rPr>
            </w:pPr>
            <w:hyperlink w:anchor="page8">
              <w:r>
                <w:rPr>
                  <w:rFonts w:ascii="Arial" w:cs="Arial" w:eastAsia="Arial" w:hAnsi="Arial"/>
                  <w:sz w:val="18"/>
                  <w:szCs w:val="18"/>
                  <w:color w:val="0000FF"/>
                  <w:w w:val="90"/>
                </w:rPr>
                <w:t>Notes to Consolidated Financial Statements (unaudited)</w:t>
              </w:r>
            </w:hyperlink>
          </w:p>
        </w:tc>
        <w:tc>
          <w:tcPr>
            <w:tcW w:w="20" w:type="dxa"/>
            <w:vAlign w:val="bottom"/>
            <w:tcBorders>
              <w:bottom w:val="single" w:sz="8" w:color="0000EE"/>
            </w:tcBorders>
          </w:tcPr>
          <w:p>
            <w:pPr>
              <w:spacing w:after="0"/>
              <w:rPr>
                <w:sz w:val="14"/>
                <w:szCs w:val="14"/>
                <w:color w:val="auto"/>
              </w:rPr>
            </w:pPr>
          </w:p>
        </w:tc>
        <w:tc>
          <w:tcPr>
            <w:tcW w:w="5240" w:type="dxa"/>
            <w:vAlign w:val="bottom"/>
            <w:gridSpan w:val="3"/>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line="169" w:lineRule="exact"/>
              <w:rPr>
                <w:rFonts w:ascii="Arial" w:cs="Arial" w:eastAsia="Arial" w:hAnsi="Arial"/>
                <w:sz w:val="18"/>
                <w:szCs w:val="18"/>
                <w:color w:val="0000FF"/>
              </w:rPr>
            </w:pPr>
            <w:hyperlink w:anchor="page15">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w:anchor="page24">
              <w:r>
                <w:rPr>
                  <w:rFonts w:ascii="Arial" w:cs="Arial" w:eastAsia="Arial" w:hAnsi="Arial"/>
                  <w:sz w:val="18"/>
                  <w:szCs w:val="18"/>
                  <w:color w:val="0000FF"/>
                </w:rPr>
                <w:t>Quantitative and Qualitative Disclosures About Market Risk</w:t>
              </w:r>
            </w:hyperlink>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8"/>
              </w:rPr>
            </w:pPr>
            <w:hyperlink w:anchor="page24">
              <w:r>
                <w:rPr>
                  <w:rFonts w:ascii="Arial" w:cs="Arial" w:eastAsia="Arial" w:hAnsi="Arial"/>
                  <w:sz w:val="18"/>
                  <w:szCs w:val="18"/>
                  <w:color w:val="0000FF"/>
                  <w:w w:val="88"/>
                </w:rPr>
                <w:t>Controls and Procedures</w:t>
              </w:r>
            </w:hyperlink>
          </w:p>
        </w:tc>
        <w:tc>
          <w:tcPr>
            <w:tcW w:w="20" w:type="dxa"/>
            <w:vAlign w:val="bottom"/>
            <w:tcBorders>
              <w:top w:val="single" w:sz="8" w:color="0000FF"/>
              <w:bottom w:val="single" w:sz="8" w:color="0000EE"/>
            </w:tcBorders>
          </w:tcPr>
          <w:p>
            <w:pPr>
              <w:spacing w:after="0"/>
              <w:rPr>
                <w:sz w:val="14"/>
                <w:szCs w:val="14"/>
                <w:color w:val="auto"/>
              </w:rPr>
            </w:pPr>
          </w:p>
        </w:tc>
        <w:tc>
          <w:tcPr>
            <w:tcW w:w="2560" w:type="dxa"/>
            <w:vAlign w:val="bottom"/>
            <w:tcBorders>
              <w:top w:val="single" w:sz="8" w:color="0000FF"/>
            </w:tcBorders>
            <w:gridSpan w:val="13"/>
          </w:tcPr>
          <w:p>
            <w:pPr>
              <w:spacing w:after="0"/>
              <w:rPr>
                <w:sz w:val="14"/>
                <w:szCs w:val="14"/>
                <w:color w:val="auto"/>
              </w:rPr>
            </w:pPr>
          </w:p>
        </w:tc>
        <w:tc>
          <w:tcPr>
            <w:tcW w:w="494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000FF"/>
            </w:tcBorders>
            <w:gridSpan w:val="4"/>
          </w:tcPr>
          <w:p>
            <w:pPr>
              <w:spacing w:after="0" w:line="169" w:lineRule="exact"/>
              <w:rPr>
                <w:rFonts w:ascii="Arial" w:cs="Arial" w:eastAsia="Arial" w:hAnsi="Arial"/>
                <w:sz w:val="18"/>
                <w:szCs w:val="18"/>
                <w:color w:val="0000FF"/>
                <w:w w:val="91"/>
              </w:rPr>
            </w:pPr>
            <w:hyperlink w:anchor="page26">
              <w:r>
                <w:rPr>
                  <w:rFonts w:ascii="Arial" w:cs="Arial" w:eastAsia="Arial" w:hAnsi="Arial"/>
                  <w:sz w:val="18"/>
                  <w:szCs w:val="18"/>
                  <w:color w:val="0000FF"/>
                  <w:w w:val="91"/>
                </w:rPr>
                <w:t>OTHER INFORMATION</w:t>
              </w:r>
            </w:hyperlink>
          </w:p>
        </w:tc>
        <w:tc>
          <w:tcPr>
            <w:tcW w:w="100" w:type="dxa"/>
            <w:vAlign w:val="bottom"/>
            <w:tcBorders>
              <w:bottom w:val="single" w:sz="8" w:color="0000FF"/>
            </w:tcBorders>
          </w:tcPr>
          <w:p>
            <w:pPr>
              <w:spacing w:after="0"/>
              <w:rPr>
                <w:sz w:val="14"/>
                <w:szCs w:val="14"/>
                <w:color w:val="auto"/>
              </w:rPr>
            </w:pPr>
          </w:p>
        </w:tc>
        <w:tc>
          <w:tcPr>
            <w:tcW w:w="7400" w:type="dxa"/>
            <w:vAlign w:val="bottom"/>
            <w:gridSpan w:val="14"/>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1A.</w:t>
            </w:r>
          </w:p>
        </w:tc>
        <w:tc>
          <w:tcPr>
            <w:tcW w:w="1900" w:type="dxa"/>
            <w:vAlign w:val="bottom"/>
            <w:gridSpan w:val="5"/>
          </w:tcPr>
          <w:p>
            <w:pPr>
              <w:spacing w:after="0" w:line="169" w:lineRule="exact"/>
              <w:rPr>
                <w:rFonts w:ascii="Arial" w:cs="Arial" w:eastAsia="Arial" w:hAnsi="Arial"/>
                <w:sz w:val="18"/>
                <w:szCs w:val="18"/>
                <w:color w:val="0000FF"/>
              </w:rPr>
            </w:pPr>
            <w:hyperlink w:anchor="page26">
              <w:r>
                <w:rPr>
                  <w:rFonts w:ascii="Arial" w:cs="Arial" w:eastAsia="Arial" w:hAnsi="Arial"/>
                  <w:sz w:val="18"/>
                  <w:szCs w:val="18"/>
                  <w:color w:val="0000FF"/>
                </w:rPr>
                <w:t>Risk Factors</w:t>
              </w:r>
            </w:hyperlink>
          </w:p>
        </w:tc>
        <w:tc>
          <w:tcPr>
            <w:tcW w:w="7400" w:type="dxa"/>
            <w:vAlign w:val="bottom"/>
            <w:gridSpan w:val="14"/>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6.</w:t>
            </w:r>
          </w:p>
        </w:tc>
        <w:tc>
          <w:tcPr>
            <w:tcW w:w="920" w:type="dxa"/>
            <w:vAlign w:val="bottom"/>
            <w:tcBorders>
              <w:top w:val="single" w:sz="8" w:color="0000FF"/>
            </w:tcBorders>
            <w:gridSpan w:val="2"/>
          </w:tcPr>
          <w:p>
            <w:pPr>
              <w:spacing w:after="0" w:line="169" w:lineRule="exact"/>
              <w:rPr>
                <w:rFonts w:ascii="Arial" w:cs="Arial" w:eastAsia="Arial" w:hAnsi="Arial"/>
                <w:sz w:val="18"/>
                <w:szCs w:val="18"/>
                <w:color w:val="0000FF"/>
              </w:rPr>
            </w:pPr>
            <w:hyperlink w:anchor="page53">
              <w:r>
                <w:rPr>
                  <w:rFonts w:ascii="Arial" w:cs="Arial" w:eastAsia="Arial" w:hAnsi="Arial"/>
                  <w:sz w:val="18"/>
                  <w:szCs w:val="18"/>
                  <w:color w:val="0000FF"/>
                </w:rPr>
                <w:t>Exhibits</w:t>
              </w:r>
            </w:hyperlink>
          </w:p>
        </w:tc>
        <w:tc>
          <w:tcPr>
            <w:tcW w:w="8380" w:type="dxa"/>
            <w:vAlign w:val="bottom"/>
            <w:gridSpan w:val="17"/>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rFonts w:ascii="Arial" w:cs="Arial" w:eastAsia="Arial" w:hAnsi="Arial"/>
                <w:sz w:val="18"/>
                <w:szCs w:val="18"/>
                <w:color w:val="0000FF"/>
              </w:rPr>
            </w:pPr>
            <w:hyperlink w:anchor="page54">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08"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i w:val="1"/>
          <w:iCs w:val="1"/>
          <w:color w:val="auto"/>
        </w:rPr>
        <w:t>This Quarterly Report on Form 10-Q ("Quarterly Report")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including statements regarding our future results of operations and financial condition, business strategy and plans and objectives of management for future operations, are forward-looking statements. For example, statements in this Quarterly Report regarding the potential future impact of the COVID-19 pandemic on our business and results of operations are forward-looking statements. In some cases, forward-looking statements may be identified by words such as “anticipate,” “believe,” “continue,” “could,” “design,” “estimate,” “expect,” “intend,” “may,” “plan,” “potentially,” “predict,” “project,” “should,” “will” or the negative of these terms or other similar expressions. We caution you that the foregoing list may not encompass all of the forward-looking statements made in this Quarterly Report.</w:t>
      </w:r>
    </w:p>
    <w:p>
      <w:pPr>
        <w:spacing w:after="0" w:line="76" w:lineRule="exact"/>
        <w:rPr>
          <w:sz w:val="20"/>
          <w:szCs w:val="20"/>
          <w:color w:val="auto"/>
        </w:rPr>
      </w:pPr>
    </w:p>
    <w:p>
      <w:pPr>
        <w:jc w:val="both"/>
        <w:ind w:right="520"/>
        <w:spacing w:after="0" w:line="248" w:lineRule="auto"/>
        <w:rPr>
          <w:sz w:val="20"/>
          <w:szCs w:val="20"/>
          <w:color w:val="auto"/>
        </w:rPr>
      </w:pPr>
      <w:r>
        <w:rPr>
          <w:rFonts w:ascii="Arial" w:cs="Arial" w:eastAsia="Arial" w:hAnsi="Arial"/>
          <w:sz w:val="18"/>
          <w:szCs w:val="18"/>
          <w:i w:val="1"/>
          <w:iCs w:val="1"/>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5"/>
                <w:szCs w:val="15"/>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40,989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57,206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Short-term marketable securities</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239,338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186,796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18,716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14,078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14,188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receivable</w:t>
            </w:r>
          </w:p>
        </w:tc>
        <w:tc>
          <w:tcPr>
            <w:tcW w:w="3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28,748</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37,255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341,869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319,021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marketable securities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42,218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108,416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4,815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5,943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17,216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3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406,818</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438,791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5,985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9,540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21,740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22,429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3,013</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4,203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30,738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36,172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15,115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Series 1 nonconvertible preferred stock</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1,506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876</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48,235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39,362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Commitments and contingencies (Note 11)</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$0.01 par value per share, 100,000 shares authorized; 20,618 and</w:t>
            </w:r>
          </w:p>
        </w:tc>
        <w:tc>
          <w:tcPr>
            <w:tcW w:w="3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20,238 shares issued and outstanding at March 31, 2022 and</w:t>
            </w:r>
          </w:p>
        </w:tc>
        <w:tc>
          <w:tcPr>
            <w:tcW w:w="300" w:type="dxa"/>
            <w:vAlign w:val="bottom"/>
            <w:shd w:val="clear" w:color="auto" w:fill="CFF0FC"/>
          </w:tcPr>
          <w:p>
            <w:pPr>
              <w:spacing w:after="0"/>
              <w:rPr>
                <w:sz w:val="15"/>
                <w:szCs w:val="15"/>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September 30, 2021, respectively</w:t>
            </w:r>
          </w:p>
        </w:tc>
        <w:tc>
          <w:tcPr>
            <w:tcW w:w="300" w:type="dxa"/>
            <w:vAlign w:val="bottom"/>
            <w:shd w:val="clear" w:color="auto" w:fill="CFF0FC"/>
          </w:tcPr>
          <w:p>
            <w:pPr>
              <w:spacing w:after="0"/>
              <w:rPr>
                <w:sz w:val="18"/>
                <w:szCs w:val="18"/>
                <w:color w:val="auto"/>
              </w:rPr>
            </w:pPr>
          </w:p>
        </w:tc>
        <w:tc>
          <w:tcPr>
            <w:tcW w:w="13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376,545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351,033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(3,037 )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(382 )</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 retained earnings</w:t>
            </w:r>
          </w:p>
        </w:tc>
        <w:tc>
          <w:tcPr>
            <w:tcW w:w="300" w:type="dxa"/>
            <w:vAlign w:val="bottom"/>
          </w:tcPr>
          <w:p>
            <w:pPr>
              <w:spacing w:after="0"/>
              <w:rPr>
                <w:sz w:val="17"/>
                <w:szCs w:val="17"/>
                <w:color w:val="auto"/>
              </w:rPr>
            </w:pPr>
          </w:p>
        </w:tc>
        <w:tc>
          <w:tcPr>
            <w:tcW w:w="1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(15,131 )</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48,576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358,583</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399,429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406,818</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438,791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-3536950</wp:posOffset>
            </wp:positionV>
            <wp:extent cx="5143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-3536950</wp:posOffset>
            </wp:positionV>
            <wp:extent cx="5143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-2756535</wp:posOffset>
            </wp:positionV>
            <wp:extent cx="5143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-2756535</wp:posOffset>
            </wp:positionV>
            <wp:extent cx="5143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-1950720</wp:posOffset>
            </wp:positionV>
            <wp:extent cx="5143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-1950720</wp:posOffset>
            </wp:positionV>
            <wp:extent cx="5143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-1428115</wp:posOffset>
            </wp:positionV>
            <wp:extent cx="514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-1428115</wp:posOffset>
            </wp:positionV>
            <wp:extent cx="514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-159385</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23"/>
        </w:trPr>
        <w:tc>
          <w:tcPr>
            <w:tcW w:w="5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5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Royalty revenue</w:t>
            </w:r>
          </w:p>
        </w:tc>
        <w:tc>
          <w:tcPr>
            <w:tcW w:w="26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18,716</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20,132</w:t>
            </w:r>
          </w:p>
        </w:tc>
        <w:tc>
          <w:tcPr>
            <w:tcW w:w="3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46,364</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51,875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42,087</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41,506</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90,636</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78,171</w:t>
            </w:r>
          </w:p>
        </w:tc>
        <w:tc>
          <w:tcPr>
            <w:tcW w:w="80" w:type="dxa"/>
            <w:vAlign w:val="bottom"/>
            <w:shd w:val="clear" w:color="auto" w:fill="CFF0FC"/>
          </w:tcPr>
          <w:p>
            <w:pPr>
              <w:spacing w:after="0"/>
              <w:rPr>
                <w:sz w:val="17"/>
                <w:szCs w:val="17"/>
                <w:color w:val="auto"/>
              </w:rPr>
            </w:pPr>
          </w:p>
        </w:tc>
      </w:tr>
      <w:tr>
        <w:trPr>
          <w:trHeight w:val="203"/>
        </w:trPr>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10,476</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8,326</w:t>
            </w: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19,984</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15,703</w:t>
            </w:r>
          </w:p>
        </w:tc>
        <w:tc>
          <w:tcPr>
            <w:tcW w:w="80" w:type="dxa"/>
            <w:vAlign w:val="bottom"/>
          </w:tcPr>
          <w:p>
            <w:pPr>
              <w:spacing w:after="0"/>
              <w:rPr>
                <w:sz w:val="17"/>
                <w:szCs w:val="17"/>
                <w:color w:val="auto"/>
              </w:rPr>
            </w:pPr>
          </w:p>
        </w:tc>
      </w:tr>
      <w:tr>
        <w:trPr>
          <w:trHeight w:val="196"/>
        </w:trPr>
        <w:tc>
          <w:tcPr>
            <w:tcW w:w="56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52,563</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49,832</w:t>
            </w:r>
          </w:p>
        </w:tc>
        <w:tc>
          <w:tcPr>
            <w:tcW w:w="3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110,620</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93,874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(33,847 )</w:t>
            </w:r>
          </w:p>
        </w:tc>
        <w:tc>
          <w:tcPr>
            <w:tcW w:w="300" w:type="dxa"/>
            <w:vAlign w:val="bottom"/>
          </w:tcPr>
          <w:p>
            <w:pPr>
              <w:spacing w:after="0"/>
              <w:rPr>
                <w:sz w:val="17"/>
                <w:szCs w:val="17"/>
                <w:color w:val="auto"/>
              </w:rPr>
            </w:pPr>
          </w:p>
        </w:tc>
        <w:tc>
          <w:tcPr>
            <w:tcW w:w="11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(29,700 )</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(64,256 )</w:t>
            </w:r>
          </w:p>
        </w:tc>
        <w:tc>
          <w:tcPr>
            <w:tcW w:w="300" w:type="dxa"/>
            <w:vAlign w:val="bottom"/>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(41,999 )</w:t>
            </w:r>
          </w:p>
        </w:tc>
      </w:tr>
      <w:tr>
        <w:trPr>
          <w:trHeight w:val="203"/>
        </w:trPr>
        <w:tc>
          <w:tcPr>
            <w:tcW w:w="5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255</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545</w:t>
            </w: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549</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1,222</w:t>
            </w:r>
          </w:p>
        </w:tc>
        <w:tc>
          <w:tcPr>
            <w:tcW w:w="80" w:type="dxa"/>
            <w:vAlign w:val="bottom"/>
          </w:tcPr>
          <w:p>
            <w:pPr>
              <w:spacing w:after="0"/>
              <w:rPr>
                <w:sz w:val="17"/>
                <w:szCs w:val="17"/>
                <w:color w:val="auto"/>
              </w:rPr>
            </w:pPr>
          </w:p>
        </w:tc>
      </w:tr>
      <w:tr>
        <w:trPr>
          <w:trHeight w:val="196"/>
        </w:trPr>
        <w:tc>
          <w:tcPr>
            <w:tcW w:w="56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other income, net</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255</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545</w:t>
            </w:r>
          </w:p>
        </w:tc>
        <w:tc>
          <w:tcPr>
            <w:tcW w:w="3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549</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7"/>
                <w:szCs w:val="17"/>
                <w:color w:val="auto"/>
              </w:rPr>
            </w:pPr>
          </w:p>
        </w:tc>
        <w:tc>
          <w:tcPr>
            <w:tcW w:w="12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(33,592 )</w:t>
            </w:r>
          </w:p>
        </w:tc>
        <w:tc>
          <w:tcPr>
            <w:tcW w:w="300" w:type="dxa"/>
            <w:vAlign w:val="bottom"/>
          </w:tcPr>
          <w:p>
            <w:pPr>
              <w:spacing w:after="0"/>
              <w:rPr>
                <w:sz w:val="17"/>
                <w:szCs w:val="17"/>
                <w:color w:val="auto"/>
              </w:rPr>
            </w:pPr>
          </w:p>
        </w:tc>
        <w:tc>
          <w:tcPr>
            <w:tcW w:w="11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(29,155 )</w:t>
            </w:r>
          </w:p>
        </w:tc>
        <w:tc>
          <w:tcPr>
            <w:tcW w:w="2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(63,707 )</w:t>
            </w:r>
          </w:p>
        </w:tc>
        <w:tc>
          <w:tcPr>
            <w:tcW w:w="300" w:type="dxa"/>
            <w:vAlign w:val="bottom"/>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(40,777 )</w:t>
            </w:r>
          </w:p>
        </w:tc>
      </w:tr>
      <w:tr>
        <w:trPr>
          <w:trHeight w:val="203"/>
        </w:trPr>
        <w:tc>
          <w:tcPr>
            <w:tcW w:w="56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7,110</w:t>
            </w:r>
          </w:p>
        </w:tc>
        <w:tc>
          <w:tcPr>
            <w:tcW w:w="3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10,404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tcPr>
          <w:p>
            <w:pPr>
              <w:ind w:left="20"/>
              <w:spacing w:after="0" w:line="182"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(33,592 )</w:t>
            </w: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(22,045 )</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(63,707 )</w:t>
            </w:r>
          </w:p>
        </w:tc>
        <w:tc>
          <w:tcPr>
            <w:tcW w:w="30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(30,373 )</w:t>
            </w:r>
          </w:p>
        </w:tc>
      </w:tr>
      <w:tr>
        <w:trPr>
          <w:trHeight w:val="20"/>
        </w:trPr>
        <w:tc>
          <w:tcPr>
            <w:tcW w:w="5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5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Net loss per share: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(1.63 )</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(1.09 )</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(3.11 )</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(1.51 )</w:t>
            </w:r>
          </w:p>
        </w:tc>
      </w:tr>
      <w:tr>
        <w:trPr>
          <w:trHeight w:val="203"/>
        </w:trPr>
        <w:tc>
          <w:tcPr>
            <w:tcW w:w="5660" w:type="dxa"/>
            <w:vAlign w:val="bottom"/>
          </w:tcPr>
          <w:p>
            <w:pPr>
              <w:ind w:left="380"/>
              <w:spacing w:after="0" w:line="202" w:lineRule="exact"/>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(1.63 )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(1.09 )</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(3.11 )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(1.51 )</w:t>
            </w:r>
          </w:p>
        </w:tc>
      </w:tr>
      <w:tr>
        <w:trPr>
          <w:trHeight w:val="203"/>
        </w:trPr>
        <w:tc>
          <w:tcPr>
            <w:tcW w:w="5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20,551</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20,171</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20,473</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20,131</w:t>
            </w:r>
          </w:p>
        </w:tc>
        <w:tc>
          <w:tcPr>
            <w:tcW w:w="80" w:type="dxa"/>
            <w:vAlign w:val="bottom"/>
            <w:shd w:val="clear" w:color="auto" w:fill="CFF0FC"/>
          </w:tcPr>
          <w:p>
            <w:pPr>
              <w:spacing w:after="0"/>
              <w:rPr>
                <w:sz w:val="17"/>
                <w:szCs w:val="17"/>
                <w:color w:val="auto"/>
              </w:rPr>
            </w:pPr>
          </w:p>
        </w:tc>
      </w:tr>
      <w:tr>
        <w:trPr>
          <w:trHeight w:val="230"/>
        </w:trPr>
        <w:tc>
          <w:tcPr>
            <w:tcW w:w="56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20,551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20,171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20,473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20,131</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-2534285</wp:posOffset>
            </wp:positionV>
            <wp:extent cx="6032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-2534285</wp:posOffset>
            </wp:positionV>
            <wp:extent cx="6032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-2534285</wp:posOffset>
            </wp:positionV>
            <wp:extent cx="5143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-2534285</wp:posOffset>
            </wp:positionV>
            <wp:extent cx="514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-2002790</wp:posOffset>
            </wp:positionV>
            <wp:extent cx="6032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-2002790</wp:posOffset>
            </wp:positionV>
            <wp:extent cx="6032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-2002790</wp:posOffset>
            </wp:positionV>
            <wp:extent cx="5143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-2002790</wp:posOffset>
            </wp:positionV>
            <wp:extent cx="5143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-1471295</wp:posOffset>
            </wp:positionV>
            <wp:extent cx="6032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-1471295</wp:posOffset>
            </wp:positionV>
            <wp:extent cx="6032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-1471295</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-1471295</wp:posOffset>
            </wp:positionV>
            <wp:extent cx="5143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-1205865</wp:posOffset>
            </wp:positionV>
            <wp:extent cx="6032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-1205865</wp:posOffset>
            </wp:positionV>
            <wp:extent cx="6032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-1205865</wp:posOffset>
            </wp:positionV>
            <wp:extent cx="5143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-1205865</wp:posOffset>
            </wp:positionV>
            <wp:extent cx="5143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jc w:val="right"/>
              <w:ind w:right="941"/>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5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r>
      <w:tr>
        <w:trPr>
          <w:trHeight w:val="196"/>
        </w:trPr>
        <w:tc>
          <w:tcPr>
            <w:tcW w:w="5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(33,592</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(22,045</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(63,707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4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(30,373</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38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3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unrealized losses on marketable securities</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(2,031 )</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1"/>
              <w:spacing w:after="0" w:line="202" w:lineRule="exact"/>
              <w:rPr>
                <w:sz w:val="20"/>
                <w:szCs w:val="20"/>
                <w:color w:val="auto"/>
              </w:rPr>
            </w:pPr>
            <w:r>
              <w:rPr>
                <w:rFonts w:ascii="Arial" w:cs="Arial" w:eastAsia="Arial" w:hAnsi="Arial"/>
                <w:sz w:val="18"/>
                <w:szCs w:val="18"/>
                <w:color w:val="auto"/>
              </w:rPr>
              <w:t>(350 )</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(2,655 )</w:t>
            </w:r>
          </w:p>
        </w:tc>
        <w:tc>
          <w:tcPr>
            <w:tcW w:w="4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(789 )</w:t>
            </w:r>
          </w:p>
        </w:tc>
      </w:tr>
      <w:tr>
        <w:trPr>
          <w:trHeight w:val="20"/>
        </w:trPr>
        <w:tc>
          <w:tcPr>
            <w:tcW w:w="53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5380" w:type="dxa"/>
            <w:vAlign w:val="bottom"/>
          </w:tcPr>
          <w:p>
            <w:pPr>
              <w:ind w:left="380"/>
              <w:spacing w:after="0" w:line="196" w:lineRule="exact"/>
              <w:rPr>
                <w:sz w:val="20"/>
                <w:szCs w:val="20"/>
                <w:color w:val="auto"/>
              </w:rPr>
            </w:pPr>
            <w:r>
              <w:rPr>
                <w:rFonts w:ascii="Arial" w:cs="Arial" w:eastAsia="Arial" w:hAnsi="Arial"/>
                <w:sz w:val="18"/>
                <w:szCs w:val="18"/>
                <w:color w:val="auto"/>
              </w:rPr>
              <w:t>Total other comprehensive loss</w:t>
            </w:r>
          </w:p>
        </w:tc>
        <w:tc>
          <w:tcPr>
            <w:tcW w:w="300" w:type="dxa"/>
            <w:vAlign w:val="bottom"/>
          </w:tcPr>
          <w:p>
            <w:pPr>
              <w:spacing w:after="0"/>
              <w:rPr>
                <w:sz w:val="17"/>
                <w:szCs w:val="17"/>
                <w:color w:val="auto"/>
              </w:rPr>
            </w:pPr>
          </w:p>
        </w:tc>
        <w:tc>
          <w:tcPr>
            <w:tcW w:w="12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(2,031 )</w:t>
            </w:r>
          </w:p>
        </w:tc>
        <w:tc>
          <w:tcPr>
            <w:tcW w:w="340" w:type="dxa"/>
            <w:vAlign w:val="bottom"/>
          </w:tcPr>
          <w:p>
            <w:pPr>
              <w:spacing w:after="0"/>
              <w:rPr>
                <w:sz w:val="17"/>
                <w:szCs w:val="17"/>
                <w:color w:val="auto"/>
              </w:rPr>
            </w:pPr>
          </w:p>
        </w:tc>
        <w:tc>
          <w:tcPr>
            <w:tcW w:w="1220" w:type="dxa"/>
            <w:vAlign w:val="bottom"/>
            <w:gridSpan w:val="2"/>
          </w:tcPr>
          <w:p>
            <w:pPr>
              <w:jc w:val="right"/>
              <w:ind w:right="161"/>
              <w:spacing w:after="0" w:line="196" w:lineRule="exact"/>
              <w:rPr>
                <w:sz w:val="20"/>
                <w:szCs w:val="20"/>
                <w:color w:val="auto"/>
              </w:rPr>
            </w:pPr>
            <w:r>
              <w:rPr>
                <w:rFonts w:ascii="Arial" w:cs="Arial" w:eastAsia="Arial" w:hAnsi="Arial"/>
                <w:sz w:val="18"/>
                <w:szCs w:val="18"/>
                <w:color w:val="auto"/>
              </w:rPr>
              <w:t>(350 )</w:t>
            </w:r>
          </w:p>
        </w:tc>
        <w:tc>
          <w:tcPr>
            <w:tcW w:w="280" w:type="dxa"/>
            <w:vAlign w:val="bottom"/>
          </w:tcPr>
          <w:p>
            <w:pPr>
              <w:spacing w:after="0"/>
              <w:rPr>
                <w:sz w:val="17"/>
                <w:szCs w:val="17"/>
                <w:color w:val="auto"/>
              </w:rPr>
            </w:pPr>
          </w:p>
        </w:tc>
        <w:tc>
          <w:tcPr>
            <w:tcW w:w="120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(2,655 )</w:t>
            </w:r>
          </w:p>
        </w:tc>
        <w:tc>
          <w:tcPr>
            <w:tcW w:w="46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(789 )</w:t>
            </w:r>
          </w:p>
        </w:tc>
      </w:tr>
      <w:tr>
        <w:trPr>
          <w:trHeight w:val="236"/>
        </w:trPr>
        <w:tc>
          <w:tcPr>
            <w:tcW w:w="53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(35,623</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(22,395</w:t>
            </w:r>
          </w:p>
        </w:tc>
        <w:tc>
          <w:tcPr>
            <w:tcW w:w="300" w:type="dxa"/>
            <w:vAlign w:val="bottom"/>
            <w:tcBorders>
              <w:bottom w:val="single" w:sz="8" w:color="CFF0FC"/>
            </w:tcBorders>
            <w:shd w:val="clear" w:color="auto" w:fill="CFF0FC"/>
          </w:tcPr>
          <w:p>
            <w:pPr>
              <w:jc w:val="right"/>
              <w:ind w:right="161"/>
              <w:spacing w:after="0" w:line="183" w:lineRule="exact"/>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(66,362</w:t>
            </w:r>
          </w:p>
        </w:tc>
        <w:tc>
          <w:tcPr>
            <w:tcW w:w="240" w:type="dxa"/>
            <w:vAlign w:val="bottom"/>
            <w:tcBorders>
              <w:bottom w:val="single" w:sz="8" w:color="CFF0FC"/>
            </w:tcBorders>
            <w:shd w:val="clear" w:color="auto" w:fill="CFF0FC"/>
          </w:tcPr>
          <w:p>
            <w:pPr>
              <w:jc w:val="right"/>
              <w:ind w:right="101"/>
              <w:spacing w:after="0" w:line="183" w:lineRule="exact"/>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(31,162</w:t>
            </w:r>
          </w:p>
        </w:tc>
        <w:tc>
          <w:tcPr>
            <w:tcW w:w="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-296545</wp:posOffset>
            </wp:positionV>
            <wp:extent cx="6032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-296545</wp:posOffset>
            </wp:positionV>
            <wp:extent cx="6032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-296545</wp:posOffset>
            </wp:positionV>
            <wp:extent cx="5143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2060" w:type="dxa"/>
            <w:vAlign w:val="bottom"/>
            <w:gridSpan w:val="3"/>
            <w:vMerge w:val="restart"/>
          </w:tcPr>
          <w:p>
            <w:pPr>
              <w:jc w:val="right"/>
              <w:ind w:right="34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6"/>
                <w:szCs w:val="16"/>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820" w:type="dxa"/>
            <w:vAlign w:val="bottom"/>
          </w:tcPr>
          <w:p>
            <w:pPr>
              <w:spacing w:after="0"/>
              <w:rPr>
                <w:sz w:val="15"/>
                <w:szCs w:val="15"/>
                <w:color w:val="auto"/>
              </w:rPr>
            </w:pPr>
          </w:p>
        </w:tc>
        <w:tc>
          <w:tcPr>
            <w:tcW w:w="206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w:t>
            </w:r>
          </w:p>
        </w:tc>
        <w:tc>
          <w:tcPr>
            <w:tcW w:w="13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080" w:type="dxa"/>
            <w:vAlign w:val="bottom"/>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38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September 30, 2020</w:t>
            </w:r>
          </w:p>
        </w:tc>
        <w:tc>
          <w:tcPr>
            <w:tcW w:w="10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20,077</w:t>
            </w:r>
          </w:p>
        </w:tc>
        <w:tc>
          <w:tcPr>
            <w:tcW w:w="180" w:type="dxa"/>
            <w:vAlign w:val="bottom"/>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jc w:val="right"/>
              <w:ind w:right="622"/>
              <w:spacing w:after="0" w:line="183" w:lineRule="exact"/>
              <w:rPr>
                <w:sz w:val="20"/>
                <w:szCs w:val="20"/>
                <w:color w:val="auto"/>
              </w:rPr>
            </w:pPr>
            <w:r>
              <w:rPr>
                <w:rFonts w:ascii="Arial" w:cs="Arial" w:eastAsia="Arial" w:hAnsi="Arial"/>
                <w:sz w:val="16"/>
                <w:szCs w:val="16"/>
                <w:b w:val="1"/>
                <w:bCs w:val="1"/>
                <w:color w:val="auto"/>
                <w:w w:val="89"/>
              </w:rPr>
              <w:t>$</w:t>
            </w:r>
          </w:p>
        </w:tc>
        <w:tc>
          <w:tcPr>
            <w:tcW w:w="2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201</w:t>
            </w:r>
          </w:p>
        </w:tc>
        <w:tc>
          <w:tcPr>
            <w:tcW w:w="1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326,963</w:t>
            </w: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844</w:t>
            </w:r>
          </w:p>
        </w:tc>
        <w:tc>
          <w:tcPr>
            <w:tcW w:w="2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127,572</w:t>
            </w:r>
          </w:p>
        </w:tc>
        <w:tc>
          <w:tcPr>
            <w:tcW w:w="1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455,580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Vesting of restricted stock units, net of</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(534 )</w:t>
            </w:r>
          </w:p>
        </w:tc>
        <w:tc>
          <w:tcPr>
            <w:tcW w:w="100" w:type="dxa"/>
            <w:vAlign w:val="bottom"/>
            <w:shd w:val="clear" w:color="auto" w:fill="CFF0FC"/>
          </w:tcPr>
          <w:p>
            <w:pPr>
              <w:spacing w:after="0"/>
              <w:rPr>
                <w:sz w:val="13"/>
                <w:szCs w:val="13"/>
                <w:color w:val="auto"/>
              </w:rPr>
            </w:pPr>
          </w:p>
        </w:tc>
        <w:tc>
          <w:tcPr>
            <w:tcW w:w="120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(534 )</w:t>
            </w:r>
          </w:p>
        </w:tc>
        <w:tc>
          <w:tcPr>
            <w:tcW w:w="0" w:type="dxa"/>
            <w:vAlign w:val="bottom"/>
          </w:tcPr>
          <w:p>
            <w:pPr>
              <w:spacing w:after="0"/>
              <w:rPr>
                <w:sz w:val="1"/>
                <w:szCs w:val="1"/>
                <w:color w:val="auto"/>
              </w:rPr>
            </w:pPr>
          </w:p>
        </w:tc>
      </w:tr>
      <w:tr>
        <w:trPr>
          <w:trHeight w:val="199"/>
        </w:trPr>
        <w:tc>
          <w:tcPr>
            <w:tcW w:w="38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withholding</w:t>
            </w:r>
          </w:p>
        </w:tc>
        <w:tc>
          <w:tcPr>
            <w:tcW w:w="10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3"/>
            <w:vMerge w:val="continue"/>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4,883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(439 )</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(439 )</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9"/>
              <w:spacing w:after="0"/>
              <w:rPr>
                <w:sz w:val="20"/>
                <w:szCs w:val="20"/>
                <w:color w:val="auto"/>
              </w:rPr>
            </w:pPr>
            <w:r>
              <w:rPr>
                <w:rFonts w:ascii="Arial" w:cs="Arial" w:eastAsia="Arial" w:hAnsi="Arial"/>
                <w:sz w:val="16"/>
                <w:szCs w:val="16"/>
                <w:color w:val="auto"/>
              </w:rPr>
              <w:t>(8,328 )</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(8,328 )</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December 31, 2020</w:t>
            </w:r>
          </w:p>
        </w:tc>
        <w:tc>
          <w:tcPr>
            <w:tcW w:w="10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20,142</w:t>
            </w: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22"/>
              <w:spacing w:after="0" w:line="183" w:lineRule="exact"/>
              <w:rPr>
                <w:sz w:val="20"/>
                <w:szCs w:val="20"/>
                <w:color w:val="auto"/>
              </w:rPr>
            </w:pPr>
            <w:r>
              <w:rPr>
                <w:rFonts w:ascii="Arial" w:cs="Arial" w:eastAsia="Arial" w:hAnsi="Arial"/>
                <w:sz w:val="16"/>
                <w:szCs w:val="16"/>
                <w:b w:val="1"/>
                <w:bCs w:val="1"/>
                <w:color w:val="auto"/>
                <w:w w:val="89"/>
              </w:rPr>
              <w:t>$</w:t>
            </w:r>
          </w:p>
        </w:tc>
        <w:tc>
          <w:tcPr>
            <w:tcW w:w="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201</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332,145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405</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119,244</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451,995</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1,151</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5,280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(350 )</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(350 )</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9"/>
              <w:spacing w:after="0"/>
              <w:rPr>
                <w:sz w:val="20"/>
                <w:szCs w:val="20"/>
                <w:color w:val="auto"/>
              </w:rPr>
            </w:pPr>
            <w:r>
              <w:rPr>
                <w:rFonts w:ascii="Arial" w:cs="Arial" w:eastAsia="Arial" w:hAnsi="Arial"/>
                <w:sz w:val="16"/>
                <w:szCs w:val="16"/>
                <w:color w:val="auto"/>
              </w:rPr>
              <w:t>(22,045 )</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(22,045 )</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March 31, 2021</w:t>
            </w:r>
          </w:p>
        </w:tc>
        <w:tc>
          <w:tcPr>
            <w:tcW w:w="10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20,185</w:t>
            </w: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22"/>
              <w:spacing w:after="0" w:line="183" w:lineRule="exact"/>
              <w:rPr>
                <w:sz w:val="20"/>
                <w:szCs w:val="20"/>
                <w:color w:val="auto"/>
              </w:rPr>
            </w:pPr>
            <w:r>
              <w:rPr>
                <w:rFonts w:ascii="Arial" w:cs="Arial" w:eastAsia="Arial" w:hAnsi="Arial"/>
                <w:sz w:val="16"/>
                <w:szCs w:val="16"/>
                <w:b w:val="1"/>
                <w:bCs w:val="1"/>
                <w:color w:val="auto"/>
                <w:w w:val="89"/>
              </w:rPr>
              <w:t>$</w:t>
            </w:r>
          </w:p>
        </w:tc>
        <w:tc>
          <w:tcPr>
            <w:tcW w:w="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202</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338,576</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55</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97,199</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436,032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19"/>
        </w:trPr>
        <w:tc>
          <w:tcPr>
            <w:tcW w:w="3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120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w w:val="92"/>
              </w:rPr>
              <w:t>(Accumulated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2060" w:type="dxa"/>
            <w:vAlign w:val="bottom"/>
            <w:gridSpan w:val="3"/>
            <w:vMerge w:val="restart"/>
          </w:tcPr>
          <w:p>
            <w:pPr>
              <w:jc w:val="right"/>
              <w:ind w:right="34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6"/>
                <w:szCs w:val="16"/>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820" w:type="dxa"/>
            <w:vAlign w:val="bottom"/>
          </w:tcPr>
          <w:p>
            <w:pPr>
              <w:spacing w:after="0"/>
              <w:rPr>
                <w:sz w:val="15"/>
                <w:szCs w:val="15"/>
                <w:color w:val="auto"/>
              </w:rPr>
            </w:pPr>
          </w:p>
        </w:tc>
        <w:tc>
          <w:tcPr>
            <w:tcW w:w="206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w:t>
            </w:r>
          </w:p>
        </w:tc>
        <w:tc>
          <w:tcPr>
            <w:tcW w:w="13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080" w:type="dxa"/>
            <w:vAlign w:val="bottom"/>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38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September 30, 2021</w:t>
            </w:r>
          </w:p>
        </w:tc>
        <w:tc>
          <w:tcPr>
            <w:tcW w:w="10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20,238</w:t>
            </w:r>
          </w:p>
        </w:tc>
        <w:tc>
          <w:tcPr>
            <w:tcW w:w="180" w:type="dxa"/>
            <w:vAlign w:val="bottom"/>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jc w:val="right"/>
              <w:ind w:right="622"/>
              <w:spacing w:after="0" w:line="183" w:lineRule="exact"/>
              <w:rPr>
                <w:sz w:val="20"/>
                <w:szCs w:val="20"/>
                <w:color w:val="auto"/>
              </w:rPr>
            </w:pPr>
            <w:r>
              <w:rPr>
                <w:rFonts w:ascii="Arial" w:cs="Arial" w:eastAsia="Arial" w:hAnsi="Arial"/>
                <w:sz w:val="16"/>
                <w:szCs w:val="16"/>
                <w:b w:val="1"/>
                <w:bCs w:val="1"/>
                <w:color w:val="auto"/>
                <w:w w:val="89"/>
              </w:rPr>
              <w:t>$</w:t>
            </w:r>
          </w:p>
        </w:tc>
        <w:tc>
          <w:tcPr>
            <w:tcW w:w="2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202</w:t>
            </w:r>
          </w:p>
        </w:tc>
        <w:tc>
          <w:tcPr>
            <w:tcW w:w="1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351,033</w:t>
            </w: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(382</w:t>
            </w:r>
          </w:p>
        </w:tc>
        <w:tc>
          <w:tcPr>
            <w:tcW w:w="18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tcBorders>
            <w:gridSpan w:val="2"/>
            <w:shd w:val="clear" w:color="auto" w:fill="CFF0FC"/>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48,576</w:t>
            </w:r>
          </w:p>
        </w:tc>
        <w:tc>
          <w:tcPr>
            <w:tcW w:w="1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399,429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6"/>
                <w:szCs w:val="16"/>
                <w:color w:val="auto"/>
              </w:rPr>
              <w:t>248</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10,407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Vesting of restricted stock units, net of</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(778 )</w:t>
            </w:r>
          </w:p>
        </w:tc>
        <w:tc>
          <w:tcPr>
            <w:tcW w:w="100" w:type="dxa"/>
            <w:vAlign w:val="bottom"/>
            <w:shd w:val="clear" w:color="auto" w:fill="CFF0FC"/>
          </w:tcPr>
          <w:p>
            <w:pPr>
              <w:spacing w:after="0"/>
              <w:rPr>
                <w:sz w:val="13"/>
                <w:szCs w:val="13"/>
                <w:color w:val="auto"/>
              </w:rPr>
            </w:pPr>
          </w:p>
        </w:tc>
        <w:tc>
          <w:tcPr>
            <w:tcW w:w="1200" w:type="dxa"/>
            <w:vAlign w:val="bottom"/>
            <w:gridSpan w:val="3"/>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(777 )</w:t>
            </w:r>
          </w:p>
        </w:tc>
        <w:tc>
          <w:tcPr>
            <w:tcW w:w="0" w:type="dxa"/>
            <w:vAlign w:val="bottom"/>
          </w:tcPr>
          <w:p>
            <w:pPr>
              <w:spacing w:after="0"/>
              <w:rPr>
                <w:sz w:val="1"/>
                <w:szCs w:val="1"/>
                <w:color w:val="auto"/>
              </w:rPr>
            </w:pPr>
          </w:p>
        </w:tc>
      </w:tr>
      <w:tr>
        <w:trPr>
          <w:trHeight w:val="199"/>
        </w:trPr>
        <w:tc>
          <w:tcPr>
            <w:tcW w:w="38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withholding</w:t>
            </w:r>
          </w:p>
        </w:tc>
        <w:tc>
          <w:tcPr>
            <w:tcW w:w="10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3"/>
            <w:vMerge w:val="continue"/>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6,062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(624 )</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(624 )</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9"/>
              <w:spacing w:after="0"/>
              <w:rPr>
                <w:sz w:val="20"/>
                <w:szCs w:val="20"/>
                <w:color w:val="auto"/>
              </w:rPr>
            </w:pPr>
            <w:r>
              <w:rPr>
                <w:rFonts w:ascii="Arial" w:cs="Arial" w:eastAsia="Arial" w:hAnsi="Arial"/>
                <w:sz w:val="16"/>
                <w:szCs w:val="16"/>
                <w:color w:val="auto"/>
              </w:rPr>
              <w:t>(30,115 )</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(30,115 )</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December 31, 2021</w:t>
            </w:r>
          </w:p>
        </w:tc>
        <w:tc>
          <w:tcPr>
            <w:tcW w:w="10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20,506</w:t>
            </w: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22"/>
              <w:spacing w:after="0" w:line="183" w:lineRule="exact"/>
              <w:rPr>
                <w:sz w:val="20"/>
                <w:szCs w:val="20"/>
                <w:color w:val="auto"/>
              </w:rPr>
            </w:pPr>
            <w:r>
              <w:rPr>
                <w:rFonts w:ascii="Arial" w:cs="Arial" w:eastAsia="Arial" w:hAnsi="Arial"/>
                <w:sz w:val="16"/>
                <w:szCs w:val="16"/>
                <w:b w:val="1"/>
                <w:bCs w:val="1"/>
                <w:color w:val="auto"/>
                <w:w w:val="89"/>
              </w:rPr>
              <w:t>$</w:t>
            </w:r>
          </w:p>
        </w:tc>
        <w:tc>
          <w:tcPr>
            <w:tcW w:w="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205</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366,724</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(1,006</w:t>
            </w:r>
          </w:p>
        </w:tc>
        <w:tc>
          <w:tcPr>
            <w:tcW w:w="180" w:type="dxa"/>
            <w:vAlign w:val="bottom"/>
            <w:tcBorders>
              <w:bottom w:val="single" w:sz="8" w:color="CFF0FC"/>
            </w:tcBorders>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gridSpan w:val="2"/>
            <w:shd w:val="clear" w:color="auto" w:fill="CFF0FC"/>
          </w:tcPr>
          <w:p>
            <w:pPr>
              <w:jc w:val="right"/>
              <w:ind w:right="21"/>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18,461</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384,384</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820" w:type="dxa"/>
            <w:vAlign w:val="bottom"/>
          </w:tcPr>
          <w:p>
            <w:pPr>
              <w:ind w:left="20"/>
              <w:spacing w:after="0" w:line="170" w:lineRule="exact"/>
              <w:rPr>
                <w:sz w:val="20"/>
                <w:szCs w:val="20"/>
                <w:color w:val="auto"/>
              </w:rPr>
            </w:pPr>
            <w:r>
              <w:rPr>
                <w:rFonts w:ascii="Arial" w:cs="Arial" w:eastAsia="Arial" w:hAnsi="Arial"/>
                <w:sz w:val="16"/>
                <w:szCs w:val="16"/>
                <w:color w:val="auto"/>
              </w:rPr>
              <w:t>Exercise of stock options</w:t>
            </w:r>
          </w:p>
        </w:tc>
        <w:tc>
          <w:tcPr>
            <w:tcW w:w="1080" w:type="dxa"/>
            <w:vAlign w:val="bottom"/>
          </w:tcPr>
          <w:p>
            <w:pPr>
              <w:jc w:val="right"/>
              <w:spacing w:after="0" w:line="170" w:lineRule="exact"/>
              <w:rPr>
                <w:sz w:val="20"/>
                <w:szCs w:val="20"/>
                <w:color w:val="auto"/>
              </w:rPr>
            </w:pPr>
            <w:r>
              <w:rPr>
                <w:rFonts w:ascii="Arial" w:cs="Arial" w:eastAsia="Arial" w:hAnsi="Arial"/>
                <w:sz w:val="16"/>
                <w:szCs w:val="16"/>
                <w:color w:val="auto"/>
              </w:rPr>
              <w:t>97</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6"/>
                <w:szCs w:val="16"/>
                <w:color w:val="auto"/>
              </w:rPr>
              <w:t>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6"/>
                <w:szCs w:val="16"/>
                <w:color w:val="auto"/>
              </w:rPr>
              <w:t>3,801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200"/>
              <w:spacing w:after="0" w:line="170"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line="170" w:lineRule="exact"/>
              <w:rPr>
                <w:sz w:val="20"/>
                <w:szCs w:val="20"/>
                <w:color w:val="auto"/>
              </w:rPr>
            </w:pPr>
            <w:r>
              <w:rPr>
                <w:rFonts w:ascii="Arial" w:cs="Arial" w:eastAsia="Arial" w:hAnsi="Arial"/>
                <w:sz w:val="16"/>
                <w:szCs w:val="16"/>
                <w:color w:val="auto"/>
              </w:rPr>
              <w:t>3,802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8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Vesting of restricted stock units, net of</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(451 )</w:t>
            </w:r>
          </w:p>
        </w:tc>
        <w:tc>
          <w:tcPr>
            <w:tcW w:w="100" w:type="dxa"/>
            <w:vAlign w:val="bottom"/>
            <w:shd w:val="clear" w:color="auto" w:fill="CFF0FC"/>
          </w:tcPr>
          <w:p>
            <w:pPr>
              <w:spacing w:after="0"/>
              <w:rPr>
                <w:sz w:val="13"/>
                <w:szCs w:val="13"/>
                <w:color w:val="auto"/>
              </w:rPr>
            </w:pPr>
          </w:p>
        </w:tc>
        <w:tc>
          <w:tcPr>
            <w:tcW w:w="1200" w:type="dxa"/>
            <w:vAlign w:val="bottom"/>
            <w:gridSpan w:val="3"/>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(451 )</w:t>
            </w:r>
          </w:p>
        </w:tc>
        <w:tc>
          <w:tcPr>
            <w:tcW w:w="0" w:type="dxa"/>
            <w:vAlign w:val="bottom"/>
          </w:tcPr>
          <w:p>
            <w:pPr>
              <w:spacing w:after="0"/>
              <w:rPr>
                <w:sz w:val="1"/>
                <w:szCs w:val="1"/>
                <w:color w:val="auto"/>
              </w:rPr>
            </w:pPr>
          </w:p>
        </w:tc>
      </w:tr>
      <w:tr>
        <w:trPr>
          <w:trHeight w:val="199"/>
        </w:trPr>
        <w:tc>
          <w:tcPr>
            <w:tcW w:w="38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withholding</w:t>
            </w:r>
          </w:p>
        </w:tc>
        <w:tc>
          <w:tcPr>
            <w:tcW w:w="10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3"/>
            <w:vMerge w:val="continue"/>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6,471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6,471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(2,031 )</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(2,031 )</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9"/>
              <w:spacing w:after="0"/>
              <w:rPr>
                <w:sz w:val="20"/>
                <w:szCs w:val="20"/>
                <w:color w:val="auto"/>
              </w:rPr>
            </w:pPr>
            <w:r>
              <w:rPr>
                <w:rFonts w:ascii="Arial" w:cs="Arial" w:eastAsia="Arial" w:hAnsi="Arial"/>
                <w:sz w:val="16"/>
                <w:szCs w:val="16"/>
                <w:color w:val="auto"/>
              </w:rPr>
              <w:t>(33,592 )</w:t>
            </w:r>
          </w:p>
        </w:tc>
        <w:tc>
          <w:tcPr>
            <w:tcW w:w="1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(33,592 )</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Balances at March 31, 2022</w:t>
            </w:r>
          </w:p>
        </w:tc>
        <w:tc>
          <w:tcPr>
            <w:tcW w:w="10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20,618</w:t>
            </w: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206</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376,545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(3,037</w:t>
            </w:r>
          </w:p>
        </w:tc>
        <w:tc>
          <w:tcPr>
            <w:tcW w:w="180" w:type="dxa"/>
            <w:vAlign w:val="bottom"/>
            <w:tcBorders>
              <w:bottom w:val="single" w:sz="8" w:color="CFF0FC"/>
            </w:tcBorders>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(15,131</w:t>
            </w:r>
          </w:p>
        </w:tc>
        <w:tc>
          <w:tcPr>
            <w:tcW w:w="180" w:type="dxa"/>
            <w:vAlign w:val="bottom"/>
            <w:tcBorders>
              <w:bottom w:val="single" w:sz="8" w:color="CFF0FC"/>
            </w:tcBorders>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358,583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-3376930</wp:posOffset>
            </wp:positionV>
            <wp:extent cx="431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-3359785</wp:posOffset>
            </wp:positionV>
            <wp:extent cx="431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-3376930</wp:posOffset>
            </wp:positionV>
            <wp:extent cx="431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-3359785</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-3376930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-3359785</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-3376930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-3359785</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-3376930</wp:posOffset>
            </wp:positionV>
            <wp:extent cx="431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-3359785</wp:posOffset>
            </wp:positionV>
            <wp:extent cx="431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-3376930</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-3359785</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-2622550</wp:posOffset>
            </wp:positionV>
            <wp:extent cx="43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-2605405</wp:posOffset>
            </wp:positionV>
            <wp:extent cx="43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-2622550</wp:posOffset>
            </wp:positionV>
            <wp:extent cx="431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-2605405</wp:posOffset>
            </wp:positionV>
            <wp:extent cx="431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-2622550</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-2605405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-2622550</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-2605405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-2622550</wp:posOffset>
            </wp:positionV>
            <wp:extent cx="43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-2605405</wp:posOffset>
            </wp:positionV>
            <wp:extent cx="43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-2622550</wp:posOffset>
            </wp:positionV>
            <wp:extent cx="431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-2605405</wp:posOffset>
            </wp:positionV>
            <wp:extent cx="43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-882015</wp:posOffset>
            </wp:positionV>
            <wp:extent cx="43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-864870</wp:posOffset>
            </wp:positionV>
            <wp:extent cx="4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-882015</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-864870</wp:posOffset>
            </wp:positionV>
            <wp:extent cx="431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-882015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-864870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-882015</wp:posOffset>
            </wp:positionV>
            <wp:extent cx="43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-864870</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-882015</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-864870</wp:posOffset>
            </wp:positionV>
            <wp:extent cx="431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-882015</wp:posOffset>
            </wp:positionV>
            <wp:extent cx="43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-864870</wp:posOffset>
            </wp:positionV>
            <wp:extent cx="431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-24765</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-8255</wp:posOffset>
            </wp:positionV>
            <wp:extent cx="431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431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514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431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43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431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76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Net loss</w:t>
            </w:r>
          </w:p>
        </w:tc>
        <w:tc>
          <w:tcPr>
            <w:tcW w:w="980" w:type="dxa"/>
            <w:vAlign w:val="bottom"/>
          </w:tcPr>
          <w:p>
            <w:pPr>
              <w:jc w:val="right"/>
              <w:ind w:right="797"/>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95"/>
              <w:spacing w:after="0"/>
              <w:rPr>
                <w:sz w:val="20"/>
                <w:szCs w:val="20"/>
                <w:color w:val="auto"/>
              </w:rPr>
            </w:pPr>
            <w:r>
              <w:rPr>
                <w:rFonts w:ascii="Arial" w:cs="Arial" w:eastAsia="Arial" w:hAnsi="Arial"/>
                <w:sz w:val="17"/>
                <w:szCs w:val="17"/>
                <w:color w:val="auto"/>
              </w:rPr>
              <w:t>(63,707 )</w:t>
            </w:r>
          </w:p>
        </w:tc>
        <w:tc>
          <w:tcPr>
            <w:tcW w:w="540" w:type="dxa"/>
            <w:vAlign w:val="bottom"/>
          </w:tcPr>
          <w:p>
            <w:pPr>
              <w:jc w:val="right"/>
              <w:ind w:right="355"/>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(30,373 )</w:t>
            </w:r>
          </w:p>
        </w:tc>
      </w:tr>
      <w:tr>
        <w:trPr>
          <w:trHeight w:val="158"/>
        </w:trPr>
        <w:tc>
          <w:tcPr>
            <w:tcW w:w="768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Adjustments to reconcile net income to net cash provided by</w:t>
            </w:r>
          </w:p>
        </w:tc>
        <w:tc>
          <w:tcPr>
            <w:tcW w:w="9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20"/>
        </w:trPr>
        <w:tc>
          <w:tcPr>
            <w:tcW w:w="7680" w:type="dxa"/>
            <w:vAlign w:val="bottom"/>
            <w:shd w:val="clear" w:color="auto" w:fill="CFF0FC"/>
          </w:tcPr>
          <w:p>
            <w:pPr>
              <w:ind w:left="320"/>
              <w:spacing w:after="0"/>
              <w:rPr>
                <w:sz w:val="20"/>
                <w:szCs w:val="20"/>
                <w:color w:val="auto"/>
              </w:rPr>
            </w:pPr>
            <w:r>
              <w:rPr>
                <w:rFonts w:ascii="Arial" w:cs="Arial" w:eastAsia="Arial" w:hAnsi="Arial"/>
                <w:sz w:val="17"/>
                <w:szCs w:val="17"/>
                <w:color w:val="auto"/>
              </w:rPr>
              <w:t>operating activities:</w:t>
            </w: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03"/>
        </w:trPr>
        <w:tc>
          <w:tcPr>
            <w:tcW w:w="7680" w:type="dxa"/>
            <w:vAlign w:val="bottom"/>
          </w:tcPr>
          <w:p>
            <w:pPr>
              <w:ind w:left="380"/>
              <w:spacing w:after="0"/>
              <w:rPr>
                <w:sz w:val="20"/>
                <w:szCs w:val="20"/>
                <w:color w:val="auto"/>
              </w:rPr>
            </w:pPr>
            <w:r>
              <w:rPr>
                <w:rFonts w:ascii="Arial" w:cs="Arial" w:eastAsia="Arial" w:hAnsi="Arial"/>
                <w:sz w:val="17"/>
                <w:szCs w:val="17"/>
                <w:color w:val="auto"/>
              </w:rPr>
              <w:t>Stock-based compensation expense</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12,533</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10,163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Depreciation and amortization expense</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1,602</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1,705</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rPr>
                <w:sz w:val="20"/>
                <w:szCs w:val="20"/>
                <w:color w:val="auto"/>
              </w:rPr>
            </w:pPr>
            <w:r>
              <w:rPr>
                <w:rFonts w:ascii="Arial" w:cs="Arial" w:eastAsia="Arial" w:hAnsi="Arial"/>
                <w:sz w:val="17"/>
                <w:szCs w:val="17"/>
                <w:color w:val="auto"/>
              </w:rPr>
              <w:t>Premium paid on marketable securities</w:t>
            </w:r>
          </w:p>
        </w:tc>
        <w:tc>
          <w:tcPr>
            <w:tcW w:w="980" w:type="dxa"/>
            <w:vAlign w:val="bottom"/>
          </w:tcPr>
          <w:p>
            <w:pPr>
              <w:spacing w:after="0"/>
              <w:rPr>
                <w:sz w:val="17"/>
                <w:szCs w:val="17"/>
                <w:color w:val="auto"/>
              </w:rPr>
            </w:pPr>
          </w:p>
        </w:tc>
        <w:tc>
          <w:tcPr>
            <w:tcW w:w="900" w:type="dxa"/>
            <w:vAlign w:val="bottom"/>
            <w:gridSpan w:val="2"/>
          </w:tcPr>
          <w:p>
            <w:pPr>
              <w:jc w:val="right"/>
              <w:ind w:right="95"/>
              <w:spacing w:after="0"/>
              <w:rPr>
                <w:sz w:val="20"/>
                <w:szCs w:val="20"/>
                <w:color w:val="auto"/>
              </w:rPr>
            </w:pPr>
            <w:r>
              <w:rPr>
                <w:rFonts w:ascii="Arial" w:cs="Arial" w:eastAsia="Arial" w:hAnsi="Arial"/>
                <w:sz w:val="17"/>
                <w:szCs w:val="17"/>
                <w:color w:val="auto"/>
              </w:rPr>
              <w:t>(802 )</w:t>
            </w:r>
          </w:p>
        </w:tc>
        <w:tc>
          <w:tcPr>
            <w:tcW w:w="5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(1,238 )</w:t>
            </w:r>
          </w:p>
        </w:tc>
      </w:tr>
      <w:tr>
        <w:trPr>
          <w:trHeight w:val="203"/>
        </w:trPr>
        <w:tc>
          <w:tcPr>
            <w:tcW w:w="76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Amortization of premium on marketable securities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928</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956</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rPr>
                <w:sz w:val="20"/>
                <w:szCs w:val="20"/>
                <w:color w:val="auto"/>
              </w:rPr>
            </w:pPr>
            <w:r>
              <w:rPr>
                <w:rFonts w:ascii="Arial" w:cs="Arial" w:eastAsia="Arial" w:hAnsi="Arial"/>
                <w:sz w:val="17"/>
                <w:szCs w:val="17"/>
                <w:color w:val="auto"/>
              </w:rPr>
              <w:t>Change in operating assets and liabilities:</w:t>
            </w: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receivable</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4,860</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3,360</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560"/>
              <w:spacing w:after="0"/>
              <w:rPr>
                <w:sz w:val="20"/>
                <w:szCs w:val="20"/>
                <w:color w:val="auto"/>
              </w:rPr>
            </w:pPr>
            <w:r>
              <w:rPr>
                <w:rFonts w:ascii="Arial" w:cs="Arial" w:eastAsia="Arial" w:hAnsi="Arial"/>
                <w:sz w:val="17"/>
                <w:szCs w:val="17"/>
                <w:color w:val="auto"/>
              </w:rPr>
              <w:t>Prepaid expenses and other current assets</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110</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(5,444 )</w:t>
            </w:r>
          </w:p>
        </w:tc>
      </w:tr>
      <w:tr>
        <w:trPr>
          <w:trHeight w:val="203"/>
        </w:trPr>
        <w:tc>
          <w:tcPr>
            <w:tcW w:w="7680" w:type="dxa"/>
            <w:vAlign w:val="bottom"/>
            <w:shd w:val="clear" w:color="auto" w:fill="CFF0FC"/>
          </w:tcPr>
          <w:p>
            <w:pPr>
              <w:ind w:left="560"/>
              <w:spacing w:after="0"/>
              <w:rPr>
                <w:sz w:val="20"/>
                <w:szCs w:val="20"/>
                <w:color w:val="auto"/>
              </w:rPr>
            </w:pPr>
            <w:r>
              <w:rPr>
                <w:rFonts w:ascii="Arial" w:cs="Arial" w:eastAsia="Arial" w:hAnsi="Arial"/>
                <w:sz w:val="17"/>
                <w:szCs w:val="17"/>
                <w:color w:val="auto"/>
              </w:rPr>
              <w:t>Income tax receivable</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8,507</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r>
      <w:tr>
        <w:trPr>
          <w:trHeight w:val="203"/>
        </w:trPr>
        <w:tc>
          <w:tcPr>
            <w:tcW w:w="7680" w:type="dxa"/>
            <w:vAlign w:val="bottom"/>
          </w:tcPr>
          <w:p>
            <w:pPr>
              <w:ind w:left="560"/>
              <w:spacing w:after="0"/>
              <w:rPr>
                <w:sz w:val="20"/>
                <w:szCs w:val="20"/>
                <w:color w:val="auto"/>
              </w:rPr>
            </w:pPr>
            <w:r>
              <w:rPr>
                <w:rFonts w:ascii="Arial" w:cs="Arial" w:eastAsia="Arial" w:hAnsi="Arial"/>
                <w:sz w:val="17"/>
                <w:szCs w:val="17"/>
                <w:color w:val="auto"/>
              </w:rPr>
              <w:t>Operating lease, right-of-use assets</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2,784</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2,565</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payable</w:t>
            </w:r>
          </w:p>
        </w:tc>
        <w:tc>
          <w:tcPr>
            <w:tcW w:w="9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(3,473 )</w:t>
            </w:r>
          </w:p>
        </w:tc>
        <w:tc>
          <w:tcPr>
            <w:tcW w:w="5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560"/>
              <w:spacing w:after="0"/>
              <w:rPr>
                <w:sz w:val="20"/>
                <w:szCs w:val="20"/>
                <w:color w:val="auto"/>
              </w:rPr>
            </w:pPr>
            <w:r>
              <w:rPr>
                <w:rFonts w:ascii="Arial" w:cs="Arial" w:eastAsia="Arial" w:hAnsi="Arial"/>
                <w:sz w:val="17"/>
                <w:szCs w:val="17"/>
                <w:color w:val="auto"/>
              </w:rPr>
              <w:t>Accrued expenses</w:t>
            </w:r>
          </w:p>
        </w:tc>
        <w:tc>
          <w:tcPr>
            <w:tcW w:w="980" w:type="dxa"/>
            <w:vAlign w:val="bottom"/>
          </w:tcPr>
          <w:p>
            <w:pPr>
              <w:spacing w:after="0"/>
              <w:rPr>
                <w:sz w:val="17"/>
                <w:szCs w:val="17"/>
                <w:color w:val="auto"/>
              </w:rPr>
            </w:pPr>
          </w:p>
        </w:tc>
        <w:tc>
          <w:tcPr>
            <w:tcW w:w="900" w:type="dxa"/>
            <w:vAlign w:val="bottom"/>
            <w:gridSpan w:val="2"/>
          </w:tcPr>
          <w:p>
            <w:pPr>
              <w:jc w:val="right"/>
              <w:ind w:right="95"/>
              <w:spacing w:after="0"/>
              <w:rPr>
                <w:sz w:val="20"/>
                <w:szCs w:val="20"/>
                <w:color w:val="auto"/>
              </w:rPr>
            </w:pPr>
            <w:r>
              <w:rPr>
                <w:rFonts w:ascii="Arial" w:cs="Arial" w:eastAsia="Arial" w:hAnsi="Arial"/>
                <w:sz w:val="17"/>
                <w:szCs w:val="17"/>
                <w:color w:val="auto"/>
              </w:rPr>
              <w:t>(808 )</w:t>
            </w: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1,703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560"/>
              <w:spacing w:after="0"/>
              <w:rPr>
                <w:sz w:val="20"/>
                <w:szCs w:val="20"/>
                <w:color w:val="auto"/>
              </w:rPr>
            </w:pPr>
            <w:r>
              <w:rPr>
                <w:rFonts w:ascii="Arial" w:cs="Arial" w:eastAsia="Arial" w:hAnsi="Arial"/>
                <w:sz w:val="17"/>
                <w:szCs w:val="17"/>
                <w:color w:val="auto"/>
              </w:rPr>
              <w:t>Operating lease liabilities</w:t>
            </w:r>
          </w:p>
        </w:tc>
        <w:tc>
          <w:tcPr>
            <w:tcW w:w="9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(2,498 )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(2,797 )</w:t>
            </w:r>
          </w:p>
        </w:tc>
      </w:tr>
      <w:tr>
        <w:trPr>
          <w:trHeight w:val="203"/>
        </w:trPr>
        <w:tc>
          <w:tcPr>
            <w:tcW w:w="7680" w:type="dxa"/>
            <w:vAlign w:val="bottom"/>
          </w:tcPr>
          <w:p>
            <w:pPr>
              <w:ind w:left="560"/>
              <w:spacing w:after="0"/>
              <w:rPr>
                <w:sz w:val="20"/>
                <w:szCs w:val="20"/>
                <w:color w:val="auto"/>
              </w:rPr>
            </w:pPr>
            <w:r>
              <w:rPr>
                <w:rFonts w:ascii="Arial" w:cs="Arial" w:eastAsia="Arial" w:hAnsi="Arial"/>
                <w:sz w:val="17"/>
                <w:szCs w:val="17"/>
                <w:color w:val="auto"/>
              </w:rPr>
              <w:t>Other long-term liabilities</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318</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(84 )</w:t>
            </w: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cash used in operating activities</w:t>
            </w:r>
          </w:p>
        </w:tc>
        <w:tc>
          <w:tcPr>
            <w:tcW w:w="9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(39,646</w:t>
            </w:r>
          </w:p>
        </w:tc>
        <w:tc>
          <w:tcPr>
            <w:tcW w:w="26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(19,469</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Purchase of marketable securities</w:t>
            </w:r>
          </w:p>
        </w:tc>
        <w:tc>
          <w:tcPr>
            <w:tcW w:w="9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w w:val="90"/>
              </w:rPr>
              <w:t>(124,631 )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(171,586 )</w:t>
            </w: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Proceeds from maturities and sale of marketable securities</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135,514</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179,917</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Purchase of property and equipment</w:t>
            </w:r>
          </w:p>
        </w:tc>
        <w:tc>
          <w:tcPr>
            <w:tcW w:w="9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(437 )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(318 )</w:t>
            </w:r>
          </w:p>
        </w:tc>
      </w:tr>
      <w:tr>
        <w:trPr>
          <w:trHeight w:val="196"/>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7"/>
                <w:szCs w:val="17"/>
                <w:color w:val="auto"/>
              </w:rPr>
              <w:t>Net cash provided by investing activities</w:t>
            </w:r>
          </w:p>
        </w:tc>
        <w:tc>
          <w:tcPr>
            <w:tcW w:w="9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10,446</w:t>
            </w:r>
          </w:p>
        </w:tc>
        <w:tc>
          <w:tcPr>
            <w:tcW w:w="260" w:type="dxa"/>
            <w:vAlign w:val="bottom"/>
            <w:tcBorders>
              <w:top w:val="single" w:sz="8" w:color="CFF0FC"/>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8,013</w:t>
            </w:r>
          </w:p>
        </w:tc>
        <w:tc>
          <w:tcPr>
            <w:tcW w:w="80" w:type="dxa"/>
            <w:vAlign w:val="bottom"/>
            <w:tcBorders>
              <w:top w:val="single" w:sz="8" w:color="CFF0FC"/>
            </w:tcBorders>
          </w:tcPr>
          <w:p>
            <w:pPr>
              <w:spacing w:after="0"/>
              <w:rPr>
                <w:sz w:val="17"/>
                <w:szCs w:val="17"/>
                <w:color w:val="auto"/>
              </w:rPr>
            </w:pPr>
          </w:p>
        </w:tc>
      </w:tr>
      <w:tr>
        <w:trPr>
          <w:trHeight w:val="20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7"/>
                <w:szCs w:val="17"/>
                <w:color w:val="auto"/>
              </w:rPr>
              <w:t>Proceeds from exercise of stock options</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14,211</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1,985</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Payments for settlement of share-based awards</w:t>
            </w:r>
          </w:p>
        </w:tc>
        <w:tc>
          <w:tcPr>
            <w:tcW w:w="9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(1,228 )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(534 )</w:t>
            </w:r>
          </w:p>
        </w:tc>
      </w:tr>
      <w:tr>
        <w:trPr>
          <w:trHeight w:val="196"/>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9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12,983</w:t>
            </w:r>
          </w:p>
        </w:tc>
        <w:tc>
          <w:tcPr>
            <w:tcW w:w="260" w:type="dxa"/>
            <w:vAlign w:val="bottom"/>
            <w:tcBorders>
              <w:top w:val="single" w:sz="8" w:color="CFF0FC"/>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1,451</w:t>
            </w:r>
          </w:p>
        </w:tc>
        <w:tc>
          <w:tcPr>
            <w:tcW w:w="80" w:type="dxa"/>
            <w:vAlign w:val="bottom"/>
            <w:tcBorders>
              <w:top w:val="single" w:sz="8" w:color="CFF0FC"/>
            </w:tcBorders>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Net decrease in cash, cash equivalents and restricted cash</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(16,217</w:t>
            </w:r>
          </w:p>
        </w:tc>
        <w:tc>
          <w:tcPr>
            <w:tcW w:w="26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(10,005</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57,814</w:t>
            </w: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87,739</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980" w:type="dxa"/>
            <w:vAlign w:val="bottom"/>
            <w:tcBorders>
              <w:bottom w:val="single" w:sz="8" w:color="auto"/>
            </w:tcBorders>
            <w:shd w:val="clear" w:color="auto" w:fill="CFF0FC"/>
          </w:tcPr>
          <w:p>
            <w:pPr>
              <w:jc w:val="right"/>
              <w:ind w:right="797"/>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41,597</w:t>
            </w:r>
          </w:p>
        </w:tc>
        <w:tc>
          <w:tcPr>
            <w:tcW w:w="26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77,734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Supplemental disclosure of non-cash information:</w:t>
            </w: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Purchases of fixed assets included in accounts payable and accrued expenses</w:t>
            </w:r>
          </w:p>
        </w:tc>
        <w:tc>
          <w:tcPr>
            <w:tcW w:w="980" w:type="dxa"/>
            <w:vAlign w:val="bottom"/>
            <w:shd w:val="clear" w:color="auto" w:fill="CFF0FC"/>
          </w:tcPr>
          <w:p>
            <w:pPr>
              <w:jc w:val="right"/>
              <w:ind w:right="79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5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80" w:type="dxa"/>
            <w:vAlign w:val="bottom"/>
            <w:shd w:val="clear" w:color="auto" w:fill="CFF0FC"/>
          </w:tcPr>
          <w:p>
            <w:pPr>
              <w:spacing w:after="0"/>
              <w:rPr>
                <w:sz w:val="17"/>
                <w:szCs w:val="17"/>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7"/>
                <w:szCs w:val="17"/>
                <w:color w:val="auto"/>
              </w:rPr>
              <w:t>Operating lease liabilities arising from obtaining right-of-use assets</w:t>
            </w:r>
          </w:p>
        </w:tc>
        <w:tc>
          <w:tcPr>
            <w:tcW w:w="980" w:type="dxa"/>
            <w:vAlign w:val="bottom"/>
          </w:tcPr>
          <w:p>
            <w:pPr>
              <w:jc w:val="right"/>
              <w:ind w:right="79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15,559</w:t>
            </w:r>
          </w:p>
        </w:tc>
        <w:tc>
          <w:tcPr>
            <w:tcW w:w="260" w:type="dxa"/>
            <w:vAlign w:val="bottom"/>
          </w:tcPr>
          <w:p>
            <w:pPr>
              <w:spacing w:after="0"/>
              <w:rPr>
                <w:sz w:val="18"/>
                <w:szCs w:val="18"/>
                <w:color w:val="auto"/>
              </w:rPr>
            </w:pPr>
          </w:p>
        </w:tc>
        <w:tc>
          <w:tcPr>
            <w:tcW w:w="540" w:type="dxa"/>
            <w:vAlign w:val="bottom"/>
          </w:tcPr>
          <w:p>
            <w:pPr>
              <w:jc w:val="right"/>
              <w:ind w:right="35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2,517</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-1479550</wp:posOffset>
            </wp:positionV>
            <wp:extent cx="5143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-1479550</wp:posOffset>
            </wp:positionV>
            <wp:extent cx="5143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-956945</wp:posOffset>
            </wp:positionV>
            <wp:extent cx="5143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-956945</wp:posOffset>
            </wp:positionV>
            <wp:extent cx="5143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-419735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-402590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-419735</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-402590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19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Enanta Pharmaceuticals, Inc. (the “Company”), incorporated in Delaware in 1995, is a biotechnology company that uses its robust, chemistry-driven approach and drug discovery capabilities to become a leader in the discovery and development of small molecule drugs for the treatment of viral infections and liver diseases. The Company discovered glecaprevir, the second of two protease inhibitors discovered and developed through its collaboration with AbbVie for the treatment of chronic hepatitis C virus, or HCV. Glecaprevir is co-formulated as part of AbbVie’s leading direct-acting antiviral, or DAA, combination treatment for HCV, which is marketed under the tradenames MAVYRET® (U.S.) and MAVIRET®(ex-U.S.) (glecaprevir/pibrentasvir). Royalties from the Company’s AbbVie collaboration and its existing financial resources provide funding to support the Company’s wholly-owned research and development programs, which are primarily focused on the following disease targets: respiratory syncytial virus (“RSV”), hepatitis B virus (“HBV”), SARS-CoV-2, and human metapneumovirus (“hMPV”).</w:t>
      </w:r>
    </w:p>
    <w:p>
      <w:pPr>
        <w:spacing w:after="0" w:line="6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March 2020, the World Health Organization declared COVID-19 a global pandemic and countries worldwide implemented various measures to contain the spread of the SARS-CoV-2 virus. National, state and local governments in affected regions have implemented and may continue to implement varying safety precautions, including quarantines, border closures, increased border controls, travel restrictions, shelter-in-place orders and shutdowns, business closures, cancellations of public gatherings and other measures. The extent and severity of the impact on the Company’s business and clinical trials will be determined largely by the extent to which there are disruptions in the supply chains for its research and product candidates, delays in the conduct of ongoing and future clinical trials, or reductions in the number of patients accessing AbbVie’s HCV regimens, or any combination of those events. During the second half of fiscal 2021 and through March 31, 2022, AbbVie experienced a decline in HCV sales compared to prior years as a result of a reduction in patients accessing AbbVie’s HCV regimens due to the COVID-19 pandemic.</w:t>
      </w:r>
    </w:p>
    <w:p>
      <w:pPr>
        <w:spacing w:after="0" w:line="69" w:lineRule="exact"/>
        <w:rPr>
          <w:sz w:val="20"/>
          <w:szCs w:val="20"/>
          <w:color w:val="auto"/>
        </w:rPr>
      </w:pPr>
    </w:p>
    <w:p>
      <w:pPr>
        <w:jc w:val="both"/>
        <w:ind w:right="200"/>
        <w:spacing w:after="0" w:line="276" w:lineRule="auto"/>
        <w:rPr>
          <w:sz w:val="20"/>
          <w:szCs w:val="20"/>
          <w:color w:val="auto"/>
        </w:rPr>
      </w:pPr>
      <w:r>
        <w:rPr>
          <w:rFonts w:ascii="Arial" w:cs="Arial" w:eastAsia="Arial" w:hAnsi="Arial"/>
          <w:sz w:val="16"/>
          <w:szCs w:val="16"/>
          <w:color w:val="auto"/>
        </w:rPr>
        <w:t>The full extent to which the COVID-19 pandemic will directly or indirectly impact the Company’s business, results of operations and financial condition will depend on future developments that are highly uncertain and cannot be accurately predicted, including new information that may emerge concerning COVID-19 and its variants and public health actions taken to contain it, as well as the cumulative economic impact of both of those factors.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consolidated balance sheet at September 30, 2021 was derived from audited financial statements but does not include all disclosures required by accounting principles generally accepted in the United States of America (“GAAP”). The accompanying unaudited consolidated financial statements as of March 31, 2022 and for the three and six months ended March 31, 2022 and 2021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2021.</w:t>
      </w:r>
    </w:p>
    <w:p>
      <w:pPr>
        <w:spacing w:after="0" w:line="83" w:lineRule="exact"/>
        <w:rPr>
          <w:sz w:val="20"/>
          <w:szCs w:val="20"/>
          <w:color w:val="auto"/>
        </w:rPr>
      </w:pPr>
    </w:p>
    <w:p>
      <w:pPr>
        <w:ind w:right="360"/>
        <w:spacing w:after="0" w:line="284" w:lineRule="auto"/>
        <w:rPr>
          <w:sz w:val="20"/>
          <w:szCs w:val="20"/>
          <w:color w:val="auto"/>
        </w:rPr>
      </w:pPr>
      <w:r>
        <w:rPr>
          <w:rFonts w:ascii="Arial" w:cs="Arial" w:eastAsia="Arial" w:hAnsi="Arial"/>
          <w:sz w:val="16"/>
          <w:szCs w:val="16"/>
          <w:color w:val="auto"/>
        </w:rPr>
        <w:t>In the opinion of management, all adjustments, consisting of normal recurring adjustments necessary for a fair statement of the Company’s financial position as of March 31, 2022 and results of operations for the three and six months ended March 31, 2022 and 2021 and cash flows for the six months ended March 31, 2022 and 2021 have been made. The results of operations for the three and six months ended March 31, 2022 are not necessarily indicative of the results of operations that may be expected for subsequent quarters or the year ending September 30, 2022.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ind w:right="220"/>
        <w:spacing w:after="0" w:line="291" w:lineRule="auto"/>
        <w:rPr>
          <w:sz w:val="20"/>
          <w:szCs w:val="20"/>
          <w:color w:val="auto"/>
        </w:rPr>
      </w:pPr>
      <w:r>
        <w:rPr>
          <w:rFonts w:ascii="Arial" w:cs="Arial" w:eastAsia="Arial" w:hAnsi="Arial"/>
          <w:sz w:val="17"/>
          <w:szCs w:val="17"/>
          <w:color w:val="auto"/>
        </w:rPr>
        <w:t>The accompanying consolidated financial statements have been prepared in conformity with GAAP. All amounts in the consolidated financial statements and in the notes to the consolidated financial statements, except per share amounts, are in thousands unless otherwise indicated.</w:t>
      </w:r>
    </w:p>
    <w:p>
      <w:pPr>
        <w:spacing w:after="0" w:line="251"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08"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For the Company’s Significant Accounting Policies, please refer to its Annual Report on Form 10-K for the fiscal year ended September 30, 2021. Any reference in these notes to applicable guidance is meant to refer to the authoritative GAAP as found in the Accounting Standards Codification and Accounting Standards Update (“ASU”) of the Financial Accounting Standards Board (“FASB”).</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valuation of stock-based awards and the accrual of research and development expenses. Estimates are periodically reviewed in light of changes in circumstances, facts and experience. The future developments of the COVID-19 pandemic also may directly or indirectly impact the Company’s business. The Company has made estimates of the impact of COVID-19 in the Company’s consolidated financial statements as of March 31, 2022. Actual results could differ from the Company’s estimates.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08" w:lineRule="exact"/>
        <w:rPr>
          <w:sz w:val="20"/>
          <w:szCs w:val="20"/>
          <w:color w:val="auto"/>
        </w:rPr>
      </w:pPr>
    </w:p>
    <w:p>
      <w:pPr>
        <w:jc w:val="both"/>
        <w:ind w:right="40"/>
        <w:spacing w:after="0" w:line="26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 (Topic 740)</w:t>
      </w:r>
      <w:r>
        <w:rPr>
          <w:rFonts w:ascii="Arial" w:cs="Arial" w:eastAsia="Arial" w:hAnsi="Arial"/>
          <w:sz w:val="17"/>
          <w:szCs w:val="17"/>
          <w:color w:val="auto"/>
        </w:rPr>
        <w:t xml:space="preserve">, which removes certain exceptions to the general principles in </w:t>
      </w:r>
      <w:r>
        <w:rPr>
          <w:rFonts w:ascii="Arial" w:cs="Arial" w:eastAsia="Arial" w:hAnsi="Arial"/>
          <w:sz w:val="17"/>
          <w:szCs w:val="17"/>
          <w:i w:val="1"/>
          <w:iCs w:val="1"/>
          <w:color w:val="auto"/>
        </w:rPr>
        <w:t>Topic 740 – Income Taxes</w:t>
      </w:r>
      <w:r>
        <w:rPr>
          <w:rFonts w:ascii="Arial" w:cs="Arial" w:eastAsia="Arial" w:hAnsi="Arial"/>
          <w:sz w:val="17"/>
          <w:szCs w:val="17"/>
          <w:color w:val="auto"/>
        </w:rPr>
        <w:t xml:space="preserve"> and improves consistent application of and simplifies GAAP for other areas of Topic 740 by clarifying and amending existing guidance. This ASU became effective for the Company beginning October 1, 2021 and interim periods within that year. The adoption of the standard did not have a material impact on the Company's financial position or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7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94" w:lineRule="exact"/>
        <w:rPr>
          <w:sz w:val="20"/>
          <w:szCs w:val="20"/>
          <w:color w:val="auto"/>
        </w:rPr>
      </w:pPr>
    </w:p>
    <w:p>
      <w:pPr>
        <w:ind w:right="320"/>
        <w:spacing w:after="0" w:line="307"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March 31, 2022 and September 30, 2021, and indicate the fair value hierarchy of the valuation inputs utilized to determine such fair value: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w w:val="99"/>
              </w:rPr>
              <w:t>Fair Value Measurements at March 31, 2022 Using:</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69"/>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74"/>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w w:val="74"/>
              </w:rPr>
              <w:t>thousands)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8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660" w:type="dxa"/>
            <w:vAlign w:val="bottom"/>
            <w:shd w:val="clear" w:color="auto" w:fill="CFF2FC"/>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36,356</w:t>
            </w:r>
          </w:p>
        </w:tc>
        <w:tc>
          <w:tcPr>
            <w:tcW w:w="5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36,356</w:t>
            </w:r>
          </w:p>
        </w:tc>
        <w:tc>
          <w:tcPr>
            <w:tcW w:w="60" w:type="dxa"/>
            <w:vAlign w:val="bottom"/>
            <w:shd w:val="clear" w:color="auto" w:fill="CFF0FC"/>
          </w:tcPr>
          <w:p>
            <w:pPr>
              <w:spacing w:after="0"/>
              <w:rPr>
                <w:sz w:val="17"/>
                <w:szCs w:val="17"/>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660" w:type="dxa"/>
            <w:vAlign w:val="bottom"/>
            <w:shd w:val="clear" w:color="auto" w:fill="CFF2FC"/>
          </w:tcPr>
          <w:p>
            <w:pPr>
              <w:ind w:left="120"/>
              <w:spacing w:after="0" w:line="202" w:lineRule="exact"/>
              <w:rPr>
                <w:sz w:val="20"/>
                <w:szCs w:val="20"/>
                <w:color w:val="auto"/>
              </w:rPr>
            </w:pPr>
            <w:r>
              <w:rPr>
                <w:rFonts w:ascii="Arial" w:cs="Arial" w:eastAsia="Arial" w:hAnsi="Arial"/>
                <w:sz w:val="18"/>
                <w:szCs w:val="18"/>
                <w:color w:val="auto"/>
              </w:rPr>
              <w:t>U.S. Treasury notes</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106,992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106,992</w:t>
            </w:r>
          </w:p>
        </w:tc>
        <w:tc>
          <w:tcPr>
            <w:tcW w:w="60" w:type="dxa"/>
            <w:vAlign w:val="bottom"/>
            <w:shd w:val="clear" w:color="auto" w:fill="CFF0FC"/>
          </w:tcPr>
          <w:p>
            <w:pPr>
              <w:spacing w:after="0"/>
              <w:rPr>
                <w:sz w:val="17"/>
                <w:szCs w:val="17"/>
                <w:color w:val="auto"/>
              </w:rPr>
            </w:pPr>
          </w:p>
        </w:tc>
      </w:tr>
      <w:tr>
        <w:trPr>
          <w:trHeight w:val="203"/>
        </w:trPr>
        <w:tc>
          <w:tcPr>
            <w:tcW w:w="4660" w:type="dxa"/>
            <w:vAlign w:val="bottom"/>
          </w:tcPr>
          <w:p>
            <w:pPr>
              <w:ind w:left="120"/>
              <w:spacing w:after="0" w:line="202" w:lineRule="exact"/>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108,190</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108,190</w:t>
            </w:r>
          </w:p>
        </w:tc>
        <w:tc>
          <w:tcPr>
            <w:tcW w:w="60" w:type="dxa"/>
            <w:vAlign w:val="bottom"/>
          </w:tcPr>
          <w:p>
            <w:pPr>
              <w:spacing w:after="0"/>
              <w:rPr>
                <w:sz w:val="17"/>
                <w:szCs w:val="17"/>
                <w:color w:val="auto"/>
              </w:rPr>
            </w:pPr>
          </w:p>
        </w:tc>
      </w:tr>
      <w:tr>
        <w:trPr>
          <w:trHeight w:val="203"/>
        </w:trPr>
        <w:tc>
          <w:tcPr>
            <w:tcW w:w="4660" w:type="dxa"/>
            <w:vAlign w:val="bottom"/>
            <w:tcBorders>
              <w:bottom w:val="single" w:sz="8" w:color="CFF2FC"/>
            </w:tcBorders>
            <w:shd w:val="clear" w:color="auto" w:fill="CFF2FC"/>
          </w:tcPr>
          <w:p>
            <w:pPr>
              <w:ind w:left="120"/>
              <w:spacing w:after="0" w:line="202" w:lineRule="exact"/>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66,374</w:t>
            </w:r>
          </w:p>
        </w:tc>
        <w:tc>
          <w:tcPr>
            <w:tcW w:w="2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66,374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143,348</w:t>
            </w:r>
          </w:p>
        </w:tc>
        <w:tc>
          <w:tcPr>
            <w:tcW w:w="5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174,564</w:t>
            </w:r>
          </w:p>
        </w:tc>
        <w:tc>
          <w:tcPr>
            <w:tcW w:w="64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317,912</w:t>
            </w:r>
          </w:p>
        </w:tc>
        <w:tc>
          <w:tcPr>
            <w:tcW w:w="60" w:type="dxa"/>
            <w:vAlign w:val="bottom"/>
          </w:tcPr>
          <w:p>
            <w:pPr>
              <w:spacing w:after="0"/>
              <w:rPr>
                <w:sz w:val="17"/>
                <w:szCs w:val="17"/>
                <w:color w:val="auto"/>
              </w:rPr>
            </w:pPr>
          </w:p>
        </w:tc>
      </w:tr>
      <w:tr>
        <w:trPr>
          <w:trHeight w:val="20"/>
        </w:trPr>
        <w:tc>
          <w:tcPr>
            <w:tcW w:w="48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82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4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Series 1 nonconvertible preferred stock</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1,506</w:t>
            </w:r>
          </w:p>
        </w:tc>
        <w:tc>
          <w:tcPr>
            <w:tcW w:w="2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1,506</w:t>
            </w:r>
          </w:p>
        </w:tc>
        <w:tc>
          <w:tcPr>
            <w:tcW w:w="60" w:type="dxa"/>
            <w:vAlign w:val="bottom"/>
          </w:tcPr>
          <w:p>
            <w:pPr>
              <w:spacing w:after="0"/>
              <w:rPr>
                <w:sz w:val="17"/>
                <w:szCs w:val="17"/>
                <w:color w:val="auto"/>
              </w:rPr>
            </w:pPr>
          </w:p>
        </w:tc>
      </w:tr>
      <w:tr>
        <w:trPr>
          <w:trHeight w:val="236"/>
        </w:trPr>
        <w:tc>
          <w:tcPr>
            <w:tcW w:w="46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1,506</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1,506</w:t>
            </w:r>
          </w:p>
        </w:tc>
        <w:tc>
          <w:tcPr>
            <w:tcW w:w="60" w:type="dxa"/>
            <w:vAlign w:val="bottom"/>
            <w:tcBorders>
              <w:bottom w:val="single" w:sz="8" w:color="CFF0FC"/>
            </w:tcBorders>
            <w:shd w:val="clear" w:color="auto" w:fill="CFF0FC"/>
          </w:tcPr>
          <w:p>
            <w:pPr>
              <w:spacing w:after="0"/>
              <w:rPr>
                <w:sz w:val="20"/>
                <w:szCs w:val="20"/>
                <w:color w:val="auto"/>
              </w:rPr>
            </w:pPr>
          </w:p>
        </w:tc>
      </w:tr>
      <w:tr>
        <w:trPr>
          <w:trHeight w:val="602"/>
        </w:trPr>
        <w:tc>
          <w:tcPr>
            <w:tcW w:w="4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92"/>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4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-1042035</wp:posOffset>
            </wp:positionV>
            <wp:extent cx="431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-1042035</wp:posOffset>
            </wp:positionV>
            <wp:extent cx="431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-1042035</wp:posOffset>
            </wp:positionV>
            <wp:extent cx="431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-1042035</wp:posOffset>
            </wp:positionV>
            <wp:extent cx="3429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-488315</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-471170</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-488315</wp:posOffset>
            </wp:positionV>
            <wp:extent cx="431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-471170</wp:posOffset>
            </wp:positionV>
            <wp:extent cx="43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-488315</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-471170</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-488315</wp:posOffset>
            </wp:positionV>
            <wp:extent cx="342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-471170</wp:posOffset>
            </wp:positionV>
            <wp:extent cx="342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4"/>
              </w:rPr>
              <w:t>Fair Value Measurements at September 30, 2021 Using:</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220" w:type="dxa"/>
            <w:vAlign w:val="bottom"/>
            <w:gridSpan w:val="2"/>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69"/>
        </w:trPr>
        <w:tc>
          <w:tcPr>
            <w:tcW w:w="4820" w:type="dxa"/>
            <w:vAlign w:val="bottom"/>
            <w:shd w:val="clear" w:color="auto" w:fill="CFF2FC"/>
          </w:tcPr>
          <w:p>
            <w:pPr>
              <w:spacing w:after="0"/>
              <w:rPr>
                <w:sz w:val="14"/>
                <w:szCs w:val="14"/>
                <w:color w:val="auto"/>
              </w:rPr>
            </w:pPr>
          </w:p>
        </w:tc>
        <w:tc>
          <w:tcPr>
            <w:tcW w:w="300" w:type="dxa"/>
            <w:vAlign w:val="bottom"/>
            <w:shd w:val="clear" w:color="auto" w:fill="CFF2FC"/>
          </w:tcPr>
          <w:p>
            <w:pPr>
              <w:spacing w:after="0"/>
              <w:rPr>
                <w:sz w:val="14"/>
                <w:szCs w:val="14"/>
                <w:color w:val="auto"/>
              </w:rPr>
            </w:pPr>
          </w:p>
        </w:tc>
        <w:tc>
          <w:tcPr>
            <w:tcW w:w="1120" w:type="dxa"/>
            <w:vAlign w:val="bottom"/>
            <w:shd w:val="clear" w:color="auto" w:fill="CFF2FC"/>
          </w:tcPr>
          <w:p>
            <w:pPr>
              <w:spacing w:after="0"/>
              <w:rPr>
                <w:sz w:val="14"/>
                <w:szCs w:val="14"/>
                <w:color w:val="auto"/>
              </w:rPr>
            </w:pPr>
          </w:p>
        </w:tc>
        <w:tc>
          <w:tcPr>
            <w:tcW w:w="240" w:type="dxa"/>
            <w:vAlign w:val="bottom"/>
            <w:shd w:val="clear" w:color="auto" w:fill="CFF2FC"/>
          </w:tcPr>
          <w:p>
            <w:pPr>
              <w:spacing w:after="0"/>
              <w:rPr>
                <w:sz w:val="14"/>
                <w:szCs w:val="14"/>
                <w:color w:val="auto"/>
              </w:rPr>
            </w:pPr>
          </w:p>
        </w:tc>
        <w:tc>
          <w:tcPr>
            <w:tcW w:w="300" w:type="dxa"/>
            <w:vAlign w:val="bottom"/>
            <w:shd w:val="clear" w:color="auto" w:fill="CFF2FC"/>
          </w:tcPr>
          <w:p>
            <w:pPr>
              <w:spacing w:after="0"/>
              <w:rPr>
                <w:sz w:val="14"/>
                <w:szCs w:val="14"/>
                <w:color w:val="auto"/>
              </w:rPr>
            </w:pPr>
          </w:p>
        </w:tc>
        <w:tc>
          <w:tcPr>
            <w:tcW w:w="1120" w:type="dxa"/>
            <w:vAlign w:val="bottom"/>
            <w:shd w:val="clear" w:color="auto" w:fill="CFF2FC"/>
          </w:tcPr>
          <w:p>
            <w:pPr>
              <w:jc w:val="right"/>
              <w:ind w:right="74"/>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shd w:val="clear" w:color="auto" w:fill="CFF2FC"/>
          </w:tcPr>
          <w:p>
            <w:pPr>
              <w:jc w:val="right"/>
              <w:ind w:right="10"/>
              <w:spacing w:after="0"/>
              <w:rPr>
                <w:sz w:val="20"/>
                <w:szCs w:val="20"/>
                <w:color w:val="auto"/>
              </w:rPr>
            </w:pPr>
            <w:r>
              <w:rPr>
                <w:rFonts w:ascii="Arial" w:cs="Arial" w:eastAsia="Arial" w:hAnsi="Arial"/>
                <w:sz w:val="13"/>
                <w:szCs w:val="13"/>
                <w:b w:val="1"/>
                <w:bCs w:val="1"/>
                <w:color w:val="auto"/>
                <w:w w:val="74"/>
              </w:rPr>
              <w:t>thousands)</w:t>
            </w:r>
          </w:p>
        </w:tc>
        <w:tc>
          <w:tcPr>
            <w:tcW w:w="1020" w:type="dxa"/>
            <w:vAlign w:val="bottom"/>
            <w:shd w:val="clear" w:color="auto" w:fill="CFF2FC"/>
          </w:tcPr>
          <w:p>
            <w:pPr>
              <w:spacing w:after="0"/>
              <w:rPr>
                <w:sz w:val="14"/>
                <w:szCs w:val="14"/>
                <w:color w:val="auto"/>
              </w:rPr>
            </w:pPr>
          </w:p>
        </w:tc>
        <w:tc>
          <w:tcPr>
            <w:tcW w:w="80" w:type="dxa"/>
            <w:vAlign w:val="bottom"/>
            <w:shd w:val="clear" w:color="auto" w:fill="CFF2FC"/>
          </w:tcPr>
          <w:p>
            <w:pPr>
              <w:spacing w:after="0"/>
              <w:rPr>
                <w:sz w:val="14"/>
                <w:szCs w:val="14"/>
                <w:color w:val="auto"/>
              </w:rPr>
            </w:pPr>
          </w:p>
        </w:tc>
        <w:tc>
          <w:tcPr>
            <w:tcW w:w="140" w:type="dxa"/>
            <w:vAlign w:val="bottom"/>
            <w:shd w:val="clear" w:color="auto" w:fill="CFF2FC"/>
          </w:tcPr>
          <w:p>
            <w:pPr>
              <w:spacing w:after="0"/>
              <w:rPr>
                <w:sz w:val="14"/>
                <w:szCs w:val="14"/>
                <w:color w:val="auto"/>
              </w:rPr>
            </w:pPr>
          </w:p>
        </w:tc>
        <w:tc>
          <w:tcPr>
            <w:tcW w:w="320" w:type="dxa"/>
            <w:vAlign w:val="bottom"/>
            <w:shd w:val="clear" w:color="auto" w:fill="CFF2FC"/>
          </w:tcPr>
          <w:p>
            <w:pPr>
              <w:spacing w:after="0"/>
              <w:rPr>
                <w:sz w:val="14"/>
                <w:szCs w:val="14"/>
                <w:color w:val="auto"/>
              </w:rPr>
            </w:pPr>
          </w:p>
        </w:tc>
        <w:tc>
          <w:tcPr>
            <w:tcW w:w="1080" w:type="dxa"/>
            <w:vAlign w:val="bottom"/>
            <w:shd w:val="clear" w:color="auto" w:fill="CFF2FC"/>
          </w:tcPr>
          <w:p>
            <w:pPr>
              <w:spacing w:after="0"/>
              <w:rPr>
                <w:sz w:val="14"/>
                <w:szCs w:val="14"/>
                <w:color w:val="auto"/>
              </w:rPr>
            </w:pPr>
          </w:p>
        </w:tc>
        <w:tc>
          <w:tcPr>
            <w:tcW w:w="60" w:type="dxa"/>
            <w:vAlign w:val="bottom"/>
            <w:shd w:val="clear" w:color="auto" w:fill="CFF2FC"/>
          </w:tcPr>
          <w:p>
            <w:pPr>
              <w:spacing w:after="0"/>
              <w:rPr>
                <w:sz w:val="14"/>
                <w:szCs w:val="14"/>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820" w:type="dxa"/>
            <w:vAlign w:val="bottom"/>
            <w:shd w:val="clear" w:color="auto" w:fill="CFF2FC"/>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300" w:type="dxa"/>
            <w:vAlign w:val="bottom"/>
            <w:shd w:val="clear" w:color="auto" w:fill="CFF2FC"/>
          </w:tcPr>
          <w:p>
            <w:pPr>
              <w:spacing w:after="0"/>
              <w:rPr>
                <w:sz w:val="17"/>
                <w:szCs w:val="17"/>
                <w:color w:val="auto"/>
              </w:rPr>
            </w:pPr>
          </w:p>
        </w:tc>
        <w:tc>
          <w:tcPr>
            <w:tcW w:w="112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300" w:type="dxa"/>
            <w:vAlign w:val="bottom"/>
            <w:shd w:val="clear" w:color="auto" w:fill="CFF2FC"/>
          </w:tcPr>
          <w:p>
            <w:pPr>
              <w:spacing w:after="0"/>
              <w:rPr>
                <w:sz w:val="17"/>
                <w:szCs w:val="17"/>
                <w:color w:val="auto"/>
              </w:rPr>
            </w:pPr>
          </w:p>
        </w:tc>
        <w:tc>
          <w:tcPr>
            <w:tcW w:w="112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400" w:type="dxa"/>
            <w:vAlign w:val="bottom"/>
            <w:shd w:val="clear" w:color="auto" w:fill="CFF2FC"/>
          </w:tcPr>
          <w:p>
            <w:pPr>
              <w:spacing w:after="0"/>
              <w:rPr>
                <w:sz w:val="17"/>
                <w:szCs w:val="17"/>
                <w:color w:val="auto"/>
              </w:rPr>
            </w:pPr>
          </w:p>
        </w:tc>
        <w:tc>
          <w:tcPr>
            <w:tcW w:w="1020" w:type="dxa"/>
            <w:vAlign w:val="bottom"/>
            <w:shd w:val="clear" w:color="auto" w:fill="CFF2FC"/>
          </w:tcPr>
          <w:p>
            <w:pPr>
              <w:spacing w:after="0"/>
              <w:rPr>
                <w:sz w:val="17"/>
                <w:szCs w:val="17"/>
                <w:color w:val="auto"/>
              </w:rPr>
            </w:pPr>
          </w:p>
        </w:tc>
        <w:tc>
          <w:tcPr>
            <w:tcW w:w="80" w:type="dxa"/>
            <w:vAlign w:val="bottom"/>
            <w:shd w:val="clear" w:color="auto" w:fill="CFF2FC"/>
          </w:tcPr>
          <w:p>
            <w:pPr>
              <w:spacing w:after="0"/>
              <w:rPr>
                <w:sz w:val="17"/>
                <w:szCs w:val="17"/>
                <w:color w:val="auto"/>
              </w:rPr>
            </w:pPr>
          </w:p>
        </w:tc>
        <w:tc>
          <w:tcPr>
            <w:tcW w:w="140" w:type="dxa"/>
            <w:vAlign w:val="bottom"/>
            <w:shd w:val="clear" w:color="auto" w:fill="CFF2FC"/>
          </w:tcPr>
          <w:p>
            <w:pPr>
              <w:spacing w:after="0"/>
              <w:rPr>
                <w:sz w:val="17"/>
                <w:szCs w:val="17"/>
                <w:color w:val="auto"/>
              </w:rPr>
            </w:pPr>
          </w:p>
        </w:tc>
        <w:tc>
          <w:tcPr>
            <w:tcW w:w="320" w:type="dxa"/>
            <w:vAlign w:val="bottom"/>
            <w:shd w:val="clear" w:color="auto" w:fill="CFF2FC"/>
          </w:tcPr>
          <w:p>
            <w:pPr>
              <w:spacing w:after="0"/>
              <w:rPr>
                <w:sz w:val="17"/>
                <w:szCs w:val="17"/>
                <w:color w:val="auto"/>
              </w:rPr>
            </w:pPr>
          </w:p>
        </w:tc>
        <w:tc>
          <w:tcPr>
            <w:tcW w:w="1080" w:type="dxa"/>
            <w:vAlign w:val="bottom"/>
            <w:shd w:val="clear" w:color="auto" w:fill="CFF2FC"/>
          </w:tcPr>
          <w:p>
            <w:pPr>
              <w:spacing w:after="0"/>
              <w:rPr>
                <w:sz w:val="17"/>
                <w:szCs w:val="17"/>
                <w:color w:val="auto"/>
              </w:rPr>
            </w:pPr>
          </w:p>
        </w:tc>
        <w:tc>
          <w:tcPr>
            <w:tcW w:w="60" w:type="dxa"/>
            <w:vAlign w:val="bottom"/>
            <w:shd w:val="clear" w:color="auto" w:fill="CFF2FC"/>
          </w:tcPr>
          <w:p>
            <w:pPr>
              <w:spacing w:after="0"/>
              <w:rPr>
                <w:sz w:val="17"/>
                <w:szCs w:val="17"/>
                <w:color w:val="auto"/>
              </w:rPr>
            </w:pPr>
          </w:p>
        </w:tc>
      </w:tr>
      <w:tr>
        <w:trPr>
          <w:trHeight w:val="203"/>
        </w:trPr>
        <w:tc>
          <w:tcPr>
            <w:tcW w:w="4820" w:type="dxa"/>
            <w:vAlign w:val="bottom"/>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54,819</w:t>
            </w:r>
          </w:p>
        </w:tc>
        <w:tc>
          <w:tcPr>
            <w:tcW w:w="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54,819</w:t>
            </w:r>
          </w:p>
        </w:tc>
        <w:tc>
          <w:tcPr>
            <w:tcW w:w="60" w:type="dxa"/>
            <w:vAlign w:val="bottom"/>
          </w:tcPr>
          <w:p>
            <w:pPr>
              <w:spacing w:after="0"/>
              <w:rPr>
                <w:sz w:val="17"/>
                <w:szCs w:val="17"/>
                <w:color w:val="auto"/>
              </w:rPr>
            </w:pPr>
          </w:p>
        </w:tc>
      </w:tr>
      <w:tr>
        <w:trPr>
          <w:trHeight w:val="203"/>
        </w:trPr>
        <w:tc>
          <w:tcPr>
            <w:tcW w:w="4820" w:type="dxa"/>
            <w:vAlign w:val="bottom"/>
            <w:shd w:val="clear" w:color="auto" w:fill="CFF2FC"/>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FF2FC"/>
          </w:tcPr>
          <w:p>
            <w:pPr>
              <w:spacing w:after="0"/>
              <w:rPr>
                <w:sz w:val="17"/>
                <w:szCs w:val="17"/>
                <w:color w:val="auto"/>
              </w:rPr>
            </w:pPr>
          </w:p>
        </w:tc>
        <w:tc>
          <w:tcPr>
            <w:tcW w:w="112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300" w:type="dxa"/>
            <w:vAlign w:val="bottom"/>
            <w:shd w:val="clear" w:color="auto" w:fill="CFF2FC"/>
          </w:tcPr>
          <w:p>
            <w:pPr>
              <w:spacing w:after="0"/>
              <w:rPr>
                <w:sz w:val="17"/>
                <w:szCs w:val="17"/>
                <w:color w:val="auto"/>
              </w:rPr>
            </w:pPr>
          </w:p>
        </w:tc>
        <w:tc>
          <w:tcPr>
            <w:tcW w:w="1120" w:type="dxa"/>
            <w:vAlign w:val="bottom"/>
            <w:shd w:val="clear" w:color="auto" w:fill="CFF2FC"/>
          </w:tcPr>
          <w:p>
            <w:pPr>
              <w:spacing w:after="0"/>
              <w:rPr>
                <w:sz w:val="17"/>
                <w:szCs w:val="17"/>
                <w:color w:val="auto"/>
              </w:rPr>
            </w:pPr>
          </w:p>
        </w:tc>
        <w:tc>
          <w:tcPr>
            <w:tcW w:w="240" w:type="dxa"/>
            <w:vAlign w:val="bottom"/>
            <w:shd w:val="clear" w:color="auto" w:fill="CFF2FC"/>
          </w:tcPr>
          <w:p>
            <w:pPr>
              <w:spacing w:after="0"/>
              <w:rPr>
                <w:sz w:val="17"/>
                <w:szCs w:val="17"/>
                <w:color w:val="auto"/>
              </w:rPr>
            </w:pPr>
          </w:p>
        </w:tc>
        <w:tc>
          <w:tcPr>
            <w:tcW w:w="400" w:type="dxa"/>
            <w:vAlign w:val="bottom"/>
            <w:shd w:val="clear" w:color="auto" w:fill="CFF2FC"/>
          </w:tcPr>
          <w:p>
            <w:pPr>
              <w:spacing w:after="0"/>
              <w:rPr>
                <w:sz w:val="17"/>
                <w:szCs w:val="17"/>
                <w:color w:val="auto"/>
              </w:rPr>
            </w:pPr>
          </w:p>
        </w:tc>
        <w:tc>
          <w:tcPr>
            <w:tcW w:w="1020" w:type="dxa"/>
            <w:vAlign w:val="bottom"/>
            <w:shd w:val="clear" w:color="auto" w:fill="CFF2FC"/>
          </w:tcPr>
          <w:p>
            <w:pPr>
              <w:spacing w:after="0"/>
              <w:rPr>
                <w:sz w:val="17"/>
                <w:szCs w:val="17"/>
                <w:color w:val="auto"/>
              </w:rPr>
            </w:pPr>
          </w:p>
        </w:tc>
        <w:tc>
          <w:tcPr>
            <w:tcW w:w="80" w:type="dxa"/>
            <w:vAlign w:val="bottom"/>
            <w:shd w:val="clear" w:color="auto" w:fill="CFF2FC"/>
          </w:tcPr>
          <w:p>
            <w:pPr>
              <w:spacing w:after="0"/>
              <w:rPr>
                <w:sz w:val="17"/>
                <w:szCs w:val="17"/>
                <w:color w:val="auto"/>
              </w:rPr>
            </w:pPr>
          </w:p>
        </w:tc>
        <w:tc>
          <w:tcPr>
            <w:tcW w:w="140" w:type="dxa"/>
            <w:vAlign w:val="bottom"/>
            <w:shd w:val="clear" w:color="auto" w:fill="CFF2FC"/>
          </w:tcPr>
          <w:p>
            <w:pPr>
              <w:spacing w:after="0"/>
              <w:rPr>
                <w:sz w:val="17"/>
                <w:szCs w:val="17"/>
                <w:color w:val="auto"/>
              </w:rPr>
            </w:pPr>
          </w:p>
        </w:tc>
        <w:tc>
          <w:tcPr>
            <w:tcW w:w="320" w:type="dxa"/>
            <w:vAlign w:val="bottom"/>
            <w:shd w:val="clear" w:color="auto" w:fill="CFF2FC"/>
          </w:tcPr>
          <w:p>
            <w:pPr>
              <w:spacing w:after="0"/>
              <w:rPr>
                <w:sz w:val="17"/>
                <w:szCs w:val="17"/>
                <w:color w:val="auto"/>
              </w:rPr>
            </w:pPr>
          </w:p>
        </w:tc>
        <w:tc>
          <w:tcPr>
            <w:tcW w:w="1080" w:type="dxa"/>
            <w:vAlign w:val="bottom"/>
            <w:shd w:val="clear" w:color="auto" w:fill="CFF2FC"/>
          </w:tcPr>
          <w:p>
            <w:pPr>
              <w:spacing w:after="0"/>
              <w:rPr>
                <w:sz w:val="17"/>
                <w:szCs w:val="17"/>
                <w:color w:val="auto"/>
              </w:rPr>
            </w:pPr>
          </w:p>
        </w:tc>
        <w:tc>
          <w:tcPr>
            <w:tcW w:w="60" w:type="dxa"/>
            <w:vAlign w:val="bottom"/>
            <w:shd w:val="clear" w:color="auto" w:fill="CFF2FC"/>
          </w:tcPr>
          <w:p>
            <w:pPr>
              <w:spacing w:after="0"/>
              <w:rPr>
                <w:sz w:val="17"/>
                <w:szCs w:val="17"/>
                <w:color w:val="auto"/>
              </w:rPr>
            </w:pPr>
          </w:p>
        </w:tc>
      </w:tr>
      <w:tr>
        <w:trPr>
          <w:trHeight w:val="203"/>
        </w:trPr>
        <w:tc>
          <w:tcPr>
            <w:tcW w:w="4820" w:type="dxa"/>
            <w:vAlign w:val="bottom"/>
          </w:tcPr>
          <w:p>
            <w:pPr>
              <w:ind w:left="120"/>
              <w:spacing w:after="0" w:line="202" w:lineRule="exact"/>
              <w:rPr>
                <w:sz w:val="20"/>
                <w:szCs w:val="20"/>
                <w:color w:val="auto"/>
              </w:rPr>
            </w:pPr>
            <w:r>
              <w:rPr>
                <w:rFonts w:ascii="Arial" w:cs="Arial" w:eastAsia="Arial" w:hAnsi="Arial"/>
                <w:sz w:val="18"/>
                <w:szCs w:val="18"/>
                <w:color w:val="auto"/>
              </w:rPr>
              <w:t>U.S. Treasury notes</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83,038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83,038</w:t>
            </w:r>
          </w:p>
        </w:tc>
        <w:tc>
          <w:tcPr>
            <w:tcW w:w="60" w:type="dxa"/>
            <w:vAlign w:val="bottom"/>
          </w:tcPr>
          <w:p>
            <w:pPr>
              <w:spacing w:after="0"/>
              <w:rPr>
                <w:sz w:val="17"/>
                <w:szCs w:val="17"/>
                <w:color w:val="auto"/>
              </w:rPr>
            </w:pPr>
          </w:p>
        </w:tc>
      </w:tr>
      <w:tr>
        <w:trPr>
          <w:trHeight w:val="203"/>
        </w:trPr>
        <w:tc>
          <w:tcPr>
            <w:tcW w:w="4820" w:type="dxa"/>
            <w:vAlign w:val="bottom"/>
            <w:shd w:val="clear" w:color="auto" w:fill="CFF2FC"/>
          </w:tcPr>
          <w:p>
            <w:pPr>
              <w:ind w:left="120"/>
              <w:spacing w:after="0" w:line="202" w:lineRule="exact"/>
              <w:rPr>
                <w:sz w:val="20"/>
                <w:szCs w:val="20"/>
                <w:color w:val="auto"/>
              </w:rPr>
            </w:pPr>
            <w:r>
              <w:rPr>
                <w:rFonts w:ascii="Arial" w:cs="Arial" w:eastAsia="Arial" w:hAnsi="Arial"/>
                <w:sz w:val="18"/>
                <w:szCs w:val="18"/>
                <w:color w:val="auto"/>
              </w:rPr>
              <w:t>Corporate bonds</w:t>
            </w:r>
          </w:p>
        </w:tc>
        <w:tc>
          <w:tcPr>
            <w:tcW w:w="300" w:type="dxa"/>
            <w:vAlign w:val="bottom"/>
            <w:shd w:val="clear" w:color="auto" w:fill="CFF2FC"/>
          </w:tcPr>
          <w:p>
            <w:pPr>
              <w:spacing w:after="0"/>
              <w:rPr>
                <w:sz w:val="17"/>
                <w:szCs w:val="17"/>
                <w:color w:val="auto"/>
              </w:rPr>
            </w:pPr>
          </w:p>
        </w:tc>
        <w:tc>
          <w:tcPr>
            <w:tcW w:w="1120" w:type="dxa"/>
            <w:vAlign w:val="bottom"/>
            <w:shd w:val="clear" w:color="auto" w:fill="CFF2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7"/>
                <w:szCs w:val="17"/>
                <w:color w:val="auto"/>
              </w:rPr>
            </w:pPr>
          </w:p>
        </w:tc>
        <w:tc>
          <w:tcPr>
            <w:tcW w:w="300" w:type="dxa"/>
            <w:vAlign w:val="bottom"/>
            <w:shd w:val="clear" w:color="auto" w:fill="CFF2FC"/>
          </w:tcPr>
          <w:p>
            <w:pPr>
              <w:spacing w:after="0"/>
              <w:rPr>
                <w:sz w:val="17"/>
                <w:szCs w:val="17"/>
                <w:color w:val="auto"/>
              </w:rPr>
            </w:pPr>
          </w:p>
        </w:tc>
        <w:tc>
          <w:tcPr>
            <w:tcW w:w="1120" w:type="dxa"/>
            <w:vAlign w:val="bottom"/>
            <w:shd w:val="clear" w:color="auto" w:fill="CFF2FC"/>
          </w:tcPr>
          <w:p>
            <w:pPr>
              <w:jc w:val="right"/>
              <w:spacing w:after="0" w:line="202" w:lineRule="exact"/>
              <w:rPr>
                <w:sz w:val="20"/>
                <w:szCs w:val="20"/>
                <w:color w:val="auto"/>
              </w:rPr>
            </w:pPr>
            <w:r>
              <w:rPr>
                <w:rFonts w:ascii="Arial" w:cs="Arial" w:eastAsia="Arial" w:hAnsi="Arial"/>
                <w:sz w:val="18"/>
                <w:szCs w:val="18"/>
                <w:color w:val="auto"/>
              </w:rPr>
              <w:t>124,703</w:t>
            </w:r>
          </w:p>
        </w:tc>
        <w:tc>
          <w:tcPr>
            <w:tcW w:w="240" w:type="dxa"/>
            <w:vAlign w:val="bottom"/>
            <w:shd w:val="clear" w:color="auto" w:fill="CFF2FC"/>
          </w:tcPr>
          <w:p>
            <w:pPr>
              <w:spacing w:after="0"/>
              <w:rPr>
                <w:sz w:val="17"/>
                <w:szCs w:val="17"/>
                <w:color w:val="auto"/>
              </w:rPr>
            </w:pPr>
          </w:p>
        </w:tc>
        <w:tc>
          <w:tcPr>
            <w:tcW w:w="400" w:type="dxa"/>
            <w:vAlign w:val="bottom"/>
            <w:shd w:val="clear" w:color="auto" w:fill="CFF2FC"/>
          </w:tcPr>
          <w:p>
            <w:pPr>
              <w:spacing w:after="0"/>
              <w:rPr>
                <w:sz w:val="17"/>
                <w:szCs w:val="17"/>
                <w:color w:val="auto"/>
              </w:rPr>
            </w:pPr>
          </w:p>
        </w:tc>
        <w:tc>
          <w:tcPr>
            <w:tcW w:w="1240" w:type="dxa"/>
            <w:vAlign w:val="bottom"/>
            <w:gridSpan w:val="3"/>
            <w:shd w:val="clear" w:color="auto" w:fill="CFF2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2FC"/>
          </w:tcPr>
          <w:p>
            <w:pPr>
              <w:spacing w:after="0"/>
              <w:rPr>
                <w:sz w:val="17"/>
                <w:szCs w:val="17"/>
                <w:color w:val="auto"/>
              </w:rPr>
            </w:pPr>
          </w:p>
        </w:tc>
        <w:tc>
          <w:tcPr>
            <w:tcW w:w="1080" w:type="dxa"/>
            <w:vAlign w:val="bottom"/>
            <w:shd w:val="clear" w:color="auto" w:fill="CFF2FC"/>
          </w:tcPr>
          <w:p>
            <w:pPr>
              <w:jc w:val="right"/>
              <w:spacing w:after="0" w:line="202" w:lineRule="exact"/>
              <w:rPr>
                <w:sz w:val="20"/>
                <w:szCs w:val="20"/>
                <w:color w:val="auto"/>
              </w:rPr>
            </w:pPr>
            <w:r>
              <w:rPr>
                <w:rFonts w:ascii="Arial" w:cs="Arial" w:eastAsia="Arial" w:hAnsi="Arial"/>
                <w:sz w:val="18"/>
                <w:szCs w:val="18"/>
                <w:color w:val="auto"/>
              </w:rPr>
              <w:t>124,703</w:t>
            </w:r>
          </w:p>
        </w:tc>
        <w:tc>
          <w:tcPr>
            <w:tcW w:w="60" w:type="dxa"/>
            <w:vAlign w:val="bottom"/>
            <w:shd w:val="clear" w:color="auto" w:fill="CFF2FC"/>
          </w:tcPr>
          <w:p>
            <w:pPr>
              <w:spacing w:after="0"/>
              <w:rPr>
                <w:sz w:val="17"/>
                <w:szCs w:val="17"/>
                <w:color w:val="auto"/>
              </w:rPr>
            </w:pPr>
          </w:p>
        </w:tc>
      </w:tr>
      <w:tr>
        <w:trPr>
          <w:trHeight w:val="203"/>
        </w:trPr>
        <w:tc>
          <w:tcPr>
            <w:tcW w:w="4820" w:type="dxa"/>
            <w:vAlign w:val="bottom"/>
          </w:tcPr>
          <w:p>
            <w:pPr>
              <w:ind w:left="120"/>
              <w:spacing w:after="0" w:line="202" w:lineRule="exact"/>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87,471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87,471</w:t>
            </w:r>
          </w:p>
        </w:tc>
        <w:tc>
          <w:tcPr>
            <w:tcW w:w="60" w:type="dxa"/>
            <w:vAlign w:val="bottom"/>
          </w:tcPr>
          <w:p>
            <w:pPr>
              <w:spacing w:after="0"/>
              <w:rPr>
                <w:sz w:val="17"/>
                <w:szCs w:val="17"/>
                <w:color w:val="auto"/>
              </w:rPr>
            </w:pPr>
          </w:p>
        </w:tc>
      </w:tr>
      <w:tr>
        <w:trPr>
          <w:trHeight w:val="236"/>
        </w:trPr>
        <w:tc>
          <w:tcPr>
            <w:tcW w:w="4820" w:type="dxa"/>
            <w:vAlign w:val="bottom"/>
            <w:tcBorders>
              <w:bottom w:val="single" w:sz="8" w:color="CFF2FC"/>
            </w:tcBorders>
            <w:shd w:val="clear" w:color="auto" w:fill="CFF2FC"/>
          </w:tcPr>
          <w:p>
            <w:pPr>
              <w:spacing w:after="0"/>
              <w:rPr>
                <w:sz w:val="20"/>
                <w:szCs w:val="20"/>
                <w:color w:val="auto"/>
              </w:rPr>
            </w:pPr>
          </w:p>
        </w:tc>
        <w:tc>
          <w:tcPr>
            <w:tcW w:w="300" w:type="dxa"/>
            <w:vAlign w:val="bottom"/>
            <w:tcBorders>
              <w:top w:val="single" w:sz="8" w:color="auto"/>
              <w:bottom w:val="single" w:sz="8" w:color="auto"/>
            </w:tcBorders>
            <w:shd w:val="clear" w:color="auto" w:fill="CFF2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2FC"/>
          </w:tcPr>
          <w:p>
            <w:pPr>
              <w:jc w:val="right"/>
              <w:spacing w:after="0" w:line="196" w:lineRule="exact"/>
              <w:rPr>
                <w:sz w:val="20"/>
                <w:szCs w:val="20"/>
                <w:color w:val="auto"/>
              </w:rPr>
            </w:pPr>
            <w:r>
              <w:rPr>
                <w:rFonts w:ascii="Arial" w:cs="Arial" w:eastAsia="Arial" w:hAnsi="Arial"/>
                <w:sz w:val="18"/>
                <w:szCs w:val="18"/>
                <w:color w:val="auto"/>
              </w:rPr>
              <w:t>137,857</w:t>
            </w:r>
          </w:p>
        </w:tc>
        <w:tc>
          <w:tcPr>
            <w:tcW w:w="240" w:type="dxa"/>
            <w:vAlign w:val="bottom"/>
            <w:tcBorders>
              <w:bottom w:val="single" w:sz="8" w:color="CFF2FC"/>
            </w:tcBorders>
            <w:shd w:val="clear" w:color="auto" w:fill="CFF2FC"/>
          </w:tcPr>
          <w:p>
            <w:pPr>
              <w:spacing w:after="0"/>
              <w:rPr>
                <w:sz w:val="20"/>
                <w:szCs w:val="20"/>
                <w:color w:val="auto"/>
              </w:rPr>
            </w:pPr>
          </w:p>
        </w:tc>
        <w:tc>
          <w:tcPr>
            <w:tcW w:w="300" w:type="dxa"/>
            <w:vAlign w:val="bottom"/>
            <w:tcBorders>
              <w:top w:val="single" w:sz="8" w:color="auto"/>
              <w:bottom w:val="single" w:sz="8" w:color="auto"/>
            </w:tcBorders>
            <w:shd w:val="clear" w:color="auto" w:fill="CFF2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2FC"/>
          </w:tcPr>
          <w:p>
            <w:pPr>
              <w:jc w:val="right"/>
              <w:spacing w:after="0" w:line="196" w:lineRule="exact"/>
              <w:rPr>
                <w:sz w:val="20"/>
                <w:szCs w:val="20"/>
                <w:color w:val="auto"/>
              </w:rPr>
            </w:pPr>
            <w:r>
              <w:rPr>
                <w:rFonts w:ascii="Arial" w:cs="Arial" w:eastAsia="Arial" w:hAnsi="Arial"/>
                <w:sz w:val="18"/>
                <w:szCs w:val="18"/>
                <w:color w:val="auto"/>
              </w:rPr>
              <w:t>212,174</w:t>
            </w:r>
          </w:p>
        </w:tc>
        <w:tc>
          <w:tcPr>
            <w:tcW w:w="240" w:type="dxa"/>
            <w:vAlign w:val="bottom"/>
            <w:tcBorders>
              <w:bottom w:val="single" w:sz="8" w:color="CFF2FC"/>
            </w:tcBorders>
            <w:shd w:val="clear" w:color="auto" w:fill="CFF2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2FC"/>
            </w:tcBorders>
            <w:shd w:val="clear" w:color="auto" w:fill="CFF2FC"/>
          </w:tcPr>
          <w:p>
            <w:pPr>
              <w:spacing w:after="0"/>
              <w:rPr>
                <w:sz w:val="20"/>
                <w:szCs w:val="20"/>
                <w:color w:val="auto"/>
              </w:rPr>
            </w:pPr>
          </w:p>
        </w:tc>
        <w:tc>
          <w:tcPr>
            <w:tcW w:w="320" w:type="dxa"/>
            <w:vAlign w:val="bottom"/>
            <w:tcBorders>
              <w:top w:val="single" w:sz="8" w:color="auto"/>
              <w:bottom w:val="single" w:sz="8" w:color="auto"/>
            </w:tcBorders>
            <w:shd w:val="clear" w:color="auto" w:fill="CFF2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2FC"/>
          </w:tcPr>
          <w:p>
            <w:pPr>
              <w:jc w:val="right"/>
              <w:spacing w:after="0" w:line="196" w:lineRule="exact"/>
              <w:rPr>
                <w:sz w:val="20"/>
                <w:szCs w:val="20"/>
                <w:color w:val="auto"/>
              </w:rPr>
            </w:pPr>
            <w:r>
              <w:rPr>
                <w:rFonts w:ascii="Arial" w:cs="Arial" w:eastAsia="Arial" w:hAnsi="Arial"/>
                <w:sz w:val="18"/>
                <w:szCs w:val="18"/>
                <w:color w:val="auto"/>
              </w:rPr>
              <w:t>350,031</w:t>
            </w:r>
          </w:p>
        </w:tc>
        <w:tc>
          <w:tcPr>
            <w:tcW w:w="60" w:type="dxa"/>
            <w:vAlign w:val="bottom"/>
            <w:tcBorders>
              <w:bottom w:val="single" w:sz="8" w:color="CFF2FC"/>
            </w:tcBorders>
            <w:shd w:val="clear" w:color="auto" w:fill="CFF2FC"/>
          </w:tcPr>
          <w:p>
            <w:pPr>
              <w:spacing w:after="0"/>
              <w:rPr>
                <w:sz w:val="20"/>
                <w:szCs w:val="20"/>
                <w:color w:val="auto"/>
              </w:rPr>
            </w:pPr>
          </w:p>
        </w:tc>
      </w:tr>
      <w:tr>
        <w:trPr>
          <w:trHeight w:val="183"/>
        </w:trPr>
        <w:tc>
          <w:tcPr>
            <w:tcW w:w="48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820" w:type="dxa"/>
            <w:vAlign w:val="bottom"/>
            <w:tcBorders>
              <w:bottom w:val="single" w:sz="8" w:color="CFF2FC"/>
            </w:tcBorders>
            <w:shd w:val="clear" w:color="auto" w:fill="CFF2FC"/>
          </w:tcPr>
          <w:p>
            <w:pPr>
              <w:ind w:left="20"/>
              <w:spacing w:after="0" w:line="202" w:lineRule="exact"/>
              <w:rPr>
                <w:sz w:val="20"/>
                <w:szCs w:val="20"/>
                <w:color w:val="auto"/>
              </w:rPr>
            </w:pPr>
            <w:r>
              <w:rPr>
                <w:rFonts w:ascii="Arial" w:cs="Arial" w:eastAsia="Arial" w:hAnsi="Arial"/>
                <w:sz w:val="18"/>
                <w:szCs w:val="18"/>
                <w:color w:val="auto"/>
              </w:rPr>
              <w:t>Series 1 nonconvertible preferred stock</w:t>
            </w:r>
          </w:p>
        </w:tc>
        <w:tc>
          <w:tcPr>
            <w:tcW w:w="300" w:type="dxa"/>
            <w:vAlign w:val="bottom"/>
            <w:tcBorders>
              <w:bottom w:val="single" w:sz="8" w:color="auto"/>
            </w:tcBorders>
            <w:shd w:val="clear" w:color="auto" w:fill="CFF2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shd w:val="clear" w:color="auto" w:fill="CFF2FC"/>
          </w:tcPr>
          <w:p>
            <w:pPr>
              <w:spacing w:after="0"/>
              <w:rPr>
                <w:sz w:val="17"/>
                <w:szCs w:val="17"/>
                <w:color w:val="auto"/>
              </w:rPr>
            </w:pPr>
          </w:p>
        </w:tc>
        <w:tc>
          <w:tcPr>
            <w:tcW w:w="300" w:type="dxa"/>
            <w:vAlign w:val="bottom"/>
            <w:tcBorders>
              <w:bottom w:val="single" w:sz="8" w:color="auto"/>
            </w:tcBorders>
            <w:shd w:val="clear" w:color="auto" w:fill="CFF2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shd w:val="clear" w:color="auto" w:fill="CFF2FC"/>
          </w:tcPr>
          <w:p>
            <w:pPr>
              <w:spacing w:after="0"/>
              <w:rPr>
                <w:sz w:val="17"/>
                <w:szCs w:val="17"/>
                <w:color w:val="auto"/>
              </w:rPr>
            </w:pPr>
          </w:p>
        </w:tc>
        <w:tc>
          <w:tcPr>
            <w:tcW w:w="400" w:type="dxa"/>
            <w:vAlign w:val="bottom"/>
            <w:tcBorders>
              <w:bottom w:val="single" w:sz="8" w:color="auto"/>
            </w:tcBorders>
            <w:shd w:val="clear" w:color="auto" w:fill="CFF2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1,506</w:t>
            </w:r>
          </w:p>
        </w:tc>
        <w:tc>
          <w:tcPr>
            <w:tcW w:w="80" w:type="dxa"/>
            <w:vAlign w:val="bottom"/>
            <w:tcBorders>
              <w:bottom w:val="single" w:sz="8" w:color="CFF2FC"/>
            </w:tcBorders>
            <w:shd w:val="clear" w:color="auto" w:fill="CFF2FC"/>
          </w:tcPr>
          <w:p>
            <w:pPr>
              <w:spacing w:after="0"/>
              <w:rPr>
                <w:sz w:val="17"/>
                <w:szCs w:val="17"/>
                <w:color w:val="auto"/>
              </w:rPr>
            </w:pPr>
          </w:p>
        </w:tc>
        <w:tc>
          <w:tcPr>
            <w:tcW w:w="140" w:type="dxa"/>
            <w:vAlign w:val="bottom"/>
            <w:tcBorders>
              <w:bottom w:val="single" w:sz="8" w:color="CFF2FC"/>
            </w:tcBorders>
            <w:shd w:val="clear" w:color="auto" w:fill="CFF2FC"/>
          </w:tcPr>
          <w:p>
            <w:pPr>
              <w:spacing w:after="0"/>
              <w:rPr>
                <w:sz w:val="17"/>
                <w:szCs w:val="17"/>
                <w:color w:val="auto"/>
              </w:rPr>
            </w:pPr>
          </w:p>
        </w:tc>
        <w:tc>
          <w:tcPr>
            <w:tcW w:w="320" w:type="dxa"/>
            <w:vAlign w:val="bottom"/>
            <w:tcBorders>
              <w:bottom w:val="single" w:sz="8" w:color="auto"/>
            </w:tcBorders>
            <w:shd w:val="clear" w:color="auto" w:fill="CFF2FC"/>
          </w:tcPr>
          <w:p>
            <w:pPr>
              <w:spacing w:after="0"/>
              <w:rPr>
                <w:sz w:val="17"/>
                <w:szCs w:val="17"/>
                <w:color w:val="auto"/>
              </w:rPr>
            </w:pPr>
          </w:p>
        </w:tc>
        <w:tc>
          <w:tcPr>
            <w:tcW w:w="108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1,506</w:t>
            </w:r>
          </w:p>
        </w:tc>
        <w:tc>
          <w:tcPr>
            <w:tcW w:w="60" w:type="dxa"/>
            <w:vAlign w:val="bottom"/>
            <w:tcBorders>
              <w:bottom w:val="single" w:sz="8" w:color="CFF2FC"/>
            </w:tcBorders>
            <w:shd w:val="clear" w:color="auto" w:fill="CFF2FC"/>
          </w:tcPr>
          <w:p>
            <w:pPr>
              <w:spacing w:after="0"/>
              <w:rPr>
                <w:sz w:val="17"/>
                <w:szCs w:val="17"/>
                <w:color w:val="auto"/>
              </w:rPr>
            </w:pPr>
          </w:p>
        </w:tc>
      </w:tr>
      <w:tr>
        <w:trPr>
          <w:trHeight w:val="196"/>
        </w:trPr>
        <w:tc>
          <w:tcPr>
            <w:tcW w:w="482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1,506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1,506</w:t>
            </w:r>
          </w:p>
        </w:tc>
        <w:tc>
          <w:tcPr>
            <w:tcW w:w="6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-445135</wp:posOffset>
            </wp:positionV>
            <wp:extent cx="43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-427990</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-445135</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-427990</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-445135</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-427990</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-445135</wp:posOffset>
            </wp:positionV>
            <wp:extent cx="342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-427990</wp:posOffset>
            </wp:positionV>
            <wp:extent cx="34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-159385</wp:posOffset>
            </wp:positionV>
            <wp:extent cx="431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-159385</wp:posOffset>
            </wp:positionV>
            <wp:extent cx="431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wp:posOffset>
            </wp:positionV>
            <wp:extent cx="431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March 31, 2022 and 2021, there were no transfers between Level 1, Level 2 and Level 3.</w:t>
      </w:r>
    </w:p>
    <w:p>
      <w:pPr>
        <w:spacing w:after="0" w:line="104"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The outstanding shares of Series 1 nonconvertible preferred stock are measured at fair value. The fair value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liquidation. Changes in the fair value of the Series 1 nonconvertible preferred stock are recognized in other income (expense), net in the consolidated statements of operations.</w:t>
      </w:r>
    </w:p>
    <w:p>
      <w:pPr>
        <w:spacing w:after="0" w:line="47"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Range</w:t>
            </w:r>
          </w:p>
        </w:tc>
      </w:tr>
      <w:tr>
        <w:trPr>
          <w:trHeight w:val="224"/>
        </w:trPr>
        <w:tc>
          <w:tcPr>
            <w:tcW w:w="5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ind w:left="1000"/>
              <w:spacing w:after="0"/>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ind w:left="660"/>
              <w:spacing w:after="0"/>
              <w:rPr>
                <w:sz w:val="20"/>
                <w:szCs w:val="20"/>
                <w:color w:val="auto"/>
              </w:rPr>
            </w:pPr>
            <w:r>
              <w:rPr>
                <w:rFonts w:ascii="Arial" w:cs="Arial" w:eastAsia="Arial" w:hAnsi="Arial"/>
                <w:sz w:val="14"/>
                <w:szCs w:val="14"/>
                <w:b w:val="1"/>
                <w:bCs w:val="1"/>
                <w:color w:val="auto"/>
              </w:rPr>
              <w:t>September 30,</w:t>
            </w:r>
          </w:p>
        </w:tc>
      </w:tr>
      <w:tr>
        <w:trPr>
          <w:trHeight w:val="188"/>
        </w:trPr>
        <w:tc>
          <w:tcPr>
            <w:tcW w:w="6100" w:type="dxa"/>
            <w:vAlign w:val="bottom"/>
            <w:gridSpan w:val="2"/>
          </w:tcPr>
          <w:p>
            <w:pPr>
              <w:ind w:left="2300"/>
              <w:spacing w:after="0"/>
              <w:rPr>
                <w:sz w:val="20"/>
                <w:szCs w:val="20"/>
                <w:color w:val="auto"/>
              </w:rPr>
            </w:pPr>
            <w:r>
              <w:rPr>
                <w:rFonts w:ascii="Arial" w:cs="Arial" w:eastAsia="Arial" w:hAnsi="Arial"/>
                <w:sz w:val="14"/>
                <w:szCs w:val="14"/>
                <w:b w:val="1"/>
                <w:bCs w:val="1"/>
                <w:color w:val="auto"/>
              </w:rPr>
              <w:t>Unobservable Input</w:t>
            </w:r>
          </w:p>
        </w:tc>
        <w:tc>
          <w:tcPr>
            <w:tcW w:w="2000" w:type="dxa"/>
            <w:vAlign w:val="bottom"/>
          </w:tcPr>
          <w:p>
            <w:pPr>
              <w:jc w:val="center"/>
              <w:ind w:left="559"/>
              <w:spacing w:after="0"/>
              <w:rPr>
                <w:sz w:val="20"/>
                <w:szCs w:val="20"/>
                <w:color w:val="auto"/>
              </w:rPr>
            </w:pPr>
            <w:r>
              <w:rPr>
                <w:rFonts w:ascii="Arial" w:cs="Arial" w:eastAsia="Arial" w:hAnsi="Arial"/>
                <w:sz w:val="14"/>
                <w:szCs w:val="14"/>
                <w:b w:val="1"/>
                <w:bCs w:val="1"/>
                <w:color w:val="auto"/>
                <w:w w:val="89"/>
              </w:rPr>
              <w:t>2022</w:t>
            </w:r>
          </w:p>
        </w:tc>
        <w:tc>
          <w:tcPr>
            <w:tcW w:w="3140" w:type="dxa"/>
            <w:vAlign w:val="bottom"/>
            <w:gridSpan w:val="3"/>
          </w:tcPr>
          <w:p>
            <w:pPr>
              <w:jc w:val="center"/>
              <w:ind w:left="842"/>
              <w:spacing w:after="0"/>
              <w:rPr>
                <w:sz w:val="20"/>
                <w:szCs w:val="20"/>
                <w:color w:val="auto"/>
              </w:rPr>
            </w:pPr>
            <w:r>
              <w:rPr>
                <w:rFonts w:ascii="Arial" w:cs="Arial" w:eastAsia="Arial" w:hAnsi="Arial"/>
                <w:sz w:val="14"/>
                <w:szCs w:val="14"/>
                <w:b w:val="1"/>
                <w:bCs w:val="1"/>
                <w:color w:val="auto"/>
                <w:w w:val="96"/>
              </w:rPr>
              <w:t>2021</w:t>
            </w:r>
          </w:p>
        </w:tc>
      </w:tr>
      <w:tr>
        <w:trPr>
          <w:trHeight w:val="196"/>
        </w:trPr>
        <w:tc>
          <w:tcPr>
            <w:tcW w:w="58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Probabilities of payout</w:t>
            </w:r>
          </w:p>
        </w:tc>
        <w:tc>
          <w:tcPr>
            <w:tcW w:w="280" w:type="dxa"/>
            <w:vAlign w:val="bottom"/>
            <w:shd w:val="clear" w:color="auto" w:fill="CFF0FC"/>
          </w:tcPr>
          <w:p>
            <w:pPr>
              <w:spacing w:after="0"/>
              <w:rPr>
                <w:sz w:val="17"/>
                <w:szCs w:val="17"/>
                <w:color w:val="auto"/>
              </w:rPr>
            </w:pPr>
          </w:p>
        </w:tc>
        <w:tc>
          <w:tcPr>
            <w:tcW w:w="2000" w:type="dxa"/>
            <w:vAlign w:val="bottom"/>
            <w:tcBorders>
              <w:top w:val="single" w:sz="8" w:color="auto"/>
            </w:tcBorders>
            <w:shd w:val="clear" w:color="auto" w:fill="CFF0FC"/>
          </w:tcPr>
          <w:p>
            <w:pPr>
              <w:jc w:val="center"/>
              <w:ind w:left="559"/>
              <w:spacing w:after="0" w:line="196" w:lineRule="exact"/>
              <w:rPr>
                <w:sz w:val="20"/>
                <w:szCs w:val="20"/>
                <w:color w:val="auto"/>
              </w:rPr>
            </w:pPr>
            <w:r>
              <w:rPr>
                <w:rFonts w:ascii="Arial" w:cs="Arial" w:eastAsia="Arial" w:hAnsi="Arial"/>
                <w:sz w:val="18"/>
                <w:szCs w:val="18"/>
                <w:color w:val="auto"/>
                <w:w w:val="94"/>
              </w:rPr>
              <w:t>0%-65%</w:t>
            </w:r>
          </w:p>
        </w:tc>
        <w:tc>
          <w:tcPr>
            <w:tcW w:w="6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0%-65%</w:t>
            </w: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2000" w:type="dxa"/>
            <w:vAlign w:val="bottom"/>
          </w:tcPr>
          <w:p>
            <w:pPr>
              <w:jc w:val="center"/>
              <w:ind w:left="559"/>
              <w:spacing w:after="0"/>
              <w:rPr>
                <w:sz w:val="20"/>
                <w:szCs w:val="20"/>
                <w:color w:val="auto"/>
              </w:rPr>
            </w:pPr>
            <w:r>
              <w:rPr>
                <w:rFonts w:ascii="Arial" w:cs="Arial" w:eastAsia="Arial" w:hAnsi="Arial"/>
                <w:sz w:val="18"/>
                <w:szCs w:val="18"/>
                <w:color w:val="auto"/>
                <w:w w:val="93"/>
              </w:rPr>
              <w:t>4.25%</w:t>
            </w:r>
          </w:p>
        </w:tc>
        <w:tc>
          <w:tcPr>
            <w:tcW w:w="3140" w:type="dxa"/>
            <w:vAlign w:val="bottom"/>
            <w:gridSpan w:val="3"/>
          </w:tcPr>
          <w:p>
            <w:pPr>
              <w:jc w:val="center"/>
              <w:ind w:left="842"/>
              <w:spacing w:after="0"/>
              <w:rPr>
                <w:sz w:val="20"/>
                <w:szCs w:val="20"/>
                <w:color w:val="auto"/>
              </w:rPr>
            </w:pPr>
            <w:r>
              <w:rPr>
                <w:rFonts w:ascii="Arial" w:cs="Arial" w:eastAsia="Arial" w:hAnsi="Arial"/>
                <w:sz w:val="18"/>
                <w:szCs w:val="18"/>
                <w:color w:val="auto"/>
                <w:w w:val="90"/>
              </w:rPr>
              <w:t>4.25%</w:t>
            </w:r>
          </w:p>
        </w:tc>
      </w:tr>
    </w:tbl>
    <w:p>
      <w:pPr>
        <w:spacing w:after="0" w:line="16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provides a rollforward of the aggregate fair values of the Company’s outstanding Series 1 nonconvertible preferred stock for which fair value is determined by Level 3 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jc w:val="center"/>
              <w:ind w:right="380"/>
              <w:spacing w:after="0"/>
              <w:rPr>
                <w:sz w:val="20"/>
                <w:szCs w:val="20"/>
                <w:color w:val="auto"/>
              </w:rPr>
            </w:pPr>
            <w:r>
              <w:rPr>
                <w:rFonts w:ascii="Arial" w:cs="Arial" w:eastAsia="Arial" w:hAnsi="Arial"/>
                <w:sz w:val="14"/>
                <w:szCs w:val="14"/>
                <w:b w:val="1"/>
                <w:bCs w:val="1"/>
                <w:color w:val="auto"/>
                <w:w w:val="85"/>
              </w:rPr>
              <w:t>Series 1</w:t>
            </w:r>
          </w:p>
        </w:tc>
        <w:tc>
          <w:tcPr>
            <w:tcW w:w="60" w:type="dxa"/>
            <w:vAlign w:val="bottom"/>
          </w:tcPr>
          <w:p>
            <w:pPr>
              <w:spacing w:after="0"/>
              <w:rPr>
                <w:sz w:val="14"/>
                <w:szCs w:val="14"/>
                <w:color w:val="auto"/>
              </w:rPr>
            </w:pPr>
          </w:p>
        </w:tc>
      </w:tr>
      <w:tr>
        <w:trPr>
          <w:trHeight w:val="149"/>
        </w:trPr>
        <w:tc>
          <w:tcPr>
            <w:tcW w:w="8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20" w:type="dxa"/>
            <w:vAlign w:val="bottom"/>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Nonconvertible</w:t>
            </w:r>
          </w:p>
        </w:tc>
        <w:tc>
          <w:tcPr>
            <w:tcW w:w="60" w:type="dxa"/>
            <w:vAlign w:val="bottom"/>
          </w:tcPr>
          <w:p>
            <w:pPr>
              <w:spacing w:after="0"/>
              <w:rPr>
                <w:sz w:val="12"/>
                <w:szCs w:val="12"/>
                <w:color w:val="auto"/>
              </w:rPr>
            </w:pPr>
          </w:p>
        </w:tc>
      </w:tr>
      <w:tr>
        <w:trPr>
          <w:trHeight w:val="148"/>
        </w:trPr>
        <w:tc>
          <w:tcPr>
            <w:tcW w:w="8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20" w:type="dxa"/>
            <w:vAlign w:val="bottom"/>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Preferred</w:t>
            </w:r>
          </w:p>
        </w:tc>
        <w:tc>
          <w:tcPr>
            <w:tcW w:w="60" w:type="dxa"/>
            <w:vAlign w:val="bottom"/>
          </w:tcPr>
          <w:p>
            <w:pPr>
              <w:spacing w:after="0"/>
              <w:rPr>
                <w:sz w:val="12"/>
                <w:szCs w:val="12"/>
                <w:color w:val="auto"/>
              </w:rPr>
            </w:pPr>
          </w:p>
        </w:tc>
      </w:tr>
      <w:tr>
        <w:trPr>
          <w:trHeight w:val="185"/>
        </w:trPr>
        <w:tc>
          <w:tcPr>
            <w:tcW w:w="86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r>
      <w:tr>
        <w:trPr>
          <w:trHeight w:val="196"/>
        </w:trPr>
        <w:tc>
          <w:tcPr>
            <w:tcW w:w="8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September 30, 2021</w:t>
            </w:r>
          </w:p>
        </w:tc>
        <w:tc>
          <w:tcPr>
            <w:tcW w:w="46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2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1,506</w:t>
            </w:r>
          </w:p>
        </w:tc>
        <w:tc>
          <w:tcPr>
            <w:tcW w:w="60" w:type="dxa"/>
            <w:vAlign w:val="bottom"/>
            <w:shd w:val="clear" w:color="auto" w:fill="CFF0FC"/>
          </w:tcPr>
          <w:p>
            <w:pPr>
              <w:spacing w:after="0"/>
              <w:rPr>
                <w:sz w:val="17"/>
                <w:szCs w:val="17"/>
                <w:color w:val="auto"/>
              </w:rPr>
            </w:pPr>
          </w:p>
        </w:tc>
      </w:tr>
      <w:tr>
        <w:trPr>
          <w:trHeight w:val="203"/>
        </w:trPr>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nonconvertible preferred stock</w:t>
            </w:r>
          </w:p>
        </w:tc>
        <w:tc>
          <w:tcPr>
            <w:tcW w:w="4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8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March 31, 2022</w:t>
            </w:r>
          </w:p>
        </w:tc>
        <w:tc>
          <w:tcPr>
            <w:tcW w:w="46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9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and September 30, 2021, the fair value of available-for-sale marketable securities, by type of security, was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1"/>
                <w:szCs w:val="11"/>
                <w:color w:val="auto"/>
              </w:rPr>
            </w:pPr>
          </w:p>
        </w:tc>
        <w:tc>
          <w:tcPr>
            <w:tcW w:w="860" w:type="dxa"/>
            <w:vAlign w:val="bottom"/>
          </w:tcPr>
          <w:p>
            <w:pPr>
              <w:jc w:val="center"/>
              <w:ind w:left="108"/>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Credit Losses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8"/>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86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109,901</w:t>
            </w:r>
          </w:p>
        </w:tc>
        <w:tc>
          <w:tcPr>
            <w:tcW w:w="1060" w:type="dxa"/>
            <w:vAlign w:val="bottom"/>
            <w:gridSpan w:val="2"/>
            <w:shd w:val="clear" w:color="auto" w:fill="CFF0FC"/>
          </w:tcPr>
          <w:p>
            <w:pPr>
              <w:jc w:val="right"/>
              <w:ind w:right="688"/>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(1,714 )</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108,190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U.S. Treasury notes</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107,934</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(945 )</w:t>
            </w:r>
          </w:p>
        </w:tc>
        <w:tc>
          <w:tcPr>
            <w:tcW w:w="120" w:type="dxa"/>
            <w:vAlign w:val="bottom"/>
          </w:tcPr>
          <w:p>
            <w:pPr>
              <w:spacing w:after="0"/>
              <w:rPr>
                <w:sz w:val="17"/>
                <w:szCs w:val="17"/>
                <w:color w:val="auto"/>
              </w:rPr>
            </w:pPr>
          </w:p>
        </w:tc>
        <w:tc>
          <w:tcPr>
            <w:tcW w:w="1020" w:type="dxa"/>
            <w:vAlign w:val="bottom"/>
          </w:tcPr>
          <w:p>
            <w:pPr>
              <w:ind w:left="8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106,992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66,374</w:t>
            </w:r>
          </w:p>
        </w:tc>
        <w:tc>
          <w:tcPr>
            <w:tcW w:w="2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ind w:left="8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66,374</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284,209</w:t>
            </w:r>
          </w:p>
        </w:tc>
        <w:tc>
          <w:tcPr>
            <w:tcW w:w="1060" w:type="dxa"/>
            <w:vAlign w:val="bottom"/>
            <w:gridSpan w:val="2"/>
          </w:tcPr>
          <w:p>
            <w:pPr>
              <w:jc w:val="right"/>
              <w:ind w:right="688"/>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(2,659 )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ind w:left="82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281,556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315"/>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-630555</wp:posOffset>
            </wp:positionV>
            <wp:extent cx="431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-630555</wp:posOffset>
            </wp:positionV>
            <wp:extent cx="431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-630555</wp:posOffset>
            </wp:positionV>
            <wp:extent cx="6032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-630555</wp:posOffset>
            </wp:positionV>
            <wp:extent cx="4318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-630555</wp:posOffset>
            </wp:positionV>
            <wp:extent cx="3429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9"/>
              </w:rPr>
              <w:t>Amortized</w:t>
            </w:r>
          </w:p>
        </w:tc>
        <w:tc>
          <w:tcPr>
            <w:tcW w:w="200" w:type="dxa"/>
            <w:vAlign w:val="bottom"/>
          </w:tcPr>
          <w:p>
            <w:pPr>
              <w:spacing w:after="0"/>
              <w:rPr>
                <w:sz w:val="11"/>
                <w:szCs w:val="11"/>
                <w:color w:val="auto"/>
              </w:rPr>
            </w:pPr>
          </w:p>
        </w:tc>
        <w:tc>
          <w:tcPr>
            <w:tcW w:w="860" w:type="dxa"/>
            <w:vAlign w:val="bottom"/>
          </w:tcPr>
          <w:p>
            <w:pPr>
              <w:jc w:val="center"/>
              <w:ind w:left="104"/>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Credit Losses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86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124,678</w:t>
            </w:r>
          </w:p>
        </w:tc>
        <w:tc>
          <w:tcPr>
            <w:tcW w:w="1060" w:type="dxa"/>
            <w:vAlign w:val="bottom"/>
            <w:gridSpan w:val="2"/>
            <w:shd w:val="clear" w:color="auto" w:fill="CFF0FC"/>
          </w:tcPr>
          <w:p>
            <w:pPr>
              <w:jc w:val="right"/>
              <w:ind w:right="684"/>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93</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(68 )</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124,703</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87,471</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ind w:left="8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87,471</w:t>
            </w: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notes</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83,061</w:t>
            </w: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(26 )</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83,038</w:t>
            </w:r>
          </w:p>
        </w:tc>
        <w:tc>
          <w:tcPr>
            <w:tcW w:w="0" w:type="dxa"/>
            <w:vAlign w:val="bottom"/>
          </w:tcPr>
          <w:p>
            <w:pPr>
              <w:spacing w:after="0"/>
              <w:rPr>
                <w:sz w:val="1"/>
                <w:szCs w:val="1"/>
                <w:color w:val="auto"/>
              </w:rPr>
            </w:pPr>
          </w:p>
        </w:tc>
      </w:tr>
      <w:tr>
        <w:trPr>
          <w:trHeight w:val="20"/>
        </w:trPr>
        <w:tc>
          <w:tcPr>
            <w:tcW w:w="50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295,210</w:t>
            </w:r>
          </w:p>
        </w:tc>
        <w:tc>
          <w:tcPr>
            <w:tcW w:w="200" w:type="dxa"/>
            <w:vAlign w:val="bottom"/>
          </w:tcPr>
          <w:p>
            <w:pPr>
              <w:spacing w:after="0"/>
              <w:rPr>
                <w:sz w:val="17"/>
                <w:szCs w:val="17"/>
                <w:color w:val="auto"/>
              </w:rPr>
            </w:pPr>
          </w:p>
        </w:tc>
        <w:tc>
          <w:tcPr>
            <w:tcW w:w="860" w:type="dxa"/>
            <w:vAlign w:val="bottom"/>
          </w:tcPr>
          <w:p>
            <w:pPr>
              <w:jc w:val="right"/>
              <w:ind w:right="684"/>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79"/>
              </w:rPr>
              <w:t>96</w:t>
            </w:r>
          </w:p>
        </w:tc>
        <w:tc>
          <w:tcPr>
            <w:tcW w:w="1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(94 )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ind w:left="82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295,212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-159385</wp:posOffset>
            </wp:positionV>
            <wp:extent cx="431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-159385</wp:posOffset>
            </wp:positionV>
            <wp:extent cx="431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-159385</wp:posOffset>
            </wp:positionV>
            <wp:extent cx="6032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-159385</wp:posOffset>
            </wp:positionV>
            <wp:extent cx="431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As of March 31, 2022 and September 30, 2021, marketable securities consisted of investments that mature within one year, with the exception of certain corporate bonds and U.S. Treasury notes, which have maturities between one and three years and an aggregate fair value of $42,218 and $108,416, respectively.</w:t>
      </w:r>
    </w:p>
    <w:p>
      <w:pPr>
        <w:spacing w:after="0" w:line="286"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10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Accrued expenses and other current liabilities, as well as other long-term liabilities, consisted of the following as of March 31, 2022 and September 30, 2021: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1460" w:type="dxa"/>
            <w:vAlign w:val="bottom"/>
          </w:tcPr>
          <w:p>
            <w:pPr>
              <w:jc w:val="right"/>
              <w:ind w:right="16"/>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20" w:type="dxa"/>
            <w:vAlign w:val="bottom"/>
          </w:tcPr>
          <w:p>
            <w:pPr>
              <w:jc w:val="right"/>
              <w:ind w:right="493"/>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5"/>
                <w:szCs w:val="15"/>
                <w:color w:val="auto"/>
              </w:rPr>
            </w:pPr>
          </w:p>
        </w:tc>
      </w:tr>
      <w:tr>
        <w:trPr>
          <w:trHeight w:val="185"/>
        </w:trPr>
        <w:tc>
          <w:tcPr>
            <w:tcW w:w="6780" w:type="dxa"/>
            <w:vAlign w:val="bottom"/>
          </w:tcPr>
          <w:p>
            <w:pPr>
              <w:spacing w:after="0"/>
              <w:rPr>
                <w:sz w:val="16"/>
                <w:szCs w:val="16"/>
                <w:color w:val="auto"/>
              </w:rPr>
            </w:pPr>
          </w:p>
        </w:tc>
        <w:tc>
          <w:tcPr>
            <w:tcW w:w="14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69"/>
        </w:trPr>
        <w:tc>
          <w:tcPr>
            <w:tcW w:w="6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71"/>
              </w:rPr>
              <w:t>thousands)</w:t>
            </w: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Accrued expenses:</w:t>
            </w:r>
          </w:p>
        </w:tc>
        <w:tc>
          <w:tcPr>
            <w:tcW w:w="14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Accrued pharmaceutical drug manufacturing</w:t>
            </w:r>
          </w:p>
        </w:tc>
        <w:tc>
          <w:tcPr>
            <w:tcW w:w="1460" w:type="dxa"/>
            <w:vAlign w:val="bottom"/>
          </w:tcPr>
          <w:p>
            <w:pPr>
              <w:jc w:val="right"/>
              <w:ind w:right="1276"/>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14,412</w:t>
            </w:r>
          </w:p>
        </w:tc>
        <w:tc>
          <w:tcPr>
            <w:tcW w:w="7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8,402</w:t>
            </w:r>
          </w:p>
        </w:tc>
        <w:tc>
          <w:tcPr>
            <w:tcW w:w="6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research and development expenses</w:t>
            </w:r>
          </w:p>
        </w:tc>
        <w:tc>
          <w:tcPr>
            <w:tcW w:w="14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2,616</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6,062</w:t>
            </w:r>
          </w:p>
        </w:tc>
        <w:tc>
          <w:tcPr>
            <w:tcW w:w="60" w:type="dxa"/>
            <w:vAlign w:val="bottom"/>
            <w:shd w:val="clear" w:color="auto" w:fill="CFF0FC"/>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Accrued payroll and related expenses</w:t>
            </w:r>
          </w:p>
        </w:tc>
        <w:tc>
          <w:tcPr>
            <w:tcW w:w="14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2,960</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6,094</w:t>
            </w:r>
          </w:p>
        </w:tc>
        <w:tc>
          <w:tcPr>
            <w:tcW w:w="6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14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633</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60" w:type="dxa"/>
            <w:vAlign w:val="bottom"/>
            <w:shd w:val="clear" w:color="auto" w:fill="CFF0FC"/>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Accrued other</w:t>
            </w:r>
          </w:p>
        </w:tc>
        <w:tc>
          <w:tcPr>
            <w:tcW w:w="14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1,119</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1,171</w:t>
            </w:r>
          </w:p>
        </w:tc>
        <w:tc>
          <w:tcPr>
            <w:tcW w:w="60" w:type="dxa"/>
            <w:vAlign w:val="bottom"/>
          </w:tcPr>
          <w:p>
            <w:pPr>
              <w:spacing w:after="0"/>
              <w:rPr>
                <w:sz w:val="17"/>
                <w:szCs w:val="17"/>
                <w:color w:val="auto"/>
              </w:rPr>
            </w:pPr>
          </w:p>
        </w:tc>
      </w:tr>
      <w:tr>
        <w:trPr>
          <w:trHeight w:val="236"/>
        </w:trPr>
        <w:tc>
          <w:tcPr>
            <w:tcW w:w="678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127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21,740</w:t>
            </w:r>
          </w:p>
        </w:tc>
        <w:tc>
          <w:tcPr>
            <w:tcW w:w="2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22,429</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6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Other long-term liabilities:</w:t>
            </w:r>
          </w:p>
        </w:tc>
        <w:tc>
          <w:tcPr>
            <w:tcW w:w="14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Uncertain tax positions</w:t>
            </w:r>
          </w:p>
        </w:tc>
        <w:tc>
          <w:tcPr>
            <w:tcW w:w="1460" w:type="dxa"/>
            <w:vAlign w:val="bottom"/>
          </w:tcPr>
          <w:p>
            <w:pPr>
              <w:jc w:val="right"/>
              <w:ind w:right="1276"/>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530</w:t>
            </w:r>
          </w:p>
        </w:tc>
        <w:tc>
          <w:tcPr>
            <w:tcW w:w="7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558</w:t>
            </w:r>
          </w:p>
        </w:tc>
        <w:tc>
          <w:tcPr>
            <w:tcW w:w="60" w:type="dxa"/>
            <w:vAlign w:val="bottom"/>
          </w:tcPr>
          <w:p>
            <w:pPr>
              <w:spacing w:after="0"/>
              <w:rPr>
                <w:sz w:val="17"/>
                <w:szCs w:val="17"/>
                <w:color w:val="auto"/>
              </w:rPr>
            </w:pPr>
          </w:p>
        </w:tc>
      </w:tr>
      <w:tr>
        <w:trPr>
          <w:trHeight w:val="203"/>
        </w:trPr>
        <w:tc>
          <w:tcPr>
            <w:tcW w:w="67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Asset retirement obligation</w:t>
            </w:r>
          </w:p>
        </w:tc>
        <w:tc>
          <w:tcPr>
            <w:tcW w:w="14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346</w:t>
            </w:r>
          </w:p>
        </w:tc>
        <w:tc>
          <w:tcPr>
            <w:tcW w:w="2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2FC"/>
          </w:tcPr>
          <w:p>
            <w:pPr>
              <w:spacing w:after="0"/>
              <w:rPr>
                <w:sz w:val="17"/>
                <w:szCs w:val="17"/>
                <w:color w:val="auto"/>
              </w:rPr>
            </w:pPr>
          </w:p>
        </w:tc>
        <w:tc>
          <w:tcPr>
            <w:tcW w:w="1620" w:type="dxa"/>
            <w:vAlign w:val="bottom"/>
            <w:tcBorders>
              <w:bottom w:val="single" w:sz="8" w:color="auto"/>
            </w:tcBorders>
            <w:shd w:val="clear" w:color="auto" w:fill="CFF2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2FC"/>
            </w:tcBorders>
            <w:shd w:val="clear" w:color="auto" w:fill="CFF2FC"/>
          </w:tcPr>
          <w:p>
            <w:pPr>
              <w:spacing w:after="0"/>
              <w:rPr>
                <w:sz w:val="17"/>
                <w:szCs w:val="17"/>
                <w:color w:val="auto"/>
              </w:rPr>
            </w:pPr>
          </w:p>
        </w:tc>
      </w:tr>
      <w:tr>
        <w:trPr>
          <w:trHeight w:val="196"/>
        </w:trPr>
        <w:tc>
          <w:tcPr>
            <w:tcW w:w="6780" w:type="dxa"/>
            <w:vAlign w:val="bottom"/>
          </w:tcPr>
          <w:p>
            <w:pPr>
              <w:spacing w:after="0"/>
              <w:rPr>
                <w:sz w:val="17"/>
                <w:szCs w:val="17"/>
                <w:color w:val="auto"/>
              </w:rPr>
            </w:pPr>
          </w:p>
        </w:tc>
        <w:tc>
          <w:tcPr>
            <w:tcW w:w="1460" w:type="dxa"/>
            <w:vAlign w:val="bottom"/>
            <w:tcBorders>
              <w:bottom w:val="single" w:sz="8" w:color="auto"/>
            </w:tcBorders>
          </w:tcPr>
          <w:p>
            <w:pPr>
              <w:jc w:val="right"/>
              <w:ind w:right="127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876</w:t>
            </w:r>
          </w:p>
        </w:tc>
        <w:tc>
          <w:tcPr>
            <w:tcW w:w="28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558</w:t>
            </w:r>
          </w:p>
        </w:tc>
        <w:tc>
          <w:tcPr>
            <w:tcW w:w="6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-702310</wp:posOffset>
            </wp:positionV>
            <wp:extent cx="43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-685165</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-702310</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-685165</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-159385</wp:posOffset>
            </wp:positionV>
            <wp:extent cx="431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13"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AbbVie Collaboration</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$1,169,000 through March 31, 2022. Since the Company satisfied all of its performance obligations under the AbbVie Agreement by the end of fiscal 2011, all milestone payments received since then have been recognized as revenue when the milestones were achieved by AbbVie.</w:t>
      </w:r>
    </w:p>
    <w:p>
      <w:pPr>
        <w:spacing w:after="0" w:line="6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292"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Series 1 Nonconvertible Preferred Stock</w:t>
      </w:r>
    </w:p>
    <w:p>
      <w:pPr>
        <w:spacing w:after="0" w:line="12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of March 31, 2022, 1,930 shares of Series 1 nonconvertible preferred stock were issued and outstanding. Since these shares qualify as a derivative, the outstanding shares are carried at fair value as a liability on the Company’s consolidated balance sheet.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1" w:name="page12"/>
    <w:bookmarkEnd w:id="11"/>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08"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The Company grants stock-based awards, including stock options, restricted stock units and other unit awards under its 2019 Equity Incentive Plan (the “2019 Plan”), which was approved by its stockholders on February 28, 2019 and amended in March 2021 and March 2022. The Company also has outstanding stock option awards under its 2012 Equity Incentive Plan (the “2012 Plan”) and its amended and restated 1995 Equity Incentive Plan (the “1995 Plan”), but is no longer granting awards under these plans.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including performance-based options, for the year-to-date period ending March 31, 2022:</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Outstanding as of September 30, 2021</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Granted</w:t>
      </w:r>
    </w:p>
    <w:p>
      <w:pPr>
        <w:ind w:left="200"/>
        <w:spacing w:after="0"/>
        <w:rPr>
          <w:sz w:val="20"/>
          <w:szCs w:val="20"/>
          <w:color w:val="auto"/>
        </w:rPr>
      </w:pPr>
      <w:r>
        <w:rPr>
          <w:rFonts w:ascii="Arial" w:cs="Arial" w:eastAsia="Arial" w:hAnsi="Arial"/>
          <w:sz w:val="18"/>
          <w:szCs w:val="18"/>
          <w:color w:val="auto"/>
        </w:rPr>
        <w:t>Exercised</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Forfeited</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Outstanding as of March 31, 2022</w:t>
      </w:r>
    </w:p>
    <w:p>
      <w:pPr>
        <w:spacing w:after="0" w:line="16" w:lineRule="exact"/>
        <w:rPr>
          <w:sz w:val="20"/>
          <w:szCs w:val="20"/>
          <w:color w:val="auto"/>
        </w:rPr>
      </w:pPr>
    </w:p>
    <w:p>
      <w:pPr>
        <w:ind w:left="160" w:right="880" w:hanging="134"/>
        <w:spacing w:after="0" w:line="226" w:lineRule="auto"/>
        <w:rPr>
          <w:sz w:val="20"/>
          <w:szCs w:val="20"/>
          <w:color w:val="auto"/>
        </w:rPr>
      </w:pPr>
      <w:r>
        <w:rPr>
          <w:rFonts w:ascii="Arial" w:cs="Arial" w:eastAsia="Arial" w:hAnsi="Arial"/>
          <w:sz w:val="18"/>
          <w:szCs w:val="18"/>
          <w:b w:val="1"/>
          <w:bCs w:val="1"/>
          <w:color w:val="auto"/>
        </w:rPr>
        <w:t>Options vested and expected to vest as of March 31, 2022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Options exercisable as of March 31, 2022</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and Performance-Based Stock Unit Awards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4"/>
                <w:szCs w:val="14"/>
                <w:color w:val="auto"/>
              </w:rPr>
            </w:pPr>
          </w:p>
        </w:tc>
        <w:tc>
          <w:tcPr>
            <w:tcW w:w="118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Issuable</w:t>
            </w:r>
          </w:p>
        </w:tc>
        <w:tc>
          <w:tcPr>
            <w:tcW w:w="260" w:type="dxa"/>
            <w:vAlign w:val="bottom"/>
          </w:tcPr>
          <w:p>
            <w:pPr>
              <w:spacing w:after="0"/>
              <w:rPr>
                <w:sz w:val="12"/>
                <w:szCs w:val="12"/>
                <w:color w:val="auto"/>
              </w:rPr>
            </w:pPr>
          </w:p>
        </w:tc>
        <w:tc>
          <w:tcPr>
            <w:tcW w:w="11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Under</w:t>
            </w:r>
          </w:p>
        </w:tc>
        <w:tc>
          <w:tcPr>
            <w:tcW w:w="260" w:type="dxa"/>
            <w:vAlign w:val="bottom"/>
          </w:tcPr>
          <w:p>
            <w:pPr>
              <w:spacing w:after="0"/>
              <w:rPr>
                <w:sz w:val="12"/>
                <w:szCs w:val="12"/>
                <w:color w:val="auto"/>
              </w:rPr>
            </w:pPr>
          </w:p>
        </w:tc>
        <w:tc>
          <w:tcPr>
            <w:tcW w:w="118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5"/>
        </w:trPr>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6"/>
                <w:szCs w:val="16"/>
                <w:color w:val="auto"/>
              </w:rPr>
            </w:pPr>
          </w:p>
        </w:tc>
        <w:tc>
          <w:tcPr>
            <w:tcW w:w="118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5"/>
        </w:trPr>
        <w:tc>
          <w:tcPr>
            <w:tcW w:w="15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9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3"/>
        </w:trPr>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3,852</w:t>
            </w:r>
          </w:p>
        </w:tc>
        <w:tc>
          <w:tcPr>
            <w:tcW w:w="26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48.61</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49,173</w:t>
            </w:r>
          </w:p>
        </w:tc>
        <w:tc>
          <w:tcPr>
            <w:tcW w:w="0" w:type="dxa"/>
            <w:vAlign w:val="bottom"/>
          </w:tcPr>
          <w:p>
            <w:pPr>
              <w:spacing w:after="0"/>
              <w:rPr>
                <w:sz w:val="1"/>
                <w:szCs w:val="1"/>
                <w:color w:val="auto"/>
              </w:rPr>
            </w:pPr>
          </w:p>
        </w:tc>
      </w:tr>
      <w:tr>
        <w:trPr>
          <w:trHeight w:val="203"/>
        </w:trPr>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713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73.82</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(345 )</w:t>
            </w:r>
          </w:p>
        </w:tc>
        <w:tc>
          <w:tcPr>
            <w:tcW w:w="2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41.26</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(96 )</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67.91</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4,124</w:t>
            </w:r>
          </w:p>
        </w:tc>
        <w:tc>
          <w:tcPr>
            <w:tcW w:w="260" w:type="dxa"/>
            <w:vAlign w:val="bottom"/>
          </w:tcPr>
          <w:p>
            <w:pPr>
              <w:spacing w:after="0"/>
              <w:rPr>
                <w:sz w:val="17"/>
                <w:szCs w:val="17"/>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53.13</w:t>
            </w:r>
          </w:p>
        </w:tc>
        <w:tc>
          <w:tcPr>
            <w:tcW w:w="16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6.7</w:t>
            </w:r>
          </w:p>
        </w:tc>
        <w:tc>
          <w:tcPr>
            <w:tcW w:w="4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82,997</w:t>
            </w: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26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53.13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82,997</w:t>
            </w: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2,496</w:t>
            </w:r>
          </w:p>
        </w:tc>
        <w:tc>
          <w:tcPr>
            <w:tcW w:w="260" w:type="dxa"/>
            <w:vAlign w:val="bottom"/>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47.87</w:t>
            </w:r>
          </w:p>
        </w:tc>
        <w:tc>
          <w:tcPr>
            <w:tcW w:w="16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5.2</w:t>
            </w:r>
          </w:p>
        </w:tc>
        <w:tc>
          <w:tcPr>
            <w:tcW w:w="4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63,476</w:t>
            </w: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-1071245</wp:posOffset>
            </wp:positionV>
            <wp:extent cx="7132320"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-814070</wp:posOffset>
            </wp:positionV>
            <wp:extent cx="7132320"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-548005</wp:posOffset>
            </wp:positionV>
            <wp:extent cx="71323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-153670</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2">
            <w:col w:w="4020" w:space="720"/>
            <w:col w:w="6500"/>
          </w:cols>
          <w:pgMar w:left="320" w:top="648" w:right="339" w:bottom="1440" w:gutter="0" w:footer="0" w:header="0"/>
          <w:type w:val="continuous"/>
        </w:sectPr>
      </w:pPr>
    </w:p>
    <w:p>
      <w:pPr>
        <w:ind w:right="160"/>
        <w:spacing w:after="0" w:line="262" w:lineRule="auto"/>
        <w:rPr>
          <w:sz w:val="20"/>
          <w:szCs w:val="20"/>
          <w:color w:val="auto"/>
        </w:rPr>
      </w:pPr>
      <w:r>
        <w:rPr>
          <w:rFonts w:ascii="Arial" w:cs="Arial" w:eastAsia="Arial" w:hAnsi="Arial"/>
          <w:sz w:val="17"/>
          <w:szCs w:val="17"/>
          <w:color w:val="auto"/>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for the year-to-date period ending March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PSUs</w:t>
            </w: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rTSRUs</w:t>
            </w:r>
          </w:p>
        </w:tc>
        <w:tc>
          <w:tcPr>
            <w:tcW w:w="12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left="345"/>
              <w:spacing w:after="0" w:line="133" w:lineRule="exact"/>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left="345"/>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00" w:type="dxa"/>
            <w:vAlign w:val="bottom"/>
            <w:gridSpan w:val="4"/>
          </w:tcPr>
          <w:p>
            <w:pPr>
              <w:jc w:val="center"/>
              <w:ind w:right="122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center"/>
              <w:ind w:left="365"/>
              <w:spacing w:after="0"/>
              <w:rPr>
                <w:sz w:val="20"/>
                <w:szCs w:val="20"/>
                <w:color w:val="auto"/>
              </w:rPr>
            </w:pPr>
            <w:r>
              <w:rPr>
                <w:rFonts w:ascii="Arial" w:cs="Arial" w:eastAsia="Arial" w:hAnsi="Arial"/>
                <w:sz w:val="14"/>
                <w:szCs w:val="14"/>
                <w:b w:val="1"/>
                <w:bCs w:val="1"/>
                <w:color w:val="auto"/>
                <w:w w:val="96"/>
              </w:rPr>
              <w:t>Value</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gridSpan w:val="4"/>
          </w:tcPr>
          <w:p>
            <w:pPr>
              <w:ind w:left="360"/>
              <w:spacing w:after="0"/>
              <w:rPr>
                <w:sz w:val="20"/>
                <w:szCs w:val="20"/>
                <w:color w:val="auto"/>
              </w:rPr>
            </w:pPr>
            <w:r>
              <w:rPr>
                <w:rFonts w:ascii="Arial" w:cs="Arial" w:eastAsia="Arial" w:hAnsi="Arial"/>
                <w:sz w:val="14"/>
                <w:szCs w:val="14"/>
                <w:b w:val="1"/>
                <w:bCs w:val="1"/>
                <w:color w:val="auto"/>
                <w:w w:val="93"/>
              </w:rPr>
              <w:t>(in thousands, except per share data)</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Unvested at September 30, 2021</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05"/>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49.31</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77.39</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54.80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6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(5 )</w:t>
            </w: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61.59</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(18 )</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40.13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00"/>
              <w:spacing w:after="0" w:line="202" w:lineRule="exact"/>
              <w:rPr>
                <w:sz w:val="20"/>
                <w:szCs w:val="20"/>
                <w:color w:val="auto"/>
              </w:rPr>
            </w:pPr>
            <w:r>
              <w:rPr>
                <w:rFonts w:ascii="Arial" w:cs="Arial" w:eastAsia="Arial" w:hAnsi="Arial"/>
                <w:sz w:val="18"/>
                <w:szCs w:val="18"/>
                <w:color w:val="auto"/>
              </w:rPr>
              <w:t>Cancelled</w:t>
            </w:r>
          </w:p>
        </w:tc>
        <w:tc>
          <w:tcPr>
            <w:tcW w:w="108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(27 )</w:t>
            </w:r>
          </w:p>
        </w:tc>
        <w:tc>
          <w:tcPr>
            <w:tcW w:w="10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61.59</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(14 )</w:t>
            </w: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40.13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Unvested at March 31, 2022</w:t>
            </w:r>
          </w:p>
        </w:tc>
        <w:tc>
          <w:tcPr>
            <w:tcW w:w="108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112</w:t>
            </w:r>
          </w:p>
        </w:tc>
        <w:tc>
          <w:tcPr>
            <w:tcW w:w="24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8"/>
              </w:rPr>
              <w:t>54.01</w:t>
            </w:r>
          </w:p>
        </w:tc>
        <w:tc>
          <w:tcPr>
            <w:tcW w:w="2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112</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35.59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-25400</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-8255</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unit activity for the year-to-date period ending March 31, 2022:</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center"/>
              <w:ind w:left="382"/>
              <w:spacing w:after="0"/>
              <w:rPr>
                <w:sz w:val="20"/>
                <w:szCs w:val="20"/>
                <w:color w:val="auto"/>
              </w:rPr>
            </w:pPr>
            <w:r>
              <w:rPr>
                <w:rFonts w:ascii="Arial" w:cs="Arial" w:eastAsia="Arial" w:hAnsi="Arial"/>
                <w:sz w:val="14"/>
                <w:szCs w:val="14"/>
                <w:b w:val="1"/>
                <w:bCs w:val="1"/>
                <w:color w:val="auto"/>
                <w:w w:val="91"/>
              </w:rPr>
              <w:t>Weighted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70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2"/>
              </w:rPr>
              <w:t>Restricted Stock</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left="382"/>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left="382"/>
              <w:spacing w:after="0" w:line="149" w:lineRule="exact"/>
              <w:rPr>
                <w:sz w:val="20"/>
                <w:szCs w:val="20"/>
                <w:color w:val="auto"/>
              </w:rPr>
            </w:pPr>
            <w:r>
              <w:rPr>
                <w:rFonts w:ascii="Arial" w:cs="Arial" w:eastAsia="Arial" w:hAnsi="Arial"/>
                <w:sz w:val="14"/>
                <w:szCs w:val="14"/>
                <w:b w:val="1"/>
                <w:bCs w:val="1"/>
                <w:color w:val="auto"/>
                <w:w w:val="96"/>
              </w:rPr>
              <w:t>Date Fair</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720" w:type="dxa"/>
            <w:vAlign w:val="bottom"/>
          </w:tcPr>
          <w:p>
            <w:pPr>
              <w:spacing w:after="0"/>
              <w:rPr>
                <w:sz w:val="16"/>
                <w:szCs w:val="16"/>
                <w:color w:val="auto"/>
              </w:rPr>
            </w:pPr>
          </w:p>
        </w:tc>
        <w:tc>
          <w:tcPr>
            <w:tcW w:w="17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7"/>
              </w:rPr>
              <w:t>Units</w:t>
            </w:r>
          </w:p>
        </w:tc>
        <w:tc>
          <w:tcPr>
            <w:tcW w:w="4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Borders>
              <w:bottom w:val="single" w:sz="8" w:color="auto"/>
            </w:tcBorders>
          </w:tcPr>
          <w:p>
            <w:pPr>
              <w:jc w:val="center"/>
              <w:ind w:left="422"/>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3960" w:type="dxa"/>
            <w:vAlign w:val="bottom"/>
            <w:gridSpan w:val="4"/>
          </w:tcPr>
          <w:p>
            <w:pPr>
              <w:jc w:val="right"/>
              <w:ind w:right="522"/>
              <w:spacing w:after="0"/>
              <w:rPr>
                <w:sz w:val="20"/>
                <w:szCs w:val="20"/>
                <w:color w:val="auto"/>
              </w:rPr>
            </w:pPr>
            <w:r>
              <w:rPr>
                <w:rFonts w:ascii="Arial" w:cs="Arial" w:eastAsia="Arial" w:hAnsi="Arial"/>
                <w:sz w:val="14"/>
                <w:szCs w:val="14"/>
                <w:b w:val="1"/>
                <w:bCs w:val="1"/>
                <w:color w:val="auto"/>
              </w:rPr>
              <w:t>(in thousands, except per share data)</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4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Unvested at September 30, 2021</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342"/>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75.33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7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(29 )</w:t>
            </w:r>
          </w:p>
        </w:tc>
        <w:tc>
          <w:tcPr>
            <w:tcW w:w="15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200"/>
              <w:spacing w:after="0" w:line="202" w:lineRule="exact"/>
              <w:rPr>
                <w:sz w:val="20"/>
                <w:szCs w:val="20"/>
                <w:color w:val="auto"/>
              </w:rPr>
            </w:pPr>
            <w:r>
              <w:rPr>
                <w:rFonts w:ascii="Arial" w:cs="Arial" w:eastAsia="Arial" w:hAnsi="Arial"/>
                <w:sz w:val="18"/>
                <w:szCs w:val="18"/>
                <w:color w:val="auto"/>
              </w:rPr>
              <w:t>Cancelled</w:t>
            </w:r>
          </w:p>
        </w:tc>
        <w:tc>
          <w:tcPr>
            <w:tcW w:w="17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(9 )</w:t>
            </w:r>
          </w:p>
        </w:tc>
        <w:tc>
          <w:tcPr>
            <w:tcW w:w="15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57.19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Unvested at March 31, 2022</w:t>
            </w:r>
          </w:p>
        </w:tc>
        <w:tc>
          <w:tcPr>
            <w:tcW w:w="170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217</w:t>
            </w:r>
          </w:p>
        </w:tc>
        <w:tc>
          <w:tcPr>
            <w:tcW w:w="3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shd w:val="clear" w:color="auto" w:fill="CFF0FC"/>
          </w:tcPr>
          <w:p>
            <w:pPr>
              <w:jc w:val="right"/>
              <w:ind w:right="1342"/>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63.15</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6720" w:type="dxa"/>
            <w:vAlign w:val="bottom"/>
          </w:tcPr>
          <w:p>
            <w:pPr>
              <w:ind w:left="5540"/>
              <w:spacing w:after="0"/>
              <w:rPr>
                <w:sz w:val="20"/>
                <w:szCs w:val="20"/>
                <w:color w:val="auto"/>
              </w:rPr>
            </w:pPr>
            <w:r>
              <w:rPr>
                <w:rFonts w:ascii="Arial" w:cs="Arial" w:eastAsia="Arial" w:hAnsi="Arial"/>
                <w:sz w:val="18"/>
                <w:szCs w:val="18"/>
                <w:color w:val="auto"/>
              </w:rPr>
              <w:t>12</w:t>
            </w: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72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-505460</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-488315</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March 31, 2022 and 2021 the Company recognized the following stock-based compensation expense: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80" w:type="dxa"/>
            <w:vAlign w:val="bottom"/>
            <w:gridSpan w:val="3"/>
          </w:tcPr>
          <w:p>
            <w:pPr>
              <w:jc w:val="center"/>
              <w:ind w:right="339"/>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4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w w:val="99"/>
              </w:rPr>
              <w:t>March 31,</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7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97"/>
              </w:rPr>
              <w:t>(in thousands)</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FF0FC"/>
          </w:tcPr>
          <w:p>
            <w:pPr>
              <w:jc w:val="right"/>
              <w:ind w:right="716"/>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2,710</w:t>
            </w:r>
          </w:p>
        </w:tc>
        <w:tc>
          <w:tcPr>
            <w:tcW w:w="1160" w:type="dxa"/>
            <w:vAlign w:val="bottom"/>
            <w:gridSpan w:val="2"/>
            <w:shd w:val="clear" w:color="auto" w:fill="CFF0FC"/>
          </w:tcPr>
          <w:p>
            <w:pPr>
              <w:jc w:val="right"/>
              <w:ind w:right="759"/>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2,536</w:t>
            </w:r>
          </w:p>
        </w:tc>
        <w:tc>
          <w:tcPr>
            <w:tcW w:w="62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5,294</w:t>
            </w:r>
          </w:p>
        </w:tc>
        <w:tc>
          <w:tcPr>
            <w:tcW w:w="720" w:type="dxa"/>
            <w:vAlign w:val="bottom"/>
            <w:gridSpan w:val="2"/>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4,955</w:t>
            </w:r>
          </w:p>
        </w:tc>
        <w:tc>
          <w:tcPr>
            <w:tcW w:w="6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3,761</w:t>
            </w:r>
          </w:p>
        </w:tc>
        <w:tc>
          <w:tcPr>
            <w:tcW w:w="2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2,744</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7,239</w:t>
            </w:r>
          </w:p>
        </w:tc>
        <w:tc>
          <w:tcPr>
            <w:tcW w:w="2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5,208</w:t>
            </w:r>
          </w:p>
        </w:tc>
        <w:tc>
          <w:tcPr>
            <w:tcW w:w="60" w:type="dxa"/>
            <w:vAlign w:val="bottom"/>
          </w:tcPr>
          <w:p>
            <w:pPr>
              <w:spacing w:after="0"/>
              <w:rPr>
                <w:sz w:val="17"/>
                <w:szCs w:val="17"/>
                <w:color w:val="auto"/>
              </w:rPr>
            </w:pPr>
          </w:p>
        </w:tc>
      </w:tr>
      <w:tr>
        <w:trPr>
          <w:trHeight w:val="236"/>
        </w:trPr>
        <w:tc>
          <w:tcPr>
            <w:tcW w:w="47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6,471</w:t>
            </w:r>
          </w:p>
        </w:tc>
        <w:tc>
          <w:tcPr>
            <w:tcW w:w="2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75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5,280</w:t>
            </w:r>
          </w:p>
        </w:tc>
        <w:tc>
          <w:tcPr>
            <w:tcW w:w="2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12,533</w:t>
            </w:r>
          </w:p>
        </w:tc>
        <w:tc>
          <w:tcPr>
            <w:tcW w:w="2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10,163</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22"/>
        </w:trPr>
        <w:tc>
          <w:tcPr>
            <w:tcW w:w="4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gridSpan w:val="3"/>
          </w:tcPr>
          <w:p>
            <w:pPr>
              <w:jc w:val="center"/>
              <w:ind w:right="339"/>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5"/>
        </w:trPr>
        <w:tc>
          <w:tcPr>
            <w:tcW w:w="4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w w:val="99"/>
              </w:rPr>
              <w:t>March 31,</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7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97"/>
              </w:rPr>
              <w:t>(in thousands)</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options</w:t>
            </w:r>
          </w:p>
        </w:tc>
        <w:tc>
          <w:tcPr>
            <w:tcW w:w="920" w:type="dxa"/>
            <w:vAlign w:val="bottom"/>
            <w:shd w:val="clear" w:color="auto" w:fill="CFF0FC"/>
          </w:tcPr>
          <w:p>
            <w:pPr>
              <w:jc w:val="right"/>
              <w:ind w:right="716"/>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4,962</w:t>
            </w:r>
          </w:p>
        </w:tc>
        <w:tc>
          <w:tcPr>
            <w:tcW w:w="1160" w:type="dxa"/>
            <w:vAlign w:val="bottom"/>
            <w:gridSpan w:val="2"/>
            <w:shd w:val="clear" w:color="auto" w:fill="CFF0FC"/>
          </w:tcPr>
          <w:p>
            <w:pPr>
              <w:jc w:val="right"/>
              <w:ind w:right="759"/>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4,514</w:t>
            </w:r>
          </w:p>
        </w:tc>
        <w:tc>
          <w:tcPr>
            <w:tcW w:w="62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9,710</w:t>
            </w:r>
          </w:p>
        </w:tc>
        <w:tc>
          <w:tcPr>
            <w:tcW w:w="720" w:type="dxa"/>
            <w:vAlign w:val="bottom"/>
            <w:gridSpan w:val="2"/>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8,863</w:t>
            </w:r>
          </w:p>
        </w:tc>
        <w:tc>
          <w:tcPr>
            <w:tcW w:w="6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Performance stock units</w:t>
            </w:r>
          </w:p>
        </w:tc>
        <w:tc>
          <w:tcPr>
            <w:tcW w:w="9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512</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rTSRUs</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531</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444</w:t>
            </w: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823</w:t>
            </w: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721</w:t>
            </w:r>
          </w:p>
        </w:tc>
        <w:tc>
          <w:tcPr>
            <w:tcW w:w="6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899</w:t>
            </w:r>
          </w:p>
        </w:tc>
        <w:tc>
          <w:tcPr>
            <w:tcW w:w="2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322</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1,488</w:t>
            </w:r>
          </w:p>
        </w:tc>
        <w:tc>
          <w:tcPr>
            <w:tcW w:w="2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579</w:t>
            </w:r>
          </w:p>
        </w:tc>
        <w:tc>
          <w:tcPr>
            <w:tcW w:w="60" w:type="dxa"/>
            <w:vAlign w:val="bottom"/>
          </w:tcPr>
          <w:p>
            <w:pPr>
              <w:spacing w:after="0"/>
              <w:rPr>
                <w:sz w:val="17"/>
                <w:szCs w:val="17"/>
                <w:color w:val="auto"/>
              </w:rPr>
            </w:pPr>
          </w:p>
        </w:tc>
      </w:tr>
      <w:tr>
        <w:trPr>
          <w:trHeight w:val="236"/>
        </w:trPr>
        <w:tc>
          <w:tcPr>
            <w:tcW w:w="47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16"/>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6,471</w:t>
            </w:r>
          </w:p>
        </w:tc>
        <w:tc>
          <w:tcPr>
            <w:tcW w:w="2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75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5,280</w:t>
            </w:r>
          </w:p>
        </w:tc>
        <w:tc>
          <w:tcPr>
            <w:tcW w:w="2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12,533</w:t>
            </w:r>
          </w:p>
        </w:tc>
        <w:tc>
          <w:tcPr>
            <w:tcW w:w="2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10,163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-1276985</wp:posOffset>
            </wp:positionV>
            <wp:extent cx="431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-1259840</wp:posOffset>
            </wp:positionV>
            <wp:extent cx="431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-1276985</wp:posOffset>
            </wp:positionV>
            <wp:extent cx="431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-1259840</wp:posOffset>
            </wp:positionV>
            <wp:extent cx="431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-1276985</wp:posOffset>
            </wp:positionV>
            <wp:extent cx="342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-1259840</wp:posOffset>
            </wp:positionV>
            <wp:extent cx="342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-1276985</wp:posOffset>
            </wp:positionV>
            <wp:extent cx="342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-1259840</wp:posOffset>
            </wp:positionV>
            <wp:extent cx="342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431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-8255</wp:posOffset>
            </wp:positionV>
            <wp:extent cx="431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43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431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342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342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28" w:lineRule="exact"/>
        <w:rPr>
          <w:sz w:val="20"/>
          <w:szCs w:val="20"/>
          <w:color w:val="auto"/>
        </w:rPr>
      </w:pPr>
    </w:p>
    <w:p>
      <w:pPr>
        <w:jc w:val="both"/>
        <w:ind w:right="40"/>
        <w:spacing w:after="0" w:line="258" w:lineRule="auto"/>
        <w:rPr>
          <w:sz w:val="20"/>
          <w:szCs w:val="20"/>
          <w:color w:val="auto"/>
        </w:rPr>
      </w:pPr>
      <w:r>
        <w:rPr>
          <w:rFonts w:ascii="Arial" w:cs="Arial" w:eastAsia="Arial" w:hAnsi="Arial"/>
          <w:sz w:val="17"/>
          <w:szCs w:val="17"/>
          <w:color w:val="auto"/>
        </w:rPr>
        <w:t>During the three and six months ended March 31, 2022, the Company recognized stock-based compensation expense for performance-based stock units for which vesting became probable upon achievement of performance-based targets that occurred during the performance period.</w:t>
      </w:r>
    </w:p>
    <w:p>
      <w:pPr>
        <w:spacing w:after="0" w:line="39"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As of March 31, 2022, the Company had an aggregate of $66,162 of unrecognized stock-based compensation cost, which is expected to be recognized over a weighted average period of 2.9 years.</w:t>
      </w:r>
    </w:p>
    <w:p>
      <w:pPr>
        <w:spacing w:after="0" w:line="266"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8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for the three and six months ended March 31, 2022 and 2021:</w:t>
      </w:r>
    </w:p>
    <w:p>
      <w:pPr>
        <w:sectPr>
          <w:pgSz w:w="11900" w:h="16838" w:orient="portrait"/>
          <w:cols w:equalWidth="0" w:num="1">
            <w:col w:w="11240"/>
          </w:cols>
          <w:pgMar w:left="320" w:top="6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net loss per share:</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loss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Denominator:</w:t>
      </w:r>
    </w:p>
    <w:p>
      <w:pPr>
        <w:ind w:left="520" w:right="800" w:hanging="134"/>
        <w:spacing w:after="0" w:line="226" w:lineRule="auto"/>
        <w:rPr>
          <w:sz w:val="20"/>
          <w:szCs w:val="20"/>
          <w:color w:val="auto"/>
        </w:rPr>
      </w:pPr>
      <w:r>
        <w:rPr>
          <w:rFonts w:ascii="Arial" w:cs="Arial" w:eastAsia="Arial" w:hAnsi="Arial"/>
          <w:sz w:val="18"/>
          <w:szCs w:val="18"/>
          <w:color w:val="auto"/>
        </w:rPr>
        <w:t>Weighted average common shares outstanding —basic</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loss per share common share—basic</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net loss per share:</w:t>
      </w:r>
    </w:p>
    <w:p>
      <w:pPr>
        <w:ind w:left="200"/>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loss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Denominator:</w:t>
      </w:r>
    </w:p>
    <w:p>
      <w:pPr>
        <w:ind w:left="520" w:right="800" w:hanging="134"/>
        <w:spacing w:after="0" w:line="226" w:lineRule="auto"/>
        <w:rPr>
          <w:sz w:val="20"/>
          <w:szCs w:val="20"/>
          <w:color w:val="auto"/>
        </w:rPr>
      </w:pPr>
      <w:r>
        <w:rPr>
          <w:rFonts w:ascii="Arial" w:cs="Arial" w:eastAsia="Arial" w:hAnsi="Arial"/>
          <w:sz w:val="18"/>
          <w:szCs w:val="18"/>
          <w:color w:val="auto"/>
        </w:rPr>
        <w:t>Weighted average common shares outstanding —basic</w:t>
      </w:r>
    </w:p>
    <w:p>
      <w:pPr>
        <w:ind w:left="380"/>
        <w:spacing w:after="0"/>
        <w:rPr>
          <w:sz w:val="20"/>
          <w:szCs w:val="20"/>
          <w:color w:val="auto"/>
        </w:rPr>
      </w:pPr>
      <w:r>
        <w:rPr>
          <w:rFonts w:ascii="Arial" w:cs="Arial" w:eastAsia="Arial" w:hAnsi="Arial"/>
          <w:sz w:val="17"/>
          <w:szCs w:val="17"/>
          <w:color w:val="auto"/>
        </w:rPr>
        <w:t>Dilutive effect of common stock equivalents</w:t>
      </w:r>
    </w:p>
    <w:p>
      <w:pPr>
        <w:spacing w:after="0" w:line="9" w:lineRule="exact"/>
        <w:rPr>
          <w:sz w:val="20"/>
          <w:szCs w:val="20"/>
          <w:color w:val="auto"/>
        </w:rPr>
      </w:pPr>
    </w:p>
    <w:p>
      <w:pPr>
        <w:ind w:left="520" w:right="800" w:hanging="134"/>
        <w:spacing w:after="0" w:line="226" w:lineRule="auto"/>
        <w:rPr>
          <w:sz w:val="20"/>
          <w:szCs w:val="20"/>
          <w:color w:val="auto"/>
        </w:rPr>
      </w:pPr>
      <w:r>
        <w:rPr>
          <w:rFonts w:ascii="Arial" w:cs="Arial" w:eastAsia="Arial" w:hAnsi="Arial"/>
          <w:sz w:val="18"/>
          <w:szCs w:val="18"/>
          <w:color w:val="auto"/>
        </w:rPr>
        <w:t>Weighted average common shares outstanding —diluted</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loss per share common share—diluted</w:t>
      </w:r>
    </w:p>
    <w:p>
      <w:pPr>
        <w:spacing w:after="0" w:line="12" w:lineRule="exact"/>
        <w:rPr>
          <w:sz w:val="20"/>
          <w:szCs w:val="20"/>
          <w:color w:val="auto"/>
        </w:rPr>
      </w:pPr>
    </w:p>
    <w:p>
      <w:pPr>
        <w:ind w:left="340" w:right="740" w:hanging="134"/>
        <w:spacing w:after="0" w:line="226" w:lineRule="auto"/>
        <w:rPr>
          <w:sz w:val="20"/>
          <w:szCs w:val="20"/>
          <w:color w:val="auto"/>
        </w:rPr>
      </w:pPr>
      <w:r>
        <w:rPr>
          <w:rFonts w:ascii="Arial" w:cs="Arial" w:eastAsia="Arial" w:hAnsi="Arial"/>
          <w:sz w:val="18"/>
          <w:szCs w:val="18"/>
          <w:color w:val="auto"/>
        </w:rPr>
        <w:t>Anti-dilutive common stock equivalents excluded from above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80" w:type="dxa"/>
            <w:vAlign w:val="bottom"/>
          </w:tcPr>
          <w:p>
            <w:pPr>
              <w:spacing w:after="0"/>
              <w:rPr>
                <w:sz w:val="15"/>
                <w:szCs w:val="15"/>
                <w:color w:val="auto"/>
              </w:rPr>
            </w:pPr>
          </w:p>
        </w:tc>
        <w:tc>
          <w:tcPr>
            <w:tcW w:w="2880" w:type="dxa"/>
            <w:vAlign w:val="bottom"/>
            <w:gridSpan w:val="5"/>
          </w:tcPr>
          <w:p>
            <w:pPr>
              <w:jc w:val="right"/>
              <w:ind w:right="101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5"/>
          </w:tcPr>
          <w:p>
            <w:pPr>
              <w:jc w:val="right"/>
              <w:ind w:right="510"/>
              <w:spacing w:after="0"/>
              <w:rPr>
                <w:sz w:val="20"/>
                <w:szCs w:val="20"/>
                <w:color w:val="auto"/>
              </w:rPr>
            </w:pPr>
            <w:r>
              <w:rPr>
                <w:rFonts w:ascii="Arial" w:cs="Arial" w:eastAsia="Arial" w:hAnsi="Arial"/>
                <w:sz w:val="14"/>
                <w:szCs w:val="14"/>
                <w:b w:val="1"/>
                <w:bCs w:val="1"/>
                <w:color w:val="auto"/>
                <w:w w:val="91"/>
              </w:rPr>
              <w:t>(in thousands, except per share data)</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7"/>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70"/>
              <w:spacing w:after="0"/>
              <w:rPr>
                <w:sz w:val="20"/>
                <w:szCs w:val="20"/>
                <w:color w:val="auto"/>
              </w:rPr>
            </w:pPr>
            <w:r>
              <w:rPr>
                <w:rFonts w:ascii="Arial" w:cs="Arial" w:eastAsia="Arial" w:hAnsi="Arial"/>
                <w:sz w:val="18"/>
                <w:szCs w:val="18"/>
                <w:color w:val="auto"/>
              </w:rPr>
              <w:t>(33,592 )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(22,045 )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(63,707 )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(30,373 )</w:t>
            </w:r>
          </w:p>
        </w:tc>
        <w:tc>
          <w:tcPr>
            <w:tcW w:w="0" w:type="dxa"/>
            <w:vAlign w:val="bottom"/>
          </w:tcPr>
          <w:p>
            <w:pPr>
              <w:spacing w:after="0"/>
              <w:rPr>
                <w:sz w:val="1"/>
                <w:szCs w:val="1"/>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20,551</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20,171</w:t>
            </w: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20,473</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183"/>
        </w:trPr>
        <w:tc>
          <w:tcPr>
            <w:tcW w:w="280" w:type="dxa"/>
            <w:vAlign w:val="bottom"/>
            <w:tcBorders>
              <w:bottom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(1.63</w:t>
            </w:r>
          </w:p>
        </w:tc>
        <w:tc>
          <w:tcPr>
            <w:tcW w:w="340" w:type="dxa"/>
            <w:vAlign w:val="bottom"/>
            <w:vMerge w:val="continue"/>
          </w:tcPr>
          <w:p>
            <w:pPr>
              <w:spacing w:after="0"/>
              <w:rPr>
                <w:sz w:val="15"/>
                <w:szCs w:val="15"/>
                <w:color w:val="auto"/>
              </w:rPr>
            </w:pPr>
          </w:p>
        </w:tc>
        <w:tc>
          <w:tcPr>
            <w:tcW w:w="20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(1.09</w:t>
            </w:r>
          </w:p>
        </w:tc>
        <w:tc>
          <w:tcPr>
            <w:tcW w:w="340" w:type="dxa"/>
            <w:vAlign w:val="bottom"/>
            <w:vMerge w:val="continue"/>
          </w:tcPr>
          <w:p>
            <w:pPr>
              <w:spacing w:after="0"/>
              <w:rPr>
                <w:sz w:val="15"/>
                <w:szCs w:val="15"/>
                <w:color w:val="auto"/>
              </w:rPr>
            </w:pPr>
          </w:p>
        </w:tc>
        <w:tc>
          <w:tcPr>
            <w:tcW w:w="280" w:type="dxa"/>
            <w:vAlign w:val="bottom"/>
            <w:tcBorders>
              <w:bottom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(3.11</w:t>
            </w:r>
          </w:p>
        </w:tc>
        <w:tc>
          <w:tcPr>
            <w:tcW w:w="300" w:type="dxa"/>
            <w:vAlign w:val="bottom"/>
            <w:vMerge w:val="continue"/>
          </w:tcPr>
          <w:p>
            <w:pPr>
              <w:spacing w:after="0"/>
              <w:rPr>
                <w:sz w:val="15"/>
                <w:szCs w:val="15"/>
                <w:color w:val="auto"/>
              </w:rPr>
            </w:pPr>
          </w:p>
        </w:tc>
        <w:tc>
          <w:tcPr>
            <w:tcW w:w="440" w:type="dxa"/>
            <w:vAlign w:val="bottom"/>
            <w:tcBorders>
              <w:bottom w:val="single" w:sz="8" w:color="auto"/>
            </w:tcBorders>
          </w:tcPr>
          <w:p>
            <w:pPr>
              <w:jc w:val="right"/>
              <w:ind w:right="250"/>
              <w:spacing w:after="0" w:line="18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(1.51</w:t>
            </w: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70"/>
              <w:spacing w:after="0"/>
              <w:rPr>
                <w:sz w:val="20"/>
                <w:szCs w:val="20"/>
                <w:color w:val="auto"/>
              </w:rPr>
            </w:pPr>
            <w:r>
              <w:rPr>
                <w:rFonts w:ascii="Arial" w:cs="Arial" w:eastAsia="Arial" w:hAnsi="Arial"/>
                <w:sz w:val="18"/>
                <w:szCs w:val="18"/>
                <w:color w:val="auto"/>
              </w:rPr>
              <w:t>(33,592 )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(22,045 )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(63,707 )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(30,373 )</w:t>
            </w:r>
          </w:p>
        </w:tc>
        <w:tc>
          <w:tcPr>
            <w:tcW w:w="0" w:type="dxa"/>
            <w:vAlign w:val="bottom"/>
          </w:tcPr>
          <w:p>
            <w:pPr>
              <w:spacing w:after="0"/>
              <w:rPr>
                <w:sz w:val="1"/>
                <w:szCs w:val="1"/>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20,551</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20,171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20,473</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13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20,551</w:t>
            </w:r>
          </w:p>
        </w:tc>
        <w:tc>
          <w:tcPr>
            <w:tcW w:w="34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20,171</w:t>
            </w:r>
          </w:p>
        </w:tc>
        <w:tc>
          <w:tcPr>
            <w:tcW w:w="34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20,473</w:t>
            </w:r>
          </w:p>
        </w:tc>
        <w:tc>
          <w:tcPr>
            <w:tcW w:w="300" w:type="dxa"/>
            <w:vAlign w:val="bottom"/>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183"/>
        </w:trPr>
        <w:tc>
          <w:tcPr>
            <w:tcW w:w="280" w:type="dxa"/>
            <w:vAlign w:val="bottom"/>
            <w:tcBorders>
              <w:bottom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(1.63</w:t>
            </w:r>
          </w:p>
        </w:tc>
        <w:tc>
          <w:tcPr>
            <w:tcW w:w="340" w:type="dxa"/>
            <w:vAlign w:val="bottom"/>
            <w:vMerge w:val="continue"/>
          </w:tcPr>
          <w:p>
            <w:pPr>
              <w:spacing w:after="0"/>
              <w:rPr>
                <w:sz w:val="15"/>
                <w:szCs w:val="15"/>
                <w:color w:val="auto"/>
              </w:rPr>
            </w:pPr>
          </w:p>
        </w:tc>
        <w:tc>
          <w:tcPr>
            <w:tcW w:w="20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(1.09</w:t>
            </w:r>
          </w:p>
        </w:tc>
        <w:tc>
          <w:tcPr>
            <w:tcW w:w="340" w:type="dxa"/>
            <w:vAlign w:val="bottom"/>
            <w:vMerge w:val="continue"/>
          </w:tcPr>
          <w:p>
            <w:pPr>
              <w:spacing w:after="0"/>
              <w:rPr>
                <w:sz w:val="15"/>
                <w:szCs w:val="15"/>
                <w:color w:val="auto"/>
              </w:rPr>
            </w:pPr>
          </w:p>
        </w:tc>
        <w:tc>
          <w:tcPr>
            <w:tcW w:w="280" w:type="dxa"/>
            <w:vAlign w:val="bottom"/>
            <w:tcBorders>
              <w:bottom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(3.11</w:t>
            </w:r>
          </w:p>
        </w:tc>
        <w:tc>
          <w:tcPr>
            <w:tcW w:w="300" w:type="dxa"/>
            <w:vAlign w:val="bottom"/>
            <w:vMerge w:val="continue"/>
          </w:tcPr>
          <w:p>
            <w:pPr>
              <w:spacing w:after="0"/>
              <w:rPr>
                <w:sz w:val="15"/>
                <w:szCs w:val="15"/>
                <w:color w:val="auto"/>
              </w:rPr>
            </w:pPr>
          </w:p>
        </w:tc>
        <w:tc>
          <w:tcPr>
            <w:tcW w:w="440" w:type="dxa"/>
            <w:vAlign w:val="bottom"/>
            <w:tcBorders>
              <w:bottom w:val="single" w:sz="8" w:color="auto"/>
            </w:tcBorders>
          </w:tcPr>
          <w:p>
            <w:pPr>
              <w:jc w:val="right"/>
              <w:ind w:right="250"/>
              <w:spacing w:after="0" w:line="18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(1.51</w:t>
            </w: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3,699</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4,268</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3,267</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-2493645</wp:posOffset>
            </wp:positionV>
            <wp:extent cx="713232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-2236470</wp:posOffset>
            </wp:positionV>
            <wp:extent cx="71323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-1953895</wp:posOffset>
            </wp:positionV>
            <wp:extent cx="7132320" cy="2400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-1559560</wp:posOffset>
            </wp:positionV>
            <wp:extent cx="7132320"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-1302385</wp:posOffset>
            </wp:positionV>
            <wp:extent cx="713232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-1019175</wp:posOffset>
            </wp:positionV>
            <wp:extent cx="7132320" cy="2400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-642620</wp:posOffset>
            </wp:positionV>
            <wp:extent cx="7132320" cy="2400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-248285</wp:posOffset>
            </wp:positionV>
            <wp:extent cx="7132320" cy="2400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720"/>
            <w:col w:w="6000"/>
          </w:cols>
          <w:pgMar w:left="320" w:top="634" w:right="339" w:bottom="1440" w:gutter="0" w:footer="0" w:header="0"/>
          <w:type w:val="continuous"/>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3" w:name="page14"/>
    <w:bookmarkEnd w:id="13"/>
    <w:p>
      <w:pPr>
        <w:ind w:right="280"/>
        <w:spacing w:after="0" w:line="261" w:lineRule="auto"/>
        <w:rPr>
          <w:sz w:val="20"/>
          <w:szCs w:val="20"/>
          <w:color w:val="auto"/>
        </w:rPr>
      </w:pPr>
      <w:r>
        <w:rPr>
          <w:rFonts w:ascii="Arial" w:cs="Arial" w:eastAsia="Arial" w:hAnsi="Arial"/>
          <w:sz w:val="18"/>
          <w:szCs w:val="18"/>
          <w:color w:val="auto"/>
        </w:rPr>
        <w:t>The impact of certain common stock equivalents was excluded from the computation of diluted net loss per share for the periods in which the Company incurred a net loss since the impact of such common stock equivalents would have been anti-dilutive.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For the three and six months ended March 31, 2022, the Company recorded no income tax expense due to its expected fiscal 2022 loss which it is not able to carryback. For the three and six months ended March 31, 2021, the Company recorded an income tax benefit of $7,110 and $10,404, respectively, due to the Company’s ability and intent to carryback its 2021 fiscal year tax loss under the Coronavirus Aid, Relief and Economic Security Act (the “CARES Act”), which was signed into law in March 2020. As of March 31, 2022, the Company recorded an income tax receivable of $28,748 consisting of an estimated federal net operating loss carryback for fiscal 2021 for which the Company will request a refund in the future.</w:t>
      </w:r>
    </w:p>
    <w:p>
      <w:pPr>
        <w:spacing w:after="0" w:line="6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As of March 31, 2022, the Company has recorded a valuation allowance against all of its net deferred tax assets. The Company continues to believe it more likely that it will not have sufficient taxable income in the future that will allow it to realize all of its existing deferred tax assets. This is due to the fact the Company’s expenses are increasing as it continues to progress its wholly-owned research and development programs, while its royalty revenues from the AbbVie Agreement are not increasing.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0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March 31, 2022.</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0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On November 19, 2021, the Company exercised its option to extend the lease term of its existing office and laboratory space at 500 Arsenal Street for an additional 5 years through September 1, 2027. The Company accounted for the extension as a modification and re-assessed the classification of the lease as an operating lease. The total remeasurement of the lease resulted in an increase in the right of use asset and lease liability of $15,048. The updated minimum lease payments related to the 500 Arsenal Street lease as a result of the extension totaled $20,342.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or Form 10-Q, and the audited consolidated financial statements and notes thereto for our fiscal year ended September 30, 2021 included in our Annual Report on Form 10-K for that fiscal year which is referred to as our 2021 Form 10-K. Please refer to our note regarding forward-looking statements on page 2 of this Form 10-Q, which is incorporated herein by this reference.</w:t>
      </w:r>
    </w:p>
    <w:p>
      <w:pPr>
        <w:spacing w:after="0" w:line="8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i w:val="1"/>
          <w:iCs w:val="1"/>
          <w:color w:val="auto"/>
        </w:rPr>
        <w:t>The Enanta name and logo are our trademarks. This Form 10-Q also includes trademarks, trade names and service marks of other persons. All other trademarks, trade names and service marks appearing in this Form 10-Q are the property of their respective owners.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We are a biotechnology company that uses our robust, chemistry-driven approach and drug discovery capabilities to become a leader in the discovery and development of small molecule drugs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leading brand of direct-acting antiviral, or DAA, combination treatment for HCV, which is marketed under the tradenames MAVYRET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(U.S.) and MAVIRET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(ex-U.S.) (glecaprevir/pibrentasvir). Our royalties from our AbbVie collaboration provide us funding to support our wholly-owned research and development programs, which are primarily focused on the following disease targets:</w:t>
      </w:r>
    </w:p>
    <w:p>
      <w:pPr>
        <w:spacing w:after="0" w:line="81" w:lineRule="exact"/>
        <w:rPr>
          <w:sz w:val="20"/>
          <w:szCs w:val="20"/>
          <w:color w:val="auto"/>
        </w:rPr>
      </w:pPr>
    </w:p>
    <w:p>
      <w:pPr>
        <w:jc w:val="both"/>
        <w:ind w:left="1020" w:right="360" w:hanging="503"/>
        <w:spacing w:after="0" w:line="270"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Respiratory syncytial virus, or RSV, the most common cause of bronchiolitis and pneumonia in young children and a significant cause of respiratory illness in older adults, with estimates suggesting that on average each year RSV leads to 3 million hospitalizations globally in children under 5 years old and 177,000 hospitalizations in the U.S. in adults over the age of 65;</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SARS-CoV-2, the virus that causes COVID-19, as well as other coronaviruses;</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Hepatitis B virus, or HBV, the most prevalent chronic hepatitis, which is estimated by the World Health Organization to affect close to 300 million individuals worldwide;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Human metapneumovirus, or hMPV, a virus that causes respiratory infection with symptoms similar to RSV.</w:t>
      </w:r>
    </w:p>
    <w:p>
      <w:pPr>
        <w:spacing w:after="0" w:line="104"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We had $322.5 million in cash, cash equivalents and short-term and long-term marketable securities at March 31, 2022. In fiscal 2021, we earned $97.1 million and $46.4 million during the six months ended March 31, 2022 in product royalties on AbbVie’s net sales of its HCV regimens. We expect cash flows from our continuing HCV royalties and our existing financial resources will allow us to continue to fund our wholly-owned research and development programs for at least the next two years.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Wholly-Owned Programs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primary wholly-owned research and development programs are in virology, namely RSV, HBV, SARS-CoV-2 and hMPV:</w:t>
      </w:r>
    </w:p>
    <w:p>
      <w:pPr>
        <w:spacing w:after="0" w:line="104" w:lineRule="exact"/>
        <w:rPr>
          <w:sz w:val="20"/>
          <w:szCs w:val="20"/>
          <w:color w:val="auto"/>
        </w:rPr>
      </w:pPr>
    </w:p>
    <w:p>
      <w:pPr>
        <w:ind w:left="1020" w:right="220" w:hanging="503"/>
        <w:spacing w:after="0" w:line="32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RSV:</w:t>
      </w:r>
      <w:r>
        <w:rPr>
          <w:rFonts w:ascii="Arial" w:cs="Arial" w:eastAsia="Arial" w:hAnsi="Arial"/>
          <w:sz w:val="16"/>
          <w:szCs w:val="16"/>
          <w:color w:val="auto"/>
        </w:rPr>
        <w:t xml:space="preserve"> We have a clinical stage program for RSV, for which the lead asset is EDP-938, a potent N-protein inhibitor of activity of both major subgroups of RSV. In addition, we recently announced a clinical candidate, EDP-323, which is an inhibitor of the RSV L-protein.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-305435</wp:posOffset>
            </wp:positionV>
            <wp:extent cx="6129020"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29020" cy="128905"/>
                    </a:xfrm>
                    <a:prstGeom prst="rect">
                      <a:avLst/>
                    </a:prstGeom>
                    <a:noFill/>
                  </pic:spPr>
                </pic:pic>
              </a:graphicData>
            </a:graphic>
          </wp:anchor>
        </w:drawing>
      </w:r>
    </w:p>
    <w:p>
      <w:pPr>
        <w:ind w:left="1800" w:hanging="384"/>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EDP-938 - N-protein inhibitor candidate</w:t>
      </w:r>
    </w:p>
    <w:p>
      <w:pPr>
        <w:spacing w:after="0" w:line="103" w:lineRule="exact"/>
        <w:rPr>
          <w:rFonts w:ascii="Arial" w:cs="Arial" w:eastAsia="Arial" w:hAnsi="Arial"/>
          <w:sz w:val="18"/>
          <w:szCs w:val="18"/>
          <w:color w:val="auto"/>
        </w:rPr>
      </w:pPr>
    </w:p>
    <w:p>
      <w:pPr>
        <w:ind w:left="2540" w:hanging="375"/>
        <w:spacing w:after="0" w:line="257" w:lineRule="auto"/>
        <w:tabs>
          <w:tab w:leader="none" w:pos="2540" w:val="left"/>
        </w:tabs>
        <w:numPr>
          <w:ilvl w:val="1"/>
          <w:numId w:val="14"/>
        </w:numPr>
        <w:rPr>
          <w:rFonts w:ascii="Arial" w:cs="Arial" w:eastAsia="Arial" w:hAnsi="Arial"/>
          <w:sz w:val="17"/>
          <w:szCs w:val="17"/>
          <w:color w:val="auto"/>
        </w:rPr>
      </w:pPr>
      <w:r>
        <w:rPr>
          <w:rFonts w:ascii="Arial" w:cs="Arial" w:eastAsia="Arial" w:hAnsi="Arial"/>
          <w:sz w:val="17"/>
          <w:szCs w:val="17"/>
          <w:i w:val="1"/>
          <w:iCs w:val="1"/>
          <w:u w:val="single" w:color="auto"/>
          <w:color w:val="auto"/>
        </w:rPr>
        <w:t>RSVP:</w:t>
      </w:r>
      <w:r>
        <w:rPr>
          <w:rFonts w:ascii="Arial" w:cs="Arial" w:eastAsia="Arial" w:hAnsi="Arial"/>
          <w:sz w:val="17"/>
          <w:szCs w:val="17"/>
          <w:i w:val="1"/>
          <w:iCs w:val="1"/>
          <w:color w:val="auto"/>
        </w:rPr>
        <w:t xml:space="preserve"> </w:t>
      </w:r>
      <w:r>
        <w:rPr>
          <w:rFonts w:ascii="Arial" w:cs="Arial" w:eastAsia="Arial" w:hAnsi="Arial"/>
          <w:sz w:val="17"/>
          <w:szCs w:val="17"/>
          <w:color w:val="auto"/>
        </w:rPr>
        <w:t>To confirm our findings outside of a challenge study setting, we conducted the RSVP study to evaluate EDP-938</w:t>
      </w:r>
      <w:r>
        <w:rPr>
          <w:rFonts w:ascii="Arial" w:cs="Arial" w:eastAsia="Arial" w:hAnsi="Arial"/>
          <w:sz w:val="17"/>
          <w:szCs w:val="17"/>
          <w:i w:val="1"/>
          <w:iCs w:val="1"/>
          <w:color w:val="auto"/>
        </w:rPr>
        <w:t xml:space="preserve"> </w:t>
      </w:r>
      <w:r>
        <w:rPr>
          <w:rFonts w:ascii="Arial" w:cs="Arial" w:eastAsia="Arial" w:hAnsi="Arial"/>
          <w:sz w:val="17"/>
          <w:szCs w:val="17"/>
          <w:color w:val="auto"/>
        </w:rPr>
        <w:t>in an adult outpatient population infected with community-acquired RSV and provide us additional information on symptom alleviation and viral load decline. In late 2021, following a period of decreased RSV transmission due to social distancing measures, there was an uptick of RSV activity in various regions of the world, including parts of the United States and Europe, which allowed us to complete enrollment beyond our initial target of 70 patients. We expect to announce topline data in the second quarter of calendar 2022.</w:t>
      </w:r>
    </w:p>
    <w:p>
      <w:pPr>
        <w:spacing w:after="0" w:line="67" w:lineRule="exact"/>
        <w:rPr>
          <w:rFonts w:ascii="Arial" w:cs="Arial" w:eastAsia="Arial" w:hAnsi="Arial"/>
          <w:sz w:val="17"/>
          <w:szCs w:val="17"/>
          <w:color w:val="auto"/>
        </w:rPr>
      </w:pPr>
    </w:p>
    <w:p>
      <w:pPr>
        <w:ind w:left="2540" w:hanging="375"/>
        <w:spacing w:after="0" w:line="241" w:lineRule="auto"/>
        <w:tabs>
          <w:tab w:leader="none" w:pos="2540" w:val="left"/>
        </w:tabs>
        <w:numPr>
          <w:ilvl w:val="1"/>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RSVPEDs: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initiated a Phase 2 RSV study called RSVPEDs in pediatric patients. In this dose-ranging,</w:t>
      </w:r>
      <w:r>
        <w:rPr>
          <w:rFonts w:ascii="Arial" w:cs="Arial" w:eastAsia="Arial" w:hAnsi="Arial"/>
          <w:sz w:val="18"/>
          <w:szCs w:val="18"/>
          <w:i w:val="1"/>
          <w:iCs w:val="1"/>
          <w:color w:val="auto"/>
        </w:rPr>
        <w:t xml:space="preserve"> </w:t>
      </w:r>
      <w:r>
        <w:rPr>
          <w:rFonts w:ascii="Arial" w:cs="Arial" w:eastAsia="Arial" w:hAnsi="Arial"/>
          <w:sz w:val="18"/>
          <w:szCs w:val="18"/>
          <w:color w:val="auto"/>
        </w:rPr>
        <w:t>randomized, double-blind, placebo-controlled study, we plan to enroll 90 infants and children aged 28 days to 36 months with RSV-associated respiratory tract infection, including both hospitalized and non-hospitalized patients who will be dosed in 4 age cohorts and will receive EDP-938 or a placebo for 5 days. The study will be conducted in 2 parts. Part 1 will evaluate multiple ascending doses in each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 w:name="page16"/>
    <w:bookmarkEnd w:id="15"/>
    <w:p>
      <w:pPr>
        <w:ind w:left="1877" w:right="160"/>
        <w:spacing w:after="0" w:line="261" w:lineRule="auto"/>
        <w:rPr>
          <w:sz w:val="20"/>
          <w:szCs w:val="20"/>
          <w:color w:val="auto"/>
        </w:rPr>
      </w:pPr>
      <w:r>
        <w:rPr>
          <w:rFonts w:ascii="Arial" w:cs="Arial" w:eastAsia="Arial" w:hAnsi="Arial"/>
          <w:sz w:val="18"/>
          <w:szCs w:val="18"/>
          <w:color w:val="auto"/>
        </w:rPr>
        <w:t>age cohort, with a primary endpoint of safety, tolerability, and pharmacokinetics. Part 2 will evaluate the selected dose from Part 1 across the 4 age cohorts, with a primary endpoint of antiviral activity.</w:t>
      </w:r>
    </w:p>
    <w:p>
      <w:pPr>
        <w:spacing w:after="0" w:line="63" w:lineRule="exact"/>
        <w:rPr>
          <w:sz w:val="20"/>
          <w:szCs w:val="20"/>
          <w:color w:val="auto"/>
        </w:rPr>
      </w:pPr>
    </w:p>
    <w:p>
      <w:pPr>
        <w:ind w:left="1877" w:right="300" w:hanging="375"/>
        <w:spacing w:after="0" w:line="279" w:lineRule="auto"/>
        <w:tabs>
          <w:tab w:leader="none" w:pos="1877" w:val="left"/>
        </w:tabs>
        <w:numPr>
          <w:ilvl w:val="0"/>
          <w:numId w:val="15"/>
        </w:numPr>
        <w:rPr>
          <w:rFonts w:ascii="Arial" w:cs="Arial" w:eastAsia="Arial" w:hAnsi="Arial"/>
          <w:sz w:val="16"/>
          <w:szCs w:val="16"/>
          <w:color w:val="auto"/>
        </w:rPr>
      </w:pPr>
      <w:r>
        <w:rPr>
          <w:rFonts w:ascii="Arial" w:cs="Arial" w:eastAsia="Arial" w:hAnsi="Arial"/>
          <w:sz w:val="16"/>
          <w:szCs w:val="16"/>
          <w:i w:val="1"/>
          <w:iCs w:val="1"/>
          <w:u w:val="single" w:color="auto"/>
          <w:color w:val="auto"/>
        </w:rPr>
        <w:t>RSVTx:</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also initiated a Phase 2b study called RSVTx in adult hematopoietic cell transplant recipients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acute RSV infection and symptoms of upper respiratory tract infection. We plan to enroll approximately 200 adult subjects 18 to 75 years of age, within 72 hours of symptom onset, who will receive EDP-938 or placebo for 21 days. The primary endpoint is the incidence of lower respiratory tract complications within 28 days of enrollment, while secondary endpoints include change from baseline in RSV RNA viral load, safety and pharmacokinetics.</w:t>
      </w:r>
    </w:p>
    <w:p>
      <w:pPr>
        <w:spacing w:after="0" w:line="51" w:lineRule="exact"/>
        <w:rPr>
          <w:rFonts w:ascii="Arial" w:cs="Arial" w:eastAsia="Arial" w:hAnsi="Arial"/>
          <w:sz w:val="16"/>
          <w:szCs w:val="16"/>
          <w:color w:val="auto"/>
        </w:rPr>
      </w:pPr>
    </w:p>
    <w:p>
      <w:pPr>
        <w:ind w:left="1877" w:right="120" w:hanging="375"/>
        <w:spacing w:after="0" w:line="248" w:lineRule="auto"/>
        <w:tabs>
          <w:tab w:leader="none" w:pos="18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of RSV has not yet returned to typical levels nor is it following any normal seasonal pattern, since the COVID-19 pandemic began. The future incidence and timing of RSV infections remains highly unpredictable and thus may continue to impact enrollment in our ongoing RSV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-1109345</wp:posOffset>
            </wp:positionV>
            <wp:extent cx="4997450"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97450" cy="128905"/>
                    </a:xfrm>
                    <a:prstGeom prst="rect">
                      <a:avLst/>
                    </a:prstGeom>
                    <a:noFill/>
                  </pic:spPr>
                </pic:pic>
              </a:graphicData>
            </a:graphic>
          </wp:anchor>
        </w:drawing>
      </w:r>
    </w:p>
    <w:p>
      <w:pPr>
        <w:spacing w:after="0" w:line="54" w:lineRule="exact"/>
        <w:rPr>
          <w:sz w:val="20"/>
          <w:szCs w:val="20"/>
          <w:color w:val="auto"/>
        </w:rPr>
      </w:pPr>
    </w:p>
    <w:p>
      <w:pPr>
        <w:ind w:left="1137" w:hanging="384"/>
        <w:spacing w:after="0"/>
        <w:tabs>
          <w:tab w:leader="none" w:pos="1137" w:val="left"/>
        </w:tabs>
        <w:numPr>
          <w:ilvl w:val="1"/>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EDP-323 - L-Inhibitor candidate:</w:t>
      </w:r>
      <w:r>
        <w:rPr>
          <w:rFonts w:ascii="Arial" w:cs="Arial" w:eastAsia="Arial" w:hAnsi="Arial"/>
          <w:sz w:val="18"/>
          <w:szCs w:val="18"/>
          <w:i w:val="1"/>
          <w:iCs w:val="1"/>
          <w:color w:val="auto"/>
        </w:rPr>
        <w:t xml:space="preserve"> </w:t>
      </w:r>
      <w:r>
        <w:rPr>
          <w:rFonts w:ascii="Arial" w:cs="Arial" w:eastAsia="Arial" w:hAnsi="Arial"/>
          <w:sz w:val="18"/>
          <w:szCs w:val="18"/>
          <w:color w:val="auto"/>
        </w:rPr>
        <w:t>Our newest clinical candidate for RSV is a novel oral, direct-acting antiviral selectively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targeting the RSV L-protein, a viral RNA-dependent RNA polymerase enzyme that contains multiple enzymatic activities required for RSV replication. EDP-323 has shown nanomolar potency against RSV-A and RSV-B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is not expected to have cross-resistance to other classes of inhibitors. EDP-323 has the potential to be used alone or in combination with other RSV mechanisms, such as EDP-938, to broaden the treatment window or addressable patient populations. We plan to initiate a Phase 1 study of EDP-323 in the second half of calendar 2022.</w:t>
      </w:r>
    </w:p>
    <w:p>
      <w:pPr>
        <w:spacing w:after="0" w:line="81" w:lineRule="exact"/>
        <w:rPr>
          <w:rFonts w:ascii="Arial" w:cs="Arial" w:eastAsia="Arial" w:hAnsi="Arial"/>
          <w:sz w:val="18"/>
          <w:szCs w:val="18"/>
          <w:color w:val="auto"/>
        </w:rPr>
      </w:pPr>
    </w:p>
    <w:p>
      <w:pPr>
        <w:ind w:left="377" w:hanging="377"/>
        <w:spacing w:after="0" w:line="243" w:lineRule="auto"/>
        <w:tabs>
          <w:tab w:leader="none" w:pos="37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COVID-19</w:t>
      </w:r>
      <w:r>
        <w:rPr>
          <w:rFonts w:ascii="Arial" w:cs="Arial" w:eastAsia="Arial" w:hAnsi="Arial"/>
          <w:sz w:val="18"/>
          <w:szCs w:val="18"/>
          <w:color w:val="auto"/>
          <w:highlight w:val="white"/>
        </w:rPr>
        <w:t>: We have been leveraging our expertise in protease inhibitors to discover new compounds specifically designed to target the</w:t>
      </w:r>
      <w:r>
        <w:rPr>
          <w:rFonts w:ascii="Arial" w:cs="Arial" w:eastAsia="Arial" w:hAnsi="Arial"/>
          <w:sz w:val="18"/>
          <w:szCs w:val="18"/>
          <w:color w:val="auto"/>
        </w:rPr>
        <w:t xml:space="preserve"> SARS-CoV-2 virus and potentially other coronaviruses. Our first clinical candidate for COVID-19 is EDP-235, an oral inhibitor of coronavirus 3CL protease, also referred to as the main coronavirus protease, or Mpro. We began dosing EDP-235 in a first-in-human study in February 2022, and we expect to announce preliminary data in the second quarter of calendar 2022.</w:t>
      </w:r>
    </w:p>
    <w:p>
      <w:pPr>
        <w:spacing w:after="0" w:line="79" w:lineRule="exact"/>
        <w:rPr>
          <w:rFonts w:ascii="Arial" w:cs="Arial" w:eastAsia="Arial" w:hAnsi="Arial"/>
          <w:sz w:val="18"/>
          <w:szCs w:val="18"/>
          <w:color w:val="auto"/>
        </w:rPr>
      </w:pPr>
    </w:p>
    <w:p>
      <w:pPr>
        <w:ind w:left="1137" w:hanging="384"/>
        <w:spacing w:after="0" w:line="272" w:lineRule="auto"/>
        <w:tabs>
          <w:tab w:leader="none" w:pos="1137" w:val="left"/>
        </w:tabs>
        <w:numPr>
          <w:ilvl w:val="1"/>
          <w:numId w:val="16"/>
        </w:numPr>
        <w:rPr>
          <w:rFonts w:ascii="Arial" w:cs="Arial" w:eastAsia="Arial" w:hAnsi="Arial"/>
          <w:sz w:val="16"/>
          <w:szCs w:val="16"/>
          <w:color w:val="auto"/>
        </w:rPr>
      </w:pPr>
      <w:r>
        <w:rPr>
          <w:rFonts w:ascii="Arial" w:cs="Arial" w:eastAsia="Arial" w:hAnsi="Arial"/>
          <w:sz w:val="16"/>
          <w:szCs w:val="16"/>
          <w:i w:val="1"/>
          <w:iCs w:val="1"/>
          <w:u w:val="single" w:color="auto"/>
          <w:color w:val="auto"/>
        </w:rPr>
        <w:t>EDP-235</w:t>
      </w:r>
      <w:r>
        <w:rPr>
          <w:rFonts w:ascii="Arial" w:cs="Arial" w:eastAsia="Arial" w:hAnsi="Arial"/>
          <w:sz w:val="16"/>
          <w:szCs w:val="16"/>
          <w:i w:val="1"/>
          <w:iCs w:val="1"/>
          <w:color w:val="auto"/>
        </w:rPr>
        <w:t xml:space="preserve"> </w:t>
      </w:r>
      <w:r>
        <w:rPr>
          <w:rFonts w:ascii="Arial" w:cs="Arial" w:eastAsia="Arial" w:hAnsi="Arial"/>
          <w:sz w:val="16"/>
          <w:szCs w:val="16"/>
          <w:color w:val="auto"/>
        </w:rPr>
        <w:t>- In a biochemical assay, EDP-235 inhibited the SARS-CoV-2 3CL protease with an IC</w:t>
      </w:r>
      <w:r>
        <w:rPr>
          <w:rFonts w:ascii="Arial" w:cs="Arial" w:eastAsia="Arial" w:hAnsi="Arial"/>
          <w:sz w:val="11"/>
          <w:szCs w:val="11"/>
          <w:color w:val="auto"/>
        </w:rPr>
        <w:t>50</w:t>
      </w:r>
      <w:r>
        <w:rPr>
          <w:rFonts w:ascii="Arial" w:cs="Arial" w:eastAsia="Arial" w:hAnsi="Arial"/>
          <w:sz w:val="16"/>
          <w:szCs w:val="16"/>
          <w:i w:val="1"/>
          <w:iCs w:val="1"/>
          <w:color w:val="auto"/>
        </w:rPr>
        <w:t xml:space="preserve"> </w:t>
      </w:r>
      <w:r>
        <w:rPr>
          <w:rFonts w:ascii="Arial" w:cs="Arial" w:eastAsia="Arial" w:hAnsi="Arial"/>
          <w:sz w:val="16"/>
          <w:szCs w:val="16"/>
          <w:color w:val="auto"/>
        </w:rPr>
        <w:t>of 5.8 nM. Importantly, this</w:t>
      </w:r>
      <w:r>
        <w:rPr>
          <w:rFonts w:ascii="Arial" w:cs="Arial" w:eastAsia="Arial" w:hAnsi="Arial"/>
          <w:sz w:val="16"/>
          <w:szCs w:val="16"/>
          <w:i w:val="1"/>
          <w:iCs w:val="1"/>
          <w:color w:val="auto"/>
        </w:rPr>
        <w:t xml:space="preserve"> </w:t>
      </w:r>
      <w:r>
        <w:rPr>
          <w:rFonts w:ascii="Arial" w:cs="Arial" w:eastAsia="Arial" w:hAnsi="Arial"/>
          <w:sz w:val="16"/>
          <w:szCs w:val="16"/>
          <w:color w:val="auto"/>
        </w:rPr>
        <w:t>activity was retained against the 3CL protease from a range of SARS-CoV-2 variants, including the 3CL protease in the Delta and Omicron variants. EDP-235 potently blocked SARS-CoV-2 replication in multiple cellular models, including primary human airway epithelial cells, where an EC</w:t>
      </w:r>
      <w:r>
        <w:rPr>
          <w:rFonts w:ascii="Arial" w:cs="Arial" w:eastAsia="Arial" w:hAnsi="Arial"/>
          <w:sz w:val="11"/>
          <w:szCs w:val="11"/>
          <w:color w:val="auto"/>
        </w:rPr>
        <w:t>90</w:t>
      </w:r>
      <w:r>
        <w:rPr>
          <w:rFonts w:ascii="Arial" w:cs="Arial" w:eastAsia="Arial" w:hAnsi="Arial"/>
          <w:sz w:val="16"/>
          <w:szCs w:val="16"/>
          <w:color w:val="auto"/>
        </w:rPr>
        <w:t xml:space="preserve"> of 33 nM was observed. Additionally, EDP-235 was shown to have potent antiviral activity across other human coronaviruses. EDP-235 had good permeability in human Caco-2 cells with a low plasma clearance in human liver microsomes. Consistent with this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EDP-235 had robust plasma exposure with an oral bioavailability of 95% in rats. Moreover, EDP-235 had favorable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penetration into multiple target tissues, including lung. Based on allometric scaling, EDP-235 is projected to have a long half-life of 16 hours with a projected efficacious human dose of 100 to 500 mg once-daily.</w:t>
      </w:r>
    </w:p>
    <w:p>
      <w:pPr>
        <w:spacing w:after="0" w:line="59" w:lineRule="exact"/>
        <w:rPr>
          <w:rFonts w:ascii="Arial" w:cs="Arial" w:eastAsia="Arial" w:hAnsi="Arial"/>
          <w:sz w:val="16"/>
          <w:szCs w:val="16"/>
          <w:color w:val="auto"/>
        </w:rPr>
      </w:pPr>
    </w:p>
    <w:p>
      <w:pPr>
        <w:ind w:left="377" w:right="260" w:hanging="373"/>
        <w:spacing w:after="0" w:line="262" w:lineRule="auto"/>
        <w:tabs>
          <w:tab w:leader="none" w:pos="377"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HBV:</w:t>
      </w:r>
      <w:r>
        <w:rPr>
          <w:rFonts w:ascii="Arial" w:cs="Arial" w:eastAsia="Arial" w:hAnsi="Arial"/>
          <w:sz w:val="17"/>
          <w:szCs w:val="17"/>
          <w:color w:val="auto"/>
        </w:rPr>
        <w:t xml:space="preserve"> Our lead clinical candidate for the treatment of chronic infection with hepatitis B virus, or HBV, is EDP-514, a core inhibitor that displays potent anti-HBV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at multiple points in the HBV lifecycle. Our goal is to develop a combination therapy approach, including existing approved treatments such as a nucleoside reverse transcriptase inhibitor (NUC), with EDP-514 and one or more other mechanisms, which could lead to a functional cure for patients with chronic HBV infection.</w:t>
      </w:r>
    </w:p>
    <w:p>
      <w:pPr>
        <w:spacing w:after="0" w:line="64" w:lineRule="exact"/>
        <w:rPr>
          <w:rFonts w:ascii="Arial" w:cs="Arial" w:eastAsia="Arial" w:hAnsi="Arial"/>
          <w:sz w:val="17"/>
          <w:szCs w:val="17"/>
          <w:color w:val="auto"/>
        </w:rPr>
      </w:pPr>
    </w:p>
    <w:p>
      <w:pPr>
        <w:ind w:left="1137" w:right="60" w:hanging="384"/>
        <w:spacing w:after="0" w:line="276" w:lineRule="auto"/>
        <w:tabs>
          <w:tab w:leader="none" w:pos="1137" w:val="left"/>
        </w:tabs>
        <w:numPr>
          <w:ilvl w:val="1"/>
          <w:numId w:val="16"/>
        </w:numPr>
        <w:rPr>
          <w:rFonts w:ascii="Arial" w:cs="Arial" w:eastAsia="Arial" w:hAnsi="Arial"/>
          <w:sz w:val="16"/>
          <w:szCs w:val="16"/>
          <w:color w:val="auto"/>
        </w:rPr>
      </w:pPr>
      <w:r>
        <w:rPr>
          <w:rFonts w:ascii="Arial" w:cs="Arial" w:eastAsia="Arial" w:hAnsi="Arial"/>
          <w:sz w:val="16"/>
          <w:szCs w:val="16"/>
          <w:i w:val="1"/>
          <w:iCs w:val="1"/>
          <w:u w:val="single" w:color="auto"/>
          <w:color w:val="auto"/>
        </w:rPr>
        <w:t>EDP-514 - Phase 1a/b</w:t>
      </w:r>
      <w:r>
        <w:rPr>
          <w:rFonts w:ascii="Arial" w:cs="Arial" w:eastAsia="Arial" w:hAnsi="Arial"/>
          <w:sz w:val="16"/>
          <w:szCs w:val="16"/>
          <w:i w:val="1"/>
          <w:iCs w:val="1"/>
          <w:color w:val="auto"/>
        </w:rPr>
        <w:t xml:space="preserve"> </w:t>
      </w:r>
      <w:r>
        <w:rPr>
          <w:rFonts w:ascii="Arial" w:cs="Arial" w:eastAsia="Arial" w:hAnsi="Arial"/>
          <w:sz w:val="16"/>
          <w:szCs w:val="16"/>
          <w:color w:val="auto"/>
        </w:rPr>
        <w:t>- Our initial study of EDP-514 was a randomized, double-blind, placebo-controlled Phase 1a/1b study</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in two parts. Part 1 of the study in healthy subjects demonstrated that EDP-514 is well-tolerated with a favorable safety profile and has a pharmacokinetic profile supportive of once-daily dosing. In Part 2, we studied EDP-514 in chronic HBV patients already being treated with a marketed NUC, which we refer to as NUC-suppressed patients. Data showed that the 200mg, 400mg and 800mg doses were safe and well tolerated, with pharmacokinetics (PK) supportive of once daily dosing, and antiviral activity demonstrating reductions in circulating HBV RNA levels as expected for this class in a short treatment duration study.</w:t>
      </w:r>
    </w:p>
    <w:p>
      <w:pPr>
        <w:spacing w:after="0" w:line="53" w:lineRule="exact"/>
        <w:rPr>
          <w:rFonts w:ascii="Arial" w:cs="Arial" w:eastAsia="Arial" w:hAnsi="Arial"/>
          <w:sz w:val="16"/>
          <w:szCs w:val="16"/>
          <w:color w:val="auto"/>
        </w:rPr>
      </w:pPr>
    </w:p>
    <w:p>
      <w:pPr>
        <w:ind w:left="1137" w:right="100" w:hanging="384"/>
        <w:spacing w:after="0" w:line="255" w:lineRule="auto"/>
        <w:tabs>
          <w:tab w:leader="none" w:pos="1137" w:val="left"/>
        </w:tabs>
        <w:numPr>
          <w:ilvl w:val="1"/>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EDP-514 - Phase 1b study in Viremic HBV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 In addition, we conducted a second Phase 1b study, to evaluate EDP-514 in</w:t>
      </w:r>
      <w:r>
        <w:rPr>
          <w:rFonts w:ascii="Arial" w:cs="Arial" w:eastAsia="Arial" w:hAnsi="Arial"/>
          <w:sz w:val="17"/>
          <w:szCs w:val="17"/>
          <w:i w:val="1"/>
          <w:iCs w:val="1"/>
          <w:color w:val="auto"/>
        </w:rPr>
        <w:t xml:space="preserve"> </w:t>
      </w:r>
      <w:r>
        <w:rPr>
          <w:rFonts w:ascii="Arial" w:cs="Arial" w:eastAsia="Arial" w:hAnsi="Arial"/>
          <w:sz w:val="17"/>
          <w:szCs w:val="17"/>
          <w:color w:val="auto"/>
        </w:rPr>
        <w:t>chronic HBV patients with high viral load not currently on treatment, which we refer to as viremic patients. Results demonstrated that EDP-514 was safe and well-tolerated through 28 days of treatment, displayed pharmacokinetics supportive of once-daily dosing, with trough concentrations up to 20-fold the protein adjusted EC50</w:t>
      </w:r>
      <w:r>
        <w:rPr>
          <w:rFonts w:ascii="Arial" w:cs="Arial" w:eastAsia="Arial" w:hAnsi="Arial"/>
          <w:sz w:val="11"/>
          <w:szCs w:val="11"/>
          <w:color w:val="auto"/>
        </w:rPr>
        <w:t>,</w:t>
      </w:r>
      <w:r>
        <w:rPr>
          <w:rFonts w:ascii="Arial" w:cs="Arial" w:eastAsia="Arial" w:hAnsi="Arial"/>
          <w:sz w:val="17"/>
          <w:szCs w:val="17"/>
          <w:color w:val="auto"/>
        </w:rPr>
        <w:t xml:space="preserve"> the latter of which is a common measure of a compound's potency </w:t>
      </w:r>
      <w:r>
        <w:rPr>
          <w:rFonts w:ascii="Arial" w:cs="Arial" w:eastAsia="Arial" w:hAnsi="Arial"/>
          <w:sz w:val="17"/>
          <w:szCs w:val="17"/>
          <w:i w:val="1"/>
          <w:iCs w:val="1"/>
          <w:color w:val="auto"/>
        </w:rPr>
        <w:t>in vitro</w:t>
      </w:r>
      <w:r>
        <w:rPr>
          <w:rFonts w:ascii="Arial" w:cs="Arial" w:eastAsia="Arial" w:hAnsi="Arial"/>
          <w:sz w:val="17"/>
          <w:szCs w:val="17"/>
          <w:color w:val="auto"/>
        </w:rPr>
        <w:t>. Mean HBV DNA reductions of 2.9, 3.3, and 3.5 logs at 28 days were observed in the 200 mg, 400 mg, and 800 mg cohorts, respectively, compared to 0.2 log in placebo. Mean HBV RNA reduction of the three viremic treatment cohorts was at least 2 logs compared to a 0.02 log reduction in the placebo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2266950</wp:posOffset>
            </wp:positionH>
            <wp:positionV relativeFrom="paragraph">
              <wp:posOffset>-4856480</wp:posOffset>
            </wp:positionV>
            <wp:extent cx="405447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054475" cy="128905"/>
                    </a:xfrm>
                    <a:prstGeom prst="rect">
                      <a:avLst/>
                    </a:prstGeom>
                    <a:noFill/>
                  </pic:spPr>
                </pic:pic>
              </a:graphicData>
            </a:graphic>
          </wp:anchor>
        </w:drawing>
        <w:drawing>
          <wp:anchor simplePos="0" relativeHeight="251657728" behindDoc="1" locked="0" layoutInCell="0" allowOverlap="1">
            <wp:simplePos x="0" y="0"/>
            <wp:positionH relativeFrom="column">
              <wp:posOffset>1144270</wp:posOffset>
            </wp:positionH>
            <wp:positionV relativeFrom="paragraph">
              <wp:posOffset>-3433445</wp:posOffset>
            </wp:positionV>
            <wp:extent cx="4020185"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020185" cy="128905"/>
                    </a:xfrm>
                    <a:prstGeom prst="rect">
                      <a:avLst/>
                    </a:prstGeom>
                    <a:noFill/>
                  </pic:spPr>
                </pic:pic>
              </a:graphicData>
            </a:graphic>
          </wp:anchor>
        </w:drawing>
        <w:drawing>
          <wp:anchor simplePos="0" relativeHeight="251657728" behindDoc="1" locked="0" layoutInCell="0" allowOverlap="1">
            <wp:simplePos x="0" y="0"/>
            <wp:positionH relativeFrom="column">
              <wp:posOffset>501015</wp:posOffset>
            </wp:positionH>
            <wp:positionV relativeFrom="paragraph">
              <wp:posOffset>-2336165</wp:posOffset>
            </wp:positionV>
            <wp:extent cx="5966460"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6460" cy="128905"/>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-1753235</wp:posOffset>
            </wp:positionV>
            <wp:extent cx="471487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14875" cy="128905"/>
                    </a:xfrm>
                    <a:prstGeom prst="rect">
                      <a:avLst/>
                    </a:prstGeom>
                    <a:noFill/>
                  </pic:spPr>
                </pic:pic>
              </a:graphicData>
            </a:graphic>
          </wp:anchor>
        </w:drawing>
      </w:r>
    </w:p>
    <w:p>
      <w:pPr>
        <w:spacing w:after="0" w:line="160" w:lineRule="exact"/>
        <w:rPr>
          <w:sz w:val="20"/>
          <w:szCs w:val="20"/>
          <w:color w:val="auto"/>
        </w:rPr>
      </w:pPr>
    </w:p>
    <w:p>
      <w:pPr>
        <w:ind w:left="4877"/>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57"/>
          </w:cols>
          <w:pgMar w:left="983" w:top="436" w:right="359" w:bottom="1440" w:gutter="0" w:footer="0" w:header="0"/>
        </w:sectPr>
      </w:pPr>
    </w:p>
    <w:bookmarkStart w:id="16" w:name="page17"/>
    <w:bookmarkEnd w:id="16"/>
    <w:p>
      <w:pPr>
        <w:ind w:left="1020" w:right="20" w:hanging="503"/>
        <w:spacing w:after="0" w:line="24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hMPV</w:t>
      </w:r>
      <w:r>
        <w:rPr>
          <w:rFonts w:ascii="Arial" w:cs="Arial" w:eastAsia="Arial" w:hAnsi="Arial"/>
          <w:sz w:val="18"/>
          <w:szCs w:val="18"/>
          <w:color w:val="auto"/>
          <w:highlight w:val="white"/>
        </w:rPr>
        <w:t>: Since announcing our new drug discovery effort for human metapneumovirus, or hMPV, in January 2020, we have been optimizing</w:t>
      </w:r>
      <w:r>
        <w:rPr>
          <w:rFonts w:ascii="Arial" w:cs="Arial" w:eastAsia="Arial" w:hAnsi="Arial"/>
          <w:sz w:val="18"/>
          <w:szCs w:val="18"/>
          <w:color w:val="auto"/>
        </w:rPr>
        <w:t xml:space="preserve"> nanomolar inhibitor leads against this virus and are working toward selecting our first clinical candidate for this indication later in the second half of 2022.</w:t>
      </w:r>
    </w:p>
    <w:p>
      <w:pPr>
        <w:spacing w:after="0" w:line="16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both in our disease areas of focus as well as potentially in other disease areas.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our virology and liver disease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6172200" cy="31546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7220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Royalty Revenue Collaboration</w:t>
      </w:r>
    </w:p>
    <w:p>
      <w:pPr>
        <w:spacing w:after="0" w:line="10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74"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Glecaprevir is the protease inhibitor we discovered that was developed by AbbVie in a fixed-dose combination with its NS5A inhibitor, pibrentasvir, for the treatment of HCV. This patented combination, currently marketed under the brand names MAVYRET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(U.S.) and MAVIRET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(ex-U.S.), is referred to in this report as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current COVID-19 pandemic has presented substantial challenges for public health and economies around the world, and it is affecting our clinical trials, our royalty revenues received from AbbVie, and our business operations.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and public health actions taken to contain it and roll out vaccinations worldwide, as well as the cumulative economic impact of all of these factors. Additionally, as new, more infectious variants emerge, such as the Delta and Omicron variants, it is possible that the impact of the pandemic on our business may continue or change.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7" w:name="page18"/>
    <w:bookmarkEnd w:id="17"/>
    <w:p>
      <w:pPr>
        <w:ind w:right="80"/>
        <w:spacing w:after="0" w:line="243" w:lineRule="auto"/>
        <w:rPr>
          <w:sz w:val="20"/>
          <w:szCs w:val="20"/>
          <w:color w:val="auto"/>
        </w:rPr>
      </w:pPr>
      <w:r>
        <w:rPr>
          <w:rFonts w:ascii="Arial" w:cs="Arial" w:eastAsia="Arial" w:hAnsi="Arial"/>
          <w:sz w:val="18"/>
          <w:szCs w:val="18"/>
          <w:color w:val="auto"/>
        </w:rPr>
        <w:t>We are continuing to assess and manage the potential impact of the COVID-19 pandemic on our business and operations, including our expenses, clinical trials and royalty revenue. While the majority of our employees were working from home during the first 18 months of the pandemic, as we prepare to transition back to working on site, the majority of our employees are now working hybrid schedules while our scientific personnel are working full-time in our laboratories.</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Our third-party contract manufacturing partners continue to operate at or near normal levels producing drug substance and drug product for our research and clinical development programs, so we currently do not anticipate any material interruptions in our supply chain, but it is possible that may change. In addition, the mitigation steps to manage the COVID-19 pandemic in the past year have suppressed the global incidence of RSV and respiratory illnesses other than COVID-19, which had adversely affected enrollment in our RSVP study. We also continue to experience a variety of more minor interruptions and complications in our other clinical trials, such as limitations in clinical trial supplies other than drug product, as well as local changes in COVID-19 impacts at individual trial sites. While our ongoing trials are proceeding, it is unclear what further impact, if any, the COVID-19 pandemic may have on the timeline for enrollment and/or completion of all or any of our clinical trials.</w:t>
      </w:r>
    </w:p>
    <w:p>
      <w:pPr>
        <w:spacing w:after="0" w:line="72"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With regard to our royalty revenue, we have continued to report lower royalty revenue during our fiscal 2021 and into fiscal 2022 as compared to periods ending before March 2020 due to the worldwide impact of the COVID-19 pandemic. The pandemic resulted in a decline in patient volumes, HCV diagnoses, HCV prescriptions and sales of MAVYRET/MAVIRET.</w:t>
      </w:r>
    </w:p>
    <w:p>
      <w:pPr>
        <w:spacing w:after="0" w:line="74"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While the evolving impact of COVID-19 will likely continue to affect aspects of our business, including those described above, we remain capable of funding our research and development programs for at least the next two years with the current level of royalty revenue and our existing cash and short-term and long-term investments, which totaled $322.5 million at March 31, 2022.</w:t>
      </w:r>
    </w:p>
    <w:p>
      <w:pPr>
        <w:spacing w:after="0" w:line="7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Please see Item 1A “Risk Factors” in this Form 10-Q for additional discussion of risks and potential risks of the COVID-19 pandemic on our business, results of operations and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08"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color w:val="auto"/>
        </w:rPr>
        <w:t>We are currently funding all research and development for our wholly-owned programs, which are targeted toward the discovery and development of novel compounds for the treatment of viral infections and liver diseases. We currently have three Phase 2 studies ongoing for our wholly-owned program in RSV and one Phase 1 study in our SARS-CoV-2 program. We are also progressing other compounds into preclinical development in our RSV, HBV and SARS-CoV-2 programs as well as pursuing drug discovery efforts in hMPV.</w:t>
      </w:r>
    </w:p>
    <w:p>
      <w:pPr>
        <w:spacing w:after="0" w:line="8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During fiscal 2021 and into 2022, our business has been impacted by the COVID-19 pandemic. Specifically, AbbVie continues to report lower HCV revenues as a result of lower treated patient volumes. In addition, we have experienced slower enrollment in the clinical studies in our RSV program as a result of suppression of the incidence of respiratory illnesses globally (other than COVID-19) due to mitigation measures intended to suppress SARS-CoV-2.</w:t>
      </w:r>
    </w:p>
    <w:p>
      <w:pPr>
        <w:spacing w:after="0" w:line="8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a result of our clinical development programs, as well as efforts to advance other compounds into preclinical development, we expect to incur greater expenses in fiscal 2022 than in 2021 as we continue to advance our programs.</w:t>
      </w:r>
    </w:p>
    <w:p>
      <w:pPr>
        <w:spacing w:after="0" w:line="6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are funding our operations primarily through royalty payments received under our collaboration agreement with AbbVie and our existing cash, cash equivalents, and short-term and long-term marketable securities. Our revenue is currently dependent on royalty payments we receive from AbbVie on its sales of MAVYRET/MAVIRET. Absent a significant increase in the level of AbbVie’s MAVYRET/MAVIRET sales that generate our royalty revenue and, given the planned levels of our future expenditures for the advancement of our internally developed compounds, we expect to continue to have net losses in fiscal 2022.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104"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As our internal product candidates are currently in Phase 1 or Phase 2 clinical development, we have not generated any revenue from our own product sales and do not expect to generate any revenue from product sales derived from these product candidates for at least the next several years.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and six months ended March 31, 2022 and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r>
      <w:tr>
        <w:trPr>
          <w:trHeight w:val="185"/>
        </w:trPr>
        <w:tc>
          <w:tcPr>
            <w:tcW w:w="38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3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w w:val="71"/>
              </w:rPr>
              <w:t>thousands)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3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1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42,087</w:t>
            </w:r>
          </w:p>
        </w:tc>
        <w:tc>
          <w:tcPr>
            <w:tcW w:w="5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41,506</w:t>
            </w:r>
          </w:p>
        </w:tc>
        <w:tc>
          <w:tcPr>
            <w:tcW w:w="60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90,636</w:t>
            </w:r>
          </w:p>
        </w:tc>
        <w:tc>
          <w:tcPr>
            <w:tcW w:w="5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78,171</w:t>
            </w:r>
          </w:p>
        </w:tc>
        <w:tc>
          <w:tcPr>
            <w:tcW w:w="60" w:type="dxa"/>
            <w:vAlign w:val="bottom"/>
            <w:shd w:val="clear" w:color="auto" w:fill="CFF0FC"/>
          </w:tcPr>
          <w:p>
            <w:pPr>
              <w:spacing w:after="0"/>
              <w:rPr>
                <w:sz w:val="17"/>
                <w:szCs w:val="17"/>
                <w:color w:val="auto"/>
              </w:rPr>
            </w:pPr>
          </w:p>
        </w:tc>
      </w:tr>
      <w:tr>
        <w:trPr>
          <w:trHeight w:val="203"/>
        </w:trPr>
        <w:tc>
          <w:tcPr>
            <w:tcW w:w="386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10,476</w:t>
            </w:r>
          </w:p>
        </w:tc>
        <w:tc>
          <w:tcPr>
            <w:tcW w:w="5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8,326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19,984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15,703</w:t>
            </w:r>
          </w:p>
        </w:tc>
        <w:tc>
          <w:tcPr>
            <w:tcW w:w="60" w:type="dxa"/>
            <w:vAlign w:val="bottom"/>
          </w:tcPr>
          <w:p>
            <w:pPr>
              <w:spacing w:after="0"/>
              <w:rPr>
                <w:sz w:val="17"/>
                <w:szCs w:val="17"/>
                <w:color w:val="auto"/>
              </w:rPr>
            </w:pPr>
          </w:p>
        </w:tc>
      </w:tr>
      <w:tr>
        <w:trPr>
          <w:trHeight w:val="236"/>
        </w:trPr>
        <w:tc>
          <w:tcPr>
            <w:tcW w:w="386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operating expenses</w:t>
            </w:r>
          </w:p>
        </w:tc>
        <w:tc>
          <w:tcPr>
            <w:tcW w:w="19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52,563</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49,832</w:t>
            </w: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110,620</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93,874</w:t>
            </w:r>
          </w:p>
        </w:tc>
        <w:tc>
          <w:tcPr>
            <w:tcW w:w="60" w:type="dxa"/>
            <w:vAlign w:val="bottom"/>
            <w:tcBorders>
              <w:bottom w:val="single" w:sz="8" w:color="CFF0FC"/>
            </w:tcBorders>
            <w:shd w:val="clear" w:color="auto" w:fill="CFF0FC"/>
          </w:tcPr>
          <w:p>
            <w:pPr>
              <w:spacing w:after="0"/>
              <w:rPr>
                <w:sz w:val="20"/>
                <w:szCs w:val="20"/>
                <w:color w:val="auto"/>
              </w:rPr>
            </w:pPr>
          </w:p>
        </w:tc>
      </w:tr>
      <w:tr>
        <w:trPr>
          <w:trHeight w:val="615"/>
        </w:trPr>
        <w:tc>
          <w:tcPr>
            <w:tcW w:w="38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386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-504825</wp:posOffset>
            </wp:positionV>
            <wp:extent cx="431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-488315</wp:posOffset>
            </wp:positionV>
            <wp:extent cx="431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-504825</wp:posOffset>
            </wp:positionV>
            <wp:extent cx="431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-488315</wp:posOffset>
            </wp:positionV>
            <wp:extent cx="431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-504825</wp:posOffset>
            </wp:positionV>
            <wp:extent cx="342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-488315</wp:posOffset>
            </wp:positionV>
            <wp:extent cx="342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-504825</wp:posOffset>
            </wp:positionV>
            <wp:extent cx="342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-488315</wp:posOffset>
            </wp:positionV>
            <wp:extent cx="342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4" w:lineRule="exact"/>
        <w:rPr>
          <w:sz w:val="20"/>
          <w:szCs w:val="20"/>
          <w:color w:val="auto"/>
        </w:rPr>
      </w:pPr>
    </w:p>
    <w:p>
      <w:pPr>
        <w:ind w:left="1020" w:right="7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laboratory consumables;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allocated facility-related costs;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04"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research and development programs.</w:t>
      </w:r>
    </w:p>
    <w:p>
      <w:pPr>
        <w:spacing w:after="0" w:line="5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research and drug discovery and development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particularly in the context of the COVID-19 pandemic,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80"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We expect that general and administrative expenses will increase in the future primarily due to the ongoing expansion of our operating activities in support of our own research and development programs, as well as potential additional costs associated with operating a growing publicly traded company.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Other income (expense), net consists of interest and investment income and any change in fair value of our outstanding Series 1 nonconvertible preferred stock. Interest income consists of interest earned on our cash equivalents and short-term and long-term marketable securities balances as well as interest earned on any refunds received from tax authorities. Investment income consists of the amortization or accretion of any purchased premium or discount on our short-term and long-term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04"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The income tax benefit is generally the result of federal and state tax benefits, releases of tax reserves or tax refunds due as a result of tax losses generated in the period which are able to be carried back to prior years under the Coronavirus Aid, Relief and Economic Security Act (“CARES Act”). The benefit of the CARES Act is not available beginning in fiscal 2022.</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76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7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71"/>
              </w:rPr>
              <w:t>thousands)</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Royalty revenue</w:t>
            </w:r>
          </w:p>
        </w:tc>
        <w:tc>
          <w:tcPr>
            <w:tcW w:w="1040" w:type="dxa"/>
            <w:vAlign w:val="bottom"/>
            <w:shd w:val="clear" w:color="auto" w:fill="CFF0FC"/>
          </w:tcPr>
          <w:p>
            <w:pPr>
              <w:jc w:val="right"/>
              <w:ind w:right="839"/>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18,716</w:t>
            </w:r>
          </w:p>
        </w:tc>
        <w:tc>
          <w:tcPr>
            <w:tcW w:w="860" w:type="dxa"/>
            <w:vAlign w:val="bottom"/>
            <w:gridSpan w:val="3"/>
            <w:shd w:val="clear" w:color="auto" w:fill="CFF0FC"/>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20,132</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42,087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41,506</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10,476</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8,326</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545</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benefit</w:t>
            </w:r>
          </w:p>
        </w:tc>
        <w:tc>
          <w:tcPr>
            <w:tcW w:w="1040" w:type="dxa"/>
            <w:vAlign w:val="bottom"/>
            <w:shd w:val="clear" w:color="auto" w:fill="CFF2FC"/>
          </w:tcPr>
          <w:p>
            <w:pPr>
              <w:spacing w:after="0"/>
              <w:rPr>
                <w:sz w:val="17"/>
                <w:szCs w:val="17"/>
                <w:color w:val="auto"/>
              </w:rPr>
            </w:pPr>
          </w:p>
        </w:tc>
        <w:tc>
          <w:tcPr>
            <w:tcW w:w="580" w:type="dxa"/>
            <w:vAlign w:val="bottom"/>
            <w:shd w:val="clear" w:color="auto" w:fill="CFF2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2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7,110</w:t>
            </w:r>
          </w:p>
        </w:tc>
        <w:tc>
          <w:tcPr>
            <w:tcW w:w="60" w:type="dxa"/>
            <w:vAlign w:val="bottom"/>
            <w:shd w:val="clear" w:color="auto" w:fill="CFF0FC"/>
          </w:tcPr>
          <w:p>
            <w:pPr>
              <w:spacing w:after="0"/>
              <w:rPr>
                <w:sz w:val="17"/>
                <w:szCs w:val="17"/>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04"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Our revenue consists of royalties received under our collaboration agreement with AbbVie, substantially all of which are now derived from sales of MAVYRET/MAVIRET. We are entitled to annually tiered, double-digit, per-product royalties on 50% of all net sales of MAVYRET/MAVIRET. Our royalty revenues eligible to be earned in the future will potentially fluctuate depending on AbbVie’s HCV market share, the pricing of the MAVYRET/MAVIRET regimen and the number of patients treated with that regimen. Beginning with each January 1, the cumulative net sales of each royalty-bearing product start at zero for purposes of calculating the tiered royalties on a product-by-product basis.</w:t>
      </w:r>
    </w:p>
    <w:p>
      <w:pPr>
        <w:spacing w:after="0" w:line="6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recognized royalty revenue of $18.7 million during the three months ended March 31, 2022 as compared to $20.1 million during the three months ended March 31, 2021. The $1.4 million decrease in royalty revenue was due to AbbVie’s lower reported HCV sales as compared to the comparable period in 2021. HCV patient volumes continue to remain below pre-COVID-19 levels.</w:t>
      </w:r>
    </w:p>
    <w:p>
      <w:pPr>
        <w:sectPr>
          <w:pgSz w:w="11900" w:h="16838" w:orient="portrait"/>
          <w:cols w:equalWidth="0" w:num="1">
            <w:col w:w="11240"/>
          </w:cols>
          <w:pgMar w:left="320" w:top="648" w:right="339" w:bottom="1440" w:gutter="0" w:footer="0" w:header="0"/>
        </w:sect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R&amp;D programs: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Virology</w:t>
      </w:r>
    </w:p>
    <w:p>
      <w:pPr>
        <w:ind w:left="200"/>
        <w:spacing w:after="0"/>
        <w:rPr>
          <w:sz w:val="20"/>
          <w:szCs w:val="20"/>
          <w:color w:val="auto"/>
        </w:rPr>
      </w:pPr>
      <w:r>
        <w:rPr>
          <w:rFonts w:ascii="Arial" w:cs="Arial" w:eastAsia="Arial" w:hAnsi="Arial"/>
          <w:sz w:val="18"/>
          <w:szCs w:val="18"/>
          <w:color w:val="auto"/>
        </w:rPr>
        <w:t>Liver disease (non-viral)</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March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r>
      <w:tr>
        <w:trPr>
          <w:trHeight w:val="180"/>
        </w:trPr>
        <w:tc>
          <w:tcPr>
            <w:tcW w:w="400" w:type="dxa"/>
            <w:vAlign w:val="bottom"/>
          </w:tcPr>
          <w:p>
            <w:pPr>
              <w:spacing w:after="0"/>
              <w:rPr>
                <w:sz w:val="15"/>
                <w:szCs w:val="15"/>
                <w:color w:val="auto"/>
              </w:rPr>
            </w:pPr>
          </w:p>
        </w:tc>
        <w:tc>
          <w:tcPr>
            <w:tcW w:w="122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71"/>
              </w:rPr>
              <w:t>thousands)</w:t>
            </w:r>
          </w:p>
        </w:tc>
        <w:tc>
          <w:tcPr>
            <w:tcW w:w="1140" w:type="dxa"/>
            <w:vAlign w:val="bottom"/>
          </w:tcPr>
          <w:p>
            <w:pPr>
              <w:spacing w:after="0"/>
              <w:rPr>
                <w:sz w:val="15"/>
                <w:szCs w:val="15"/>
                <w:color w:val="auto"/>
              </w:rPr>
            </w:pPr>
          </w:p>
        </w:tc>
      </w:tr>
      <w:tr>
        <w:trPr>
          <w:trHeight w:val="380"/>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35,912</w:t>
            </w:r>
          </w:p>
        </w:tc>
        <w:tc>
          <w:tcPr>
            <w:tcW w:w="7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29,881</w:t>
            </w:r>
          </w:p>
        </w:tc>
      </w:tr>
      <w:tr>
        <w:trPr>
          <w:trHeight w:val="203"/>
        </w:trPr>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5,547</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10,888</w:t>
            </w:r>
          </w:p>
        </w:tc>
      </w:tr>
      <w:tr>
        <w:trPr>
          <w:trHeight w:val="217"/>
        </w:trPr>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r>
      <w:tr>
        <w:trPr>
          <w:trHeight w:val="196"/>
        </w:trPr>
        <w:tc>
          <w:tcPr>
            <w:tcW w:w="4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42,087</w:t>
            </w:r>
          </w:p>
        </w:tc>
        <w:tc>
          <w:tcPr>
            <w:tcW w:w="26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41,506</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-676910</wp:posOffset>
            </wp:positionV>
            <wp:extent cx="7132320"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-419735</wp:posOffset>
            </wp:positionV>
            <wp:extent cx="7132320"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-153670</wp:posOffset>
            </wp:positionV>
            <wp:extent cx="713232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560"/>
          </w:cols>
          <w:pgMar w:left="320" w:top="648" w:right="33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20" w:name="page21"/>
    <w:bookmarkEnd w:id="20"/>
    <w:p>
      <w:pPr>
        <w:spacing w:after="0" w:line="224" w:lineRule="auto"/>
        <w:rPr>
          <w:sz w:val="20"/>
          <w:szCs w:val="20"/>
          <w:color w:val="auto"/>
        </w:rPr>
      </w:pPr>
      <w:r>
        <w:rPr>
          <w:rFonts w:ascii="Arial" w:cs="Arial" w:eastAsia="Arial" w:hAnsi="Arial"/>
          <w:sz w:val="18"/>
          <w:szCs w:val="18"/>
          <w:color w:val="auto"/>
        </w:rPr>
        <w:t>The level of research and development expenses for the three months ended March 31, 2022 increased by $0.6 million compared to the same period in 2021. The increase was primarily driven by an increase in manufacturing costs in support of our clinical studies in our virology programs and an increase in headcount and associated compensation expense, offset by a decrease in clinical trial costs due to timing of our studies in our virology and liver disease programs. For our virology program, we have three Phase 2 studies of EDP-938 in RSV and one Phase 1 study of EDP-235 in our COVID-19 program which was initiated during the three months ended March 31, 2022. For our liver disease program, we announced in October 2021 that we would not continue to develop our non-alcoholic steatohepatitis, or NASH, FXR agonists further and pursue an out-license strategy for further development. Expenses related to this program are expected to continue to decline as we close out the development program. In the prior year, we had our clinical study of EDP-514 in a Phase 1a study and our ongoing Phase 2 RSVP study of EDP-938 and in our liver disease program our Phase 2 study of ARGON-2 and Phase 1 study of EDP-297.</w:t>
      </w:r>
    </w:p>
    <w:p>
      <w:pPr>
        <w:spacing w:after="0" w:line="151" w:lineRule="exact"/>
        <w:rPr>
          <w:sz w:val="20"/>
          <w:szCs w:val="20"/>
          <w:color w:val="auto"/>
        </w:rPr>
      </w:pPr>
    </w:p>
    <w:p>
      <w:pPr>
        <w:jc w:val="both"/>
        <w:ind w:right="500"/>
        <w:spacing w:after="0" w:line="235" w:lineRule="auto"/>
        <w:rPr>
          <w:sz w:val="20"/>
          <w:szCs w:val="20"/>
          <w:color w:val="auto"/>
        </w:rPr>
      </w:pPr>
      <w:r>
        <w:rPr>
          <w:rFonts w:ascii="Arial" w:cs="Arial" w:eastAsia="Arial" w:hAnsi="Arial"/>
          <w:sz w:val="18"/>
          <w:szCs w:val="18"/>
          <w:color w:val="auto"/>
        </w:rPr>
        <w:t>In the near term, our clinical trial expenses could fluctuate if the impact of the COVID-19 pandemic continues through calendar 2022 and negatively impacts patient recruitment and monitoring. In the coming years, we expect our research and development expenses to increase as our wholly-owned programs advance, subject to any longer-term impact of the COVID-19 pandemic.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General and administrative expenses increased by $2.2 million for the three months ended March 31, 2022 compared to the same period in 2021. The increase was primarily due to increases in headcount and related compensation expense in support of expansion of our research and development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Other income (expense), net, decreased $0.3 million for the three months ended March 31, 2022 as compared to the same period in 2021. The decrease was due to lower invested cash balances as of March 31, 2022 as compared to the prior year.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90"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For the three months ended March 31, 2022 and 2021, we recorded no income tax expense and an income tax benefit of $7.1 million, respectively. We recorded an income tax benefit in the prior year due to a federal net operating loss carryback available under the CARES Act for our fiscal year 2021 which is no longer available after September 30, 2021. We continue to record a valuation allowance against substantially all of our deferred tax assets as it is more likely than not that those tax benefits will not be realized in the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March 31, 2022 and 2021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75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520" w:type="dxa"/>
            <w:vAlign w:val="bottom"/>
          </w:tcPr>
          <w:p>
            <w:pPr>
              <w:spacing w:after="0"/>
              <w:rPr>
                <w:sz w:val="14"/>
                <w:szCs w:val="1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7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Arial" w:cs="Arial" w:eastAsia="Arial" w:hAnsi="Arial"/>
                <w:sz w:val="14"/>
                <w:szCs w:val="14"/>
                <w:b w:val="1"/>
                <w:bCs w:val="1"/>
                <w:color w:val="auto"/>
              </w:rPr>
              <w:t>(in</w:t>
            </w:r>
          </w:p>
        </w:tc>
        <w:tc>
          <w:tcPr>
            <w:tcW w:w="8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74"/>
              </w:rPr>
              <w:t>thousands)</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Royalty Revenue</w:t>
            </w:r>
          </w:p>
        </w:tc>
        <w:tc>
          <w:tcPr>
            <w:tcW w:w="1120" w:type="dxa"/>
            <w:vAlign w:val="bottom"/>
            <w:shd w:val="clear" w:color="auto" w:fill="CFF0FC"/>
          </w:tcPr>
          <w:p>
            <w:pPr>
              <w:jc w:val="right"/>
              <w:ind w:right="919"/>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46,364</w:t>
            </w:r>
          </w:p>
        </w:tc>
        <w:tc>
          <w:tcPr>
            <w:tcW w:w="820" w:type="dxa"/>
            <w:vAlign w:val="bottom"/>
            <w:gridSpan w:val="2"/>
            <w:shd w:val="clear" w:color="auto" w:fill="CFF0FC"/>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51,875</w:t>
            </w:r>
          </w:p>
        </w:tc>
        <w:tc>
          <w:tcPr>
            <w:tcW w:w="6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90,636</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78,171</w:t>
            </w:r>
          </w:p>
        </w:tc>
        <w:tc>
          <w:tcPr>
            <w:tcW w:w="60" w:type="dxa"/>
            <w:vAlign w:val="bottom"/>
          </w:tcPr>
          <w:p>
            <w:pPr>
              <w:spacing w:after="0"/>
              <w:rPr>
                <w:sz w:val="17"/>
                <w:szCs w:val="17"/>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19,984</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15,703</w:t>
            </w:r>
          </w:p>
        </w:tc>
        <w:tc>
          <w:tcPr>
            <w:tcW w:w="6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549</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1,222</w:t>
            </w:r>
          </w:p>
        </w:tc>
        <w:tc>
          <w:tcPr>
            <w:tcW w:w="60" w:type="dxa"/>
            <w:vAlign w:val="bottom"/>
          </w:tcPr>
          <w:p>
            <w:pPr>
              <w:spacing w:after="0"/>
              <w:rPr>
                <w:sz w:val="17"/>
                <w:szCs w:val="17"/>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benefit</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10,404</w:t>
            </w:r>
          </w:p>
        </w:tc>
        <w:tc>
          <w:tcPr>
            <w:tcW w:w="60" w:type="dxa"/>
            <w:vAlign w:val="bottom"/>
            <w:shd w:val="clear" w:color="auto" w:fill="CFF0FC"/>
          </w:tcPr>
          <w:p>
            <w:pPr>
              <w:spacing w:after="0"/>
              <w:rPr>
                <w:sz w:val="17"/>
                <w:szCs w:val="17"/>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04"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We recognized royalty revenue of $46.4 million during the six months ended March 31, 2022 as compared to $51.9 million during the six months ended March 31, 2021. The $5.5 million decrease in royalty revenue was due to AbbVie’s lower reported HCV sales on a year to date basis as compared to the comparable period in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75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520" w:type="dxa"/>
            <w:vAlign w:val="bottom"/>
          </w:tcPr>
          <w:p>
            <w:pPr>
              <w:spacing w:after="0"/>
              <w:rPr>
                <w:sz w:val="14"/>
                <w:szCs w:val="14"/>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7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R&amp;D programs:</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Virology</w:t>
            </w:r>
          </w:p>
        </w:tc>
        <w:tc>
          <w:tcPr>
            <w:tcW w:w="1120" w:type="dxa"/>
            <w:vAlign w:val="bottom"/>
          </w:tcPr>
          <w:p>
            <w:pPr>
              <w:jc w:val="right"/>
              <w:ind w:right="916"/>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78,434</w:t>
            </w:r>
          </w:p>
        </w:tc>
        <w:tc>
          <w:tcPr>
            <w:tcW w:w="82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54,469</w:t>
            </w:r>
          </w:p>
        </w:tc>
        <w:tc>
          <w:tcPr>
            <w:tcW w:w="60" w:type="dxa"/>
            <w:vAlign w:val="bottom"/>
          </w:tcPr>
          <w:p>
            <w:pPr>
              <w:spacing w:after="0"/>
              <w:rPr>
                <w:sz w:val="17"/>
                <w:szCs w:val="17"/>
                <w:color w:val="auto"/>
              </w:rPr>
            </w:pPr>
          </w:p>
        </w:tc>
      </w:tr>
      <w:tr>
        <w:trPr>
          <w:trHeight w:val="203"/>
        </w:trPr>
        <w:tc>
          <w:tcPr>
            <w:tcW w:w="7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Liver disease (non-viral)</w:t>
            </w:r>
          </w:p>
        </w:tc>
        <w:tc>
          <w:tcPr>
            <w:tcW w:w="1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11,101</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22,085</w:t>
            </w:r>
          </w:p>
        </w:tc>
        <w:tc>
          <w:tcPr>
            <w:tcW w:w="60" w:type="dxa"/>
            <w:vAlign w:val="bottom"/>
            <w:shd w:val="clear" w:color="auto" w:fill="CFF0FC"/>
          </w:tcPr>
          <w:p>
            <w:pPr>
              <w:spacing w:after="0"/>
              <w:rPr>
                <w:sz w:val="17"/>
                <w:szCs w:val="17"/>
                <w:color w:val="auto"/>
              </w:rPr>
            </w:pPr>
          </w:p>
        </w:tc>
      </w:tr>
      <w:tr>
        <w:trPr>
          <w:trHeight w:val="203"/>
        </w:trPr>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1,101</w:t>
            </w:r>
          </w:p>
        </w:tc>
        <w:tc>
          <w:tcPr>
            <w:tcW w:w="2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1,617</w:t>
            </w:r>
          </w:p>
        </w:tc>
        <w:tc>
          <w:tcPr>
            <w:tcW w:w="60" w:type="dxa"/>
            <w:vAlign w:val="bottom"/>
          </w:tcPr>
          <w:p>
            <w:pPr>
              <w:spacing w:after="0"/>
              <w:rPr>
                <w:sz w:val="17"/>
                <w:szCs w:val="17"/>
                <w:color w:val="auto"/>
              </w:rPr>
            </w:pPr>
          </w:p>
        </w:tc>
      </w:tr>
      <w:tr>
        <w:trPr>
          <w:trHeight w:val="236"/>
        </w:trPr>
        <w:tc>
          <w:tcPr>
            <w:tcW w:w="752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research and development expenses</w:t>
            </w:r>
          </w:p>
        </w:tc>
        <w:tc>
          <w:tcPr>
            <w:tcW w:w="1120" w:type="dxa"/>
            <w:vAlign w:val="bottom"/>
            <w:tcBorders>
              <w:bottom w:val="single" w:sz="8" w:color="auto"/>
            </w:tcBorders>
            <w:shd w:val="clear" w:color="auto" w:fill="CFF0FC"/>
          </w:tcPr>
          <w:p>
            <w:pPr>
              <w:jc w:val="right"/>
              <w:ind w:right="916"/>
              <w:spacing w:after="0" w:line="182"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90,636</w:t>
            </w:r>
          </w:p>
        </w:tc>
        <w:tc>
          <w:tcPr>
            <w:tcW w:w="24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78,171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-25400</wp:posOffset>
            </wp:positionV>
            <wp:extent cx="431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431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4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level of research and development expenses for the six months ended March 31, 2022 increased by $12.5 million compared to the same period in 2021. The increase was primarily driven by an increase in manufacturing costs in support of our clinical studies in our virology program, partially offset by a decrease in clinical trial expenses in our liver disease program.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jc w:val="both"/>
        <w:ind w:right="620"/>
        <w:spacing w:after="0" w:line="235" w:lineRule="auto"/>
        <w:rPr>
          <w:sz w:val="20"/>
          <w:szCs w:val="20"/>
          <w:color w:val="auto"/>
        </w:rPr>
      </w:pPr>
      <w:r>
        <w:rPr>
          <w:rFonts w:ascii="Arial" w:cs="Arial" w:eastAsia="Arial" w:hAnsi="Arial"/>
          <w:sz w:val="18"/>
          <w:szCs w:val="18"/>
          <w:color w:val="auto"/>
        </w:rPr>
        <w:t>General and administrative expenses increased by $4.3 million for the six months ended March 31, 2022 compared to the same period in 2021. The increase was primarily due to an increase in headcount and related compensation expense in support of expansion of our research and development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9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For the six months ended March 31, 2022 and 2021, we recorded no income tax expense and an income tax benefit of $10.4 million, respectively. We recorded an income tax benefit in the prior year due to a federal net operating loss carryback available under the CARES Act for our fiscal year 2021 which is no longer available after September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fund our operations with cash flows from our royalty revenue and our existing financial resources. At March 31, 2022, our principal sources of liquidity were cash, cash equivalents and short-term and long-term marketable securities totaling $322.5 million, compared to $352.4 million at September 30, 2021.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six months ended March 31, 2022 and 2021: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75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52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7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ind w:right="78"/>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right"/>
              <w:ind w:right="170"/>
              <w:spacing w:after="0"/>
              <w:rPr>
                <w:sz w:val="20"/>
                <w:szCs w:val="20"/>
                <w:color w:val="auto"/>
              </w:rPr>
            </w:pPr>
            <w:r>
              <w:rPr>
                <w:rFonts w:ascii="Arial" w:cs="Arial" w:eastAsia="Arial" w:hAnsi="Arial"/>
                <w:sz w:val="13"/>
                <w:szCs w:val="13"/>
                <w:b w:val="1"/>
                <w:bCs w:val="1"/>
                <w:color w:val="auto"/>
                <w:w w:val="74"/>
              </w:rPr>
              <w:t>thousands)</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7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provided by (used in):</w:t>
            </w:r>
          </w:p>
        </w:tc>
        <w:tc>
          <w:tcPr>
            <w:tcW w:w="10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520" w:type="dxa"/>
            <w:vAlign w:val="bottom"/>
          </w:tcPr>
          <w:p>
            <w:pPr>
              <w:ind w:left="380"/>
              <w:spacing w:after="0" w:line="202" w:lineRule="exact"/>
              <w:rPr>
                <w:sz w:val="20"/>
                <w:szCs w:val="20"/>
                <w:color w:val="auto"/>
              </w:rPr>
            </w:pPr>
            <w:r>
              <w:rPr>
                <w:rFonts w:ascii="Arial" w:cs="Arial" w:eastAsia="Arial" w:hAnsi="Arial"/>
                <w:sz w:val="18"/>
                <w:szCs w:val="18"/>
                <w:color w:val="auto"/>
              </w:rPr>
              <w:t>Operating activities</w:t>
            </w:r>
          </w:p>
        </w:tc>
        <w:tc>
          <w:tcPr>
            <w:tcW w:w="1080" w:type="dxa"/>
            <w:vAlign w:val="bottom"/>
          </w:tcPr>
          <w:p>
            <w:pPr>
              <w:jc w:val="right"/>
              <w:ind w:right="876"/>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2"/>
              <w:spacing w:after="0" w:line="202" w:lineRule="exact"/>
              <w:rPr>
                <w:sz w:val="20"/>
                <w:szCs w:val="20"/>
                <w:color w:val="auto"/>
              </w:rPr>
            </w:pPr>
            <w:r>
              <w:rPr>
                <w:rFonts w:ascii="Arial" w:cs="Arial" w:eastAsia="Arial" w:hAnsi="Arial"/>
                <w:sz w:val="18"/>
                <w:szCs w:val="18"/>
                <w:color w:val="auto"/>
                <w:w w:val="97"/>
              </w:rPr>
              <w:t>(39,646 )</w:t>
            </w: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(19,469 )</w:t>
            </w:r>
          </w:p>
        </w:tc>
      </w:tr>
      <w:tr>
        <w:trPr>
          <w:trHeight w:val="203"/>
        </w:trPr>
        <w:tc>
          <w:tcPr>
            <w:tcW w:w="75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Investing activities</w:t>
            </w:r>
          </w:p>
        </w:tc>
        <w:tc>
          <w:tcPr>
            <w:tcW w:w="10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10,446</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8,013</w:t>
            </w:r>
          </w:p>
        </w:tc>
        <w:tc>
          <w:tcPr>
            <w:tcW w:w="80" w:type="dxa"/>
            <w:vAlign w:val="bottom"/>
            <w:shd w:val="clear" w:color="auto" w:fill="CFF0FC"/>
          </w:tcPr>
          <w:p>
            <w:pPr>
              <w:spacing w:after="0"/>
              <w:rPr>
                <w:sz w:val="17"/>
                <w:szCs w:val="17"/>
                <w:color w:val="auto"/>
              </w:rPr>
            </w:pPr>
          </w:p>
        </w:tc>
      </w:tr>
      <w:tr>
        <w:trPr>
          <w:trHeight w:val="203"/>
        </w:trPr>
        <w:tc>
          <w:tcPr>
            <w:tcW w:w="7520" w:type="dxa"/>
            <w:vAlign w:val="bottom"/>
          </w:tcPr>
          <w:p>
            <w:pPr>
              <w:ind w:left="380"/>
              <w:spacing w:after="0" w:line="202" w:lineRule="exact"/>
              <w:rPr>
                <w:sz w:val="20"/>
                <w:szCs w:val="20"/>
                <w:color w:val="auto"/>
              </w:rPr>
            </w:pPr>
            <w:r>
              <w:rPr>
                <w:rFonts w:ascii="Arial" w:cs="Arial" w:eastAsia="Arial" w:hAnsi="Arial"/>
                <w:sz w:val="18"/>
                <w:szCs w:val="18"/>
                <w:color w:val="auto"/>
              </w:rPr>
              <w:t>Financing activities</w:t>
            </w: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12,983</w:t>
            </w:r>
          </w:p>
        </w:tc>
        <w:tc>
          <w:tcPr>
            <w:tcW w:w="2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1,451</w:t>
            </w:r>
          </w:p>
        </w:tc>
        <w:tc>
          <w:tcPr>
            <w:tcW w:w="80" w:type="dxa"/>
            <w:vAlign w:val="bottom"/>
          </w:tcPr>
          <w:p>
            <w:pPr>
              <w:spacing w:after="0"/>
              <w:rPr>
                <w:sz w:val="17"/>
                <w:szCs w:val="17"/>
                <w:color w:val="auto"/>
              </w:rPr>
            </w:pPr>
          </w:p>
        </w:tc>
      </w:tr>
      <w:tr>
        <w:trPr>
          <w:trHeight w:val="236"/>
        </w:trPr>
        <w:tc>
          <w:tcPr>
            <w:tcW w:w="752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Net decrease in cash, cash equivalents and restricted cash</w:t>
            </w:r>
          </w:p>
        </w:tc>
        <w:tc>
          <w:tcPr>
            <w:tcW w:w="1080" w:type="dxa"/>
            <w:vAlign w:val="bottom"/>
            <w:tcBorders>
              <w:bottom w:val="single" w:sz="8" w:color="auto"/>
            </w:tcBorders>
            <w:shd w:val="clear" w:color="auto" w:fill="CFF0FC"/>
          </w:tcPr>
          <w:p>
            <w:pPr>
              <w:jc w:val="right"/>
              <w:ind w:right="876"/>
              <w:spacing w:after="0" w:line="182"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8"/>
              </w:rPr>
              <w:t>(16,217</w:t>
            </w:r>
          </w:p>
        </w:tc>
        <w:tc>
          <w:tcPr>
            <w:tcW w:w="260" w:type="dxa"/>
            <w:vAlign w:val="bottom"/>
            <w:tcBorders>
              <w:bottom w:val="single" w:sz="8" w:color="CFF0FC"/>
            </w:tcBorders>
            <w:shd w:val="clear" w:color="auto" w:fill="CFF0FC"/>
          </w:tcPr>
          <w:p>
            <w:pPr>
              <w:jc w:val="right"/>
              <w:ind w:right="102"/>
              <w:spacing w:after="0" w:line="182"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ind w:right="35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(10,005</w:t>
            </w:r>
          </w:p>
        </w:tc>
        <w:tc>
          <w:tcPr>
            <w:tcW w:w="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0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Cash used in operating activities was $39.6 million for the six months ended March 31, 2022 as compared to cash used in operating activities of $19.5 million for the same period in 2021. Our cash used in operating activities increased $20.2 million, driven by an increase in research and development costs incurred year-over-year which was partially offset by a federal tax refund of $8.5 million received in 2022.</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For the foreseeable future, we expect to incur substantial costs associated with research and development for our internally developed programs.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0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Cash provided by investing activities was $10.4 million for the six months ended March 31, 2022 as compared to cash provided by investing activities of $8.0 million for the same period in 2021. Our cash provided by investing activities increased $2.4 million, driven by timing of purchases, sales and maturities of marketable securities in 2022 compared to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Cash provided by financing activities was $13.0 million for the six months ended March 31, 2022 as compared to cash provided by financing activities of $1.5 million for the same period in 2021. Our cash provided by financing activities increased $11.5 million, driven by an increase in stock option exercises due to an increase in our stock price year-over-year.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As of March 31, 2022 we had $322.5 million in cash, cash equivalents and short-term and long-term marketable securities. We believe that our existing cash, cash equivalents and marketable securities as of March 31, 2022 will be sufficient to meet our anticipated cash requirements for at least the next two years. However, our forecast of the period of time through which our financial resources will be adequate to support our operations is a forward-looking statement that involves risks and uncertainties, and actual results could vary materially.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04"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of royalties generated from MAVYRET/MAVIRET sales under our existing collaboration with AbbVie;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continuing impact of the COVID-19 pandemic on the numbers of treated HCV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03"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and additional expense in our clinical trials as a result of the COVID-19 pandemic continuing;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 of manufacturing our product candidates for clinical development and any products we successfully commercialize independently;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establish new collaborations, licensing or other arrangements, if any, and the financial terms of such arrangements;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technologies and therapeutic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0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amount of any sales of our product candidates, if any, or royalties thereon;</w:t>
      </w:r>
    </w:p>
    <w:p>
      <w:pPr>
        <w:spacing w:after="0" w:line="10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2" w:right="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 our 2021 Form 10-K Part II, Item 7, Management’s Discussion and Analysis of Financial Conditions and Results of Operations, under the heading “Contractual Obligations and Commitments”, we have described our commitments and contingencies.</w:t>
      </w:r>
    </w:p>
    <w:p>
      <w:pPr>
        <w:spacing w:after="0" w:line="265"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During the six months ended March 31, 2022, we exercised our option to extend our lease located at 500 Arsenal Street in Watertown, Massachusetts for an additional 5 years through September 1, 2027. The updated minimum lease payments through the remainder of the lease totaled $20.3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 xml:space="preserve">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Annual Report on Form 10-K for the fiscal year ended September 30, 2021 (referred to as our 2021 Form 10-K) for </w:t>
      </w:r>
      <w:r>
        <w:rPr>
          <w:rFonts w:ascii="Arial" w:cs="Arial" w:eastAsia="Arial" w:hAnsi="Arial"/>
          <w:sz w:val="18"/>
          <w:szCs w:val="18"/>
          <w:color w:val="212529"/>
        </w:rPr>
        <w:t>information about critical accounting policies as well as a description of our other significant</w:t>
      </w:r>
      <w:r>
        <w:rPr>
          <w:rFonts w:ascii="Arial" w:cs="Arial" w:eastAsia="Arial" w:hAnsi="Arial"/>
          <w:sz w:val="18"/>
          <w:szCs w:val="18"/>
          <w:color w:val="auto"/>
        </w:rPr>
        <w:t xml:space="preserve"> </w:t>
      </w:r>
      <w:r>
        <w:rPr>
          <w:rFonts w:ascii="Arial" w:cs="Arial" w:eastAsia="Arial" w:hAnsi="Arial"/>
          <w:sz w:val="18"/>
          <w:szCs w:val="18"/>
          <w:color w:val="212529"/>
        </w:rPr>
        <w:t>accounting policies</w:t>
      </w:r>
      <w:r>
        <w:rPr>
          <w:rFonts w:ascii="Arial" w:cs="Arial" w:eastAsia="Arial" w:hAnsi="Arial"/>
          <w:sz w:val="18"/>
          <w:szCs w:val="18"/>
          <w:color w:val="000000"/>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Form 10-Q.</w:t>
      </w:r>
    </w:p>
    <w:p>
      <w:pPr>
        <w:spacing w:after="0" w:line="275" w:lineRule="exact"/>
        <w:rPr>
          <w:sz w:val="20"/>
          <w:szCs w:val="20"/>
          <w:color w:val="auto"/>
        </w:rPr>
      </w:pPr>
    </w:p>
    <w:p>
      <w:pPr>
        <w:ind w:right="4160"/>
        <w:spacing w:after="0" w:line="362" w:lineRule="auto"/>
        <w:rPr>
          <w:sz w:val="20"/>
          <w:szCs w:val="20"/>
          <w:color w:val="auto"/>
        </w:rPr>
      </w:pPr>
      <w:r>
        <w:rPr>
          <w:rFonts w:ascii="Arial" w:cs="Arial" w:eastAsia="Arial" w:hAnsi="Arial"/>
          <w:sz w:val="18"/>
          <w:szCs w:val="18"/>
          <w:b w:val="1"/>
          <w:bCs w:val="1"/>
          <w:color w:val="auto"/>
        </w:rPr>
        <w:t xml:space="preserve">ITEM 3. QUANTITATIVE AND QUALITATIVE DISCLOSURE ABOUT MARKET RISK </w:t>
      </w:r>
      <w:r>
        <w:rPr>
          <w:rFonts w:ascii="Arial" w:cs="Arial" w:eastAsia="Arial" w:hAnsi="Arial"/>
          <w:sz w:val="18"/>
          <w:szCs w:val="18"/>
          <w:b w:val="1"/>
          <w:bCs w:val="1"/>
          <w:i w:val="1"/>
          <w:iCs w:val="1"/>
          <w:color w:val="auto"/>
        </w:rPr>
        <w:t>Interest Rate Sensitivity</w:t>
      </w:r>
    </w:p>
    <w:p>
      <w:pPr>
        <w:spacing w:after="0" w:line="1"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We had cash, cash equivalents and short-term and long-term marketable securities of $322.5 million at March 31, 2022 consisting of cash, money market funds, commercial paper, treasury notes and corporate bonds. Interest income is sensitive to changes in the general level of interest rates; however, due to the nature of these investments, a change in market interest rates of 100 basis points would not be expected to have a material impact on our financial condition or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As we continue to progress our wholly-owned programs into clinical development we will conduct clinical trials outside of the U.S. and thus will face exposure to movements in foreign currency exchange rates, primarily the British Pound and Euro, against the U.S. Dollar, arising from our accounts payable and accrued expenses. During the six months ended March 31, 2022, the impact of foreign currency exposure was immaterial and thus did not have a significant impact on our consolidated financial statements. Our operations may become subject to more significant fluctuations in foreign currency exchange rates in the future if we continue to contract with vendors outside of the 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04"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4" w:name="page25"/>
    <w:bookmarkEnd w:id="24"/>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three months ended March 31, 2022, that has materially affected, or is reasonably likely to materially affect, our internal control over financial reporting.</w:t>
      </w:r>
    </w:p>
    <w:p>
      <w:pPr>
        <w:spacing w:after="0" w:line="18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652" w:right="6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PRINCIPAL RISK FACTORS</w:t>
      </w: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This summary briefly states the principal risks and uncertainties facing our business that could affect our common stock, which are only a select portion of those risks. A more complete statement of those risks and uncertainties is set forth immediately following this summary, which is qualified in its entirety by that more complete statement. You should carefully read the entire statement and “Risk Factors” when considering the risks and uncertainties as part of your evaluation of an investment in our common stock.</w:t>
      </w:r>
    </w:p>
    <w:p>
      <w:pPr>
        <w:spacing w:after="0" w:line="76" w:lineRule="exact"/>
        <w:rPr>
          <w:sz w:val="20"/>
          <w:szCs w:val="20"/>
          <w:color w:val="auto"/>
        </w:rPr>
      </w:pPr>
    </w:p>
    <w:p>
      <w:pPr>
        <w:ind w:left="1020" w:right="20" w:hanging="503"/>
        <w:spacing w:after="0" w:line="26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Our financial prospects for the next several years are substantially dependent upon AbbVie’s success selling MAVYRET/MAVIRET, which includes our protease inhibitor, glecaprevir, for the treatment of HCV</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ind w:left="1540" w:right="20" w:hanging="514"/>
        <w:spacing w:after="0" w:line="291" w:lineRule="auto"/>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AbbVie may continue to experience lower sales volume in future quarters due to a reduction in diagnoses and treatment rates of HCV if doctor visits and other routine healthcare activities remain at below normal levels as a result of the COVID-19 pandemic.</w:t>
      </w:r>
    </w:p>
    <w:p>
      <w:pPr>
        <w:spacing w:after="0" w:line="38" w:lineRule="exact"/>
        <w:rPr>
          <w:rFonts w:ascii="Arial" w:cs="Arial" w:eastAsia="Arial" w:hAnsi="Arial"/>
          <w:sz w:val="17"/>
          <w:szCs w:val="17"/>
          <w:color w:val="auto"/>
        </w:rPr>
      </w:pPr>
    </w:p>
    <w:p>
      <w:pPr>
        <w:ind w:left="1540" w:right="360" w:hanging="514"/>
        <w:spacing w:after="0" w:line="248"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AbbVie’s MAVYRET/MAVIRET regimen will have to continue to compete successfully against other products and therapies for HCV, including competition for exclusive arrangements with third-party payors and governmental entities as well as price competition, both in the U.S. and in other markets worldwide.</w:t>
      </w:r>
    </w:p>
    <w:p>
      <w:pPr>
        <w:spacing w:after="0" w:line="69" w:lineRule="exact"/>
        <w:rPr>
          <w:rFonts w:ascii="Arial" w:cs="Arial" w:eastAsia="Arial" w:hAnsi="Arial"/>
          <w:sz w:val="18"/>
          <w:szCs w:val="18"/>
          <w:color w:val="auto"/>
        </w:rPr>
      </w:pPr>
    </w:p>
    <w:p>
      <w:pPr>
        <w:ind w:left="1020" w:right="500" w:hanging="503"/>
        <w:spacing w:after="0" w:line="296"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There are many companies developing potential therapies for RSV, SARS-CoV-2, HBV and hMPV, which may result in others discovering, developing or commercializing products before we do or doing so more successfully than we do.</w:t>
      </w:r>
    </w:p>
    <w:p>
      <w:pPr>
        <w:spacing w:after="0" w:line="34" w:lineRule="exact"/>
        <w:rPr>
          <w:rFonts w:ascii="Arial" w:cs="Arial" w:eastAsia="Arial" w:hAnsi="Arial"/>
          <w:sz w:val="17"/>
          <w:szCs w:val="17"/>
          <w:color w:val="auto"/>
        </w:rPr>
      </w:pPr>
    </w:p>
    <w:p>
      <w:pPr>
        <w:ind w:left="1540" w:right="320" w:hanging="514"/>
        <w:spacing w:after="0" w:line="261"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most of the disease areas currently the subject of our research and development efforts, there are other companies with product candidates that are more advanced than ours.</w:t>
      </w:r>
    </w:p>
    <w:p>
      <w:pPr>
        <w:spacing w:after="0" w:line="62" w:lineRule="exact"/>
        <w:rPr>
          <w:rFonts w:ascii="Arial" w:cs="Arial" w:eastAsia="Arial" w:hAnsi="Arial"/>
          <w:sz w:val="18"/>
          <w:szCs w:val="18"/>
          <w:color w:val="auto"/>
        </w:rPr>
      </w:pPr>
    </w:p>
    <w:p>
      <w:pPr>
        <w:ind w:left="1540" w:right="20" w:hanging="514"/>
        <w:spacing w:after="0" w:line="248"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If we are not “first to market” with one of our product candidates in one or more of our targeted disease indications, our competitive position could be compromised because it may be more difficult for us to obtain marketing approval for that product candidate and/or market acceptance of that product candidate as a follow-on competitor.</w:t>
      </w:r>
    </w:p>
    <w:p>
      <w:pPr>
        <w:spacing w:after="0" w:line="69" w:lineRule="exact"/>
        <w:rPr>
          <w:rFonts w:ascii="Arial" w:cs="Arial" w:eastAsia="Arial" w:hAnsi="Arial"/>
          <w:sz w:val="18"/>
          <w:szCs w:val="18"/>
          <w:color w:val="auto"/>
        </w:rPr>
      </w:pPr>
    </w:p>
    <w:p>
      <w:pPr>
        <w:ind w:left="1020" w:right="180" w:hanging="503"/>
        <w:spacing w:after="0" w:line="26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The COVID-19 pandemic has had an impact on our business operations and our business could continue to be materially affected, directly or indirectly, by the ongoing COVID-19 pandemic.</w:t>
      </w:r>
    </w:p>
    <w:p>
      <w:pPr>
        <w:spacing w:after="0" w:line="58" w:lineRule="exact"/>
        <w:rPr>
          <w:rFonts w:ascii="Arial" w:cs="Arial" w:eastAsia="Arial" w:hAnsi="Arial"/>
          <w:sz w:val="18"/>
          <w:szCs w:val="18"/>
          <w:color w:val="auto"/>
        </w:rPr>
      </w:pPr>
    </w:p>
    <w:p>
      <w:pPr>
        <w:ind w:left="1540" w:right="80" w:hanging="514"/>
        <w:spacing w:after="0" w:line="294" w:lineRule="auto"/>
        <w:tabs>
          <w:tab w:leader="none" w:pos="15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extent and severity of the continuing impact of the pandemic on our business and clinical trials will be determined largely by the extent of delays in the conduct and recruitment of current and future clinical trials, reductions in the number of patients accessing AbbVie’s MAVYRET/MAVIRET HCV regimen, and disruptions in the supply chains for our research and clinical trial materials.</w:t>
      </w:r>
    </w:p>
    <w:p>
      <w:pPr>
        <w:spacing w:after="0" w:line="35" w:lineRule="exact"/>
        <w:rPr>
          <w:rFonts w:ascii="Arial" w:cs="Arial" w:eastAsia="Arial" w:hAnsi="Arial"/>
          <w:sz w:val="16"/>
          <w:szCs w:val="16"/>
          <w:color w:val="auto"/>
        </w:rPr>
      </w:pPr>
    </w:p>
    <w:p>
      <w:pPr>
        <w:ind w:left="1020" w:right="40" w:hanging="503"/>
        <w:spacing w:after="0" w:line="310" w:lineRule="auto"/>
        <w:tabs>
          <w:tab w:leader="none" w:pos="1020" w:val="left"/>
        </w:tabs>
        <w:numPr>
          <w:ilvl w:val="0"/>
          <w:numId w:val="22"/>
        </w:numPr>
        <w:rPr>
          <w:rFonts w:ascii="Arial" w:cs="Arial" w:eastAsia="Arial" w:hAnsi="Arial"/>
          <w:sz w:val="15"/>
          <w:szCs w:val="15"/>
          <w:color w:val="auto"/>
        </w:rPr>
      </w:pPr>
      <w:r>
        <w:rPr>
          <w:rFonts w:ascii="Arial" w:cs="Arial" w:eastAsia="Arial" w:hAnsi="Arial"/>
          <w:sz w:val="15"/>
          <w:szCs w:val="15"/>
          <w:b w:val="1"/>
          <w:bCs w:val="1"/>
          <w:color w:val="auto"/>
        </w:rPr>
        <w:t>Continued changes in royalty revenue earned under our AbbVie agreement or in the level of expenses associated with our clinical development programs, or both, will cause our results of operations to fluctuate from period to period. Any continuation of the recent trend of reducing royalty revenue, combined with increasing research and development expenses in support of our advancing programs, will result in continuing operating losses in fiscal 2022 and in future periods unless we develop other sources of revenue.</w:t>
      </w:r>
    </w:p>
    <w:p>
      <w:pPr>
        <w:spacing w:after="0" w:line="30" w:lineRule="exact"/>
        <w:rPr>
          <w:rFonts w:ascii="Arial" w:cs="Arial" w:eastAsia="Arial" w:hAnsi="Arial"/>
          <w:sz w:val="15"/>
          <w:szCs w:val="15"/>
          <w:color w:val="auto"/>
        </w:rPr>
      </w:pPr>
    </w:p>
    <w:p>
      <w:pPr>
        <w:ind w:left="1540" w:right="20" w:hanging="514"/>
        <w:spacing w:after="0" w:line="270" w:lineRule="auto"/>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Many of the preclinical and clinical development activities required for our product candidates must be contracted out to contract research organizations, or CROs, at significant expense. We expect these expenses to increase substantially in the coming years as we advance compounds and conduct more clinical studies, which will likely result in continuing operating losses.</w:t>
      </w:r>
    </w:p>
    <w:p>
      <w:pPr>
        <w:spacing w:after="0" w:line="51" w:lineRule="exact"/>
        <w:rPr>
          <w:rFonts w:ascii="Arial" w:cs="Arial" w:eastAsia="Arial" w:hAnsi="Arial"/>
          <w:sz w:val="17"/>
          <w:szCs w:val="17"/>
          <w:color w:val="auto"/>
        </w:rPr>
      </w:pPr>
    </w:p>
    <w:p>
      <w:pPr>
        <w:ind w:left="1020" w:right="180" w:hanging="503"/>
        <w:spacing w:after="0" w:line="26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Clinical drug development for viral infections and liver diseases involves a lengthy and expensive process with uncertain timelines, uncertain outcomes and evolving clinical endpoints for regulatory approvals. If clinical trials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26" w:name="page27"/>
    <w:bookmarkEnd w:id="26"/>
    <w:p>
      <w:pPr>
        <w:ind w:left="1020" w:right="140"/>
        <w:spacing w:after="0" w:line="266" w:lineRule="auto"/>
        <w:rPr>
          <w:sz w:val="20"/>
          <w:szCs w:val="20"/>
          <w:color w:val="auto"/>
        </w:rPr>
      </w:pPr>
      <w:r>
        <w:rPr>
          <w:rFonts w:ascii="Arial" w:cs="Arial" w:eastAsia="Arial" w:hAnsi="Arial"/>
          <w:sz w:val="18"/>
          <w:szCs w:val="18"/>
          <w:b w:val="1"/>
          <w:bCs w:val="1"/>
          <w:color w:val="auto"/>
        </w:rPr>
        <w:t>of any of our proprietary product candidates are prolonged or delayed, we may be unable to commercialize our product candidates on a timely basis</w:t>
      </w:r>
      <w:r>
        <w:rPr>
          <w:rFonts w:ascii="Arial" w:cs="Arial" w:eastAsia="Arial" w:hAnsi="Arial"/>
          <w:sz w:val="18"/>
          <w:szCs w:val="18"/>
          <w:b w:val="1"/>
          <w:bCs w:val="1"/>
          <w:i w:val="1"/>
          <w:iCs w:val="1"/>
          <w:color w:val="auto"/>
        </w:rPr>
        <w:t>.</w:t>
      </w:r>
    </w:p>
    <w:p>
      <w:pPr>
        <w:spacing w:after="0" w:line="58" w:lineRule="exact"/>
        <w:rPr>
          <w:sz w:val="20"/>
          <w:szCs w:val="20"/>
          <w:color w:val="auto"/>
        </w:rPr>
      </w:pPr>
    </w:p>
    <w:p>
      <w:pPr>
        <w:ind w:left="1540" w:hanging="514"/>
        <w:spacing w:after="0"/>
        <w:tabs>
          <w:tab w:leader="none" w:pos="15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None of our product candidates in our clinical development pipeline has yet to advance beyond completion of Phase 2 clinical trials.</w:t>
      </w:r>
    </w:p>
    <w:p>
      <w:pPr>
        <w:spacing w:after="0" w:line="126" w:lineRule="exact"/>
        <w:rPr>
          <w:rFonts w:ascii="Arial" w:cs="Arial" w:eastAsia="Arial" w:hAnsi="Arial"/>
          <w:sz w:val="16"/>
          <w:szCs w:val="16"/>
          <w:color w:val="auto"/>
        </w:rPr>
      </w:pPr>
    </w:p>
    <w:p>
      <w:pPr>
        <w:ind w:left="1540" w:right="420" w:hanging="514"/>
        <w:spacing w:after="0" w:line="324" w:lineRule="auto"/>
        <w:tabs>
          <w:tab w:leader="none" w:pos="15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Some of our clinical trials may be delayed due to the continuing impact of COVID-19 on the ability of trial sites to conduct their operations and recruit trial subjects, as well as its potential impact on the future incidence of RSV during the pandemic.</w:t>
      </w:r>
    </w:p>
    <w:p>
      <w:pPr>
        <w:spacing w:after="0" w:line="16" w:lineRule="exact"/>
        <w:rPr>
          <w:rFonts w:ascii="Arial" w:cs="Arial" w:eastAsia="Arial" w:hAnsi="Arial"/>
          <w:sz w:val="16"/>
          <w:szCs w:val="16"/>
          <w:color w:val="auto"/>
        </w:rPr>
      </w:pPr>
    </w:p>
    <w:p>
      <w:pPr>
        <w:ind w:left="1540" w:right="60" w:hanging="514"/>
        <w:spacing w:after="0" w:line="248"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 including guidelines specifically addressing requirements for the development of treatments for RSV, SARS-CoV-2 or HBV, could also delay the time required to reach approval of one or more of our product candidates.</w:t>
      </w:r>
    </w:p>
    <w:p>
      <w:pPr>
        <w:spacing w:after="0" w:line="69" w:lineRule="exact"/>
        <w:rPr>
          <w:rFonts w:ascii="Arial" w:cs="Arial" w:eastAsia="Arial" w:hAnsi="Arial"/>
          <w:sz w:val="18"/>
          <w:szCs w:val="18"/>
          <w:color w:val="auto"/>
        </w:rPr>
      </w:pPr>
    </w:p>
    <w:p>
      <w:pPr>
        <w:ind w:left="1020" w:right="420" w:hanging="503"/>
        <w:spacing w:after="0" w:line="250"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The results of clinical trials are inherently uncertain. The results of preclinical studies and early clinical trials of our product candidates may not be predictive of the results of later-stage clinical trials, if any, including sufficient efficacy and an acceptable safety and tolerability profile</w:t>
      </w:r>
      <w:r>
        <w:rPr>
          <w:rFonts w:ascii="Arial" w:cs="Arial" w:eastAsia="Arial" w:hAnsi="Arial"/>
          <w:sz w:val="18"/>
          <w:szCs w:val="18"/>
          <w:color w:val="auto"/>
        </w:rPr>
        <w:t>.</w:t>
      </w:r>
    </w:p>
    <w:p>
      <w:pPr>
        <w:spacing w:after="0" w:line="72" w:lineRule="exact"/>
        <w:rPr>
          <w:rFonts w:ascii="Arial" w:cs="Arial" w:eastAsia="Arial" w:hAnsi="Arial"/>
          <w:sz w:val="18"/>
          <w:szCs w:val="18"/>
          <w:color w:val="auto"/>
        </w:rPr>
      </w:pPr>
    </w:p>
    <w:p>
      <w:pPr>
        <w:ind w:left="1540" w:right="160" w:hanging="514"/>
        <w:spacing w:after="0" w:line="261"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Several companies in the disease areas we are seeking to address have suffered significant setbacks in advanced clinical trials due to adverse safety profiles or lack of efficacy, notwithstanding promising results in earlier studies.</w:t>
      </w:r>
    </w:p>
    <w:p>
      <w:pPr>
        <w:spacing w:after="0" w:line="62" w:lineRule="exact"/>
        <w:rPr>
          <w:rFonts w:ascii="Arial" w:cs="Arial" w:eastAsia="Arial" w:hAnsi="Arial"/>
          <w:sz w:val="18"/>
          <w:szCs w:val="18"/>
          <w:color w:val="auto"/>
        </w:rPr>
      </w:pPr>
    </w:p>
    <w:p>
      <w:pPr>
        <w:ind w:left="1540" w:right="260" w:hanging="514"/>
        <w:spacing w:after="0" w:line="248"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Clinical trials involving our product candidates may be suspended or terminated at any time for a number of safety-related reasons. For example, administering any product candidate to humans may produce undesirable side effects not identified in preclinical studies.</w:t>
      </w:r>
    </w:p>
    <w:p>
      <w:pPr>
        <w:spacing w:after="0" w:line="73" w:lineRule="exact"/>
        <w:rPr>
          <w:rFonts w:ascii="Arial" w:cs="Arial" w:eastAsia="Arial" w:hAnsi="Arial"/>
          <w:sz w:val="18"/>
          <w:szCs w:val="18"/>
          <w:color w:val="auto"/>
        </w:rPr>
      </w:pPr>
    </w:p>
    <w:p>
      <w:pPr>
        <w:ind w:left="1540" w:hanging="514"/>
        <w:spacing w:after="0" w:line="243"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75" w:lineRule="exact"/>
        <w:rPr>
          <w:rFonts w:ascii="Arial" w:cs="Arial" w:eastAsia="Arial" w:hAnsi="Arial"/>
          <w:sz w:val="18"/>
          <w:szCs w:val="18"/>
          <w:color w:val="auto"/>
        </w:rPr>
      </w:pPr>
    </w:p>
    <w:p>
      <w:pPr>
        <w:ind w:left="1020" w:right="300" w:hanging="503"/>
        <w:spacing w:after="0" w:line="26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We may delay or terminate the development of a product candidate at any time if we believe the perceived market or commercial opportunity does not justify further investment.</w:t>
      </w:r>
    </w:p>
    <w:p>
      <w:pPr>
        <w:spacing w:after="0" w:line="54"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We could be unsuccessful in obtaining or maintaining adequate patent protection for one or more of our product candidates.</w:t>
      </w:r>
    </w:p>
    <w:p>
      <w:pPr>
        <w:spacing w:after="0" w:line="119" w:lineRule="exact"/>
        <w:rPr>
          <w:rFonts w:ascii="Arial" w:cs="Arial" w:eastAsia="Arial" w:hAnsi="Arial"/>
          <w:sz w:val="17"/>
          <w:szCs w:val="17"/>
          <w:color w:val="auto"/>
        </w:rPr>
      </w:pPr>
    </w:p>
    <w:p>
      <w:pPr>
        <w:ind w:left="1540" w:hanging="514"/>
        <w:spacing w:after="0"/>
        <w:tabs>
          <w:tab w:leader="none" w:pos="15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We are competing to develop intellectual property in areas of small-molecule drug development that are highly competitive.</w:t>
      </w:r>
    </w:p>
    <w:p>
      <w:pPr>
        <w:spacing w:after="0" w:line="115" w:lineRule="exact"/>
        <w:rPr>
          <w:rFonts w:ascii="Arial" w:cs="Arial" w:eastAsia="Arial" w:hAnsi="Arial"/>
          <w:sz w:val="17"/>
          <w:szCs w:val="17"/>
          <w:color w:val="auto"/>
        </w:rPr>
      </w:pPr>
    </w:p>
    <w:p>
      <w:pPr>
        <w:ind w:left="1540" w:right="260" w:hanging="514"/>
        <w:spacing w:after="0" w:line="248"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fail to provide us with any competitive advantage.</w:t>
      </w:r>
    </w:p>
    <w:p>
      <w:pPr>
        <w:spacing w:after="0" w:line="69" w:lineRule="exact"/>
        <w:rPr>
          <w:rFonts w:ascii="Arial" w:cs="Arial" w:eastAsia="Arial" w:hAnsi="Arial"/>
          <w:sz w:val="18"/>
          <w:szCs w:val="18"/>
          <w:color w:val="auto"/>
        </w:rPr>
      </w:pPr>
    </w:p>
    <w:p>
      <w:pPr>
        <w:ind w:left="1020" w:right="340" w:hanging="503"/>
        <w:spacing w:after="0" w:line="26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We rely on third parties to manufacture our clinical drug supplies, monitor, support, conduct and/or oversee clinical trials of our product candidates that we develop independently.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8" w:lineRule="exact"/>
        <w:rPr>
          <w:sz w:val="20"/>
          <w:szCs w:val="20"/>
          <w:color w:val="auto"/>
        </w:rPr>
      </w:pPr>
    </w:p>
    <w:p>
      <w:pPr>
        <w:ind w:right="300"/>
        <w:spacing w:after="0"/>
        <w:rPr>
          <w:sz w:val="20"/>
          <w:szCs w:val="20"/>
          <w:color w:val="auto"/>
        </w:rPr>
      </w:pPr>
      <w:r>
        <w:rPr>
          <w:rFonts w:ascii="Arial" w:cs="Arial" w:eastAsia="Arial" w:hAnsi="Arial"/>
          <w:sz w:val="18"/>
          <w:szCs w:val="18"/>
          <w:b w:val="1"/>
          <w:bCs w:val="1"/>
          <w:i w:val="1"/>
          <w:iCs w:val="1"/>
          <w:color w:val="auto"/>
        </w:rPr>
        <w:t>Our financial prospects for the next several years are dependent upon AbbVie’s success selling MAVYRET/MAVIRET, which includes our protease inhibitor, glecaprevir, for the treatment of HCV. AbbVie may continue to experience lower sales volume in future quarters due to a reduction in diagnoses and treatment of HCV, which could adversely affect our business.</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rely on AbbVie to commercialize its regimen containing glecaprevir (our second protease inhibitor, which is one of the two DAAs in AbbVie’s MAVYRET/MAVIRET treatment), over which we have granted AbbVie complete control. Our ability to continue to generate revenue in the short term will depend primarily on the success of AbbVie’s efforts to maintain sales of MAVYRET/MAVIRET. Such success is subject to uncertainty, and we have no control over the resources, time and effort that AbbVie may devote to sales of this regimen. Any of several events or factors could have a material adverse effect on our ability to continue to generate revenue from AbbVie’s sales of MAVYRET/MAVIRET. For example, AbbVie:</w:t>
      </w:r>
    </w:p>
    <w:p>
      <w:pPr>
        <w:spacing w:after="0" w:line="70" w:lineRule="exact"/>
        <w:rPr>
          <w:sz w:val="20"/>
          <w:szCs w:val="20"/>
          <w:color w:val="auto"/>
        </w:rPr>
      </w:pPr>
    </w:p>
    <w:p>
      <w:pPr>
        <w:ind w:left="1020" w:right="18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continue to experience lower sales volume in future quarters due to a reduction in diagnoses and treatment of HCV if doctor visits and other routine healthcare activities remain at below normal levels as a result of the COVID-19 pandemic;</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not maintain satisfactory levels of prescriptions by physicians and reimbursement by third-party payors for the MAVYRET/MAVIRET regimen in the various markets of the world where it is being sold;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7" w:name="page28"/>
    <w:bookmarkEnd w:id="27"/>
    <w:p>
      <w:pPr>
        <w:ind w:left="1020" w:right="6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compete successfully with its MAVYRET/MAVIRET regimen against other products and therapies for HCV, including competition for exclusive arrangements with third-party payors and governmental entities as well as price competition;</w:t>
      </w:r>
    </w:p>
    <w:p>
      <w:pPr>
        <w:spacing w:after="0" w:line="62"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its regimen containing glecaprevir;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obtain all commercially necessary reimbursement approvals;</w:t>
      </w:r>
    </w:p>
    <w:p>
      <w:pPr>
        <w:spacing w:after="0" w:line="103"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MAVYRET/MAVIRET, whether for competitive or strategic reasons or otherwise due to a change in business priorities;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may unilaterally terminate our collaboration agreement on specified prior notice without any reason and without any further commitment.</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do not have access to all information regarding AbbVie’s MAVYRET/MAVIRET, including certain information about spontaneous safety reports for any marketed product, regulatory affairs, process development, manufacturing, marketing, sales and other areas known by AbbVie. Thus, our ability to keep our stockholders informed about the status of the marketed products licensed under our collaboration is limited by the degree to which AbbVie keeps us informed. If AbbVie does not perform in the manner we expect or fulfill its responsibilities in a timely manner, or at all, the global commercialization of MAVYRET/MAVIRET could be terminated in selected jurisdictions or be commercially unsuccessful. In addition, AbbVie has the right to make decisions regarding the commercialization of licensed products without consulting us. For example, in 2018 AbbVie entered into a royalty-free licensing agreement with the Medicines Patent Pool to accelerate access to generic versions of MAVYRET/MAVIRET in 99 low- and middle-income countries and territories. AbbVie may also make decisions with which we do not agree. If AbbVie acts in a manner that is not in our best interest, then it could adversely affect our business and prospects.</w:t>
      </w:r>
    </w:p>
    <w:p>
      <w:pPr>
        <w:spacing w:after="0" w:line="17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royalty revenues are derived from AbbVie’s net sales of its MAVYRET/MAVIRET regimen for HCV. If AbbVie is unable to maintain sales of this regimen at or above current levels of sales, our royalty revenues will be adversely affected.</w:t>
      </w:r>
    </w:p>
    <w:p>
      <w:pPr>
        <w:spacing w:after="0" w:line="15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AbbVie’s MAVYRET/MAVIRET regimen continues to be the leading HCV treatment in the U.S. and several market geographies in developed countries where it is approved. While commercialization of this regimen is exclusively in AbbVie’s control without any required input from us, we believe it is possible that prices will decline further due to payors obtaining additional discounts or competitive market dynamics. For example, the states of Louisiana and Washington have negotiated a blanket price for one of the HCV drug companies to treat all patients in one or more state programs (e.g. Medicaid). Gilead was awarded the contract in Louisiana and AbbVie was awarded the contract in Washington. In addition, Gilead has been able to access the Medicaid market at a lower price point to build its market share by using an authorized generic version of its HCV regimen branded as Epclusa®. It is unknown whether these programs or other programs that states may adopt could have any further impact on MAVYRET/MAVIRET sales. There may also be fluctuations in AbbVie’s market share over time due to these and other competitive actions by Gilead.</w:t>
      </w:r>
    </w:p>
    <w:p>
      <w:pPr>
        <w:spacing w:after="0" w:line="5"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MAVYRET/MAVIRET regimen from such measures, which may be reflected in larger discounts or rebates on its regimens or delayed reimbursement. Also, private and public payors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this regimen and our royalty revenue derived from its sales.</w:t>
      </w:r>
    </w:p>
    <w:p>
      <w:pPr>
        <w:spacing w:after="0" w:line="16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Furthermore, we expect that the COVID-19 pandemic will continue to adversely affect AbbVie’s sales of MAVYRET/MAVIRET in the United States and the rest of the world if healthcare systems continue to experience varying levels of shut-down and diagnoses and treatment rates of HCV infections remain at below-normal levels. At this point in time we do not know the extent and duration of this adverse effect. We note, however, that the HCV patient pool will continue to carry the viral infection until treated.</w:t>
      </w:r>
    </w:p>
    <w:p>
      <w:pPr>
        <w:spacing w:after="0" w:line="147"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RSV, HBV, SARS-CoV-2 and hMPV which may result in others discovering, developing or commercializing products before we do or doing so more successfully than we do.</w:t>
      </w:r>
    </w:p>
    <w:p>
      <w:pPr>
        <w:spacing w:after="0" w:line="161" w:lineRule="exact"/>
        <w:rPr>
          <w:sz w:val="20"/>
          <w:szCs w:val="20"/>
          <w:color w:val="auto"/>
        </w:rPr>
      </w:pPr>
    </w:p>
    <w:p>
      <w:pPr>
        <w:ind w:right="680"/>
        <w:spacing w:after="0" w:line="248" w:lineRule="auto"/>
        <w:rPr>
          <w:sz w:val="20"/>
          <w:szCs w:val="20"/>
          <w:color w:val="auto"/>
        </w:rPr>
      </w:pPr>
      <w:r>
        <w:rPr>
          <w:rFonts w:ascii="Arial" w:cs="Arial" w:eastAsia="Arial" w:hAnsi="Arial"/>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RSV, HBV, SARS-CoV-2 and hMPV and other viral</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28" w:name="page29"/>
    <w:bookmarkEnd w:id="28"/>
    <w:p>
      <w:pPr>
        <w:ind w:right="140"/>
        <w:spacing w:after="0" w:line="261" w:lineRule="auto"/>
        <w:rPr>
          <w:sz w:val="20"/>
          <w:szCs w:val="20"/>
          <w:color w:val="auto"/>
        </w:rPr>
      </w:pPr>
      <w:r>
        <w:rPr>
          <w:rFonts w:ascii="Arial" w:cs="Arial" w:eastAsia="Arial" w:hAnsi="Arial"/>
          <w:sz w:val="18"/>
          <w:szCs w:val="18"/>
          <w:color w:val="auto"/>
        </w:rPr>
        <w:t>infections or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157"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16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expect AbbVie’s MAVYRET/MAVIRET to continue to face intense competition due to existing approved products in the HCV market. AbbVie’s MAVYRET/MAVIRET regimen currently faces competition in various world markets and subpopulations of HCV from Gilead’s Epclusa® (a fixed dose combination of sofosbuvir and velpatasvir), Vosevi® (a triple combination therapy of sofosbuvir, velpatasvir and voxilaprevir approved by the FDA for specified sofosbuvir -treatment failures and NS5A-inhibitor treatment failures) and Harvoni® (a fixed-dose combination of sofosbuvir and ledipasvir); and to a lesser extent - Merck’s Zepatier® (a fixed-dose combination of grazoprevir and elbasvir). Gilead launched authorized generic versions of Epclusa and Harvoni through its subsidiary, Asegua Therapeutics, LLC, which have had an impact on the competitive landscape. For example, the state of Louisiana selected Asegua as their HCV subscription model pharmaceutical partner to provide the state with unrestricted access to its direct-acting antiviral medication.</w:t>
      </w:r>
    </w:p>
    <w:p>
      <w:pPr>
        <w:spacing w:after="0" w:line="18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(i.e. Gilead and Asegua Therapeutics), our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17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Similarly, HBV, RSV and COVID-19 represent competitive therapeutic areas. While there are antiviral medications prescribed for HBV that can suppress HBV DNA, they generally have low cure rates, resulting in the need for lifelong treatment. Many companies are seeking to develop new HBV drugs that alone or in combination with other mechanisms could lead to a functional cure of HBV. Altimmune, Antios, Arbutus, Ascletis, Assembly, GIGB, Gilead, Green Cross, GSK/Ionis, HEC Pharma, Johnson &amp; Johnson/Janssen, Replicor, Roche, Tasly, Vaccitech, VBI Vaccines and Vir Biotechnology have Phase 2 programs in progress, with many of these companies conducting earlier stage programs as well. In addition, a number of companies have Phase 1 or earlier stage HBV programs.</w:t>
      </w:r>
    </w:p>
    <w:p>
      <w:pPr>
        <w:spacing w:after="0" w:line="1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RSV, there are currently no safe and effective therapies for already established RSV infection. Several companies are seeking to develop antiviral treatments for RSV infection in adult and pediatric patients. Ark Biosciences, Johnson &amp; Johnson and ReViral (under agreement to be acquired by Pfizer) each have compounds in clinical development. A prophylactic, monoclonal-antibody-based treatment from MedImmune, which is commercialized by AbbVie outside the U.S., is approved for infants considered at high risk for RSV infection; however, studies have found that most young children with RSV infection were previously healthy, and thus would not normally be prescribed prophylactic treatment. AstraZeneca/Sanofi and Merck are developing long-acting versions of the monoclonal antibody for prophylaxis use in infants. In addition, a number of companies have RSV vaccines in development, primarily directed at prevention of RSV infection, and some companies are also evaluating vaccines in a therapeutic mode for treatment of established RSV infection.</w:t>
      </w:r>
    </w:p>
    <w:p>
      <w:pPr>
        <w:spacing w:after="0" w:line="18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Currently, there are two Emergency Use Authorizations of oral antiviral treatments for non-hospitalized, high-risk patients with SARS-CoV-2 infection: Paxlovid, a 3CL protease inhibitor, and Molnupiravir, a polymerase inhibitor. Additionally, there are companies developing oral direct acting antivirals for SARS-CoV-2 that are currently in Phase 2 or 3 studies including Atea, Shionogi, Toyama, and Todos as well as compounds in Phase 1 studies, including those from Pardes and Gilead.</w:t>
      </w:r>
    </w:p>
    <w:p>
      <w:pPr>
        <w:spacing w:after="0" w:line="17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5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The ongoing COVID-19 pandemic has had an impact on our business operations and clinical trials and could continue, directly or indirectly, to adversely affect our business, results of operations and financial condition and our stock price.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 w:name="page30"/>
    <w:bookmarkEnd w:id="29"/>
    <w:p>
      <w:pPr>
        <w:ind w:right="20"/>
        <w:spacing w:after="0" w:line="268" w:lineRule="auto"/>
        <w:rPr>
          <w:sz w:val="20"/>
          <w:szCs w:val="20"/>
          <w:color w:val="auto"/>
        </w:rPr>
      </w:pPr>
      <w:r>
        <w:rPr>
          <w:rFonts w:ascii="Arial" w:cs="Arial" w:eastAsia="Arial" w:hAnsi="Arial"/>
          <w:sz w:val="16"/>
          <w:szCs w:val="16"/>
          <w:color w:val="auto"/>
        </w:rPr>
        <w:t>The COVID-19 pandemic has had an impact on our business operations and we continue to monitor applicable government recommendations. We had to make modifications to our normal operations because of the COVID-19 pandemic, including allowing certain of our employees to work remotely and conducting our laboratory operations at reduced capacity. Now that almost all of our employees are vaccinated and levels of COVID-19 infection in Eastern Massachusetts have declined substantially, we have our laboratory operations back at full capacity and other operations have started to return to more on-site activity. Notwithstanding these recent trends, the COVID-19 pandemic, including insufficient vaccination of the general population and the emergence of new SARS-CoV-2 variants, including the Omicron and Omicron BA.2 variants, could affect the health and availability of our workforce as well as those of the third parties whom we are relying on to take similar measures. As a result, we may experience new disruptions to our business operations and our business could be materially adversely affected further, directly or indirectly, by the ongoing COVID-19 pandemic, which has spread to the countries in which we, our contract manufacturers, our preclinical and clinical research contractors and our collaborators in clinical research do business. National, state and local governments in affected regions have implemented and may continue to implement varying safety precautions, including quarantines, border closures, increased border controls, travel restrictions, shelter-in-place orders and shutdowns, business closures, cancellations of public gatherings and other measures. Organizations and individuals may continue to take additional steps to avoid or reduce infection, including limiting travel and staying home from work. These measures may continue to disrupt normal business operations both inside and outside of affected areas and have had significant negative impacts on healthcare and other businesses worldwide.</w:t>
      </w:r>
    </w:p>
    <w:p>
      <w:pPr>
        <w:spacing w:after="0" w:line="16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extent and severity of the impact on our business and clinical trials will be determined largely by the extent of disruptions in the supply chains for our research and clinical trial materials, delays in the conduct and recruitment of current and future clinical trials and reductions in the number of patients accessing AbbVie’s HCV regimens. For example, we paused recruitment for our Phase 2b ARGON-2 study of EDP-305 in NASH patients and Part 2 of our Phase 1a/1b study of EDP-514 in NUC-suppressed HBV patients in March 2020, but we were able to resume recruitment of these studies in July 2020. In addition, the public health response to the COVID-19 pandemic, including lock-downs, mask mandates, social distancing and other mitigation steps to manage the COVID-19 pandemic have significantly reduced the incidence of RSV and other respiratory illnesses worldwide. We have made extensive efforts to expand our clinical sites beyond North America, including sites across Europe, the Asia-Pacific and the Southern Hemisphere, to be ready when RSV infection fully re-emerges, but we cannot predict when that may occur. These impacts of COVID-19 could continue to affect the future course of our RSV studies and delay their timelines.</w:t>
      </w:r>
    </w:p>
    <w:p>
      <w:pPr>
        <w:spacing w:after="0" w:line="17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During 2022 and 2021, COVID-19 has also impacted new HCV patient starts in both the United States and the rest of the world, resulting in a decline in sales of HCV treatments compared with pre-COVID-19 levels. While new HCV infections are continuing, at this time it is uncertain when and the extent to which treatment of new HCV patients and revenues will return to pre-COVID-19 levels.</w:t>
      </w:r>
    </w:p>
    <w:p>
      <w:pPr>
        <w:spacing w:after="0" w:line="16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addition, the impact of the COVID-19 pandemic on the operations of the FDA and other health authorities may delay potential approvals of our clinical trial protocols.</w:t>
      </w:r>
    </w:p>
    <w:p>
      <w:pPr>
        <w:spacing w:after="0" w:line="157"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Although it is not possible at this time to estimate the entirety of the impact that the COVID-19 pandemic will have on our business, operations and employees, our contract manufacturers, our preclinical and clinical research contractors, and our collaborators in clinical research, any continued spread of COVID-19, measures taken by governments, actions taken to protect employees from this disease, and the broad impact of the pandemic on all business activities, may materially and adversely affect our business, results of operations and financial condition and our stock price. Additionally, as new, more infectious variants emerge, it is possible that the impact of the pandemic on our business may increase or lengthen in duration.</w:t>
      </w:r>
    </w:p>
    <w:p>
      <w:pPr>
        <w:spacing w:after="0" w:line="14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AbbVie has been responsible for all of the clinical development of our HCV protease inhibitor products. We have not yet demonstrated an ability to address successfully many of the risks and uncertainties associated with late-stage clinical development, regulatory approval and commercialization of therapeutic products such as the ones we plan to develop independently. For example, to execute our business plan for the development of our independent RSV and HBV programs, we will need to successfully:</w:t>
      </w:r>
    </w:p>
    <w:p>
      <w:pPr>
        <w:spacing w:after="0" w:line="80" w:lineRule="exact"/>
        <w:rPr>
          <w:sz w:val="20"/>
          <w:szCs w:val="20"/>
          <w:color w:val="auto"/>
        </w:rPr>
      </w:pPr>
    </w:p>
    <w:p>
      <w:pPr>
        <w:ind w:left="10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and maintain patent protection for our product candidates and freedom from infringement of intellectual property of others;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0" w:name="page31"/>
    <w:bookmarkEnd w:id="30"/>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payors and patients;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19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15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If we are not successful in developing EDP-938, EDP-235, EDP-514, and/or EDP-323 or in discovering further product candidates, our ability to expand our business and achieve our strategic objectives will be impaired.</w:t>
      </w:r>
    </w:p>
    <w:p>
      <w:pPr>
        <w:spacing w:after="0" w:line="15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80"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03" w:lineRule="exact"/>
        <w:rPr>
          <w:rFonts w:ascii="Arial" w:cs="Arial" w:eastAsia="Arial" w:hAnsi="Arial"/>
          <w:sz w:val="18"/>
          <w:szCs w:val="18"/>
          <w:color w:val="auto"/>
        </w:rPr>
      </w:pPr>
    </w:p>
    <w:p>
      <w:pPr>
        <w:ind w:left="1020" w:right="520" w:hanging="503"/>
        <w:spacing w:after="0" w:line="291"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9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176"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auto"/>
        </w:rPr>
        <w:t>We reported a net loss for the six months ended March 31, 2022 and for the fiscal year ended September 30, 2021, primarily due to the impact of COVID-19 on our royalty revenues and increased levels of research and development expense as we progress our wholly-owned programs. Continued changes in royalty revenue earned under our AbbVie agreement or changes in the level of expenses associated with development of our product candidates, or both, may cause our results of operations to fluctuate from period to period. Any continuation of the recent trend of diminishing royalty revenue, combined with increasing research and development expenses in support of our advancing programs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will result in continued operating losses in this fiscal year and in future periods unless we develop other sources of revenue.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discussed above, our principal source of revenue continues to be our royalty revenue earned under the AbbVie collaboration agreement. There is uncertainty regarding this future revenue stream given the competitive nature of the market for HCV therapies, which reflects price competition, the changing nature of payer contracts of AbbVie and others, the varying rates of reimbursement in different countries and the impact of the COVID-19 pandemic on AbbVie’s HCV sales. Changes in royalty revenue earned under the AbbVie collaboration agreement, including those that occur from period to period due to the annually tiered structure of our royalties, may cause our revenues and operating results to fluctuate significantly from quarter to quarter and could have an adverse effect on our stock price.</w:t>
      </w:r>
    </w:p>
    <w:p>
      <w:pPr>
        <w:spacing w:after="0" w:line="176"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Additionally, many of the preclinical and clinical development activities required for our product candidates must be contracted out to contract research organizations, or CROs, at significant expense. We expect these expenses to increase substantially in the coming years as we advance compounds and conduct more clinical studies. However, the global impact of COVID-19 has had, and is likely to continue to have, an adverse effect on the ability of our CROs to conduct preclinical and clinical studies. At this point in time we do not know to what extent these studies will be further impacted by the pandemic. Therefore, now more than ever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1" w:name="page32"/>
    <w:bookmarkEnd w:id="31"/>
    <w:p>
      <w:pPr>
        <w:ind w:right="60"/>
        <w:spacing w:after="0" w:line="284" w:lineRule="auto"/>
        <w:rPr>
          <w:sz w:val="20"/>
          <w:szCs w:val="20"/>
          <w:color w:val="auto"/>
        </w:rPr>
      </w:pPr>
      <w:r>
        <w:rPr>
          <w:rFonts w:ascii="Arial" w:cs="Arial" w:eastAsia="Arial" w:hAnsi="Arial"/>
          <w:sz w:val="16"/>
          <w:szCs w:val="16"/>
          <w:color w:val="auto"/>
        </w:rPr>
        <w:t>treatment combinations or as comparators to our product candidates. We also conduct clinical development activities outside the U.S. and are therefore exposed to foreign currency fluctuations for payments made to CROs in currencies other than the U.S. dollar. As a result, the expenses of our development programs and our operating results may fluctuate significantly from quarter to quarter. If combined with any continuation of the recent trend of reduced royalty revenue, such a trend would likely result in operating losses in the coming year and in future periods, unless we develop other sources of revenue.</w:t>
      </w:r>
    </w:p>
    <w:p>
      <w:pPr>
        <w:spacing w:after="0" w:line="14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157"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as well as other employees and consultants. For example, Nathalie Adda, M.D., our Senior Vice President and Chief Medical Officer retired in April 2022, and she has agreed to be available on a consulting basis for a brief period thereafter. While we have initiated a search for her replacement, it is uncertain when we will recruit that person. Although neither Dr. Luly nor Dr. Or has informed us to date that either individual expects to retire or resign in the near future, the loss of the services of either of these individuals or one or more of our other members of senior management could delay or prevent the successful development of our product candidates.</w:t>
      </w:r>
    </w:p>
    <w:p>
      <w:pPr>
        <w:spacing w:after="0" w:line="15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While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9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obtain these capabilities.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50" w:lineRule="exact"/>
        <w:rPr>
          <w:sz w:val="20"/>
          <w:szCs w:val="20"/>
          <w:color w:val="auto"/>
        </w:rPr>
      </w:pPr>
    </w:p>
    <w:p>
      <w:pPr>
        <w:jc w:val="both"/>
        <w:ind w:right="180"/>
        <w:spacing w:after="0" w:line="362" w:lineRule="auto"/>
        <w:rPr>
          <w:sz w:val="20"/>
          <w:szCs w:val="20"/>
          <w:color w:val="auto"/>
        </w:rPr>
      </w:pPr>
      <w:r>
        <w:rPr>
          <w:rFonts w:ascii="Arial" w:cs="Arial" w:eastAsia="Arial" w:hAnsi="Arial"/>
          <w:sz w:val="15"/>
          <w:szCs w:val="15"/>
          <w:b w:val="1"/>
          <w:bCs w:val="1"/>
          <w:i w:val="1"/>
          <w:iCs w:val="1"/>
          <w:color w:val="auto"/>
        </w:rPr>
        <w:t>We may require substantial additional financing in the longer term to achieve our goals if the sales of MAVYRET/MAVIRET decline substantially. A failure to obtain this necessary capital when needed could force us to delay, limit, reduce or terminate some or all of our product development efforts.</w:t>
      </w:r>
    </w:p>
    <w:p>
      <w:pPr>
        <w:spacing w:after="0" w:line="8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In addition, we may seek opportunities to in-license or otherwise acquire new therapeutic candidates and therapies. Our future capital requirements depend on many factors, including:</w:t>
      </w:r>
    </w:p>
    <w:p>
      <w:pPr>
        <w:spacing w:after="0" w:line="83"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royalties generated from MAVYRET/MAVIRET sales under our existing collaboration with AbbVie;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continuing impact of the COVID-19 pandemic on the numbers of treated HCV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03"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and additional expense in our clinical trials as a result of the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 of manufacturing our product candidates for clinical development and any products we successfully commercialize independently;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9"/>
        </w:numPr>
        <w:rPr>
          <w:rFonts w:ascii="Arial" w:cs="Arial" w:eastAsia="Arial" w:hAnsi="Arial"/>
          <w:sz w:val="18"/>
          <w:szCs w:val="18"/>
          <w:color w:val="212529"/>
        </w:rPr>
      </w:pPr>
      <w:r>
        <w:rPr>
          <w:rFonts w:ascii="Arial" w:cs="Arial" w:eastAsia="Arial" w:hAnsi="Arial"/>
          <w:sz w:val="18"/>
          <w:szCs w:val="18"/>
          <w:color w:val="212529"/>
        </w:rPr>
        <w:t>opportunities to in-license or otherwise acquire new technologies, therapeutic candidates and therapies</w:t>
      </w:r>
      <w:r>
        <w:rPr>
          <w:rFonts w:ascii="Arial" w:cs="Arial" w:eastAsia="Arial" w:hAnsi="Arial"/>
          <w:sz w:val="18"/>
          <w:szCs w:val="18"/>
          <w:color w:val="000000"/>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2" w:name="page33"/>
    <w:bookmarkEnd w:id="32"/>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212529"/>
        </w:rPr>
      </w:pPr>
      <w:r>
        <w:rPr>
          <w:rFonts w:ascii="Arial" w:cs="Arial" w:eastAsia="Arial" w:hAnsi="Arial"/>
          <w:sz w:val="18"/>
          <w:szCs w:val="18"/>
          <w:color w:val="212529"/>
        </w:rPr>
        <w:t>the timing and amount of any sales of our product candidates, if any, or royalties thereon</w:t>
      </w:r>
      <w:r>
        <w:rPr>
          <w:rFonts w:ascii="Arial" w:cs="Arial" w:eastAsia="Arial" w:hAnsi="Arial"/>
          <w:sz w:val="18"/>
          <w:szCs w:val="18"/>
          <w:color w:val="000000"/>
        </w:rPr>
        <w:t>;</w:t>
      </w:r>
    </w:p>
    <w:p>
      <w:pPr>
        <w:spacing w:after="0" w:line="103" w:lineRule="exact"/>
        <w:rPr>
          <w:rFonts w:ascii="Arial" w:cs="Arial" w:eastAsia="Arial" w:hAnsi="Arial"/>
          <w:sz w:val="18"/>
          <w:szCs w:val="18"/>
          <w:color w:val="212529"/>
        </w:rPr>
      </w:pPr>
    </w:p>
    <w:p>
      <w:pPr>
        <w:ind w:left="1020" w:hanging="50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establish new collaborations, licensing or other arrangements, if any, and the financial terms of such arrangements;</w:t>
      </w:r>
    </w:p>
    <w:p>
      <w:pPr>
        <w:spacing w:after="0" w:line="115" w:lineRule="exact"/>
        <w:rPr>
          <w:rFonts w:ascii="Arial" w:cs="Arial" w:eastAsia="Arial" w:hAnsi="Arial"/>
          <w:sz w:val="17"/>
          <w:szCs w:val="17"/>
          <w:color w:val="auto"/>
        </w:rPr>
      </w:pPr>
    </w:p>
    <w:p>
      <w:pPr>
        <w:ind w:left="1020" w:right="440" w:hanging="503"/>
        <w:spacing w:after="0" w:line="261" w:lineRule="auto"/>
        <w:tabs>
          <w:tab w:leader="none" w:pos="1020" w:val="left"/>
        </w:tabs>
        <w:numPr>
          <w:ilvl w:val="0"/>
          <w:numId w:val="30"/>
        </w:numPr>
        <w:rPr>
          <w:rFonts w:ascii="Arial" w:cs="Arial" w:eastAsia="Arial" w:hAnsi="Arial"/>
          <w:sz w:val="18"/>
          <w:szCs w:val="18"/>
          <w:color w:val="212529"/>
        </w:rPr>
      </w:pPr>
      <w:r>
        <w:rPr>
          <w:rFonts w:ascii="Arial" w:cs="Arial" w:eastAsia="Arial" w:hAnsi="Arial"/>
          <w:sz w:val="18"/>
          <w:szCs w:val="18"/>
          <w:color w:val="212529"/>
        </w:rPr>
        <w:t>the costs involved in preparing, filing, prosecuting, maintaining, defending and enforcing patents, including any litigation costs and the outcomes of any such litigation</w:t>
      </w:r>
      <w:r>
        <w:rPr>
          <w:rFonts w:ascii="Arial" w:cs="Arial" w:eastAsia="Arial" w:hAnsi="Arial"/>
          <w:sz w:val="18"/>
          <w:szCs w:val="18"/>
          <w:color w:val="000000"/>
        </w:rPr>
        <w:t>; and</w:t>
      </w:r>
    </w:p>
    <w:p>
      <w:pPr>
        <w:spacing w:after="0" w:line="62" w:lineRule="exact"/>
        <w:rPr>
          <w:rFonts w:ascii="Arial" w:cs="Arial" w:eastAsia="Arial" w:hAnsi="Arial"/>
          <w:sz w:val="18"/>
          <w:szCs w:val="18"/>
          <w:color w:val="212529"/>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202"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Any ongoing or future clinical trials of our product candidates may fail to demonstrate sufficient safety and efficacy. If clinical trials of any of our proprietary product candidates are prolonged or delayed or fail, we may be unable to commercialize our product candidates on a timely basis or ever.</w:t>
      </w:r>
    </w:p>
    <w:p>
      <w:pPr>
        <w:spacing w:after="0" w:line="1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glecaprevir, which was clinically developed by AbbVie, has yet to advance beyond completion of Phase 2 clinical trials. Any ongoing or future clinical trials of our product candidates may fail to demonstrate sufficient safety and efficacy. Moreover, regulatory and administrative delays, including those caused by the COVID-19 pandemic, for any product candidate in our pipeline may adversely affect our or any future collaborator’s clinical development plans and jeopardize our or any future collaborator’s ability to attain product approval, commence product sales and compete successfully against other therapies. Clinical trials can be delayed for a variety of reasons, including delays related to:</w:t>
      </w:r>
    </w:p>
    <w:p>
      <w:pPr>
        <w:spacing w:after="0" w:line="83" w:lineRule="exact"/>
        <w:rPr>
          <w:sz w:val="20"/>
          <w:szCs w:val="20"/>
          <w:color w:val="auto"/>
        </w:rPr>
      </w:pPr>
    </w:p>
    <w:p>
      <w:pPr>
        <w:ind w:left="1020" w:right="260" w:hanging="503"/>
        <w:spacing w:after="0" w:line="291"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03" w:lineRule="exact"/>
        <w:rPr>
          <w:rFonts w:ascii="Arial" w:cs="Arial" w:eastAsia="Arial" w:hAnsi="Arial"/>
          <w:sz w:val="18"/>
          <w:szCs w:val="18"/>
          <w:color w:val="auto"/>
        </w:rPr>
      </w:pPr>
    </w:p>
    <w:p>
      <w:pPr>
        <w:ind w:left="1020" w:right="520" w:hanging="503"/>
        <w:spacing w:after="0" w:line="291"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failure to obtain on a timely basis, or at all, the necessary approvals from regulators or institutional review boards, or IRBs, in order to commence a clinical trial at a prospective trial site, or their suspension or termination of a clinical trial once commenced;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the COVID-19 pandemic on the ability of CROs to conduct their own operations, resulting in, among other things, delays in recruitment or dosing of our clinical trials;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broader impact of the COVID-19 pandemic on the incidence of other viruses (e.g., RSV and hMPV), the economic challenges for clinical trial sites and the political and socio-economic stability affecting their operations generally;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seasonality and variations in incidence of infection year to year (e.g. RSV) affecting enrollment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having to add new clinical trial sites;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3" w:name="page34"/>
    <w:bookmarkEnd w:id="33"/>
    <w:p>
      <w:pPr>
        <w:ind w:left="1020" w:right="18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governmental or regulatory administration, including, for example, administrative delays due to the planned relocation of the EMA to the Netherlands;</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regulatory requirements, policy and guidelines, including guidelines specifically addressing requirements for the development of treatments for RSV, HBV, COVID-19 or hMPV infection;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in obtaining and maintaining adequate insurance coverage;</w:t>
      </w:r>
    </w:p>
    <w:p>
      <w:pPr>
        <w:spacing w:after="0" w:line="103" w:lineRule="exact"/>
        <w:rPr>
          <w:rFonts w:ascii="Arial" w:cs="Arial" w:eastAsia="Arial" w:hAnsi="Arial"/>
          <w:sz w:val="18"/>
          <w:szCs w:val="18"/>
          <w:color w:val="auto"/>
        </w:rPr>
      </w:pPr>
    </w:p>
    <w:p>
      <w:pPr>
        <w:ind w:left="1020" w:right="140" w:hanging="503"/>
        <w:spacing w:after="0" w:line="324"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in the long term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58"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150"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We expect that the further development of successful therapies in our principal disease area of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150"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b w:val="1"/>
          <w:bCs w:val="1"/>
          <w:i w:val="1"/>
          <w:iCs w:val="1"/>
          <w:color w:val="auto"/>
        </w:rPr>
        <w:t>EDP-938, EDP-235, EDP-514, or EDP-323 or any other product candidate emerging from our current research programs may have undesirable side effects which may delay or prevent marketing approval, or, if approval is received, require our product candidate to be taken off the market, require us to include safety warnings or otherwise limit sales.</w:t>
      </w:r>
    </w:p>
    <w:p>
      <w:pPr>
        <w:spacing w:after="0" w:line="16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212121"/>
        </w:rPr>
        <w:t>In our RSV program, we are developing inhibitors of the N-protein and L-protein. No inhibitor of the RSV N or L-protein has progressed beyond a Phase 2 clinical trial, so we are not yet able to assess the potential liabilities of an N-protein or L-protein inhibitor in large scale studies or in the general population. In addition, the principal target populations in RSV, namely infants, the elderly, and the immunocompromised, represent sensitive patient populations that could be more prone to adverse effects of therapy.</w:t>
      </w:r>
    </w:p>
    <w:p>
      <w:pPr>
        <w:spacing w:after="0" w:line="17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212121"/>
        </w:rPr>
        <w:t>In our HBV program, we have developed modulators of capsid assembly, also known as core inhibitors. No capsid assembly modulators have advanced beyond Phase 2 clinical studies, and thus we are not able to predict what adverse effects may arise in longer studies conducted in larger populations. In addition, no mechanisms or combination of mechanisms with a finite treatment duration have resulted in a sustained viral response, so it is unknown what role a core inhibitor mechanism may play in HBV therapy.</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4" w:name="page35"/>
    <w:bookmarkEnd w:id="34"/>
    <w:p>
      <w:pPr>
        <w:spacing w:after="0" w:line="243" w:lineRule="auto"/>
        <w:rPr>
          <w:sz w:val="20"/>
          <w:szCs w:val="20"/>
          <w:color w:val="auto"/>
        </w:rPr>
      </w:pPr>
      <w:r>
        <w:rPr>
          <w:rFonts w:ascii="Arial" w:cs="Arial" w:eastAsia="Arial" w:hAnsi="Arial"/>
          <w:sz w:val="18"/>
          <w:szCs w:val="18"/>
          <w:color w:val="212121"/>
        </w:rPr>
        <w:t>In our SARS-CoV-2 program, we have designed EDP-235 as a 3CL protease inhibitor specifically for the SARS-CoV-2 virus. We recently started testing EDP-235 in humans and, therefore, any short-term potential side effects are unknown. While scientific understanding of the longer-term effects of COVID-19 are still emerging and being studied, it may be difficult to determine whether any unexpected downstream effects after treatment with EDP-235 are due to that drug or the infection itself.</w:t>
      </w:r>
    </w:p>
    <w:p>
      <w:pPr>
        <w:spacing w:after="0" w:line="17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212121"/>
        </w:rPr>
        <w:t>If any of our product candidates receives marketing approval and we or others later identify undesirable or unacceptable side effects caused by such products:</w:t>
      </w:r>
    </w:p>
    <w:p>
      <w:pPr>
        <w:spacing w:after="0" w:line="63" w:lineRule="exact"/>
        <w:rPr>
          <w:sz w:val="20"/>
          <w:szCs w:val="20"/>
          <w:color w:val="auto"/>
        </w:rPr>
      </w:pPr>
    </w:p>
    <w:p>
      <w:pPr>
        <w:ind w:left="1020" w:right="16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and our stock price may suffer.</w:t>
      </w:r>
    </w:p>
    <w:p>
      <w:pPr>
        <w:spacing w:after="0" w:line="198" w:lineRule="exact"/>
        <w:rPr>
          <w:sz w:val="20"/>
          <w:szCs w:val="20"/>
          <w:color w:val="auto"/>
        </w:rPr>
      </w:pPr>
    </w:p>
    <w:p>
      <w:pPr>
        <w:ind w:right="580"/>
        <w:spacing w:after="0" w:line="248"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168"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then commercialization any of those product candidates could be delayed or halted.</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9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To date we have only tested our product candidates through initial Phase 2 studies. The results of preclinical studies and these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For example, several companies engaged in clinical development in the disease areas we are also engaged in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48"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studies and early-stage and late-stage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35" w:name="page36"/>
    <w:bookmarkEnd w:id="35"/>
    <w:p>
      <w:pPr>
        <w:jc w:val="both"/>
        <w:ind w:right="560"/>
        <w:spacing w:after="0" w:line="248"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168"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88"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FDA, the EMA or other comparable foreign regulatory authorities may disagree with the design or implementation of our clinical trials;</w:t>
      </w:r>
    </w:p>
    <w:p>
      <w:pPr>
        <w:spacing w:after="0" w:line="126" w:lineRule="exact"/>
        <w:rPr>
          <w:rFonts w:ascii="Arial" w:cs="Arial" w:eastAsia="Arial" w:hAnsi="Arial"/>
          <w:sz w:val="16"/>
          <w:szCs w:val="16"/>
          <w:color w:val="auto"/>
        </w:rPr>
      </w:pPr>
    </w:p>
    <w:p>
      <w:pPr>
        <w:ind w:left="1020" w:right="18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20" w:right="80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8"/>
          <w:szCs w:val="18"/>
          <w:color w:val="auto"/>
        </w:rPr>
      </w:pPr>
    </w:p>
    <w:p>
      <w:pPr>
        <w:ind w:left="1020" w:right="940" w:hanging="503"/>
        <w:spacing w:after="0" w:line="291"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38" w:lineRule="exact"/>
        <w:rPr>
          <w:rFonts w:ascii="Arial" w:cs="Arial" w:eastAsia="Arial" w:hAnsi="Arial"/>
          <w:sz w:val="17"/>
          <w:szCs w:val="17"/>
          <w:color w:val="auto"/>
        </w:rPr>
      </w:pPr>
    </w:p>
    <w:p>
      <w:pPr>
        <w:ind w:left="1020" w:right="24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157"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ind w:right="60"/>
        <w:spacing w:after="0" w:line="237" w:lineRule="auto"/>
        <w:rPr>
          <w:sz w:val="20"/>
          <w:szCs w:val="20"/>
          <w:color w:val="auto"/>
        </w:rPr>
      </w:pPr>
      <w:r>
        <w:rPr>
          <w:rFonts w:ascii="Arial" w:cs="Arial" w:eastAsia="Arial" w:hAnsi="Arial"/>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17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The regulatory pathway for approval of a therapeutic treatment for COVID-19 such as EDP-235 is continually evolving and may result in unexpected or unforeseen challenges and longer timelines than seen for earlier COVID-19 vaccines and therapeutics.</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FDA has the authority to grant an emergency use authorization, or EUA, to allow unapproved medical products to be used in an emergency to diagnose, treat, or prevent serious or life-threatening diseases or conditions when there are no adequate, approved, and available alternatives. To date, COVID-19 vaccines, therapeutic antibodies and other therapeutics that have demonstrated positive results in clinical trials have moved rapidly through the FDA regulatory review and EUA process, as well as the review and authorization process in a number of other jurisdictions, including the EU. The speed at which all parties are acting to create and test many therapeutics for COVID-19 is unusual, while evolving or changing plans or priorities within the FDA or the regulatory authorities in other jurisdictions, including changes based on new data regarding potential therapeutics of others, and new variants of the virus, may significantly affect the regulatory timeline for further authorizations or approvals for therapeutics such as EDP-235. Moreover, there is not yet any clear definition of the point at which the FDA will determine that the underlying COVID-19 health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 w:name="page37"/>
    <w:bookmarkEnd w:id="36"/>
    <w:p>
      <w:pPr>
        <w:ind w:right="160"/>
        <w:spacing w:after="0" w:line="248" w:lineRule="auto"/>
        <w:rPr>
          <w:sz w:val="20"/>
          <w:szCs w:val="20"/>
          <w:color w:val="auto"/>
        </w:rPr>
      </w:pPr>
      <w:r>
        <w:rPr>
          <w:rFonts w:ascii="Arial" w:cs="Arial" w:eastAsia="Arial" w:hAnsi="Arial"/>
          <w:sz w:val="18"/>
          <w:szCs w:val="18"/>
          <w:color w:val="auto"/>
        </w:rPr>
        <w:t>emergency no longer exists or warrants such authorizations. Accordingly, if there are successful clinical trials of EDP-235 demonstrating its therapeutic benefit and safety profile, it is still uncertain what will be the timelines or regulatory processes required for the authorization or approval of EDP-235 as a treatment for COVID-19.</w:t>
      </w:r>
    </w:p>
    <w:p>
      <w:pPr>
        <w:spacing w:after="0" w:line="168"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15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68"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67" w:lineRule="exact"/>
        <w:rPr>
          <w:sz w:val="20"/>
          <w:szCs w:val="20"/>
          <w:color w:val="auto"/>
        </w:rPr>
      </w:pPr>
    </w:p>
    <w:p>
      <w:pPr>
        <w:ind w:left="1020" w:right="1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9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17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pricing regulations, third-party reimbursement practices or healthcare reform initiatives in the United States could harm our business.</w:t>
      </w:r>
    </w:p>
    <w:p>
      <w:pPr>
        <w:spacing w:after="0" w:line="20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has significantly changed the way healthcare is financed by both governmental and private insurers. While we cannot predict what impact on federal reimbursement policies this law or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spacing w:after="0" w:line="252" w:lineRule="auto"/>
        <w:rPr>
          <w:sz w:val="20"/>
          <w:szCs w:val="20"/>
          <w:color w:val="auto"/>
        </w:rPr>
      </w:pPr>
      <w:r>
        <w:rPr>
          <w:rFonts w:ascii="Arial" w:cs="Arial" w:eastAsia="Arial" w:hAnsi="Arial"/>
          <w:sz w:val="17"/>
          <w:szCs w:val="17"/>
          <w:color w:val="auto"/>
        </w:rPr>
        <w:t>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several states have not implemented certain sections of the ACA, including 14 that have rejected the expansion of Medicaid eligibility for low-income citizens. While the United States Supreme Court recently rejected the latest challenge to the constitutionality of the ACA, it is possible that other legislative efforts may seek to modify it. We cannot predict what effect any legislation may have on us or on AbbVie’s sales of MAVYRET/MAVIRET. In addition, other legislative changes have been proposed since the Affordable Care Act was enacted. There has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any healthcare reform measures that may be adopted in the future could result in more rigorous coverage criteria and an additional downward pressure on the price that AbbVie receives for MAVYRET/MAVIRET, which could seriously harm our future revenues, and the price of our common stock could be materially adversely affected.</w:t>
      </w:r>
    </w:p>
    <w:p>
      <w:pPr>
        <w:spacing w:after="0" w:line="15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we may not be able to successfully commercialize any product candidate for which we may seek marketing approval.</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continue to obtain coverage and profitable payment rates from both government-funded and private payors for MAVYRET/MAVIRET, or our inability to obtain the same for any product candidate that we develop, could have a material adverse effect on our operating results, our ability to raise capital needed to commercialize products and our overall financial condition.</w:t>
      </w:r>
    </w:p>
    <w:p>
      <w:pPr>
        <w:spacing w:after="0" w:line="144"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16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There is significant uncertainty around the future path of the COVID-19 pandemic which may impact opportunity of EDP-235 as a potential treatment for COVID-19.</w:t>
      </w:r>
    </w:p>
    <w:p>
      <w:pPr>
        <w:spacing w:after="0" w:line="157"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COVID-19 is currently still an ongoing global pandemic and there is an urgent need for a safe and effective oral treatment for it. However, the longevity and extent of the ongoing COVID-19 pandemic is unpredictable, and it is uncertain whether SARS-CoV-2 will become an endemic seasonal respiratory disease, such as RSV or flu, after the current pandemic has subsided. If the pandemic were to end with a substantial decrease in new infections, due to the effectiveness of vaccines or otherwise, there would be a reduced opportunity for EDP-235.</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8" w:name="page39"/>
    <w:bookmarkEnd w:id="38"/>
    <w:p>
      <w:pPr>
        <w:ind w:right="80"/>
        <w:spacing w:after="0" w:line="262" w:lineRule="auto"/>
        <w:rPr>
          <w:sz w:val="20"/>
          <w:szCs w:val="20"/>
          <w:color w:val="auto"/>
        </w:rPr>
      </w:pPr>
      <w:r>
        <w:rPr>
          <w:rFonts w:ascii="Arial" w:cs="Arial" w:eastAsia="Arial" w:hAnsi="Arial"/>
          <w:sz w:val="17"/>
          <w:szCs w:val="17"/>
          <w:color w:val="auto"/>
        </w:rPr>
        <w:t>In order to prepare for the possibility that EDP-235 is successful in development and commercialization, we are currently devoting resources towards executing on an accelerated development path, including sufficient drug supply for advanced clinical trials and commercialization. If EDP-235 does not advance in development or is not approved for the treatment of COVID-19, or if infection rates decrease substantially, we may not be able to recover these costs and our results of operations and financial condition would be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7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148"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the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16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157"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74"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56"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15" w:lineRule="exact"/>
        <w:rPr>
          <w:rFonts w:ascii="Arial" w:cs="Arial" w:eastAsia="Arial" w:hAnsi="Arial"/>
          <w:sz w:val="17"/>
          <w:szCs w:val="17"/>
          <w:color w:val="auto"/>
        </w:rPr>
      </w:pPr>
    </w:p>
    <w:p>
      <w:pPr>
        <w:ind w:left="1020" w:right="16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7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15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15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EDP-938, EDP-235, EDP-514 and EDP-323 and any other product candidate that we may develop in the future, whether as part of a combination therapy or as a monotherapy, are subject to market acceptance among physicians, healthcare payors, patients and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9" w:name="page40"/>
    <w:bookmarkEnd w:id="39"/>
    <w:p>
      <w:pPr>
        <w:ind w:right="500"/>
        <w:spacing w:after="0" w:line="261" w:lineRule="auto"/>
        <w:rPr>
          <w:sz w:val="20"/>
          <w:szCs w:val="20"/>
          <w:color w:val="auto"/>
        </w:rPr>
      </w:pPr>
      <w:r>
        <w:rPr>
          <w:rFonts w:ascii="Arial" w:cs="Arial" w:eastAsia="Arial" w:hAnsi="Arial"/>
          <w:sz w:val="18"/>
          <w:szCs w:val="18"/>
          <w:color w:val="auto"/>
        </w:rPr>
        <w:t>medical community. The degree of market acceptance of any product candidate for which we obtain approval for commercial sale, will depend on a number of factors, including:</w:t>
      </w:r>
    </w:p>
    <w:p>
      <w:pPr>
        <w:spacing w:after="0" w:line="63" w:lineRule="exact"/>
        <w:rPr>
          <w:sz w:val="20"/>
          <w:szCs w:val="20"/>
          <w:color w:val="auto"/>
        </w:rPr>
      </w:pPr>
    </w:p>
    <w:p>
      <w:pPr>
        <w:ind w:left="1020" w:right="140" w:hanging="503"/>
        <w:spacing w:after="0" w:line="291"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03"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03" w:lineRule="exact"/>
        <w:rPr>
          <w:rFonts w:ascii="Arial" w:cs="Arial" w:eastAsia="Arial" w:hAnsi="Arial"/>
          <w:sz w:val="18"/>
          <w:szCs w:val="18"/>
          <w:color w:val="auto"/>
        </w:rPr>
      </w:pPr>
    </w:p>
    <w:p>
      <w:pPr>
        <w:jc w:val="both"/>
        <w:ind w:left="1020" w:right="160" w:hanging="503"/>
        <w:spacing w:after="0" w:line="270"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continued longevity of any market for which we develop a drug;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treatment of any disease for which we develop a drug;</w:t>
      </w:r>
    </w:p>
    <w:p>
      <w:pPr>
        <w:spacing w:after="0" w:line="103"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2"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98"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02" w:lineRule="exact"/>
        <w:rPr>
          <w:sz w:val="20"/>
          <w:szCs w:val="20"/>
          <w:color w:val="auto"/>
        </w:rPr>
      </w:pPr>
    </w:p>
    <w:p>
      <w:pPr>
        <w:ind w:right="300"/>
        <w:spacing w:after="0" w:line="362" w:lineRule="auto"/>
        <w:rPr>
          <w:sz w:val="20"/>
          <w:szCs w:val="20"/>
          <w:color w:val="auto"/>
        </w:rPr>
      </w:pPr>
      <w:r>
        <w:rPr>
          <w:rFonts w:ascii="Arial" w:cs="Arial" w:eastAsia="Arial" w:hAnsi="Arial"/>
          <w:sz w:val="15"/>
          <w:szCs w:val="15"/>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8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For example, we plan to out-license our FXR agonist candidates for combination therapy for NASH and are seeking potential partners for this program.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5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experience a delay in entering into, or fail to maintain, such collaborations:</w:t>
      </w:r>
    </w:p>
    <w:p>
      <w:pPr>
        <w:spacing w:after="0" w:line="63" w:lineRule="exact"/>
        <w:rPr>
          <w:sz w:val="20"/>
          <w:szCs w:val="20"/>
          <w:color w:val="auto"/>
        </w:rPr>
      </w:pPr>
    </w:p>
    <w:p>
      <w:pPr>
        <w:ind w:left="5540" w:right="4080" w:hanging="5023"/>
        <w:spacing w:after="0" w:line="512" w:lineRule="auto"/>
        <w:tabs>
          <w:tab w:leader="none" w:pos="10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8" w:right="439" w:bottom="1440" w:gutter="0" w:footer="0" w:header="0"/>
        </w:sectPr>
      </w:pPr>
    </w:p>
    <w:bookmarkStart w:id="40" w:name="page41"/>
    <w:bookmarkEnd w:id="40"/>
    <w:p>
      <w:pPr>
        <w:ind w:left="1020" w:right="14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cash expenditures related to the development of certain of our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19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16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7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shutdowns of manufacturing sites or other supply chain constraints resulting from the COVID-19 pandemic,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7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59"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a trade war, political unrest or an epidemic in China, such as the COVID-19 pandemic, could materially adversely affect our business, financial condition and results of operations.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1" w:name="page42"/>
    <w:bookmarkEnd w:id="41"/>
    <w:p>
      <w:pPr>
        <w:ind w:right="40"/>
        <w:spacing w:after="0" w:line="267" w:lineRule="auto"/>
        <w:rPr>
          <w:sz w:val="20"/>
          <w:szCs w:val="20"/>
          <w:color w:val="auto"/>
        </w:rPr>
      </w:pPr>
      <w:r>
        <w:rPr>
          <w:rFonts w:ascii="Arial" w:cs="Arial" w:eastAsia="Arial" w:hAnsi="Arial"/>
          <w:sz w:val="16"/>
          <w:szCs w:val="16"/>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pandemics or other causes, could impair our ability to operate our business on a day-to-day basis and to continue our research and development of our product candidates. We also use contract researchers in China to conduct a portion of our research for our early-stage programs. Any disruption in the team conducting that research could cause delays in one or more of our research programs and could require us to curtail one or more programs, at least until we could contract for that research to be done elsewhere. For example, either of these risks could be triggered by an epidemic such as the outbreak of COVID-19 in the Wuhan region of China. To date our contract manufacturer in China, which is not located in the Wuhan region, has not had any material delays in its ability to deliver API and other services.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61"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142"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engagement is terminated, we may be unable to enroll patients on a timely basis or otherwise conduct our trials in the manner we anticipate. In the case of our then ongoing studies, we paused recruitment and dosing as a result of the COVID-19 pandemic in March 2020, but we were able to resume the studies in July 2020. The pause in these studies delayed their completion, and it is uncertain whether any of our other ongoing studies may be subject to further disruptions due to the ongoing pandemic.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15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2" w:name="page43"/>
    <w:bookmarkEnd w:id="42"/>
    <w:p>
      <w:pPr>
        <w:ind w:right="40"/>
        <w:spacing w:after="0"/>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7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8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are competing to develop intellectual property in areas of small-molecule drug development that are highly competitive. We could be unsuccessful in obtaining or maintaining adequate patent protection for one or more of our product candidates.</w:t>
      </w:r>
    </w:p>
    <w:p>
      <w:pPr>
        <w:spacing w:after="0" w:line="144"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addition, certain of our activities in the past have been funded, and others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153"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6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3" w:name="page44"/>
    <w:bookmarkEnd w:id="43"/>
    <w:p>
      <w:pPr>
        <w:ind w:right="20"/>
        <w:spacing w:after="0" w:line="238" w:lineRule="auto"/>
        <w:rPr>
          <w:sz w:val="20"/>
          <w:szCs w:val="20"/>
          <w:color w:val="auto"/>
        </w:rPr>
      </w:pPr>
      <w:r>
        <w:rPr>
          <w:rFonts w:ascii="Arial" w:cs="Arial" w:eastAsia="Arial" w:hAnsi="Arial"/>
          <w:sz w:val="18"/>
          <w:szCs w:val="18"/>
          <w:color w:val="auto"/>
        </w:rPr>
        <w:t>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8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7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149"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w:t>
      </w:r>
    </w:p>
    <w:p>
      <w:pPr>
        <w:spacing w:after="0" w:line="157"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addition to patents, we rely on trade secrets, technical know-how and proprietary information concerning our business strategy and product candidates in order to protect our competitive position in the field of each of our antiviral product candidates and our NASH compounds.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5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ind w:right="220"/>
        <w:spacing w:after="0" w:line="246" w:lineRule="auto"/>
        <w:rPr>
          <w:sz w:val="20"/>
          <w:szCs w:val="20"/>
          <w:color w:val="auto"/>
        </w:rPr>
      </w:pPr>
      <w:r>
        <w:rPr>
          <w:rFonts w:ascii="Arial" w:cs="Arial" w:eastAsia="Arial" w:hAnsi="Arial"/>
          <w:sz w:val="18"/>
          <w:szCs w:val="18"/>
          <w:color w:val="auto"/>
        </w:rPr>
        <w:t>confidential information, then our ability to obtain patent protection or to protect our trade secret information may be jeopardized, which could adversely affect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8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88"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 $15.0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53"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15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Despite the implementation of security measures, our internal computer systems and those of our collaborators, CROs, and other contractors and consultants are vulnerable to damage from computer viruses, unauthorized access, natural disasters, pandemics, terrorism, war and telecommunication and electrical failures. Information security risks have significantly increased in recent years and during the COVID-19 pandemic in part due to the proliferation of new technologies, the increased sophistication and activities of organized crime, hackers, terrorists and other external parties, including foreign state actors as well as remote working for many businesses. As cyber threats continue to evolve, we may be required to expend significant additional resources to continue to modify or enhance our protective measures or to investigate and remediate any information security breaches.</w:t>
      </w:r>
    </w:p>
    <w:p>
      <w:pPr>
        <w:spacing w:after="0" w:line="14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5" w:name="page46"/>
    <w:bookmarkEnd w:id="45"/>
    <w:p>
      <w:pPr>
        <w:ind w:right="60"/>
        <w:spacing w:after="0" w:line="239" w:lineRule="auto"/>
        <w:rPr>
          <w:sz w:val="20"/>
          <w:szCs w:val="20"/>
          <w:color w:val="auto"/>
        </w:rPr>
      </w:pPr>
      <w:r>
        <w:rPr>
          <w:rFonts w:ascii="Arial" w:cs="Arial" w:eastAsia="Arial" w:hAnsi="Arial"/>
          <w:sz w:val="18"/>
          <w:szCs w:val="18"/>
          <w:color w:val="auto"/>
        </w:rPr>
        <w:t>contractual requirements regarding the privacy and security of personal health information. In the European Union the General Data Protection Regulation, or GDPR, is even more restrictive with respect to all personal information, including information masked by a coding system. In addition to HIPAA and GDPR,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17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6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1" w:lineRule="exact"/>
        <w:rPr>
          <w:sz w:val="20"/>
          <w:szCs w:val="20"/>
          <w:color w:val="auto"/>
        </w:rPr>
      </w:pPr>
    </w:p>
    <w:p>
      <w:pPr>
        <w:ind w:left="1020" w:hanging="503"/>
        <w:spacing w:after="0" w:line="24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9" w:lineRule="exact"/>
        <w:rPr>
          <w:rFonts w:ascii="Arial" w:cs="Arial" w:eastAsia="Arial" w:hAnsi="Arial"/>
          <w:sz w:val="18"/>
          <w:szCs w:val="18"/>
          <w:color w:val="auto"/>
        </w:rPr>
      </w:pPr>
    </w:p>
    <w:p>
      <w:pPr>
        <w:jc w:val="both"/>
        <w:ind w:left="1020" w:right="300" w:hanging="503"/>
        <w:spacing w:after="0" w:line="270"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5" w:lineRule="exact"/>
        <w:rPr>
          <w:rFonts w:ascii="Arial" w:cs="Arial" w:eastAsia="Arial" w:hAnsi="Arial"/>
          <w:sz w:val="17"/>
          <w:szCs w:val="17"/>
          <w:color w:val="auto"/>
        </w:rPr>
      </w:pPr>
    </w:p>
    <w:p>
      <w:pPr>
        <w:ind w:left="1020" w:right="280" w:hanging="503"/>
        <w:spacing w:after="0" w:line="24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9" w:lineRule="exact"/>
        <w:rPr>
          <w:rFonts w:ascii="Arial" w:cs="Arial" w:eastAsia="Arial" w:hAnsi="Arial"/>
          <w:sz w:val="18"/>
          <w:szCs w:val="18"/>
          <w:color w:val="auto"/>
        </w:rPr>
      </w:pPr>
    </w:p>
    <w:p>
      <w:pPr>
        <w:ind w:left="1020" w:right="420" w:hanging="503"/>
        <w:spacing w:after="0" w:line="291"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20" w:right="20" w:hanging="503"/>
        <w:spacing w:after="0" w:line="248"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020" w:right="120" w:hanging="503"/>
        <w:spacing w:after="0" w:line="259"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5" w:lineRule="exact"/>
        <w:rPr>
          <w:rFonts w:ascii="Arial" w:cs="Arial" w:eastAsia="Arial" w:hAnsi="Arial"/>
          <w:sz w:val="17"/>
          <w:szCs w:val="17"/>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17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9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From June 30, 2016 through March 31, 2022, the daily closing price of our common stock on the NASDAQ Global Select Market has ranged from $21.00 to $126.37. The stock market in general and the market for biopharmaceutical companies, and for those developing potential therapies for viral infections and liver diseases in particular, have experienced extreme volatility that has often been unrelated to the operating performance of particular companies, which in some cases has been exacerbated by the COVID-19 pandemic. As a result of this volatility, you may not be able to sell your holdings of our common stock at or above your purchase price, if at all. The market price for our common stock may be influenced by many factors, including:</w:t>
      </w:r>
    </w:p>
    <w:p>
      <w:pPr>
        <w:spacing w:after="0" w:line="54" w:lineRule="exact"/>
        <w:rPr>
          <w:sz w:val="20"/>
          <w:szCs w:val="20"/>
          <w:color w:val="auto"/>
        </w:rPr>
      </w:pPr>
    </w:p>
    <w:p>
      <w:pPr>
        <w:ind w:left="1020" w:right="50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62" w:lineRule="exact"/>
        <w:rPr>
          <w:rFonts w:ascii="Arial" w:cs="Arial" w:eastAsia="Arial" w:hAnsi="Arial"/>
          <w:sz w:val="18"/>
          <w:szCs w:val="18"/>
          <w:color w:val="auto"/>
        </w:rPr>
      </w:pPr>
    </w:p>
    <w:p>
      <w:pPr>
        <w:ind w:left="1020" w:right="92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actions by AbbVie regarding the MAVYRET/MAVIRET regimen, including announcements regarding regulatory or commercial developments;</w:t>
      </w:r>
    </w:p>
    <w:p>
      <w:pPr>
        <w:spacing w:after="0" w:line="62"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MAVYRET/MAVIRET regimen or competitive HCV drugs;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of AbbVie’s MAVYRET/MAVIRET regimen to maintain its sales levels;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0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dependence on third parties, including our collaborators, CROs, manufacturers, clinical trial sponsors and clinical investigators;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9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57"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our current management by making it more difficult for stockholders to replace members of our board of directors. Among other things, these provisions:</w:t>
      </w:r>
    </w:p>
    <w:p>
      <w:pPr>
        <w:spacing w:after="0" w:line="127"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0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8"/>
          <w:szCs w:val="18"/>
          <w:color w:val="auto"/>
        </w:rPr>
      </w:pPr>
    </w:p>
    <w:p>
      <w:pPr>
        <w:ind w:left="1020" w:right="480" w:hanging="503"/>
        <w:spacing w:after="0" w:line="270"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5" w:lineRule="exact"/>
        <w:rPr>
          <w:rFonts w:ascii="Arial" w:cs="Arial" w:eastAsia="Arial" w:hAnsi="Arial"/>
          <w:sz w:val="17"/>
          <w:szCs w:val="17"/>
          <w:color w:val="auto"/>
        </w:rPr>
      </w:pPr>
    </w:p>
    <w:p>
      <w:pPr>
        <w:ind w:left="1020" w:right="48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5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6"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157"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$5.9 million for severance and other non-equity-based benefits in the event of a termination of employment in connection with a change of control of our company. In addition, based on the closing price of our common stock of $71.18 per common share as of March 31, 2022, the aggregate intrinsic value of unvested stock options and other equity awards subject to accelerated vesting upon these events was $26.8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14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157"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3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157"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15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2022, we had 20.6 million shares of common stock outstanding. In addition, as of March 31, 2022,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8" w:name="page49"/>
    <w:bookmarkEnd w:id="48"/>
    <w:p>
      <w:pPr>
        <w:ind w:right="20"/>
        <w:spacing w:after="0" w:line="243" w:lineRule="auto"/>
        <w:rPr>
          <w:sz w:val="20"/>
          <w:szCs w:val="20"/>
          <w:color w:val="auto"/>
        </w:rPr>
      </w:pPr>
      <w:r>
        <w:rPr>
          <w:rFonts w:ascii="Arial" w:cs="Arial" w:eastAsia="Arial" w:hAnsi="Arial"/>
          <w:sz w:val="18"/>
          <w:szCs w:val="18"/>
          <w:color w:val="auto"/>
        </w:rPr>
        <w:t>we had 4.1 million and 0.4 million shares of common stock that are subject to outstanding options and restricted stock unit awards, respectively, under our outstanding equity plans eligible for sale in the public market to the extent permitted by the provisions of various vesting schedules, and Rule 144 under the Securities Act. If these additional shares of common stock are sold, or it is perceived that they will be sold, in the public market, the trading price of our common stock could decline.</w:t>
      </w:r>
    </w:p>
    <w:p>
      <w:pPr>
        <w:spacing w:after="0" w:line="17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8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34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15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9" w:name="page50"/>
    <w:bookmarkEnd w:id="49"/>
    <w:p>
      <w:pPr>
        <w:spacing w:after="0" w:line="23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17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157"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8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5" w:lineRule="exact"/>
        <w:rPr>
          <w:sz w:val="20"/>
          <w:szCs w:val="20"/>
          <w:color w:val="auto"/>
        </w:rPr>
      </w:pPr>
    </w:p>
    <w:p>
      <w:pPr>
        <w:ind w:left="1020" w:right="4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20" w:right="180" w:hanging="503"/>
        <w:spacing w:after="0" w:line="291"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38"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03" w:lineRule="exact"/>
        <w:rPr>
          <w:rFonts w:ascii="Arial" w:cs="Arial" w:eastAsia="Arial" w:hAnsi="Arial"/>
          <w:sz w:val="18"/>
          <w:szCs w:val="18"/>
          <w:color w:val="auto"/>
        </w:rPr>
      </w:pPr>
    </w:p>
    <w:p>
      <w:pPr>
        <w:ind w:left="1020" w:right="80" w:hanging="503"/>
        <w:spacing w:after="0" w:line="24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9" w:lineRule="exact"/>
        <w:rPr>
          <w:rFonts w:ascii="Arial" w:cs="Arial" w:eastAsia="Arial" w:hAnsi="Arial"/>
          <w:sz w:val="18"/>
          <w:szCs w:val="18"/>
          <w:color w:val="auto"/>
        </w:rPr>
      </w:pPr>
    </w:p>
    <w:p>
      <w:pPr>
        <w:ind w:left="1020" w:right="720" w:hanging="503"/>
        <w:spacing w:after="0" w:line="291"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03" w:lineRule="exact"/>
        <w:rPr>
          <w:rFonts w:ascii="Arial" w:cs="Arial" w:eastAsia="Arial" w:hAnsi="Arial"/>
          <w:sz w:val="18"/>
          <w:szCs w:val="18"/>
          <w:color w:val="auto"/>
        </w:rPr>
      </w:pPr>
    </w:p>
    <w:p>
      <w:pPr>
        <w:ind w:left="1020" w:right="60" w:hanging="503"/>
        <w:spacing w:after="0" w:line="291"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patents of others may have an adverse effect on our business, for example by preventing us from marketing one or more of our product</w:t>
      </w:r>
    </w:p>
    <w:p>
      <w:pPr>
        <w:spacing w:after="0" w:line="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candidates for one or more indications.</w:t>
      </w: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9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0" w:name="page51"/>
    <w:bookmarkEnd w:id="50"/>
    <w:p>
      <w:pPr>
        <w:ind w:right="100"/>
        <w:spacing w:after="0" w:line="253" w:lineRule="auto"/>
        <w:rPr>
          <w:sz w:val="20"/>
          <w:szCs w:val="20"/>
          <w:color w:val="auto"/>
        </w:rPr>
      </w:pPr>
      <w:r>
        <w:rPr>
          <w:rFonts w:ascii="Arial" w:cs="Arial" w:eastAsia="Arial" w:hAnsi="Arial"/>
          <w:sz w:val="17"/>
          <w:szCs w:val="17"/>
          <w:color w:val="auto"/>
        </w:rPr>
        <w:t>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15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43"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48"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specified business risks, which will leave us exposed to significant uninsured liabilities.</w:t>
      </w:r>
    </w:p>
    <w:p>
      <w:pPr>
        <w:spacing w:after="0" w:line="20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do not carry insurance for all categories of risk that our business may encounter. Some of the policies we currently maintain include general liability, employment practices liability, property, auto, workers’ compensation, cybersecurity,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or changes in the insurance market generally, may result in us being required to pay substantially higher premiums for our directors’ and officers’ liability insurance than those to which we were previously subject and may even cause one or more of our underwriters to be unwilling to insure us.</w:t>
      </w:r>
    </w:p>
    <w:p>
      <w:pPr>
        <w:spacing w:after="0" w:line="163"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68"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failure to maintain effective internal control as a result of shutdowns during the global COVID-19 pandemic could result in deficiencies in internal control.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5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Our information technology systems, or those used by our CROs or other contractors or consultants, may fail or suffer other breakdowns, cyber-attacks, or information security breaches, which could adversely affect our business.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1" w:name="page52"/>
    <w:bookmarkEnd w:id="51"/>
    <w:p>
      <w:pPr>
        <w:spacing w:after="0" w:line="254" w:lineRule="auto"/>
        <w:rPr>
          <w:sz w:val="20"/>
          <w:szCs w:val="20"/>
          <w:color w:val="auto"/>
        </w:rPr>
      </w:pPr>
      <w:r>
        <w:rPr>
          <w:rFonts w:ascii="Arial" w:cs="Arial" w:eastAsia="Arial" w:hAnsi="Arial"/>
          <w:sz w:val="16"/>
          <w:szCs w:val="16"/>
          <w:color w:val="auto"/>
        </w:rPr>
        <w:t>We are increasingly dependent upon information technology systems, infrastructure, and data to operate our business. We also rely on third party vendors and their information technology systems. Despite the implementation of security measures, our recovery systems, security protocols, network protection mechanisms, and other security measures and those of our current or future CROs or other contractors and consultants are vulnerable to system failure, interruption, compromise, or damage from data corruption, breakdown, computer hacking, malicious code (such as computer viruses or worms), fraudulent activity, employee misconduct, theft, or error, denial-of-service attacks, telecommunication, and electrical failures, natural disasters, public health epidemics, such as the COVID-19 pandemic, cyber-attacks by sophisticated nation-state and nation-state supported actors, or other system attacks, disruption, or accidents. We receive, generate and store significant and increasing volumes of personal health data and other confidential and proprietary information. There can be no assurance that we, or our collaborators, CROs, third-party vendors, contractors and consultants, will be successful in efforts to detect, prevent, protect against or fully recover systems or data from all breakdowns, service interruptions, attacks or breaches.</w:t>
      </w:r>
    </w:p>
    <w:p>
      <w:pPr>
        <w:spacing w:after="0" w:line="138"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Remediation of any potential security breach may involve significant time, resources, and expenses. Despite our best efforts, our network security and data recovery measures and those of our vendors may still not be adequate to protect against such security breaches and disruptions, which could cause harm to our business, financial condition and results of operations.</w:t>
      </w:r>
    </w:p>
    <w:p>
      <w:pPr>
        <w:spacing w:after="0" w:line="134"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Any cybersecurity incident could adversely affect our business, by leading to, for example, the loss of confidential information or other intellectual property, demands for ransom or other forms of blackmail or the unauthorized disclosure of personal, confidential or proprietary information of our employees, clinical trial participants, customers and others. We could be subject to regulatory actions taken by governmental authorities, litigation under laws that protect the privacy and security of personal information, or other forms of legal proceedings, which could result in significant investigations, liabilities or penalties.</w:t>
      </w:r>
    </w:p>
    <w:p>
      <w:pPr>
        <w:spacing w:after="0" w:line="15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may not have adequate insurance coverage for security incidents or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could give rise to liability or reputational harm.</w:t>
      </w:r>
    </w:p>
    <w:p>
      <w:pPr>
        <w:spacing w:after="0" w:line="18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and our employees use social media to communicate externally. There is risk that the use of social media by us or our employees to communicate about our product candidates or business may give rise to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00" w:type="dxa"/>
            <w:vAlign w:val="bottom"/>
          </w:tcPr>
          <w:p>
            <w:pPr>
              <w:ind w:left="220"/>
              <w:spacing w:after="0" w:line="133"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780" w:type="dxa"/>
            <w:vAlign w:val="bottom"/>
            <w:gridSpan w:val="15"/>
            <w:vMerge w:val="restart"/>
          </w:tcPr>
          <w:p>
            <w:pPr>
              <w:ind w:left="16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1"/>
                <w:szCs w:val="11"/>
                <w:color w:val="auto"/>
              </w:rPr>
            </w:pPr>
          </w:p>
        </w:tc>
        <w:tc>
          <w:tcPr>
            <w:tcW w:w="9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1"/>
                <w:szCs w:val="11"/>
                <w:color w:val="auto"/>
              </w:rPr>
            </w:pP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10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5"/>
        </w:trPr>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gridSpan w:val="15"/>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04"/>
        </w:trPr>
        <w:tc>
          <w:tcPr>
            <w:tcW w:w="90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7"/>
          </w:tcPr>
          <w:p>
            <w:pPr>
              <w:spacing w:after="0"/>
              <w:rPr>
                <w:rFonts w:ascii="Arial" w:cs="Arial" w:eastAsia="Arial" w:hAnsi="Arial"/>
                <w:sz w:val="18"/>
                <w:szCs w:val="18"/>
                <w:color w:val="auto"/>
                <w:w w:val="96"/>
              </w:rPr>
            </w:pPr>
            <w:hyperlink r:id="rId268">
              <w:r>
                <w:rPr>
                  <w:rFonts w:ascii="Arial" w:cs="Arial" w:eastAsia="Arial" w:hAnsi="Arial"/>
                  <w:sz w:val="18"/>
                  <w:szCs w:val="18"/>
                  <w:color w:val="auto"/>
                  <w:w w:val="96"/>
                </w:rPr>
                <w:t>Restated Certificate of Incorporation of Enanta Pharmaceuticals, Inc.</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03/28/2013</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0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top w:val="single" w:sz="8" w:color="0000EE"/>
            </w:tcBorders>
            <w:gridSpan w:val="13"/>
          </w:tcPr>
          <w:p>
            <w:pPr>
              <w:spacing w:after="0"/>
              <w:rPr>
                <w:rFonts w:ascii="Arial" w:cs="Arial" w:eastAsia="Arial" w:hAnsi="Arial"/>
                <w:sz w:val="18"/>
                <w:szCs w:val="18"/>
                <w:color w:val="auto"/>
                <w:w w:val="91"/>
              </w:rPr>
            </w:pPr>
            <w:hyperlink r:id="rId269">
              <w:r>
                <w:rPr>
                  <w:rFonts w:ascii="Arial" w:cs="Arial" w:eastAsia="Arial" w:hAnsi="Arial"/>
                  <w:sz w:val="18"/>
                  <w:szCs w:val="18"/>
                  <w:color w:val="auto"/>
                  <w:w w:val="91"/>
                </w:rPr>
                <w:t>Amended and Restated Bylaws of Enanta Pharmaceuticals, Inc. (as</w:t>
              </w:r>
            </w:hyperlink>
          </w:p>
        </w:tc>
        <w:tc>
          <w:tcPr>
            <w:tcW w:w="320" w:type="dxa"/>
            <w:vAlign w:val="bottom"/>
            <w:gridSpan w:val="4"/>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08/18/2015</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3.2</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Borders>
              <w:bottom w:val="single" w:sz="8" w:color="0000EE"/>
            </w:tcBorders>
            <w:gridSpan w:val="2"/>
          </w:tcPr>
          <w:p>
            <w:pPr>
              <w:spacing w:after="0" w:line="156" w:lineRule="exact"/>
              <w:rPr>
                <w:rFonts w:ascii="Arial" w:cs="Arial" w:eastAsia="Arial" w:hAnsi="Arial"/>
                <w:sz w:val="18"/>
                <w:szCs w:val="18"/>
                <w:color w:val="auto"/>
                <w:highlight w:val="white"/>
                <w:w w:val="88"/>
              </w:rPr>
            </w:pPr>
            <w:hyperlink r:id="rId269">
              <w:r>
                <w:rPr>
                  <w:rFonts w:ascii="Arial" w:cs="Arial" w:eastAsia="Arial" w:hAnsi="Arial"/>
                  <w:sz w:val="18"/>
                  <w:szCs w:val="18"/>
                  <w:color w:val="auto"/>
                  <w:highlight w:val="white"/>
                  <w:w w:val="88"/>
                </w:rPr>
                <w:t>amended and restated in August 2015)</w:t>
              </w:r>
            </w:hyperlink>
          </w:p>
        </w:tc>
        <w:tc>
          <w:tcPr>
            <w:tcW w:w="20" w:type="dxa"/>
            <w:vAlign w:val="bottom"/>
            <w:tcBorders>
              <w:top w:val="single" w:sz="8" w:color="0000EE"/>
              <w:bottom w:val="single" w:sz="8" w:color="0000EE"/>
            </w:tcBorders>
          </w:tcPr>
          <w:p>
            <w:pPr>
              <w:spacing w:after="0"/>
              <w:rPr>
                <w:sz w:val="13"/>
                <w:szCs w:val="13"/>
                <w:color w:val="auto"/>
              </w:rPr>
            </w:pPr>
          </w:p>
        </w:tc>
        <w:tc>
          <w:tcPr>
            <w:tcW w:w="6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8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7"/>
          </w:tcPr>
          <w:p>
            <w:pPr>
              <w:spacing w:after="0"/>
              <w:rPr>
                <w:rFonts w:ascii="Arial" w:cs="Arial" w:eastAsia="Arial" w:hAnsi="Arial"/>
                <w:sz w:val="18"/>
                <w:szCs w:val="18"/>
                <w:color w:val="0000FF"/>
                <w:w w:val="99"/>
              </w:rPr>
            </w:pPr>
            <w:hyperlink w:anchor="page55">
              <w:r>
                <w:rPr>
                  <w:rFonts w:ascii="Arial" w:cs="Arial" w:eastAsia="Arial" w:hAnsi="Arial"/>
                  <w:sz w:val="18"/>
                  <w:szCs w:val="18"/>
                  <w:color w:val="0000FF"/>
                  <w:w w:val="99"/>
                </w:rPr>
                <w:t>Form of Consulting Agreement (Amended and Restated), Nathalie</w:t>
              </w:r>
            </w:hyperlink>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80" w:type="dxa"/>
            <w:vAlign w:val="bottom"/>
            <w:gridSpan w:val="17"/>
            <w:vMerge w:val="restart"/>
          </w:tcPr>
          <w:p>
            <w:pPr>
              <w:spacing w:after="0" w:line="156" w:lineRule="exact"/>
              <w:rPr>
                <w:rFonts w:ascii="Arial" w:cs="Arial" w:eastAsia="Arial" w:hAnsi="Arial"/>
                <w:sz w:val="18"/>
                <w:szCs w:val="18"/>
                <w:color w:val="0000FF"/>
                <w:highlight w:val="white"/>
              </w:rPr>
            </w:pPr>
            <w:hyperlink w:anchor="page55">
              <w:r>
                <w:rPr>
                  <w:rFonts w:ascii="Arial" w:cs="Arial" w:eastAsia="Arial" w:hAnsi="Arial"/>
                  <w:sz w:val="18"/>
                  <w:szCs w:val="18"/>
                  <w:color w:val="0000FF"/>
                  <w:highlight w:val="white"/>
                </w:rPr>
                <w:t>Adda</w:t>
              </w:r>
            </w:hyperlink>
          </w:p>
        </w:tc>
        <w:tc>
          <w:tcPr>
            <w:tcW w:w="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80" w:type="dxa"/>
            <w:vAlign w:val="bottom"/>
            <w:gridSpan w:val="17"/>
            <w:vMerge w:val="continue"/>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0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Borders>
              <w:bottom w:val="single" w:sz="8" w:color="0000FF"/>
            </w:tcBorders>
            <w:gridSpan w:val="8"/>
          </w:tcPr>
          <w:p>
            <w:pPr>
              <w:spacing w:after="0"/>
              <w:rPr>
                <w:rFonts w:ascii="Arial" w:cs="Arial" w:eastAsia="Arial" w:hAnsi="Arial"/>
                <w:sz w:val="18"/>
                <w:szCs w:val="18"/>
                <w:color w:val="0000FF"/>
                <w:w w:val="90"/>
              </w:rPr>
            </w:pPr>
            <w:hyperlink r:id="rId270">
              <w:r>
                <w:rPr>
                  <w:rFonts w:ascii="Arial" w:cs="Arial" w:eastAsia="Arial" w:hAnsi="Arial"/>
                  <w:sz w:val="18"/>
                  <w:szCs w:val="18"/>
                  <w:color w:val="0000FF"/>
                  <w:w w:val="90"/>
                </w:rPr>
                <w:t>2019 Equity Incentive Plan (as amended through March 3, 2022)</w:t>
              </w:r>
            </w:hyperlink>
          </w:p>
        </w:tc>
        <w:tc>
          <w:tcPr>
            <w:tcW w:w="20" w:type="dxa"/>
            <w:vAlign w:val="bottom"/>
            <w:tcBorders>
              <w:bottom w:val="single" w:sz="8" w:color="0000EE"/>
            </w:tcBorders>
          </w:tcPr>
          <w:p>
            <w:pPr>
              <w:spacing w:after="0"/>
              <w:rPr>
                <w:sz w:val="24"/>
                <w:szCs w:val="24"/>
                <w:color w:val="auto"/>
              </w:rPr>
            </w:pPr>
          </w:p>
        </w:tc>
        <w:tc>
          <w:tcPr>
            <w:tcW w:w="580" w:type="dxa"/>
            <w:vAlign w:val="bottom"/>
            <w:gridSpan w:val="8"/>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03/08/2022</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7"/>
          </w:tcPr>
          <w:p>
            <w:pPr>
              <w:spacing w:after="0"/>
              <w:rPr>
                <w:rFonts w:ascii="Arial" w:cs="Arial" w:eastAsia="Arial" w:hAnsi="Arial"/>
                <w:sz w:val="18"/>
                <w:szCs w:val="18"/>
                <w:color w:val="auto"/>
                <w:w w:val="95"/>
              </w:rPr>
            </w:pPr>
            <w:hyperlink w:anchor="page63">
              <w:r>
                <w:rPr>
                  <w:rFonts w:ascii="Arial" w:cs="Arial" w:eastAsia="Arial" w:hAnsi="Arial"/>
                  <w:sz w:val="18"/>
                  <w:szCs w:val="18"/>
                  <w:color w:val="auto"/>
                  <w:w w:val="95"/>
                </w:rPr>
                <w:t>Certification of the Chief Executive Officer pursuant to Rule 13a-14(a)</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auto"/>
                <w:w w:val="90"/>
              </w:rPr>
            </w:pPr>
            <w:hyperlink w:anchor="page63">
              <w:r>
                <w:rPr>
                  <w:rFonts w:ascii="Arial" w:cs="Arial" w:eastAsia="Arial" w:hAnsi="Arial"/>
                  <w:sz w:val="18"/>
                  <w:szCs w:val="18"/>
                  <w:color w:val="auto"/>
                  <w:w w:val="90"/>
                </w:rPr>
                <w:t>or 15d-14(a) of the Securities Exchange Act of 1934.</w:t>
              </w:r>
            </w:hyperlink>
          </w:p>
        </w:tc>
        <w:tc>
          <w:tcPr>
            <w:tcW w:w="1320" w:type="dxa"/>
            <w:vAlign w:val="bottom"/>
            <w:tcBorders>
              <w:top w:val="single" w:sz="8" w:color="0000EE"/>
            </w:tcBorders>
            <w:gridSpan w:val="9"/>
          </w:tcPr>
          <w:p>
            <w:pPr>
              <w:spacing w:after="0"/>
              <w:rPr>
                <w:sz w:val="13"/>
                <w:szCs w:val="13"/>
                <w:color w:val="auto"/>
              </w:rPr>
            </w:pPr>
          </w:p>
        </w:tc>
        <w:tc>
          <w:tcPr>
            <w:tcW w:w="1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7"/>
          </w:tcPr>
          <w:p>
            <w:pPr>
              <w:spacing w:after="0"/>
              <w:rPr>
                <w:rFonts w:ascii="Arial" w:cs="Arial" w:eastAsia="Arial" w:hAnsi="Arial"/>
                <w:sz w:val="18"/>
                <w:szCs w:val="18"/>
                <w:color w:val="auto"/>
                <w:w w:val="97"/>
              </w:rPr>
            </w:pPr>
            <w:hyperlink w:anchor="page64">
              <w:r>
                <w:rPr>
                  <w:rFonts w:ascii="Arial" w:cs="Arial" w:eastAsia="Arial" w:hAnsi="Arial"/>
                  <w:sz w:val="18"/>
                  <w:szCs w:val="18"/>
                  <w:color w:val="auto"/>
                  <w:w w:val="97"/>
                </w:rPr>
                <w:t>Certification of Chief Financial Officer pursuant to Rule 13a-14(a) or</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EE"/>
            </w:tcBorders>
            <w:gridSpan w:val="14"/>
          </w:tcPr>
          <w:p>
            <w:pPr>
              <w:spacing w:after="0" w:line="156" w:lineRule="exact"/>
              <w:rPr>
                <w:rFonts w:ascii="Arial" w:cs="Arial" w:eastAsia="Arial" w:hAnsi="Arial"/>
                <w:sz w:val="18"/>
                <w:szCs w:val="18"/>
                <w:color w:val="auto"/>
              </w:rPr>
            </w:pPr>
            <w:hyperlink w:anchor="page64">
              <w:r>
                <w:rPr>
                  <w:rFonts w:ascii="Arial" w:cs="Arial" w:eastAsia="Arial" w:hAnsi="Arial"/>
                  <w:sz w:val="18"/>
                  <w:szCs w:val="18"/>
                  <w:color w:val="auto"/>
                </w:rPr>
                <w:t>15d-14(a) of the Securities Exchange Act of 1934.</w:t>
              </w:r>
            </w:hyperlink>
          </w:p>
        </w:tc>
        <w:tc>
          <w:tcPr>
            <w:tcW w:w="24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7"/>
          </w:tcPr>
          <w:p>
            <w:pPr>
              <w:spacing w:after="0"/>
              <w:rPr>
                <w:rFonts w:ascii="Arial" w:cs="Arial" w:eastAsia="Arial" w:hAnsi="Arial"/>
                <w:sz w:val="18"/>
                <w:szCs w:val="18"/>
                <w:color w:val="auto"/>
              </w:rPr>
            </w:pPr>
            <w:hyperlink w:anchor="page65">
              <w:r>
                <w:rPr>
                  <w:rFonts w:ascii="Arial" w:cs="Arial" w:eastAsia="Arial" w:hAnsi="Arial"/>
                  <w:sz w:val="18"/>
                  <w:szCs w:val="18"/>
                  <w:color w:val="auto"/>
                </w:rPr>
                <w:t>Certification of the Chief Executive Officer and Chief Financial</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EE"/>
            </w:tcBorders>
            <w:gridSpan w:val="7"/>
          </w:tcPr>
          <w:p>
            <w:pPr>
              <w:spacing w:after="0" w:line="156" w:lineRule="exact"/>
              <w:rPr>
                <w:rFonts w:ascii="Arial" w:cs="Arial" w:eastAsia="Arial" w:hAnsi="Arial"/>
                <w:sz w:val="18"/>
                <w:szCs w:val="18"/>
                <w:color w:val="auto"/>
                <w:w w:val="89"/>
              </w:rPr>
            </w:pPr>
            <w:hyperlink w:anchor="page65">
              <w:r>
                <w:rPr>
                  <w:rFonts w:ascii="Arial" w:cs="Arial" w:eastAsia="Arial" w:hAnsi="Arial"/>
                  <w:sz w:val="18"/>
                  <w:szCs w:val="18"/>
                  <w:color w:val="auto"/>
                  <w:w w:val="89"/>
                </w:rPr>
                <w:t>Officer pursuant to 18 U.S.C. Section 1350, as adopted pursuant</w:t>
              </w:r>
            </w:hyperlink>
          </w:p>
        </w:tc>
        <w:tc>
          <w:tcPr>
            <w:tcW w:w="640" w:type="dxa"/>
            <w:vAlign w:val="bottom"/>
            <w:gridSpan w:val="10"/>
          </w:tcPr>
          <w:p>
            <w:pPr>
              <w:ind w:left="20"/>
              <w:spacing w:after="0" w:line="156" w:lineRule="exact"/>
              <w:rPr>
                <w:rFonts w:ascii="Arial" w:cs="Arial" w:eastAsia="Arial" w:hAnsi="Arial"/>
                <w:sz w:val="18"/>
                <w:szCs w:val="18"/>
                <w:color w:val="auto"/>
              </w:rPr>
            </w:pPr>
            <w:hyperlink w:anchor="page65">
              <w:r>
                <w:rPr>
                  <w:rFonts w:ascii="Arial" w:cs="Arial" w:eastAsia="Arial" w:hAnsi="Arial"/>
                  <w:sz w:val="18"/>
                  <w:szCs w:val="18"/>
                  <w:color w:val="auto"/>
                </w:rPr>
                <w:t>to</w:t>
              </w:r>
            </w:hyperlink>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auto"/>
                <w:w w:val="90"/>
              </w:rPr>
            </w:pPr>
            <w:hyperlink w:anchor="page65">
              <w:r>
                <w:rPr>
                  <w:rFonts w:ascii="Arial" w:cs="Arial" w:eastAsia="Arial" w:hAnsi="Arial"/>
                  <w:sz w:val="18"/>
                  <w:szCs w:val="18"/>
                  <w:color w:val="auto"/>
                  <w:w w:val="90"/>
                </w:rPr>
                <w:t>Section 906 of the Sarbanes-Oxley Act of 2002.</w:t>
              </w:r>
            </w:hyperlink>
          </w:p>
        </w:tc>
        <w:tc>
          <w:tcPr>
            <w:tcW w:w="1400" w:type="dxa"/>
            <w:vAlign w:val="bottom"/>
            <w:tcBorders>
              <w:top w:val="single" w:sz="8" w:color="0000EE"/>
            </w:tcBorders>
            <w:gridSpan w:val="7"/>
          </w:tcPr>
          <w:p>
            <w:pPr>
              <w:spacing w:after="0"/>
              <w:rPr>
                <w:sz w:val="13"/>
                <w:szCs w:val="13"/>
                <w:color w:val="auto"/>
              </w:rPr>
            </w:pPr>
          </w:p>
        </w:tc>
        <w:tc>
          <w:tcPr>
            <w:tcW w:w="420" w:type="dxa"/>
            <w:vAlign w:val="bottom"/>
            <w:gridSpan w:val="6"/>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0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7"/>
          </w:tcPr>
          <w:p>
            <w:pPr>
              <w:spacing w:after="0"/>
              <w:rPr>
                <w:sz w:val="20"/>
                <w:szCs w:val="20"/>
                <w:color w:val="auto"/>
              </w:rPr>
            </w:pPr>
            <w:r>
              <w:rPr>
                <w:rFonts w:ascii="Arial" w:cs="Arial" w:eastAsia="Arial" w:hAnsi="Arial"/>
                <w:sz w:val="18"/>
                <w:szCs w:val="18"/>
                <w:color w:val="auto"/>
              </w:rPr>
              <w:t>The following financial statements from the Quarterly Report of</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gridSpan w:val="17"/>
          </w:tcPr>
          <w:p>
            <w:pPr>
              <w:spacing w:after="0" w:line="176" w:lineRule="exact"/>
              <w:rPr>
                <w:sz w:val="20"/>
                <w:szCs w:val="20"/>
                <w:color w:val="auto"/>
              </w:rPr>
            </w:pPr>
            <w:r>
              <w:rPr>
                <w:rFonts w:ascii="Arial" w:cs="Arial" w:eastAsia="Arial" w:hAnsi="Arial"/>
                <w:sz w:val="18"/>
                <w:szCs w:val="18"/>
                <w:color w:val="auto"/>
              </w:rPr>
              <w:t>Enanta Pharmaceuticals, Inc. on Form 10-Q for the quarter ended</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gridSpan w:val="17"/>
          </w:tcPr>
          <w:p>
            <w:pPr>
              <w:spacing w:after="0" w:line="176" w:lineRule="exact"/>
              <w:rPr>
                <w:sz w:val="20"/>
                <w:szCs w:val="20"/>
                <w:color w:val="auto"/>
              </w:rPr>
            </w:pPr>
            <w:r>
              <w:rPr>
                <w:rFonts w:ascii="Arial" w:cs="Arial" w:eastAsia="Arial" w:hAnsi="Arial"/>
                <w:sz w:val="18"/>
                <w:szCs w:val="18"/>
                <w:color w:val="auto"/>
                <w:w w:val="99"/>
              </w:rPr>
              <w:t>March 31, 2022 formatted in Inline XBRL: (i) Consolidated Balance</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gridSpan w:val="17"/>
          </w:tcPr>
          <w:p>
            <w:pPr>
              <w:spacing w:after="0" w:line="176" w:lineRule="exact"/>
              <w:rPr>
                <w:sz w:val="20"/>
                <w:szCs w:val="20"/>
                <w:color w:val="auto"/>
              </w:rPr>
            </w:pPr>
            <w:r>
              <w:rPr>
                <w:rFonts w:ascii="Arial" w:cs="Arial" w:eastAsia="Arial" w:hAnsi="Arial"/>
                <w:sz w:val="18"/>
                <w:szCs w:val="18"/>
                <w:color w:val="auto"/>
                <w:w w:val="95"/>
              </w:rPr>
              <w:t>Sheets, (ii) Consolidated Statements of Operations, (iii) Consolidated</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gridSpan w:val="17"/>
          </w:tcPr>
          <w:p>
            <w:pPr>
              <w:spacing w:after="0" w:line="176" w:lineRule="exact"/>
              <w:rPr>
                <w:sz w:val="20"/>
                <w:szCs w:val="20"/>
                <w:color w:val="auto"/>
              </w:rPr>
            </w:pPr>
            <w:r>
              <w:rPr>
                <w:rFonts w:ascii="Arial" w:cs="Arial" w:eastAsia="Arial" w:hAnsi="Arial"/>
                <w:sz w:val="18"/>
                <w:szCs w:val="18"/>
                <w:color w:val="auto"/>
                <w:w w:val="92"/>
              </w:rPr>
              <w:t>Statements of Comprehensive Income, (iv) Consolidated Statements of</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gridSpan w:val="17"/>
          </w:tcPr>
          <w:p>
            <w:pPr>
              <w:spacing w:after="0" w:line="176" w:lineRule="exact"/>
              <w:rPr>
                <w:sz w:val="20"/>
                <w:szCs w:val="20"/>
                <w:color w:val="auto"/>
              </w:rPr>
            </w:pPr>
            <w:r>
              <w:rPr>
                <w:rFonts w:ascii="Arial" w:cs="Arial" w:eastAsia="Arial" w:hAnsi="Arial"/>
                <w:sz w:val="18"/>
                <w:szCs w:val="18"/>
                <w:color w:val="auto"/>
                <w:w w:val="94"/>
              </w:rPr>
              <w:t>Stockholders’ Equity, (v) Consolidated Statements of Cash Flows, (vi)</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80" w:type="dxa"/>
            <w:vAlign w:val="bottom"/>
            <w:gridSpan w:val="17"/>
          </w:tcPr>
          <w:p>
            <w:pPr>
              <w:spacing w:after="0" w:line="176" w:lineRule="exact"/>
              <w:rPr>
                <w:sz w:val="20"/>
                <w:szCs w:val="20"/>
                <w:color w:val="auto"/>
              </w:rPr>
            </w:pPr>
            <w:r>
              <w:rPr>
                <w:rFonts w:ascii="Arial" w:cs="Arial" w:eastAsia="Arial" w:hAnsi="Arial"/>
                <w:sz w:val="18"/>
                <w:szCs w:val="18"/>
                <w:color w:val="auto"/>
                <w:w w:val="95"/>
              </w:rPr>
              <w:t>and Notes to Consolidated Financial Statements, tagged as blocks of</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17"/>
          </w:tcPr>
          <w:p>
            <w:pPr>
              <w:spacing w:after="0"/>
              <w:rPr>
                <w:sz w:val="20"/>
                <w:szCs w:val="20"/>
                <w:color w:val="auto"/>
              </w:rPr>
            </w:pPr>
            <w:r>
              <w:rPr>
                <w:rFonts w:ascii="Arial" w:cs="Arial" w:eastAsia="Arial" w:hAnsi="Arial"/>
                <w:sz w:val="18"/>
                <w:szCs w:val="18"/>
                <w:color w:val="auto"/>
              </w:rPr>
              <w:t>text and including detailed tags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0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7"/>
          </w:tcPr>
          <w:p>
            <w:pPr>
              <w:spacing w:after="0"/>
              <w:rPr>
                <w:sz w:val="20"/>
                <w:szCs w:val="20"/>
                <w:color w:val="auto"/>
              </w:rPr>
            </w:pPr>
            <w:r>
              <w:rPr>
                <w:rFonts w:ascii="Arial" w:cs="Arial" w:eastAsia="Arial" w:hAnsi="Arial"/>
                <w:sz w:val="18"/>
                <w:szCs w:val="18"/>
                <w:color w:val="212529"/>
              </w:rPr>
              <w:t>Cover Page Interactive Data File (formatted as Inline XBRL and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17"/>
          </w:tcPr>
          <w:p>
            <w:pPr>
              <w:spacing w:after="0"/>
              <w:rPr>
                <w:sz w:val="20"/>
                <w:szCs w:val="20"/>
                <w:color w:val="auto"/>
              </w:rPr>
            </w:pPr>
            <w:r>
              <w:rPr>
                <w:rFonts w:ascii="Arial" w:cs="Arial" w:eastAsia="Arial" w:hAnsi="Arial"/>
                <w:sz w:val="18"/>
                <w:szCs w:val="18"/>
                <w:color w:val="212529"/>
              </w:rPr>
              <w:t>contained in Exhibit 101).</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60" w:firstLine="8"/>
        <w:spacing w:after="0" w:line="192" w:lineRule="auto"/>
        <w:tabs>
          <w:tab w:leader="none" w:pos="126" w:val="left"/>
        </w:tabs>
        <w:numPr>
          <w:ilvl w:val="0"/>
          <w:numId w:val="45"/>
        </w:numPr>
        <w:rPr>
          <w:rFonts w:ascii="Arial" w:cs="Arial" w:eastAsia="Arial" w:hAnsi="Arial"/>
          <w:sz w:val="29"/>
          <w:szCs w:val="29"/>
          <w:color w:val="auto"/>
          <w:vertAlign w:val="superscript"/>
        </w:rPr>
      </w:pPr>
      <w:r>
        <w:rPr>
          <w:rFonts w:ascii="Arial" w:cs="Arial" w:eastAsia="Arial" w:hAnsi="Arial"/>
          <w:sz w:val="18"/>
          <w:szCs w:val="18"/>
          <w:color w:val="auto"/>
        </w:rPr>
        <w:t>Certain portions of this exhibit have been redacted pursuant to Item 601(b)(10(iv) of Regulation s-K. The Company has determined that such omitted information is (i) not material and (ii) would likely cause competitive harm to the Company if publicly disclosed.</w:t>
      </w:r>
    </w:p>
    <w:p>
      <w:pPr>
        <w:spacing w:after="0" w:line="2" w:lineRule="exact"/>
        <w:rPr>
          <w:rFonts w:ascii="Arial" w:cs="Arial" w:eastAsia="Arial" w:hAnsi="Arial"/>
          <w:sz w:val="29"/>
          <w:szCs w:val="29"/>
          <w:color w:val="auto"/>
          <w:vertAlign w:val="superscript"/>
        </w:rPr>
      </w:pPr>
    </w:p>
    <w:p>
      <w:pPr>
        <w:spacing w:after="0"/>
        <w:rPr>
          <w:rFonts w:ascii="Arial" w:cs="Arial" w:eastAsia="Arial" w:hAnsi="Arial"/>
          <w:sz w:val="29"/>
          <w:szCs w:val="29"/>
          <w:color w:val="auto"/>
          <w:vertAlign w:val="superscript"/>
        </w:rPr>
      </w:pPr>
      <w:r>
        <w:rPr>
          <w:rFonts w:ascii="Arial" w:cs="Arial" w:eastAsia="Arial" w:hAnsi="Arial"/>
          <w:sz w:val="18"/>
          <w:szCs w:val="18"/>
          <w:color w:val="auto"/>
        </w:rPr>
        <w:t>* Management contract or compensatory plan, contract or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ENANTA PHARMACEUTICALS, INC.</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ENANTA PHARMACEUTICALS, INC.</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9, 2022</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80"/>
        <w:spacing w:after="0" w:line="232" w:lineRule="auto"/>
        <w:rPr>
          <w:sz w:val="20"/>
          <w:szCs w:val="20"/>
          <w:color w:val="auto"/>
        </w:rPr>
      </w:pPr>
      <w:r>
        <w:rPr>
          <w:rFonts w:ascii="Arial" w:cs="Arial" w:eastAsia="Arial" w:hAnsi="Arial"/>
          <w:sz w:val="18"/>
          <w:szCs w:val="18"/>
          <w:color w:val="auto"/>
        </w:rPr>
        <w:t>Paul J. Mellett</w:t>
      </w:r>
    </w:p>
    <w:p>
      <w:pPr>
        <w:ind w:left="678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and Accounting Officer)</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10.1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CONSULTING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w:t>
      </w:r>
    </w:p>
    <w:p>
      <w:pPr>
        <w:spacing w:after="0" w:line="2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This Consulting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effective as of the 23</w:t>
      </w:r>
      <w:r>
        <w:rPr>
          <w:rFonts w:ascii="Arial" w:cs="Arial" w:eastAsia="Arial" w:hAnsi="Arial"/>
          <w:sz w:val="13"/>
          <w:szCs w:val="13"/>
          <w:color w:val="auto"/>
        </w:rPr>
        <w:t>rd</w:t>
      </w:r>
      <w:r>
        <w:rPr>
          <w:rFonts w:ascii="Arial" w:cs="Arial" w:eastAsia="Arial" w:hAnsi="Arial"/>
          <w:sz w:val="20"/>
          <w:szCs w:val="20"/>
          <w:color w:val="auto"/>
        </w:rPr>
        <w:t xml:space="preserve">  day of February, 2022 (the</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Signature Date</w:t>
      </w:r>
      <w:r>
        <w:rPr>
          <w:rFonts w:ascii="Arial" w:cs="Arial" w:eastAsia="Arial" w:hAnsi="Arial"/>
          <w:sz w:val="19"/>
          <w:szCs w:val="19"/>
          <w:color w:val="auto"/>
        </w:rPr>
        <w:t>”) between Enanta Pharmaceuticals, Inc. (the “</w:t>
      </w:r>
      <w:r>
        <w:rPr>
          <w:rFonts w:ascii="Arial" w:cs="Arial" w:eastAsia="Arial" w:hAnsi="Arial"/>
          <w:sz w:val="19"/>
          <w:szCs w:val="19"/>
          <w:u w:val="single" w:color="auto"/>
          <w:color w:val="auto"/>
        </w:rPr>
        <w:t>Company</w:t>
      </w:r>
      <w:r>
        <w:rPr>
          <w:rFonts w:ascii="Arial" w:cs="Arial" w:eastAsia="Arial" w:hAnsi="Arial"/>
          <w:sz w:val="19"/>
          <w:szCs w:val="19"/>
          <w:color w:val="auto"/>
        </w:rPr>
        <w:t>”), a Delaware corporation, with offices at 500 Arsenal</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Street, Watertown, MA 02472, and Nathalie Adda, M.D, having a principal residence in Cambridge, Massachusetts</w:t>
      </w: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Consultant</w:t>
      </w:r>
      <w:r>
        <w:rPr>
          <w:rFonts w:ascii="Arial" w:cs="Arial" w:eastAsia="Arial" w:hAnsi="Arial"/>
          <w:sz w:val="21"/>
          <w:szCs w:val="21"/>
          <w:color w:val="auto"/>
        </w:rPr>
        <w:t>”) (each,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Parties</w:t>
      </w:r>
      <w:r>
        <w:rPr>
          <w:rFonts w:ascii="Arial" w:cs="Arial" w:eastAsia="Arial" w:hAnsi="Arial"/>
          <w:sz w:val="21"/>
          <w:szCs w:val="21"/>
          <w:color w:val="auto"/>
        </w:rPr>
        <w:t>”) in order to amend and restate in its entirety the Consulting</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Agreement (the “Original Agreement” entered into effective as of July 14, 2021 between the Parties.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ind w:right="40" w:firstLine="432"/>
        <w:spacing w:after="0" w:line="250" w:lineRule="auto"/>
        <w:rPr>
          <w:sz w:val="20"/>
          <w:szCs w:val="20"/>
          <w:color w:val="auto"/>
        </w:rPr>
      </w:pPr>
      <w:r>
        <w:rPr>
          <w:rFonts w:ascii="Arial" w:cs="Arial" w:eastAsia="Arial" w:hAnsi="Arial"/>
          <w:sz w:val="22"/>
          <w:szCs w:val="22"/>
          <w:color w:val="auto"/>
        </w:rPr>
        <w:t>Whereas, Consultant is retiring as the Chief Medical Officer and employee of the Company as of April 30, 2022 (the “</w:t>
      </w:r>
      <w:r>
        <w:rPr>
          <w:rFonts w:ascii="Arial" w:cs="Arial" w:eastAsia="Arial" w:hAnsi="Arial"/>
          <w:sz w:val="22"/>
          <w:szCs w:val="22"/>
          <w:u w:val="single" w:color="auto"/>
          <w:color w:val="auto"/>
        </w:rPr>
        <w:t>Effective Date</w:t>
      </w:r>
      <w:r>
        <w:rPr>
          <w:rFonts w:ascii="Arial" w:cs="Arial" w:eastAsia="Arial" w:hAnsi="Arial"/>
          <w:sz w:val="22"/>
          <w:szCs w:val="22"/>
          <w:color w:val="auto"/>
        </w:rPr>
        <w:t>”), having delayed her retirement by mutual agreement with the Company</w:t>
      </w:r>
      <w:r>
        <w:rPr>
          <w:rFonts w:ascii="Arial" w:cs="Arial" w:eastAsia="Arial" w:hAnsi="Arial"/>
          <w:sz w:val="22"/>
          <w:szCs w:val="22"/>
          <w:b w:val="1"/>
          <w:bCs w:val="1"/>
          <w:color w:val="auto"/>
        </w:rPr>
        <w:t>.</w:t>
      </w:r>
    </w:p>
    <w:p>
      <w:pPr>
        <w:spacing w:after="0" w:line="202"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22"/>
          <w:szCs w:val="22"/>
          <w:color w:val="auto"/>
        </w:rPr>
        <w:t>Whereas, the Company, on behalf of itself and its successors, desires to obtain further services of Consultant on a consulting basis, and Consultant is willing to render such services to the Company, after the Effective Date upon the terms and conditions set forth below, in the field of clinical development of drug candidates to treat viral infections and liver diseases (the “</w:t>
      </w:r>
      <w:r>
        <w:rPr>
          <w:rFonts w:ascii="Arial" w:cs="Arial" w:eastAsia="Arial" w:hAnsi="Arial"/>
          <w:sz w:val="22"/>
          <w:szCs w:val="22"/>
          <w:u w:val="single" w:color="auto"/>
          <w:color w:val="auto"/>
        </w:rPr>
        <w:t>Field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Interest</w:t>
      </w:r>
      <w:r>
        <w:rPr>
          <w:rFonts w:ascii="Arial" w:cs="Arial" w:eastAsia="Arial" w:hAnsi="Arial"/>
          <w:sz w:val="22"/>
          <w:szCs w:val="22"/>
          <w:color w:val="auto"/>
        </w:rPr>
        <w:t>”).</w:t>
      </w:r>
    </w:p>
    <w:p>
      <w:pPr>
        <w:spacing w:after="0" w:line="212" w:lineRule="exact"/>
        <w:rPr>
          <w:sz w:val="20"/>
          <w:szCs w:val="20"/>
          <w:color w:val="auto"/>
        </w:rPr>
      </w:pPr>
    </w:p>
    <w:p>
      <w:pPr>
        <w:jc w:val="both"/>
        <w:ind w:right="20" w:firstLine="432"/>
        <w:spacing w:after="0" w:line="250" w:lineRule="auto"/>
        <w:rPr>
          <w:sz w:val="20"/>
          <w:szCs w:val="20"/>
          <w:color w:val="auto"/>
        </w:rPr>
      </w:pPr>
      <w:r>
        <w:rPr>
          <w:rFonts w:ascii="Arial" w:cs="Arial" w:eastAsia="Arial" w:hAnsi="Arial"/>
          <w:sz w:val="22"/>
          <w:szCs w:val="22"/>
          <w:color w:val="auto"/>
        </w:rPr>
        <w:t>NOW, THEREFORE, in consideration of the mutual promises contained herein, the Company and Consultant hereby agree as follows: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 ENGAGEMENT AND SCOPE OF WORK</w:t>
      </w:r>
    </w:p>
    <w:p>
      <w:pPr>
        <w:spacing w:after="0" w:line="2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Engagement</w:t>
      </w:r>
      <w:r>
        <w:rPr>
          <w:rFonts w:ascii="Arial" w:cs="Arial" w:eastAsia="Arial" w:hAnsi="Arial"/>
          <w:sz w:val="19"/>
          <w:szCs w:val="19"/>
          <w:color w:val="auto"/>
        </w:rPr>
        <w:t>. Subject to the following terms and conditions, the Company hereby engages Consultant to perform such consulting and advisory services in the Field of Interest as the Company may from time to time reasonably request (and any other services outside the Field of Interest with the mutual written agreement of the Parties) for the equivalent of forty percent (40%) of full time per month (no less than seventy hours per month), and Consultant accepts such engagement. Such services are referred to herein as the “</w:t>
      </w:r>
      <w:r>
        <w:rPr>
          <w:rFonts w:ascii="Arial" w:cs="Arial" w:eastAsia="Arial" w:hAnsi="Arial"/>
          <w:sz w:val="19"/>
          <w:szCs w:val="19"/>
          <w:u w:val="single" w:color="auto"/>
          <w:color w:val="auto"/>
        </w:rPr>
        <w:t>Services</w:t>
      </w:r>
      <w:r>
        <w:rPr>
          <w:rFonts w:ascii="Arial" w:cs="Arial" w:eastAsia="Arial" w:hAnsi="Arial"/>
          <w:sz w:val="19"/>
          <w:szCs w:val="19"/>
          <w:color w:val="auto"/>
        </w:rPr>
        <w:t>.” The Services to be performed by Consultant for the Company shall be under the general supervision of the Chief Executive Officer of the Company or any new Chief Medical Officer he may designate and, until such time as the Company has appointed a new Chief Medical Officer, may include Consultant continuing to serve as the Chief Medical Officer for any clinical study for which Consultant served in such capacity before the Effective Date. The Services may be sought by the Company over the telephone, video conference call, in writing or by email, or in person at the Company or in other locations and at times as mutually agreed upon. Consultant shall devote Consultant’s reasonable, professional efforts and ability to the performance of the Services.</w:t>
      </w:r>
    </w:p>
    <w:p>
      <w:pPr>
        <w:spacing w:after="0" w:line="200" w:lineRule="exact"/>
        <w:rPr>
          <w:sz w:val="20"/>
          <w:szCs w:val="20"/>
          <w:color w:val="auto"/>
        </w:rPr>
      </w:pPr>
    </w:p>
    <w:p>
      <w:pPr>
        <w:spacing w:after="0" w:line="211"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5" w:name="page56"/>
    <w:bookmarkEnd w:id="55"/>
    <w:p>
      <w:pPr>
        <w:jc w:val="both"/>
        <w:ind w:firstLine="432"/>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Nature of Relationship</w:t>
      </w:r>
      <w:r>
        <w:rPr>
          <w:rFonts w:ascii="Arial" w:cs="Arial" w:eastAsia="Arial" w:hAnsi="Arial"/>
          <w:sz w:val="22"/>
          <w:szCs w:val="22"/>
          <w:color w:val="auto"/>
        </w:rPr>
        <w:t>. The Parties acknowledge and agree that, subject to Section 4.1 and the other remaining provisions of this Agreement, Consultant is entering into a consulting relationship with the Company that is exclusive in the Field of Interest.</w:t>
      </w: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2. COMPENSATION AND EXPENSES</w:t>
      </w:r>
    </w:p>
    <w:p>
      <w:pPr>
        <w:spacing w:after="0" w:line="233"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Cash Compensation</w:t>
      </w:r>
      <w:r>
        <w:rPr>
          <w:rFonts w:ascii="Arial" w:cs="Arial" w:eastAsia="Arial" w:hAnsi="Arial"/>
          <w:sz w:val="19"/>
          <w:szCs w:val="19"/>
          <w:color w:val="auto"/>
        </w:rPr>
        <w:t>. For all Services provided under this Agreement, the Company will pay Consultant at the rate of thirty-one thousand five hundred dollars ($31,500) per month (the “Base Rate”), which will be prorated to the extent less than the equivalent of 70 hours of Services have been rendered during the month. Consultant will work with the Company's CEO to establish a mutually acceptable work schedule. Consultant will invoice the Company by the fifth day of each month for Services rendered in the preceding month, providing reasonable detail as to the Services performed and the date and the time associated therewith, and the Company shall pay on the fifteenth of the month the Base Rate after making adjustments, if any, for the amounts due for the Services invoiced for the prior month. Accordingly, on June 15, 2022 the Company payment shall be the Base Rate for an appropriately invoiced amount for Services performed in the May portion of the Term, and subsequent monthly payments of the Base Rate will be adjusted to account for any variation in the invoice for the prior month’s Services from the 70 hours per month. In no event shall the total of payments for Services provided hereunder exceed the total of the monthly Consulting Rate for the months during the Term unless otherwise mutually agreed by the Parties to increase the number of hours. All invoices shall be sent to the attention of the Company's Accounting Supervisor at kcapps@enanta.com.</w:t>
      </w:r>
    </w:p>
    <w:p>
      <w:pPr>
        <w:spacing w:after="0" w:line="188"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21"/>
          <w:szCs w:val="21"/>
          <w:color w:val="auto"/>
        </w:rPr>
        <w:t>In addition, Consultant will receive, in compensation for her continued services as an executive officer of the Company from March 1, 2022 to the Effective Date, a bonus equal to one third of (a) the portion of her variable compensation (70%) payable based on the corporate performance of the Company as determined by the Compensation Committee of the Board of Directors of the Company for all its other executive officers and (b) the target amount of the remaining portion of her variable compensation (30%), all of which shall be payable at the same time as payments of 2022 variable compensation are paid to the Company’s other executive officers in December 2022.</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Equity Compensation and Benefits</w:t>
      </w:r>
      <w:r>
        <w:rPr>
          <w:rFonts w:ascii="Arial" w:cs="Arial" w:eastAsia="Arial" w:hAnsi="Arial"/>
          <w:sz w:val="22"/>
          <w:szCs w:val="22"/>
          <w:color w:val="auto"/>
        </w:rPr>
        <w:t>.</w:t>
      </w:r>
    </w:p>
    <w:p>
      <w:pPr>
        <w:spacing w:after="0" w:line="233" w:lineRule="exact"/>
        <w:rPr>
          <w:sz w:val="20"/>
          <w:szCs w:val="20"/>
          <w:color w:val="auto"/>
        </w:rPr>
      </w:pPr>
    </w:p>
    <w:p>
      <w:pPr>
        <w:jc w:val="both"/>
        <w:ind w:left="1140" w:hanging="383"/>
        <w:spacing w:after="0" w:line="275" w:lineRule="auto"/>
        <w:tabs>
          <w:tab w:leader="none" w:pos="114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Nonstatutory stock options and restricted stock units</w:t>
      </w:r>
      <w:r>
        <w:rPr>
          <w:rFonts w:ascii="Arial" w:cs="Arial" w:eastAsia="Arial" w:hAnsi="Arial"/>
          <w:sz w:val="19"/>
          <w:szCs w:val="19"/>
          <w:color w:val="auto"/>
        </w:rPr>
        <w:t>. Consultant’s existing Company nonstatutory stock options (a/k/a “nonqualified stock options”) and her unvested Enanta restricted stock units shall continue to vest during the Term of her consultancy under this Agreement and shall continue to be exercisable in accordance with their terms and conditions, with the date of termination of her consultancy being the date that triggers the three-month period of continued option exercisability. Consultant acknowledges that she will remain subject to the Company’s trading black-out policy during her consultancy and, therefore, if she is not prepared to exercise her options without selling any shares, she should consider executing a new Rule 10b5-1 plan to enable exercises of her stock options and sales of the shares acquired during her consultancy or after the Term.</w:t>
      </w:r>
    </w:p>
    <w:p>
      <w:pPr>
        <w:spacing w:after="0" w:line="164"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6" w:name="page57"/>
    <w:bookmarkEnd w:id="56"/>
    <w:p>
      <w:pPr>
        <w:jc w:val="both"/>
        <w:ind w:left="1140" w:hanging="383"/>
        <w:spacing w:after="0" w:line="279" w:lineRule="auto"/>
        <w:tabs>
          <w:tab w:leader="none" w:pos="114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New Equity Awards</w:t>
      </w:r>
      <w:r>
        <w:rPr>
          <w:rFonts w:ascii="Arial" w:cs="Arial" w:eastAsia="Arial" w:hAnsi="Arial"/>
          <w:sz w:val="19"/>
          <w:szCs w:val="19"/>
          <w:color w:val="auto"/>
        </w:rPr>
        <w:t>. During her continued employment Consultant will be eligible to receive prorated annual equity awards at the end of 2021 (e.g., one-eighth in the case of awards with four-year vesting and a six-month prorated amount (1/4 x 1/2)) of each annual equity award that she would otherwise be eligible to receive, and that such prorated awards shall each vest (i) in the case of stock options, in equal amounts over the six months following the date of the award and (ii), in the case of any award normally subject to annual vesting, on the same day of the month in May 2022 as the day of the month that the award is granted in 2021.</w:t>
      </w:r>
    </w:p>
    <w:p>
      <w:pPr>
        <w:spacing w:after="0" w:line="177" w:lineRule="exact"/>
        <w:rPr>
          <w:rFonts w:ascii="Arial" w:cs="Arial" w:eastAsia="Arial" w:hAnsi="Arial"/>
          <w:sz w:val="19"/>
          <w:szCs w:val="19"/>
          <w:color w:val="auto"/>
        </w:rPr>
      </w:pPr>
    </w:p>
    <w:p>
      <w:pPr>
        <w:ind w:left="1140" w:right="80" w:hanging="383"/>
        <w:spacing w:after="0" w:line="235" w:lineRule="auto"/>
        <w:tabs>
          <w:tab w:leader="none" w:pos="114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Termination of other equity awards</w:t>
      </w:r>
      <w:r>
        <w:rPr>
          <w:rFonts w:ascii="Arial" w:cs="Arial" w:eastAsia="Arial" w:hAnsi="Arial"/>
          <w:sz w:val="22"/>
          <w:szCs w:val="22"/>
          <w:color w:val="auto"/>
        </w:rPr>
        <w:t>. Consultant acknowledges that, as a result of her retirement and termination of her employment on the Effective Date, (i) she will only have three months from the Effective Date to exercise her vested shares under her existing Company incentive stock options; (ii) her unvested 2021-2022 Enanta PSUs and rTSRUs will terminate on the Effective Date without any shares vesting thereunder; and (iii) she will not be eligible for any new annual awards of PSUs, rTSRUs or comparable performance awards granted to other executive officers of the Company.</w:t>
      </w:r>
    </w:p>
    <w:p>
      <w:pPr>
        <w:spacing w:after="0" w:line="214" w:lineRule="exact"/>
        <w:rPr>
          <w:rFonts w:ascii="Arial" w:cs="Arial" w:eastAsia="Arial" w:hAnsi="Arial"/>
          <w:sz w:val="22"/>
          <w:szCs w:val="22"/>
          <w:color w:val="auto"/>
        </w:rPr>
      </w:pPr>
    </w:p>
    <w:p>
      <w:pPr>
        <w:jc w:val="both"/>
        <w:ind w:left="1140" w:hanging="383"/>
        <w:spacing w:after="0"/>
        <w:tabs>
          <w:tab w:leader="none" w:pos="114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Termination of other benefits</w:t>
      </w:r>
      <w:r>
        <w:rPr>
          <w:rFonts w:ascii="Arial" w:cs="Arial" w:eastAsia="Arial" w:hAnsi="Arial"/>
          <w:sz w:val="22"/>
          <w:szCs w:val="22"/>
          <w:color w:val="auto"/>
        </w:rPr>
        <w:t>. Consultant acknowledges that her other fringe benefits provided to her as an employee will terminate on the Effective Date, and that the Company will be providing her additional information regarding the termination of those benefits.</w:t>
      </w:r>
    </w:p>
    <w:p>
      <w:pPr>
        <w:spacing w:after="0" w:line="213"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Expenses</w:t>
      </w:r>
      <w:r>
        <w:rPr>
          <w:rFonts w:ascii="Arial" w:cs="Arial" w:eastAsia="Arial" w:hAnsi="Arial"/>
          <w:sz w:val="19"/>
          <w:szCs w:val="19"/>
          <w:color w:val="auto"/>
        </w:rPr>
        <w:t>. The Company shall also reimburse Consultant for all reasonable and necessary expenses incurred or paid by Consultant, after having obtained the prior written approval of an officer of the Company, in connection with, or related to, the performance of the Services hereunder and after having provided the Company an itemization and documentation of such expenses. If travel is required, the parties agree that airline travel will be in coach class.</w:t>
      </w:r>
    </w:p>
    <w:p>
      <w:pPr>
        <w:spacing w:after="0" w:line="17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Indemnification Agreement</w:t>
      </w:r>
      <w:r>
        <w:rPr>
          <w:rFonts w:ascii="Arial" w:cs="Arial" w:eastAsia="Arial" w:hAnsi="Arial"/>
          <w:sz w:val="19"/>
          <w:szCs w:val="19"/>
          <w:color w:val="auto"/>
        </w:rPr>
        <w:t>. Consultant’s service to the Company under this Agreement shall be deemed for all purposes to be performed by Consultant while acting pursuant to her “Corporate Status” under the Indemnification Agreement dated as of June 29, 2015 between the Company and Consultant, thereby resulting in such service entitling Consultant to all the rights to indemnification provided thereunder as though she were still an officer of the Company during the Term.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3. THIRD PARTY RESTRICTIONS AND POLICIES</w:t>
      </w:r>
    </w:p>
    <w:p>
      <w:pPr>
        <w:spacing w:after="0" w:line="233"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Absence of Restrictions</w:t>
      </w:r>
      <w:r>
        <w:rPr>
          <w:rFonts w:ascii="Arial" w:cs="Arial" w:eastAsia="Arial" w:hAnsi="Arial"/>
          <w:sz w:val="21"/>
          <w:szCs w:val="21"/>
          <w:color w:val="auto"/>
        </w:rPr>
        <w:t>. Consultant represents and warrants that Consultant is presently under no contractual or other restrictions or obligation which is inconsistent with Consultant’s execution of this Agreement or the performance of the Services hereunder, and during the term of this Agreement, Consultant agrees not to enter into any agreement, either written or oral, that conflicts with Consultant’s obligations under this Agreement. Consultant represents and warrants that Consultant’s performance of all the terms of this Agreement does not and will not breach any</w:t>
      </w:r>
    </w:p>
    <w:p>
      <w:pPr>
        <w:spacing w:after="0" w:line="4"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57" w:name="page58"/>
    <w:bookmarkEnd w:id="57"/>
    <w:p>
      <w:pPr>
        <w:jc w:val="both"/>
        <w:spacing w:after="0" w:line="250" w:lineRule="auto"/>
        <w:rPr>
          <w:sz w:val="20"/>
          <w:szCs w:val="20"/>
          <w:color w:val="auto"/>
        </w:rPr>
      </w:pPr>
      <w:r>
        <w:rPr>
          <w:rFonts w:ascii="Arial" w:cs="Arial" w:eastAsia="Arial" w:hAnsi="Arial"/>
          <w:sz w:val="22"/>
          <w:szCs w:val="22"/>
          <w:color w:val="auto"/>
        </w:rPr>
        <w:t>agreement or obligation to keep in confidence proprietary information acquired by Consultant from a third party in confidence or in trust.</w:t>
      </w:r>
    </w:p>
    <w:p>
      <w:pPr>
        <w:spacing w:after="0" w:line="202"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ARTICLE 4. CONFIDENTIALITY, INVENTIONS,</w:t>
      </w:r>
    </w:p>
    <w:p>
      <w:pPr>
        <w:spacing w:after="0" w:line="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NON-COMPETITION AND NON-SOLICITATION</w:t>
      </w:r>
    </w:p>
    <w:p>
      <w:pPr>
        <w:spacing w:after="0" w:line="215"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Existing Employee Confidentiality, Inventions, Non-Competition and Non-Solicitation Agreement.</w:t>
      </w:r>
      <w:r>
        <w:rPr>
          <w:rFonts w:ascii="Arial" w:cs="Arial" w:eastAsia="Arial" w:hAnsi="Arial"/>
          <w:sz w:val="22"/>
          <w:szCs w:val="22"/>
          <w:color w:val="auto"/>
        </w:rPr>
        <w:t xml:space="preserve"> Consultant agrees to continue to be bound by the terms of her existing Employee Confidentiality, Inventions, Non-Competition and Non-Solicitation Agreement (the “Confidentiality Agreement”) during the term of the consultancy under this Agreement, and thereafter, in accordance with its terms; provided, however, that with respect to any provision that applies for a specific term after termination of Consultant’s employment by the Company such term shall commence as of the Effective Date and not as the end of the Term.</w:t>
      </w:r>
    </w:p>
    <w:p>
      <w:pPr>
        <w:spacing w:after="0" w:line="215"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Ownership; Consultant Obligations</w:t>
      </w:r>
      <w:r>
        <w:rPr>
          <w:rFonts w:ascii="Arial" w:cs="Arial" w:eastAsia="Arial" w:hAnsi="Arial"/>
          <w:sz w:val="22"/>
          <w:szCs w:val="22"/>
          <w:color w:val="auto"/>
        </w:rPr>
        <w:t>. Consultant understands that the Company continually obtains and develops valuable Confidential Information. Consultant acknowledges that Consultant’s relationship with the Company is one of high trust and confidence and that in the course of Consultant’s engagement with the Company Consultant will have access to and contact with Confidential Information. Consultant acknowledges that the Company is and shall at all times remain the sole owner of the Confidential Information. Accordingly, to confirm the extent of Consultant’s confidentiality obligations and the Company’s rights with respect to all Confidential Information disclosed to or developed by Consultant in the performance of the Services, and without intending to limit Consultant’s obligations, with respect to all Confidential Information Consultant acknowledges and agrees:</w:t>
      </w:r>
    </w:p>
    <w:p>
      <w:pPr>
        <w:spacing w:after="0" w:line="214" w:lineRule="exact"/>
        <w:rPr>
          <w:sz w:val="20"/>
          <w:szCs w:val="20"/>
          <w:color w:val="auto"/>
        </w:rPr>
      </w:pPr>
    </w:p>
    <w:p>
      <w:pPr>
        <w:jc w:val="both"/>
        <w:ind w:firstLine="1505"/>
        <w:spacing w:after="0" w:line="235" w:lineRule="auto"/>
        <w:tabs>
          <w:tab w:leader="none" w:pos="1929"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that all Confidential Information, and all material or medium, including, without limitation, all files, letters, memoranda, reports, data, forms, manuals, sketches, laboratory notebooks, computer records or files, and other records and any other written, photographic, electronic or tangible material or medium, containing the Confidential Information prepared or compiled by Consultant or furnished to or accessible by Consultant in the course of Consultant’s engagement are and shall remain the exclusive property of the Company or the third party providing such Confidential Information to Consultant or the Company;</w:t>
      </w:r>
    </w:p>
    <w:p>
      <w:pPr>
        <w:spacing w:after="0" w:line="322" w:lineRule="exact"/>
        <w:rPr>
          <w:rFonts w:ascii="Arial" w:cs="Arial" w:eastAsia="Arial" w:hAnsi="Arial"/>
          <w:sz w:val="22"/>
          <w:szCs w:val="22"/>
          <w:color w:val="auto"/>
        </w:rPr>
      </w:pPr>
    </w:p>
    <w:p>
      <w:pPr>
        <w:jc w:val="both"/>
        <w:ind w:firstLine="1505"/>
        <w:spacing w:after="0" w:line="297" w:lineRule="auto"/>
        <w:tabs>
          <w:tab w:leader="none" w:pos="1929"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that Consultant shall not, during the term of the engagement and thereafter, publish, disclose or otherwise make available to any third party, any Confidential Information, except (i) to employees of the Company as required in connection with the performance of the Services, or (ii) as otherwise expressly authorized in writing by the Company;</w:t>
      </w:r>
    </w:p>
    <w:p>
      <w:pPr>
        <w:spacing w:after="0" w:line="268" w:lineRule="exact"/>
        <w:rPr>
          <w:rFonts w:ascii="Arial" w:cs="Arial" w:eastAsia="Arial" w:hAnsi="Arial"/>
          <w:sz w:val="19"/>
          <w:szCs w:val="19"/>
          <w:color w:val="auto"/>
        </w:rPr>
      </w:pPr>
    </w:p>
    <w:p>
      <w:pPr>
        <w:jc w:val="both"/>
        <w:ind w:right="20" w:firstLine="1505"/>
        <w:spacing w:after="0" w:line="257" w:lineRule="auto"/>
        <w:tabs>
          <w:tab w:leader="none" w:pos="1929"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that Consultant shall not use such Confidential Information for Consultant’s own benefit, or for the benefit of any other person or business entity, or for any other purpose, except for the performance of the Services to the Company and in accordance with any Company policies with respect to the protection of such Confidential Information;</w:t>
      </w:r>
    </w:p>
    <w:p>
      <w:pPr>
        <w:spacing w:after="0" w:line="304" w:lineRule="exact"/>
        <w:rPr>
          <w:rFonts w:ascii="Arial" w:cs="Arial" w:eastAsia="Arial" w:hAnsi="Arial"/>
          <w:sz w:val="21"/>
          <w:szCs w:val="21"/>
          <w:color w:val="auto"/>
        </w:rPr>
      </w:pPr>
    </w:p>
    <w:p>
      <w:pPr>
        <w:ind w:left="3000" w:hanging="1495"/>
        <w:spacing w:after="0"/>
        <w:tabs>
          <w:tab w:leader="none" w:pos="3000"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that Consultant shall use the Confidential Information in accordance with all applicable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governmental laws, rules, and regulations; and</w:t>
      </w:r>
    </w:p>
    <w:p>
      <w:pPr>
        <w:spacing w:after="0" w:line="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8" w:name="page59"/>
    <w:bookmarkEnd w:id="58"/>
    <w:p>
      <w:pPr>
        <w:jc w:val="both"/>
        <w:ind w:firstLine="1505"/>
        <w:spacing w:after="0" w:line="297" w:lineRule="auto"/>
        <w:tabs>
          <w:tab w:leader="none" w:pos="2995"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that Consultant will exercise all reasonable precautions to protect the integrity and confidentiality of Confidential Information in Consultant’s possession and not to remove any material or medium containing Confidential Information from the Company’s premises except to the extent necessary to perform the Services.</w:t>
      </w:r>
    </w:p>
    <w:p>
      <w:pPr>
        <w:spacing w:after="0" w:line="16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Consultant further acknowledges and agrees that Consultant has an affirmative duty to immediately inform the Company if Consultant becomes aware that there is, or there is contemplated, suggested, or solicited by any person, any unauthorized use or disclosure of the Confidential Information. Upon the termination of the engagement, or at any time upon the Company’s request, Consultant shall return immediately to the Company any and all material or medium containing any Confidential Information, or copies thereof.</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Publications</w:t>
      </w:r>
      <w:r>
        <w:rPr>
          <w:rFonts w:ascii="Arial" w:cs="Arial" w:eastAsia="Arial" w:hAnsi="Arial"/>
          <w:sz w:val="22"/>
          <w:szCs w:val="22"/>
          <w:color w:val="auto"/>
        </w:rPr>
        <w:t>. Consultant agrees that the Services and the results of the Services may not be published or referred to, in whole or in part, by Consultant without the prior expressed written consent of the Company.</w:t>
      </w:r>
    </w:p>
    <w:p>
      <w:pPr>
        <w:spacing w:after="0" w:line="20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Company Announcement</w:t>
      </w:r>
      <w:r>
        <w:rPr>
          <w:rFonts w:ascii="Arial" w:cs="Arial" w:eastAsia="Arial" w:hAnsi="Arial"/>
          <w:sz w:val="22"/>
          <w:szCs w:val="22"/>
          <w:color w:val="auto"/>
        </w:rPr>
        <w:t>. Consultant acknowledges and agrees that within two business days after the Signature Date the Company will issue a press release announcing Consultant’s retirement from Enanta, and any quote therein attributed to Consultant shall be mutually agreed between the Parties.</w:t>
      </w:r>
    </w:p>
    <w:p>
      <w:pPr>
        <w:spacing w:after="0" w:line="213" w:lineRule="exact"/>
        <w:rPr>
          <w:sz w:val="20"/>
          <w:szCs w:val="20"/>
          <w:color w:val="auto"/>
        </w:rPr>
      </w:pPr>
    </w:p>
    <w:p>
      <w:pPr>
        <w:jc w:val="center"/>
        <w:ind w:left="740"/>
        <w:spacing w:after="0"/>
        <w:rPr>
          <w:sz w:val="20"/>
          <w:szCs w:val="20"/>
          <w:color w:val="auto"/>
        </w:rPr>
      </w:pPr>
      <w:r>
        <w:rPr>
          <w:rFonts w:ascii="Arial" w:cs="Arial" w:eastAsia="Arial" w:hAnsi="Arial"/>
          <w:sz w:val="22"/>
          <w:szCs w:val="22"/>
          <w:color w:val="auto"/>
        </w:rPr>
        <w:t>ARTICLE 5. TERM AND TERMINATION</w:t>
      </w:r>
    </w:p>
    <w:p>
      <w:pPr>
        <w:spacing w:after="0" w:line="233" w:lineRule="exact"/>
        <w:rPr>
          <w:sz w:val="20"/>
          <w:szCs w:val="20"/>
          <w:color w:val="auto"/>
        </w:rPr>
      </w:pPr>
    </w:p>
    <w:p>
      <w:pPr>
        <w:jc w:val="both"/>
        <w:ind w:firstLine="432"/>
        <w:spacing w:after="0"/>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Term</w:t>
      </w:r>
      <w:r>
        <w:rPr>
          <w:rFonts w:ascii="Arial" w:cs="Arial" w:eastAsia="Arial" w:hAnsi="Arial"/>
          <w:sz w:val="22"/>
          <w:szCs w:val="22"/>
          <w:color w:val="auto"/>
        </w:rPr>
        <w:t>. The term of the consultancy under this Agreement shall commence on the Effective Date and shall remain in effect until July 31, 2022 (the “Term”), unless extended by mutual written agreement of the Parties, or earlier terminated in accordance with the provisions of this Article 5.</w:t>
      </w:r>
    </w:p>
    <w:p>
      <w:pPr>
        <w:spacing w:after="0" w:line="21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Termination by Either Party</w:t>
      </w:r>
      <w:r>
        <w:rPr>
          <w:rFonts w:ascii="Arial" w:cs="Arial" w:eastAsia="Arial" w:hAnsi="Arial"/>
          <w:sz w:val="19"/>
          <w:szCs w:val="19"/>
          <w:color w:val="auto"/>
        </w:rPr>
        <w:t>. Either Party may terminate this Agreement effective after the Effective Date upon thirty</w:t>
      </w:r>
    </w:p>
    <w:p>
      <w:pPr>
        <w:spacing w:after="0" w:line="8" w:lineRule="exact"/>
        <w:rPr>
          <w:sz w:val="20"/>
          <w:szCs w:val="20"/>
          <w:color w:val="auto"/>
        </w:rPr>
      </w:pPr>
    </w:p>
    <w:p>
      <w:pPr>
        <w:jc w:val="both"/>
        <w:ind w:firstLine="8"/>
        <w:spacing w:after="0" w:line="232" w:lineRule="auto"/>
        <w:tabs>
          <w:tab w:leader="none" w:pos="472" w:val="left"/>
        </w:tabs>
        <w:numPr>
          <w:ilvl w:val="0"/>
          <w:numId w:val="50"/>
        </w:numPr>
        <w:rPr>
          <w:rFonts w:ascii="Arial" w:cs="Arial" w:eastAsia="Arial" w:hAnsi="Arial"/>
          <w:sz w:val="22"/>
          <w:szCs w:val="22"/>
          <w:color w:val="auto"/>
        </w:rPr>
      </w:pPr>
      <w:r>
        <w:rPr>
          <w:rFonts w:ascii="Arial" w:cs="Arial" w:eastAsia="Arial" w:hAnsi="Arial"/>
          <w:sz w:val="22"/>
          <w:szCs w:val="22"/>
          <w:color w:val="auto"/>
        </w:rPr>
        <w:t>days prior written notice, with or without cause. Notwithstanding the foregoing, the Company may terminate this Agreement immediately upon giving written notice of termination to Consultant if Consultant breaches or threatens to breach any provision of Articles 3 or 4 or the Confidentiality Agreement. In addition, the Company may terminate this Agreement effective immediately upon written notice to Consultant (or her legal representative) in the event of death or legal incapacity of Consultant. Any termination for cause hereunder shall be without prejudice to any right or remedy the terminating Party may otherwise have under this Agreement.</w:t>
      </w:r>
    </w:p>
    <w:p>
      <w:pPr>
        <w:spacing w:after="0" w:line="216"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Effect of Expiration or Termination</w:t>
      </w:r>
      <w:r>
        <w:rPr>
          <w:rFonts w:ascii="Arial" w:cs="Arial" w:eastAsia="Arial" w:hAnsi="Arial"/>
          <w:sz w:val="22"/>
          <w:szCs w:val="22"/>
          <w:color w:val="auto"/>
        </w:rPr>
        <w:t>. Upon expiration or termination of this Agreement, neither Consultant nor the Company shall have any further obligations under this Agreement, except for liabilities accrued through the date of termination (including amounts payable to Consultant pursuant to Article 2 through the termination date) and Article 4, and this Section 5.3 shall survive.</w:t>
      </w:r>
    </w:p>
    <w:p>
      <w:pPr>
        <w:ind w:left="2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color w:val="auto"/>
        </w:rPr>
        <w:t>ARTICLE 6. MISCELLANEOUS</w:t>
      </w:r>
    </w:p>
    <w:p>
      <w:pPr>
        <w:spacing w:after="0" w:line="233"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Independent Contractor</w:t>
      </w:r>
      <w:r>
        <w:rPr>
          <w:rFonts w:ascii="Arial" w:cs="Arial" w:eastAsia="Arial" w:hAnsi="Arial"/>
          <w:sz w:val="19"/>
          <w:szCs w:val="19"/>
          <w:color w:val="auto"/>
        </w:rPr>
        <w:t>. During the consultancy contemplated hereby after the Effective Date, Consultant shall be an independent contractor under this Agreement and will not be an employee or agent of the Company, and as a result will not be entitled to participate in, or receive any benefit, coverage, privilege or right as an employee, including without limitation, social security, unemployment, medical, pension, or under any employee benefit or welfare plan of the Company nor have authority to represent or bind the Company in any manner in dealings with third parties. Consultant shall have sole responsibility for payment of all federal, state and local taxes or contributions imposed or required under unemployment insurance, social security and income tax laws and for filing all required tax forms with respect to any amounts paid by the Company to Consultant hereunder. Consultant shall indemnify and hold the Company harmless against any claim or liability (including penalties) resulting from failure of Consultant to pay such taxes or contributions or file any such tax forms.</w:t>
      </w:r>
    </w:p>
    <w:p>
      <w:pPr>
        <w:spacing w:after="0" w:line="18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to be given pursuant to this Agreement shall be in writing and shall be deemed to have been duly given to a Party (a) upon delivery if delivered by hand, (b) one day after dispatch by any reputable overnight commercial courier, delivery confirmation requested or (c) by electronic email, provided that there is electronic confirmation of delivery, to such Party at its address set forth below or at such other address as such Party shall have designated by notice in writing to the other Party. The addresses and other contact information for the Parties are as follows:</w:t>
      </w:r>
    </w:p>
    <w:p>
      <w:pPr>
        <w:sectPr>
          <w:pgSz w:w="11900" w:h="16838" w:orient="portrait"/>
          <w:cols w:equalWidth="0" w:num="1">
            <w:col w:w="11240"/>
          </w:cols>
          <w:pgMar w:left="320" w:top="604" w:right="339" w:bottom="1440" w:gutter="0" w:footer="0" w:header="0"/>
        </w:sectPr>
      </w:pPr>
    </w:p>
    <w:p>
      <w:pPr>
        <w:spacing w:after="0" w:line="174" w:lineRule="exact"/>
        <w:rPr>
          <w:sz w:val="20"/>
          <w:szCs w:val="20"/>
          <w:color w:val="auto"/>
        </w:rPr>
      </w:pPr>
    </w:p>
    <w:p>
      <w:pPr>
        <w:ind w:left="780"/>
        <w:spacing w:after="0"/>
        <w:rPr>
          <w:sz w:val="20"/>
          <w:szCs w:val="20"/>
          <w:color w:val="auto"/>
        </w:rPr>
      </w:pPr>
      <w:r>
        <w:rPr>
          <w:rFonts w:ascii="Arial" w:cs="Arial" w:eastAsia="Arial" w:hAnsi="Arial"/>
          <w:sz w:val="22"/>
          <w:szCs w:val="22"/>
          <w:u w:val="single" w:color="auto"/>
          <w:color w:val="auto"/>
        </w:rPr>
        <w:t>If to Consultant</w:t>
      </w:r>
      <w:r>
        <w:rPr>
          <w:rFonts w:ascii="Arial" w:cs="Arial" w:eastAsia="Arial" w:hAnsi="Arial"/>
          <w:sz w:val="22"/>
          <w:szCs w:val="22"/>
          <w:color w:val="auto"/>
        </w:rPr>
        <w:t>:</w:t>
      </w:r>
    </w:p>
    <w:p>
      <w:pPr>
        <w:spacing w:after="0" w:line="52" w:lineRule="exact"/>
        <w:rPr>
          <w:sz w:val="20"/>
          <w:szCs w:val="20"/>
          <w:color w:val="auto"/>
        </w:rPr>
      </w:pPr>
    </w:p>
    <w:p>
      <w:pPr>
        <w:ind w:left="780"/>
        <w:spacing w:after="0"/>
        <w:rPr>
          <w:sz w:val="20"/>
          <w:szCs w:val="20"/>
          <w:color w:val="auto"/>
        </w:rPr>
      </w:pPr>
      <w:r>
        <w:rPr>
          <w:rFonts w:ascii="Arial" w:cs="Arial" w:eastAsia="Arial" w:hAnsi="Arial"/>
          <w:sz w:val="22"/>
          <w:szCs w:val="22"/>
          <w:color w:val="auto"/>
        </w:rPr>
        <w:t>Nathalie Adda, M.D.</w:t>
      </w:r>
    </w:p>
    <w:p>
      <w:pPr>
        <w:ind w:left="780" w:right="1300"/>
        <w:spacing w:after="0" w:line="278" w:lineRule="auto"/>
        <w:rPr>
          <w:sz w:val="20"/>
          <w:szCs w:val="20"/>
          <w:color w:val="auto"/>
        </w:rPr>
      </w:pPr>
      <w:r>
        <w:rPr>
          <w:rFonts w:ascii="Arial" w:cs="Arial" w:eastAsia="Arial" w:hAnsi="Arial"/>
          <w:sz w:val="19"/>
          <w:szCs w:val="19"/>
          <w:color w:val="auto"/>
        </w:rPr>
        <w:t>[Address on file with the Company] Email: nadda@enanta.com</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If to the Company</w:t>
      </w:r>
      <w:r>
        <w:rPr>
          <w:rFonts w:ascii="Arial" w:cs="Arial" w:eastAsia="Arial" w:hAnsi="Arial"/>
          <w:sz w:val="22"/>
          <w:szCs w:val="22"/>
          <w:color w:val="auto"/>
        </w:rPr>
        <w:t>:</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Enanta Pharmaceuticals, Inc.</w:t>
      </w:r>
    </w:p>
    <w:p>
      <w:pPr>
        <w:spacing w:after="0" w:line="204" w:lineRule="auto"/>
        <w:rPr>
          <w:sz w:val="20"/>
          <w:szCs w:val="20"/>
          <w:color w:val="auto"/>
        </w:rPr>
      </w:pPr>
      <w:r>
        <w:rPr>
          <w:rFonts w:ascii="Arial" w:cs="Arial" w:eastAsia="Arial" w:hAnsi="Arial"/>
          <w:sz w:val="22"/>
          <w:szCs w:val="22"/>
          <w:color w:val="auto"/>
        </w:rPr>
        <w:t>500 Arsenal Street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Watertown, MA 02472</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Attention: Nathaniel S. Gardiner</w:t>
      </w:r>
    </w:p>
    <w:p>
      <w:pPr>
        <w:spacing w:after="0" w:line="237" w:lineRule="auto"/>
        <w:rPr>
          <w:sz w:val="20"/>
          <w:szCs w:val="20"/>
          <w:color w:val="auto"/>
        </w:rPr>
      </w:pPr>
      <w:r>
        <w:rPr>
          <w:rFonts w:ascii="Arial" w:cs="Arial" w:eastAsia="Arial" w:hAnsi="Arial"/>
          <w:sz w:val="19"/>
          <w:szCs w:val="19"/>
          <w:color w:val="auto"/>
        </w:rPr>
        <w:t>Sr. Vice President &amp; General Counsel</w:t>
      </w:r>
    </w:p>
    <w:p>
      <w:pPr>
        <w:spacing w:after="0"/>
        <w:rPr>
          <w:sz w:val="20"/>
          <w:szCs w:val="20"/>
          <w:color w:val="auto"/>
        </w:rPr>
      </w:pPr>
      <w:r>
        <w:rPr>
          <w:rFonts w:ascii="Arial" w:cs="Arial" w:eastAsia="Arial" w:hAnsi="Arial"/>
          <w:sz w:val="22"/>
          <w:szCs w:val="22"/>
          <w:color w:val="auto"/>
        </w:rPr>
        <w:t>Email: ngardiner@enanta.com</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With a copy to: Paul J. Mellett</w:t>
      </w:r>
    </w:p>
    <w:p>
      <w:pPr>
        <w:spacing w:after="0" w:line="204"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pmellett@enanta.com</w:t>
      </w:r>
    </w:p>
    <w:p>
      <w:pPr>
        <w:spacing w:after="0" w:line="200" w:lineRule="exact"/>
        <w:rPr>
          <w:sz w:val="20"/>
          <w:szCs w:val="20"/>
          <w:color w:val="auto"/>
        </w:rPr>
      </w:pPr>
    </w:p>
    <w:p>
      <w:pPr>
        <w:sectPr>
          <w:pgSz w:w="11900" w:h="16838" w:orient="portrait"/>
          <w:cols w:equalWidth="0" w:num="2">
            <w:col w:w="5200" w:space="720"/>
            <w:col w:w="5320"/>
          </w:cols>
          <w:pgMar w:left="320" w:top="604" w:right="339" w:bottom="1440" w:gutter="0" w:footer="0" w:header="0"/>
          <w:type w:val="continuous"/>
        </w:sectPr>
      </w:pPr>
    </w:p>
    <w:p>
      <w:pPr>
        <w:spacing w:after="0" w:line="5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All notices, requests and other communications hereunder shall be deemed to have been given either (i) if by hand, at the time of the delivery thereof to the receiving party, (ii) if sent by private courier, on the day such notice is delivered to the receiving party, or (iii) if sent by electronic email with electronic confirmation of delivery, on the date sent, or if sent after normal business hours of the recipient, on the next business day in the Commonwealth of Massachusetts.</w:t>
      </w:r>
    </w:p>
    <w:p>
      <w:pPr>
        <w:spacing w:after="0" w:line="201" w:lineRule="exact"/>
        <w:rPr>
          <w:sz w:val="20"/>
          <w:szCs w:val="20"/>
          <w:color w:val="auto"/>
        </w:rPr>
      </w:pPr>
    </w:p>
    <w:p>
      <w:pPr>
        <w:jc w:val="both"/>
        <w:ind w:firstLine="432"/>
        <w:spacing w:after="0"/>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one or more of the provisions of this Agreement shall, for any reason, be held to be invalid, illegal or unenforceable in any respect, such invalidity, illegality or unenforceability shall not affect any other term or provision of this Agreement and all other</w:t>
      </w:r>
    </w:p>
    <w:p>
      <w:pPr>
        <w:spacing w:after="0" w:line="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type w:val="continuous"/>
        </w:sectPr>
      </w:pPr>
    </w:p>
    <w:bookmarkStart w:id="60" w:name="page61"/>
    <w:bookmarkEnd w:id="60"/>
    <w:p>
      <w:pPr>
        <w:jc w:val="both"/>
        <w:spacing w:after="0" w:line="250" w:lineRule="auto"/>
        <w:rPr>
          <w:sz w:val="20"/>
          <w:szCs w:val="20"/>
          <w:color w:val="auto"/>
        </w:rPr>
      </w:pPr>
      <w:r>
        <w:rPr>
          <w:rFonts w:ascii="Arial" w:cs="Arial" w:eastAsia="Arial" w:hAnsi="Arial"/>
          <w:sz w:val="22"/>
          <w:szCs w:val="22"/>
          <w:color w:val="auto"/>
        </w:rPr>
        <w:t>provisions shall remain in full force and effect. If any provision in this Agreement shall be held to be excessively broad, it shall be construed by limiting it so as to be enforceable to the extent compatible with applicable law.</w:t>
      </w:r>
    </w:p>
    <w:p>
      <w:pPr>
        <w:spacing w:after="0" w:line="202" w:lineRule="exact"/>
        <w:rPr>
          <w:sz w:val="20"/>
          <w:szCs w:val="20"/>
          <w:color w:val="auto"/>
        </w:rPr>
      </w:pPr>
    </w:p>
    <w:p>
      <w:pPr>
        <w:jc w:val="both"/>
        <w:ind w:right="20" w:firstLine="432"/>
        <w:spacing w:after="0" w:line="328"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Captions</w:t>
      </w:r>
      <w:r>
        <w:rPr>
          <w:rFonts w:ascii="Arial" w:cs="Arial" w:eastAsia="Arial" w:hAnsi="Arial"/>
          <w:sz w:val="19"/>
          <w:szCs w:val="19"/>
          <w:color w:val="auto"/>
        </w:rPr>
        <w:t>. Captions of Articles and Sections of this Agreement have been added only for convenience, shall not be deemed to be a part of this Agreement, and shall not be admissable for the purpose of proving the intent of the Parties.</w:t>
      </w:r>
    </w:p>
    <w:p>
      <w:pPr>
        <w:spacing w:after="0" w:line="13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Complete Agreement; Amendments</w:t>
      </w:r>
      <w:r>
        <w:rPr>
          <w:rFonts w:ascii="Arial" w:cs="Arial" w:eastAsia="Arial" w:hAnsi="Arial"/>
          <w:sz w:val="19"/>
          <w:szCs w:val="19"/>
          <w:color w:val="auto"/>
        </w:rPr>
        <w:t>. This Agreement, including any Schedules hereto, constitutes the entire agreement between the Parties with respect to the subject matter hereof and supersedes all prior agreements with respect to the subject matter of this Agreement, including without limitation Consultant’s Employment Agreement with the Company dated as of June 29, 2015. This Agreement may not be modified or amended except in a writing signed by both Parties.</w:t>
      </w:r>
    </w:p>
    <w:p>
      <w:pPr>
        <w:spacing w:after="0" w:line="170"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Rights of Publicity</w:t>
      </w:r>
      <w:r>
        <w:rPr>
          <w:rFonts w:ascii="Arial" w:cs="Arial" w:eastAsia="Arial" w:hAnsi="Arial"/>
          <w:sz w:val="22"/>
          <w:szCs w:val="22"/>
          <w:color w:val="auto"/>
        </w:rPr>
        <w:t>. The Company shall have the right to use Consultant’s name and likeness in any publicity materials prepared by the Company and in presentations to current or prospective clients, investors and others, provided that such use accurately describes the nature of Consultant’s relationship with, or contribution to, the Company. Consultant shall not have the right to use the Company’s name in any publications or publicity materials prepared by Consultant without obtaining the prior written consent of the Company.</w:t>
      </w:r>
    </w:p>
    <w:p>
      <w:pPr>
        <w:spacing w:after="0" w:line="214"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u w:val="single" w:color="auto"/>
          <w:color w:val="auto"/>
        </w:rPr>
        <w:t>Applicable Law; Consent to Jurisdiction</w:t>
      </w:r>
      <w:r>
        <w:rPr>
          <w:rFonts w:ascii="Arial" w:cs="Arial" w:eastAsia="Arial" w:hAnsi="Arial"/>
          <w:sz w:val="21"/>
          <w:szCs w:val="21"/>
          <w:color w:val="auto"/>
        </w:rPr>
        <w:t>. This Agreement shall be considered to have been made in the United States and shall be interpreted in accordance with the laws of the Commonwealth of Massachusetts, United States of America, without regard to its conflicts of laws principles. Any action, suit or other legal proceeding which either Party may commence to resolve any matter arising under or relating to any provision of this Agreement shall be commenced only in a state or federal court of the Commonwealth of Massachusetts, and the Parties hereby consent to the exclusive jurisdiction of such court with respect to any action, suit or proceeding commenced in such court by the Company.</w:t>
      </w:r>
    </w:p>
    <w:p>
      <w:pPr>
        <w:spacing w:after="0" w:line="204" w:lineRule="exact"/>
        <w:rPr>
          <w:sz w:val="20"/>
          <w:szCs w:val="20"/>
          <w:color w:val="auto"/>
        </w:rPr>
      </w:pPr>
    </w:p>
    <w:p>
      <w:pPr>
        <w:jc w:val="both"/>
        <w:ind w:firstLine="432"/>
        <w:spacing w:after="0"/>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Nonwaiver Provision</w:t>
      </w:r>
      <w:r>
        <w:rPr>
          <w:rFonts w:ascii="Arial" w:cs="Arial" w:eastAsia="Arial" w:hAnsi="Arial"/>
          <w:sz w:val="22"/>
          <w:szCs w:val="22"/>
          <w:color w:val="auto"/>
        </w:rPr>
        <w:t>. The waiver by either Party hereto of any right hereunder or of the failure to perform or of a breach by the other Party shall not be deemed a waiver of any other right hereunder or of any other breach or failure by said other Party whether of a similar nature or otherwise.</w:t>
      </w:r>
    </w:p>
    <w:p>
      <w:pPr>
        <w:spacing w:after="0" w:line="213" w:lineRule="exact"/>
        <w:rPr>
          <w:sz w:val="20"/>
          <w:szCs w:val="20"/>
          <w:color w:val="auto"/>
        </w:rPr>
      </w:pPr>
    </w:p>
    <w:p>
      <w:pPr>
        <w:jc w:val="both"/>
        <w:ind w:right="20" w:firstLine="432"/>
        <w:spacing w:after="0" w:line="238" w:lineRule="auto"/>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u w:val="single" w:color="auto"/>
          <w:color w:val="auto"/>
        </w:rPr>
        <w:t>Assignment</w:t>
      </w:r>
      <w:r>
        <w:rPr>
          <w:rFonts w:ascii="Arial" w:cs="Arial" w:eastAsia="Arial" w:hAnsi="Arial"/>
          <w:sz w:val="22"/>
          <w:szCs w:val="22"/>
          <w:color w:val="auto"/>
        </w:rPr>
        <w:t>. Neither this Agreement nor any rights or obligations hereunder shall be assignable by either Party hereto without the prior written consent of the other Party, except that the Company may assign this Agreement to a subsidiary or affiliate or in connection with the merger, consolidation or sale of all or substantially all of its business or assets to which the Services relate.</w:t>
      </w:r>
    </w:p>
    <w:p>
      <w:pPr>
        <w:spacing w:after="0" w:line="212"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u w:val="single" w:color="auto"/>
          <w:color w:val="auto"/>
        </w:rPr>
        <w:t>Faxed/.pdf Signatures; Counterparts</w:t>
      </w:r>
      <w:r>
        <w:rPr>
          <w:rFonts w:ascii="Arial" w:cs="Arial" w:eastAsia="Arial" w:hAnsi="Arial"/>
          <w:sz w:val="22"/>
          <w:szCs w:val="22"/>
          <w:color w:val="auto"/>
        </w:rPr>
        <w:t>. In the event the Parties execute this Agreement by exchange of faxed or .pdf signed copies, the Parties agree that, upon being signed and delivered by both parties, this Agreement shall become effective and binding and that faxed and/or .pdf signed copies will constitute evidence of the existence of this Agreement. This Agreement may be</w:t>
      </w:r>
    </w:p>
    <w:p>
      <w:pPr>
        <w:ind w:left="25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1" w:name="page62"/>
    <w:bookmarkEnd w:id="61"/>
    <w:p>
      <w:pPr>
        <w:jc w:val="both"/>
        <w:spacing w:after="0" w:line="250" w:lineRule="auto"/>
        <w:rPr>
          <w:sz w:val="20"/>
          <w:szCs w:val="20"/>
          <w:color w:val="auto"/>
        </w:rPr>
      </w:pPr>
      <w:r>
        <w:rPr>
          <w:rFonts w:ascii="Arial" w:cs="Arial" w:eastAsia="Arial" w:hAnsi="Arial"/>
          <w:sz w:val="22"/>
          <w:szCs w:val="22"/>
          <w:color w:val="auto"/>
        </w:rPr>
        <w:t>executed in one or more counterparts, each of which shall be deemed an original and all of which together shall be deemed to be one and the same instrument.</w:t>
      </w:r>
    </w:p>
    <w:p>
      <w:pPr>
        <w:spacing w:after="0" w:line="202"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19"/>
          <w:szCs w:val="19"/>
          <w:u w:val="single" w:color="auto"/>
          <w:color w:val="auto"/>
        </w:rPr>
        <w:t>Legal and Equitable Relief</w:t>
      </w:r>
      <w:r>
        <w:rPr>
          <w:rFonts w:ascii="Arial" w:cs="Arial" w:eastAsia="Arial" w:hAnsi="Arial"/>
          <w:sz w:val="19"/>
          <w:szCs w:val="19"/>
          <w:color w:val="auto"/>
        </w:rPr>
        <w:t>. The Parties acknowledge and agree that the restrictions contained in Articles 3 and 4 of this Agreement and in the Confidentiality Agreement are necessary for the protection of the business and goodwill of the Company and are reasonable for such purpose. Consultant acknowledges and agrees that any breach of any of the aforementioned restrictions and obligations by Consultant is likely to cause substantial and irreparable injury to the Company; such injury is likely to be difficult to measure; and monetary damages, even if ascertainable, are likely to be inadequate compensation for such injury. Therefore, in the event of any breach by Consultant of any such restrictions and obligations, the Company shall be entitled (in addition to monetary damages and to any other remedies available to the Company under this Agreement and at law) to equitable relief, including injunctive relief, and to payment by Consultant of all costs incurred by the Company in enforcing of such provisions, including reasonable attorneys’ fees. Should Consultant violate any obligation imposed on Consultant under this Agreement, Consultant acknowledges and agrees that Consultant shall continue to be bound by the obligation until a period equal to the term of such obligation has expired without violation of such obligation.</w:t>
      </w:r>
    </w:p>
    <w:p>
      <w:pPr>
        <w:spacing w:after="0" w:line="18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 xml:space="preserve">6.12 </w:t>
      </w:r>
      <w:r>
        <w:rPr>
          <w:rFonts w:ascii="Arial" w:cs="Arial" w:eastAsia="Arial" w:hAnsi="Arial"/>
          <w:sz w:val="21"/>
          <w:szCs w:val="21"/>
          <w:u w:val="single" w:color="auto"/>
          <w:color w:val="auto"/>
        </w:rPr>
        <w:t>Acknowledgement</w:t>
      </w:r>
      <w:r>
        <w:rPr>
          <w:rFonts w:ascii="Arial" w:cs="Arial" w:eastAsia="Arial" w:hAnsi="Arial"/>
          <w:sz w:val="21"/>
          <w:szCs w:val="21"/>
          <w:color w:val="auto"/>
        </w:rPr>
        <w:t>. CONSULTANT ACKNOWLEDGES THAT CONSULTANT HAS CAREFULLY READ ALL OF THE PROVISIONS OF THIS AGREEMENT, HAD AN OPPORTUNITY TO CONSULT LEGAL COUNSEL, AND UNDERSTANDS AND AGREES TO EACH OF SUCH PROVISIONS. CONSULTANT REPRESENTS THAT CONSULTANT IS KNOWLEDGEABLE ABOUT THE BUSINESS OF THE COMPANY AND RECOGNIZES AND AGREES THAT THE ENFORCEMENT OF THIS AGREEMENT IS NECESSARY TO ENSURE THE PRESERVATION, PROTECTION AND CONTINUITY OF THE BUSINESS, TRADE SECRETS AND GOODWILL OF THE COMPANY. CONSULTANT AGREES THAT, DUE TO THE PROPRIETARY NATURE OF THE COMPANY’S BUSINESS, THE RESTRICTIONS SET FORTH IN THIS AGREEMENT ARE REASONABLE AS TO TIME AND SCOPE. CONSULTANT EXPRESSLY AGREES THAT THE OBLIGATION OF THE COMPANY TO MAKE PAYMENTS TO OR ON BEHALF OF CONSULTANT UNDER THIS AGREEMENT IS EXPRESSLY CONDITIONED UPON CONSULTANT’S CONTINUED FULL PERFORMANCE OF THE OBLIGATIONS UNDER THE TERMS HEREOF.</w:t>
      </w:r>
    </w:p>
    <w:p>
      <w:pPr>
        <w:spacing w:after="0" w:line="215" w:lineRule="exact"/>
        <w:rPr>
          <w:sz w:val="20"/>
          <w:szCs w:val="20"/>
          <w:color w:val="auto"/>
        </w:rPr>
      </w:pPr>
    </w:p>
    <w:p>
      <w:pPr>
        <w:ind w:right="20" w:firstLine="432"/>
        <w:spacing w:after="0" w:line="250" w:lineRule="auto"/>
        <w:rPr>
          <w:sz w:val="20"/>
          <w:szCs w:val="20"/>
          <w:color w:val="auto"/>
        </w:rPr>
      </w:pPr>
      <w:r>
        <w:rPr>
          <w:rFonts w:ascii="Arial" w:cs="Arial" w:eastAsia="Arial" w:hAnsi="Arial"/>
          <w:sz w:val="22"/>
          <w:szCs w:val="22"/>
          <w:color w:val="auto"/>
        </w:rPr>
        <w:t>IN WITNESS WHEREOF, the Company and Consultant have duly executed and delivered this Agreement as of the date first written above.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920" w:type="dxa"/>
            <w:vAlign w:val="bottom"/>
          </w:tcPr>
          <w:p>
            <w:pPr>
              <w:spacing w:after="0"/>
              <w:rPr>
                <w:sz w:val="20"/>
                <w:szCs w:val="20"/>
                <w:color w:val="auto"/>
              </w:rPr>
            </w:pPr>
            <w:r>
              <w:rPr>
                <w:rFonts w:ascii="Arial" w:cs="Arial" w:eastAsia="Arial" w:hAnsi="Arial"/>
                <w:sz w:val="22"/>
                <w:szCs w:val="22"/>
                <w:color w:val="auto"/>
              </w:rPr>
              <w:t>ENANTA PHARMACEUTICALS, INC.</w:t>
            </w:r>
          </w:p>
        </w:tc>
        <w:tc>
          <w:tcPr>
            <w:tcW w:w="7320" w:type="dxa"/>
            <w:vAlign w:val="bottom"/>
          </w:tcPr>
          <w:p>
            <w:pPr>
              <w:ind w:left="400"/>
              <w:spacing w:after="0"/>
              <w:rPr>
                <w:sz w:val="20"/>
                <w:szCs w:val="20"/>
                <w:color w:val="auto"/>
              </w:rPr>
            </w:pPr>
            <w:r>
              <w:rPr>
                <w:rFonts w:ascii="Arial" w:cs="Arial" w:eastAsia="Arial" w:hAnsi="Arial"/>
                <w:sz w:val="22"/>
                <w:szCs w:val="22"/>
                <w:color w:val="auto"/>
              </w:rPr>
              <w:t>CONSULTANT</w:t>
            </w:r>
          </w:p>
        </w:tc>
      </w:tr>
      <w:tr>
        <w:trPr>
          <w:trHeight w:val="698"/>
        </w:trPr>
        <w:tc>
          <w:tcPr>
            <w:tcW w:w="3920" w:type="dxa"/>
            <w:vAlign w:val="bottom"/>
          </w:tcPr>
          <w:p>
            <w:pPr>
              <w:spacing w:after="0"/>
              <w:rPr>
                <w:sz w:val="20"/>
                <w:szCs w:val="20"/>
                <w:color w:val="auto"/>
              </w:rPr>
            </w:pPr>
            <w:r>
              <w:rPr>
                <w:rFonts w:ascii="Arial" w:cs="Arial" w:eastAsia="Arial" w:hAnsi="Arial"/>
                <w:sz w:val="22"/>
                <w:szCs w:val="22"/>
                <w:color w:val="auto"/>
                <w:w w:val="98"/>
              </w:rPr>
              <w:t>By: _/s/Jay R. Luly, Ph.D.____________</w:t>
            </w:r>
          </w:p>
        </w:tc>
        <w:tc>
          <w:tcPr>
            <w:tcW w:w="7320" w:type="dxa"/>
            <w:vAlign w:val="bottom"/>
          </w:tcPr>
          <w:p>
            <w:pPr>
              <w:ind w:left="840"/>
              <w:spacing w:after="0"/>
              <w:rPr>
                <w:sz w:val="20"/>
                <w:szCs w:val="20"/>
                <w:color w:val="auto"/>
              </w:rPr>
            </w:pPr>
            <w:r>
              <w:rPr>
                <w:rFonts w:ascii="Arial" w:cs="Arial" w:eastAsia="Arial" w:hAnsi="Arial"/>
                <w:sz w:val="22"/>
                <w:szCs w:val="22"/>
                <w:color w:val="auto"/>
              </w:rPr>
              <w:t>By: _/s/Nathalie Adda, M.D.______</w:t>
            </w:r>
          </w:p>
        </w:tc>
      </w:tr>
      <w:tr>
        <w:trPr>
          <w:trHeight w:val="243"/>
        </w:trPr>
        <w:tc>
          <w:tcPr>
            <w:tcW w:w="3920" w:type="dxa"/>
            <w:vAlign w:val="bottom"/>
          </w:tcPr>
          <w:p>
            <w:pPr>
              <w:spacing w:after="0" w:line="243" w:lineRule="exact"/>
              <w:rPr>
                <w:sz w:val="20"/>
                <w:szCs w:val="20"/>
                <w:color w:val="auto"/>
              </w:rPr>
            </w:pPr>
            <w:r>
              <w:rPr>
                <w:rFonts w:ascii="Arial" w:cs="Arial" w:eastAsia="Arial" w:hAnsi="Arial"/>
                <w:sz w:val="22"/>
                <w:szCs w:val="22"/>
                <w:color w:val="auto"/>
              </w:rPr>
              <w:t xml:space="preserve">Name: </w:t>
            </w:r>
            <w:r>
              <w:rPr>
                <w:rFonts w:ascii="Arial" w:cs="Arial" w:eastAsia="Arial" w:hAnsi="Arial"/>
                <w:sz w:val="19"/>
                <w:szCs w:val="19"/>
                <w:color w:val="auto"/>
              </w:rPr>
              <w:t>Jay R. Luly, Ph.D.</w:t>
            </w:r>
          </w:p>
        </w:tc>
        <w:tc>
          <w:tcPr>
            <w:tcW w:w="7320" w:type="dxa"/>
            <w:vAlign w:val="bottom"/>
          </w:tcPr>
          <w:p>
            <w:pPr>
              <w:ind w:left="360"/>
              <w:spacing w:after="0" w:line="243" w:lineRule="exact"/>
              <w:rPr>
                <w:sz w:val="20"/>
                <w:szCs w:val="20"/>
                <w:color w:val="auto"/>
              </w:rPr>
            </w:pPr>
            <w:r>
              <w:rPr>
                <w:rFonts w:ascii="Arial" w:cs="Arial" w:eastAsia="Arial" w:hAnsi="Arial"/>
                <w:sz w:val="22"/>
                <w:szCs w:val="22"/>
                <w:color w:val="auto"/>
              </w:rPr>
              <w:t>Nathalie Adda, M.D., individually</w:t>
            </w:r>
          </w:p>
        </w:tc>
      </w:tr>
      <w:tr>
        <w:trPr>
          <w:trHeight w:val="264"/>
        </w:trPr>
        <w:tc>
          <w:tcPr>
            <w:tcW w:w="3920" w:type="dxa"/>
            <w:vAlign w:val="bottom"/>
          </w:tcPr>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19"/>
                <w:szCs w:val="19"/>
                <w:color w:val="auto"/>
              </w:rPr>
              <w:t>President &amp; Chief Executive Officer</w:t>
            </w:r>
          </w:p>
        </w:tc>
        <w:tc>
          <w:tcPr>
            <w:tcW w:w="7320" w:type="dxa"/>
            <w:vAlign w:val="bottom"/>
          </w:tcPr>
          <w:p>
            <w:pPr>
              <w:spacing w:after="0"/>
              <w:rPr>
                <w:sz w:val="22"/>
                <w:szCs w:val="22"/>
                <w:color w:val="auto"/>
              </w:rPr>
            </w:pPr>
          </w:p>
        </w:tc>
      </w:tr>
      <w:tr>
        <w:trPr>
          <w:trHeight w:val="230"/>
        </w:trPr>
        <w:tc>
          <w:tcPr>
            <w:tcW w:w="3920" w:type="dxa"/>
            <w:vAlign w:val="bottom"/>
          </w:tcPr>
          <w:p>
            <w:pPr>
              <w:ind w:left="2520"/>
              <w:spacing w:after="0"/>
              <w:rPr>
                <w:sz w:val="20"/>
                <w:szCs w:val="20"/>
                <w:color w:val="auto"/>
              </w:rPr>
            </w:pPr>
            <w:r>
              <w:rPr>
                <w:rFonts w:ascii="Arial" w:cs="Arial" w:eastAsia="Arial" w:hAnsi="Arial"/>
                <w:sz w:val="18"/>
                <w:szCs w:val="18"/>
                <w:color w:val="auto"/>
              </w:rPr>
              <w:t>8</w:t>
            </w:r>
          </w:p>
        </w:tc>
        <w:tc>
          <w:tcPr>
            <w:tcW w:w="7320" w:type="dxa"/>
            <w:vAlign w:val="bottom"/>
          </w:tcPr>
          <w:p>
            <w:pPr>
              <w:spacing w:after="0"/>
              <w:rPr>
                <w:sz w:val="20"/>
                <w:szCs w:val="20"/>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7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04"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03"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360" w:hanging="512"/>
        <w:spacing w:after="0" w:line="291" w:lineRule="auto"/>
        <w:tabs>
          <w:tab w:leader="none" w:pos="371"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3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120" w:hanging="479"/>
        <w:spacing w:after="0" w:line="248" w:lineRule="auto"/>
        <w:tabs>
          <w:tab w:leader="none" w:pos="89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00" w:hanging="512"/>
        <w:spacing w:after="0" w:line="291" w:lineRule="auto"/>
        <w:tabs>
          <w:tab w:leader="none" w:pos="371"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40" w:hanging="479"/>
        <w:spacing w:after="0" w:line="291" w:lineRule="auto"/>
        <w:tabs>
          <w:tab w:leader="none" w:pos="895"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540" w:hanging="479"/>
        <w:spacing w:after="0" w:line="261" w:lineRule="auto"/>
        <w:tabs>
          <w:tab w:leader="none" w:pos="895"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9, 2022</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R. Luly, Ph.D.</w:t>
      </w:r>
    </w:p>
    <w:p>
      <w:pPr>
        <w:ind w:left="6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04" w:lineRule="exact"/>
        <w:rPr>
          <w:sz w:val="20"/>
          <w:szCs w:val="20"/>
          <w:color w:val="auto"/>
        </w:rPr>
      </w:pPr>
    </w:p>
    <w:p>
      <w:pPr>
        <w:ind w:left="360" w:hanging="352"/>
        <w:spacing w:after="0"/>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03"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360" w:hanging="512"/>
        <w:spacing w:after="0" w:line="291" w:lineRule="auto"/>
        <w:tabs>
          <w:tab w:leader="none" w:pos="371"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3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120" w:hanging="479"/>
        <w:spacing w:after="0" w:line="248" w:lineRule="auto"/>
        <w:tabs>
          <w:tab w:leader="none" w:pos="89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00" w:hanging="512"/>
        <w:spacing w:after="0" w:line="291" w:lineRule="auto"/>
        <w:tabs>
          <w:tab w:leader="none" w:pos="371"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40" w:hanging="479"/>
        <w:spacing w:after="0" w:line="291" w:lineRule="auto"/>
        <w:tabs>
          <w:tab w:leader="none" w:pos="895"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540" w:hanging="479"/>
        <w:spacing w:after="0" w:line="261" w:lineRule="auto"/>
        <w:tabs>
          <w:tab w:leader="none" w:pos="895"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9, 2022</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Paul J. Mellett</w:t>
      </w:r>
    </w:p>
    <w:p>
      <w:pPr>
        <w:ind w:left="6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96"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March 31, 2022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59"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Dated: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Jay R. Luly, Ph.D.</w:t>
      </w:r>
    </w:p>
    <w:p>
      <w:pPr>
        <w:ind w:left="7220"/>
        <w:spacing w:after="0"/>
        <w:rPr>
          <w:sz w:val="20"/>
          <w:szCs w:val="20"/>
          <w:color w:val="auto"/>
        </w:rPr>
      </w:pPr>
      <w:r>
        <w:rPr>
          <w:rFonts w:ascii="Arial" w:cs="Arial" w:eastAsia="Arial" w:hAnsi="Arial"/>
          <w:sz w:val="18"/>
          <w:szCs w:val="18"/>
          <w:color w:val="auto"/>
        </w:rPr>
        <w:t>Chief Executive Officer</w:t>
      </w:r>
    </w:p>
    <w:p>
      <w:pPr>
        <w:spacing w:after="0" w:line="223"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Dated: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Paul J. Mellett</w:t>
      </w:r>
    </w:p>
    <w:p>
      <w:pPr>
        <w:ind w:left="7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2"/>
    </w:lvl>
  </w:abstractNum>
  <w:abstractNum w:abstractNumId="4">
    <w:nsid w:val="836C40E"/>
    <w:multiLevelType w:val="hybridMultilevel"/>
    <w:lvl w:ilvl="0">
      <w:lvlJc w:val="left"/>
      <w:lvlText w:val="%1."/>
      <w:numFmt w:val="decimal"/>
      <w:start w:val="3"/>
    </w:lvl>
  </w:abstractNum>
  <w:abstractNum w:abstractNumId="5">
    <w:nsid w:val="2901D82"/>
    <w:multiLevelType w:val="hybridMultilevel"/>
    <w:lvl w:ilvl="0">
      <w:lvlJc w:val="left"/>
      <w:lvlText w:val="%1."/>
      <w:numFmt w:val="decimal"/>
      <w:start w:val="4"/>
    </w:lvl>
  </w:abstractNum>
  <w:abstractNum w:abstractNumId="6">
    <w:nsid w:val="3A95F874"/>
    <w:multiLevelType w:val="hybridMultilevel"/>
    <w:lvl w:ilvl="0">
      <w:lvlJc w:val="left"/>
      <w:lvlText w:val="%1."/>
      <w:numFmt w:val="decimal"/>
      <w:start w:val="5"/>
    </w:lvl>
  </w:abstractNum>
  <w:abstractNum w:abstractNumId="7">
    <w:nsid w:val="8138641"/>
    <w:multiLevelType w:val="hybridMultilevel"/>
    <w:lvl w:ilvl="0">
      <w:lvlJc w:val="left"/>
      <w:lvlText w:val="%1."/>
      <w:numFmt w:val="decimal"/>
      <w:start w:val="6"/>
    </w:lvl>
  </w:abstractNum>
  <w:abstractNum w:abstractNumId="8">
    <w:nsid w:val="1E7FF521"/>
    <w:multiLevelType w:val="hybridMultilevel"/>
    <w:lvl w:ilvl="0">
      <w:lvlJc w:val="left"/>
      <w:lvlText w:val="%1."/>
      <w:numFmt w:val="decimal"/>
      <w:start w:val="7"/>
    </w:lvl>
  </w:abstractNum>
  <w:abstractNum w:abstractNumId="9">
    <w:nsid w:val="7C3DBD3D"/>
    <w:multiLevelType w:val="hybridMultilevel"/>
    <w:lvl w:ilvl="0">
      <w:lvlJc w:val="left"/>
      <w:lvlText w:val="%1."/>
      <w:numFmt w:val="decimal"/>
      <w:start w:val="8"/>
    </w:lvl>
  </w:abstractNum>
  <w:abstractNum w:abstractNumId="10">
    <w:nsid w:val="737B8DDC"/>
    <w:multiLevelType w:val="hybridMultilevel"/>
    <w:lvl w:ilvl="0">
      <w:lvlJc w:val="left"/>
      <w:lvlText w:val="%1."/>
      <w:numFmt w:val="decimal"/>
      <w:start w:val="9"/>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o"/>
      <w:numFmt w:val="bullet"/>
      <w:start w:val="1"/>
    </w:lvl>
    <w:lvl w:ilvl="1">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lvl w:ilvl="1">
      <w:lvlJc w:val="left"/>
      <w:lvlText w:val="o"/>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lowerLetter"/>
      <w:start w:val="1"/>
    </w:lvl>
  </w:abstractNum>
  <w:abstractNum w:abstractNumId="20">
    <w:nsid w:val="3804823E"/>
    <w:multiLevelType w:val="hybridMultilevel"/>
    <w:lvl w:ilvl="0">
      <w:lvlJc w:val="left"/>
      <w:lvlText w:val="%1)"/>
      <w:numFmt w:val="lowerLetter"/>
      <w:start w:val="2"/>
    </w:lvl>
  </w:abstractNum>
  <w:abstractNum w:abstractNumId="21">
    <w:nsid w:val="77465F01"/>
    <w:multiLevelType w:val="hybridMultilevel"/>
    <w:lvl w:ilvl="0">
      <w:lvlJc w:val="left"/>
      <w:lvlText w:val="•"/>
      <w:numFmt w:val="bullet"/>
      <w:start w:val="1"/>
    </w:lvl>
    <w:lvl w:ilvl="1">
      <w:lvlJc w:val="left"/>
      <w:lvlText w:val="•"/>
      <w:numFmt w:val="bullet"/>
      <w:start w:val="1"/>
    </w:lvl>
  </w:abstractNum>
  <w:abstractNum w:abstractNumId="22">
    <w:nsid w:val="7724C67E"/>
    <w:multiLevelType w:val="hybridMultilevel"/>
    <w:lvl w:ilvl="0">
      <w:lvlJc w:val="left"/>
      <w:lvlText w:val="•"/>
      <w:numFmt w:val="bullet"/>
      <w:start w:val="1"/>
    </w:lvl>
    <w:lvl w:ilvl="1">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2"/>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lowerLetter"/>
      <w:start w:val="5"/>
    </w:lvl>
  </w:abstractNum>
  <w:abstractNum w:abstractNumId="49">
    <w:nsid w:val="1BA026FA"/>
    <w:multiLevelType w:val="hybridMultilevel"/>
    <w:lvl w:ilvl="0">
      <w:lvlJc w:val="left"/>
      <w:lvlText w:val="(%1)"/>
      <w:numFmt w:val="decimal"/>
      <w:start w:val="30"/>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68" Type="http://schemas.openxmlformats.org/officeDocument/2006/relationships/hyperlink" Target="https://www.sec.gov/Archives/edgar/data/1177648/000119312513132679/d511662dex31.htm" TargetMode="External"/><Relationship Id="rId269" Type="http://schemas.openxmlformats.org/officeDocument/2006/relationships/hyperlink" Target="https://www.sec.gov/Archives/edgar/data/1177648/000119312515294582/d95810dex32.htm" TargetMode="External"/><Relationship Id="rId270" Type="http://schemas.openxmlformats.org/officeDocument/2006/relationships/hyperlink" Target="https://www.sec.gov/Archives/edgar/data/1177648/000095017022003118/ent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2022-05-09T15:25:48Z</dcterms:created>
  <dcterms:modified xsi:type="dcterms:W3CDTF">2022-05-09T15:25:48Z</dcterms:modified>
</cp:coreProperties>
</file>