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ind w:left="580" w:right="14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80" w:right="14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1940" w:type="dxa"/>
            <w:vAlign w:val="bottom"/>
          </w:tcPr>
          <w:p>
            <w:pPr>
              <w:spacing w:after="0"/>
              <w:rPr>
                <w:sz w:val="18"/>
                <w:szCs w:val="18"/>
                <w:color w:val="auto"/>
              </w:rPr>
            </w:pPr>
          </w:p>
        </w:tc>
        <w:tc>
          <w:tcPr>
            <w:tcW w:w="4500" w:type="dxa"/>
            <w:vAlign w:val="bottom"/>
            <w:gridSpan w:val="2"/>
          </w:tcPr>
          <w:p>
            <w:pPr>
              <w:jc w:val="right"/>
              <w:ind w:right="1344"/>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49"/>
        </w:trPr>
        <w:tc>
          <w:tcPr>
            <w:tcW w:w="4800" w:type="dxa"/>
            <w:vAlign w:val="bottom"/>
            <w:gridSpan w:val="3"/>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09"/>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4 Kingsbury Avenue</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14"/>
        </w:trPr>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1940" w:type="dxa"/>
            <w:vAlign w:val="bottom"/>
          </w:tcPr>
          <w:p>
            <w:pPr>
              <w:spacing w:after="0"/>
              <w:rPr>
                <w:sz w:val="18"/>
                <w:szCs w:val="18"/>
                <w:color w:val="auto"/>
              </w:rPr>
            </w:pPr>
          </w:p>
        </w:tc>
        <w:tc>
          <w:tcPr>
            <w:tcW w:w="4500" w:type="dxa"/>
            <w:vAlign w:val="bottom"/>
            <w:gridSpan w:val="2"/>
          </w:tcPr>
          <w:p>
            <w:pPr>
              <w:jc w:val="right"/>
              <w:ind w:right="154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1240" w:type="dxa"/>
            <w:vAlign w:val="bottom"/>
            <w:gridSpan w:val="6"/>
          </w:tcPr>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tc>
      </w:tr>
      <w:tr>
        <w:trPr>
          <w:trHeight w:val="135"/>
        </w:trPr>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287"/>
        </w:trPr>
        <w:tc>
          <w:tcPr>
            <w:tcW w:w="48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16"/>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8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Borders>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0"/>
        </w:trPr>
        <w:tc>
          <w:tcPr>
            <w:tcW w:w="3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980" w:type="dxa"/>
            <w:vAlign w:val="bottom"/>
            <w:gridSpan w:val="2"/>
          </w:tcPr>
          <w:p>
            <w:pPr>
              <w:spacing w:after="0"/>
              <w:rPr>
                <w:sz w:val="19"/>
                <w:szCs w:val="19"/>
                <w:color w:val="auto"/>
              </w:rPr>
            </w:pPr>
          </w:p>
        </w:tc>
        <w:tc>
          <w:tcPr>
            <w:tcW w:w="194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w w:val="99"/>
              </w:rPr>
              <w:t>ENTA</w:t>
            </w:r>
          </w:p>
        </w:tc>
        <w:tc>
          <w:tcPr>
            <w:tcW w:w="50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54"/>
        </w:trPr>
        <w:tc>
          <w:tcPr>
            <w:tcW w:w="3820" w:type="dxa"/>
            <w:vAlign w:val="bottom"/>
            <w:tcBorders>
              <w:left w:val="single" w:sz="8" w:color="auto"/>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r>
    </w:tbl>
    <w:p>
      <w:pPr>
        <w:spacing w:after="0" w:line="9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2" w:lineRule="exact"/>
        <w:rPr>
          <w:sz w:val="24"/>
          <w:szCs w:val="24"/>
          <w:color w:val="auto"/>
        </w:rPr>
      </w:pPr>
    </w:p>
    <w:p>
      <w:pPr>
        <w:jc w:val="both"/>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1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 2025, the registrant had 21,376,581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rPr>
              <w:t>UNAUDITED 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4"/>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0" w:type="dxa"/>
            <w:vAlign w:val="bottom"/>
            <w:tcBorders>
              <w:left w:val="single" w:sz="8" w:color="0000FF"/>
            </w:tcBorders>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77"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2024 and as updated in Item 1A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I—UNAUDITED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60,213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31,999</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r>
      <w:tr>
        <w:trPr>
          <w:trHeight w:val="210"/>
        </w:trPr>
        <w:tc>
          <w:tcPr>
            <w:tcW w:w="7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242,860</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299,852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322,993</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376,652</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8"/>
                <w:szCs w:val="18"/>
                <w:color w:val="auto"/>
              </w:rPr>
            </w:pPr>
          </w:p>
        </w:tc>
      </w:tr>
      <w:tr>
        <w:trPr>
          <w:trHeight w:val="209"/>
        </w:trPr>
        <w:tc>
          <w:tcPr>
            <w:tcW w:w="7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net of current portion</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134,779</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56,536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229,455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247,838</w:t>
            </w:r>
          </w:p>
        </w:tc>
        <w:tc>
          <w:tcPr>
            <w:tcW w:w="100" w:type="dxa"/>
            <w:vAlign w:val="bottom"/>
          </w:tcPr>
          <w:p>
            <w:pPr>
              <w:spacing w:after="0"/>
              <w:rPr>
                <w:sz w:val="18"/>
                <w:szCs w:val="18"/>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21,377 and 21,194 shares issued and outstanding at March 31, 2025</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September 30, 2024, respectively</w:t>
            </w:r>
          </w:p>
        </w:tc>
        <w:tc>
          <w:tcPr>
            <w:tcW w:w="3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20"/>
                <w:szCs w:val="20"/>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451,340</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3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(367,974)</w:t>
            </w:r>
          </w:p>
        </w:tc>
        <w:tc>
          <w:tcPr>
            <w:tcW w:w="2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(323,040)</w:t>
            </w:r>
          </w:p>
        </w:tc>
      </w:tr>
      <w:tr>
        <w:trPr>
          <w:trHeight w:val="210"/>
        </w:trPr>
        <w:tc>
          <w:tcPr>
            <w:tcW w:w="73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93,538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322,993</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376,652</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-3256915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-1567815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5"/>
                <w:szCs w:val="15"/>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Royalty revenue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2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79,955</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(24,527)</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(32,766)</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(48,070)</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(67,652)</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(1,714)</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(3,676)</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(6,004)</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4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(23,949)</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(31,520)</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(46,655)</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(65,549)</w:t>
            </w: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(22,644)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(31,157)</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(44,934)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(64,564)</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7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-2167890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-2167890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-2167890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-1602105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-1602105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-1602105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-1036320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-1036320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-1036320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-462280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-445135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-462280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-445135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-462280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-445135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5"/>
                <w:szCs w:val="15"/>
                <w:color w:val="auto"/>
              </w:rPr>
            </w:pPr>
          </w:p>
        </w:tc>
        <w:tc>
          <w:tcPr>
            <w:tcW w:w="27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4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(22,644)</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(31,157)</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(44,934)</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(64,564)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FF0FC"/>
          </w:tcPr>
          <w:p>
            <w:pPr>
              <w:spacing w:after="0"/>
              <w:rPr>
                <w:sz w:val="18"/>
                <w:szCs w:val="18"/>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(22,839)</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(31,290)</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(45,460)</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(64,057)</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-316230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-316230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-316230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320" w:type="dxa"/>
            <w:vAlign w:val="bottom"/>
            <w:gridSpan w:val="4"/>
            <w:vMerge w:val="restart"/>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00" w:type="dxa"/>
            <w:vAlign w:val="bottom"/>
          </w:tcPr>
          <w:p>
            <w:pPr>
              <w:spacing w:after="0"/>
              <w:rPr>
                <w:sz w:val="15"/>
                <w:szCs w:val="15"/>
                <w:color w:val="auto"/>
              </w:rPr>
            </w:pPr>
          </w:p>
        </w:tc>
        <w:tc>
          <w:tcPr>
            <w:tcW w:w="232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0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September 30,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451,340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(323,040)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456,962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(345,330)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(22,644)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(22,644)</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March 31,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461,522</w:t>
            </w:r>
          </w:p>
        </w:tc>
        <w:tc>
          <w:tcPr>
            <w:tcW w:w="2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(367,974)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-744855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-728345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-744855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-728345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-744855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-728345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-744855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-728345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-744855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-728345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-170815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120" w:type="dxa"/>
            <w:vAlign w:val="bottom"/>
            <w:gridSpan w:val="4"/>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9"/>
        </w:trPr>
        <w:tc>
          <w:tcPr>
            <w:tcW w:w="444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restart"/>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80" w:type="dxa"/>
            <w:vAlign w:val="bottom"/>
          </w:tcPr>
          <w:p>
            <w:pPr>
              <w:spacing w:after="0"/>
              <w:rPr>
                <w:sz w:val="9"/>
                <w:szCs w:val="9"/>
                <w:color w:val="auto"/>
              </w:rPr>
            </w:pPr>
          </w:p>
        </w:tc>
        <w:tc>
          <w:tcPr>
            <w:tcW w:w="1100" w:type="dxa"/>
            <w:vAlign w:val="bottom"/>
            <w:gridSpan w:val="3"/>
            <w:vMerge w:val="restart"/>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4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9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September 30,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424,693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(1,174)</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(206,995)</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(33,407)</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(33,407)</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432,608</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(240,402)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(31,157)</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(31,157)</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March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438,128</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(271,559)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-1028065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-1028065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-1028065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-1028065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-1028065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-170815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-170815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(44,934)</w:t>
            </w: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(64,564)</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13,660</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interest associated with the sale of future royalties</w:t>
            </w:r>
          </w:p>
        </w:tc>
        <w:tc>
          <w:tcPr>
            <w:tcW w:w="10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(1,303)</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(531)</w:t>
            </w: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Non-cash royalty revenue</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(175)</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premiums on marketable securities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(146)</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Income tax receivable</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(1,837)</w:t>
            </w: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(1,027)</w:t>
            </w: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2,517</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long-term assets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expenses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(4,883)</w:t>
            </w: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(7,709)</w:t>
            </w: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(2,137)</w:t>
            </w:r>
          </w:p>
        </w:tc>
      </w:tr>
      <w:tr>
        <w:trPr>
          <w:trHeight w:val="203"/>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(439)</w:t>
            </w:r>
          </w:p>
        </w:tc>
      </w:tr>
      <w:tr>
        <w:trPr>
          <w:trHeight w:val="20"/>
        </w:trPr>
        <w:tc>
          <w:tcPr>
            <w:tcW w:w="76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(30,289)</w:t>
            </w:r>
          </w:p>
        </w:tc>
        <w:tc>
          <w:tcPr>
            <w:tcW w:w="10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(53,589)</w:t>
            </w: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10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(55,016)</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(212,134)</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130,833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260,096</w:t>
            </w:r>
          </w:p>
        </w:tc>
        <w:tc>
          <w:tcPr>
            <w:tcW w:w="120" w:type="dxa"/>
            <w:vAlign w:val="bottom"/>
            <w:shd w:val="clear" w:color="auto" w:fill="CFF0FC"/>
          </w:tcPr>
          <w:p>
            <w:pPr>
              <w:spacing w:after="0"/>
              <w:rPr>
                <w:sz w:val="18"/>
                <w:szCs w:val="18"/>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0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(11,283)</w:t>
            </w:r>
          </w:p>
        </w:tc>
        <w:tc>
          <w:tcPr>
            <w:tcW w:w="10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(2,455)</w:t>
            </w:r>
          </w:p>
        </w:tc>
      </w:tr>
      <w:tr>
        <w:trPr>
          <w:trHeight w:val="196"/>
        </w:trPr>
        <w:tc>
          <w:tcPr>
            <w:tcW w:w="7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64,534</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45,507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on royalty sale liability, net of imputed interest</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(11,703)</w:t>
            </w: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(13,540)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10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(264)</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(275)</w:t>
            </w:r>
          </w:p>
        </w:tc>
      </w:tr>
      <w:tr>
        <w:trPr>
          <w:trHeight w:val="203"/>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(11,873)</w:t>
            </w:r>
          </w:p>
        </w:tc>
        <w:tc>
          <w:tcPr>
            <w:tcW w:w="10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(13,764)</w:t>
            </w:r>
          </w:p>
        </w:tc>
      </w:tr>
      <w:tr>
        <w:trPr>
          <w:trHeight w:val="20"/>
        </w:trPr>
        <w:tc>
          <w:tcPr>
            <w:tcW w:w="7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22,372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(21,846)</w:t>
            </w: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41,201</w:t>
            </w:r>
          </w:p>
        </w:tc>
        <w:tc>
          <w:tcPr>
            <w:tcW w:w="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89,356</w:t>
            </w:r>
          </w:p>
        </w:tc>
        <w:tc>
          <w:tcPr>
            <w:tcW w:w="120" w:type="dxa"/>
            <w:vAlign w:val="bottom"/>
          </w:tcPr>
          <w:p>
            <w:pPr>
              <w:spacing w:after="0"/>
              <w:rPr>
                <w:sz w:val="17"/>
                <w:szCs w:val="17"/>
                <w:color w:val="auto"/>
              </w:rPr>
            </w:pPr>
          </w:p>
        </w:tc>
      </w:tr>
      <w:tr>
        <w:trPr>
          <w:trHeight w:val="23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000" w:type="dxa"/>
            <w:vAlign w:val="bottom"/>
            <w:tcBorders>
              <w:bottom w:val="single" w:sz="8" w:color="auto"/>
            </w:tcBorders>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63,573</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67,510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1"/>
        </w:trPr>
        <w:tc>
          <w:tcPr>
            <w:tcW w:w="760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Purchases of fixed assets included in accounts payable and</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4"/>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expenses</w:t>
            </w:r>
          </w:p>
        </w:tc>
        <w:tc>
          <w:tcPr>
            <w:tcW w:w="100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2,792</w:t>
            </w:r>
          </w:p>
        </w:tc>
        <w:tc>
          <w:tcPr>
            <w:tcW w:w="120" w:type="dxa"/>
            <w:vAlign w:val="bottom"/>
            <w:shd w:val="clear" w:color="auto" w:fill="CFF0FC"/>
          </w:tcPr>
          <w:p>
            <w:pPr>
              <w:spacing w:after="0"/>
              <w:rPr>
                <w:sz w:val="19"/>
                <w:szCs w:val="19"/>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220" w:type="dxa"/>
            <w:vAlign w:val="bottom"/>
          </w:tcPr>
          <w:p>
            <w:pPr>
              <w:spacing w:after="0"/>
              <w:rPr>
                <w:sz w:val="17"/>
                <w:szCs w:val="17"/>
                <w:color w:val="auto"/>
              </w:rPr>
            </w:pP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22,617</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interest</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5,480</w:t>
            </w:r>
          </w:p>
        </w:tc>
        <w:tc>
          <w:tcPr>
            <w:tcW w:w="220" w:type="dxa"/>
            <w:vAlign w:val="bottom"/>
          </w:tcPr>
          <w:p>
            <w:pPr>
              <w:spacing w:after="0"/>
              <w:rPr>
                <w:sz w:val="17"/>
                <w:szCs w:val="17"/>
                <w:color w:val="auto"/>
              </w:rPr>
            </w:pP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6,575</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received from tenant improvement allowances</w:t>
            </w:r>
          </w:p>
        </w:tc>
        <w:tc>
          <w:tcPr>
            <w:tcW w:w="100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4,780</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-2853690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-2853690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-2030730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-2030730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-1482090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-1482090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-933450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-916940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Enanta Pharmaceuticals, Inc. (collectively with its subsidiary, the “Company”), incorporated in Delaware in 1995, is a biotechnology company that uses its robust, chemistry-driven approach and drug discovery capabilities to discover and develop small molecule drugs for virology and immunology indications. The Company discovered glecaprevir, the second of two antiviral protease inhibitors developed through its collaboration with AbbVie for the treatment of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 as of September 30, 2024 was derived from audited financial statements but does not include all disclosures required by accounting principles generally accepted in the United States of America (“GAAP”). The accompanying unaudited condensed consolidated financial statements as of March 31, 2025 and for the three and six months ended March 31, 2025 and 2024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included in the Company’s Annual Report on Form 10-K for the fiscal year ended September 30, 2024.</w:t>
      </w:r>
    </w:p>
    <w:p>
      <w:pPr>
        <w:spacing w:after="0" w:line="8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necessary for a fair statement of the Company’s financial position as of March 31, 2025 and results of operations for the three and six months ended March 31, 2025 and 2024 and cash flows for the six months ended March 31, 2025 and 2024 have been made. The results of operations for the three and six months ended March 31, 2025 are not necessarily indicative of the results of operations that may be expected for subsequent quarters or the year ending September 30, 2025.</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GAAP. All amounts in the condensed consolidated financial statements and in the notes to the condensed consolidated financial statements, except per share amounts, are in thousands unless otherwise indicated.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based on continuity of operations, realization of assets and the satisfaction of liabilities and commitments in the ordinary course of business. The Company began reporting a net loss in fiscal 2020 and reported a net loss of $44,934 for the six months ended March 31, 2025 and $116,045 for the year ended September 30, 2024. As of March 31, 2025, the Company had an accumulated deficit of $367,974. The Company expects to continue to generate operating losses for the foreseeable future as the Company continues to advance its wholly-owned programs. As of March 31, 2025, the Company had $193,375 in cash, cash equivalents and short-term marketable securities. The Company expects that its cash, cash equivalents and short-term marketable securities will be sufficient to fund its operating expenses and capital expenditure requirements for at least 12 months from the issuance date of the interim condensed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Company’s Significant Accounting Policies, please refer to its Annual Report on Form 10-K for the fiscal year ended September 30, 2024. Any reference in these notes to applicable guidance is meant to refer to the authoritative GAAP as found in the Accounting Standards Codification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 average number of shares of common stock outstanding for the period. In periods in which the Company has reported a net loss, diluted net loss per common share is the same as basic net loss per common share since dilutive common shares are not assumed to have been issued if their effect is anti-dilutive. Therefore, the Company excluded the following potential common shares, presented based on amounts outstanding at each period end, from the computation of diluted net loss as its effect would have been anti-dilutive: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11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56"/>
        </w:trPr>
        <w:tc>
          <w:tcPr>
            <w:tcW w:w="7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7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6,025</w:t>
            </w:r>
          </w:p>
        </w:tc>
        <w:tc>
          <w:tcPr>
            <w:tcW w:w="6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5,237</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rTSRUs</w:t>
            </w: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93</w:t>
            </w:r>
          </w:p>
        </w:tc>
        <w:tc>
          <w:tcPr>
            <w:tcW w:w="6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7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93</w:t>
            </w:r>
          </w:p>
        </w:tc>
        <w:tc>
          <w:tcPr>
            <w:tcW w:w="6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427</w:t>
            </w:r>
          </w:p>
        </w:tc>
        <w:tc>
          <w:tcPr>
            <w:tcW w:w="6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This amendment is effective for the Company in the fiscal year beginning October 1, 2024, and interim periods within the fiscal year beginning October 1, 2025, on a retrospective basis with early adoption permitted. This accounting standard will require additional disclosures about segment information, however, the Company does not expect ASU 2023-07 to have a material impact on the Company’s consolidated financial position or results of operations.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2023-09”),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is currently evaluating the potential impact that ASU 2023-09 may have on its financial statement disclosures.</w:t>
      </w:r>
    </w:p>
    <w:p>
      <w:pPr>
        <w:spacing w:after="0" w:line="7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which requires public entities to provide disaggregated disclosure of income statement expenses. Public entities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disaggregate, in a tabular presentation, each relevant expense caption on the face of the consolidated statements of operations such as the following expenses: purchases of inventory, employee compensation, intangible asset amortization, and depreciation. ASU 2024-03 is effective for the Company in the fiscal year beginning October 1, 2027, with early adoption permitted. The Company is currently evaluating the potential impact that ASU 2024-03 may have on its financial statement disclosures.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March 31, 2025 and September 30, 2024, and indicate the fair value hierarchy of the valuation inputs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2025 Using:</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191,159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191,159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9"/>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2024 Using:</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-2211070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-2193925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-2211070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-2193925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-2211070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-2193925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-2211070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-2193925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-1910715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-1910715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-1910715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-616585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-616585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-616585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-616585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March 31, 2025 and 2024, there were no transfers between Level 1, Level 2 and Level 3.</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Level 2 instruments classified as marketable securities are typically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as of March 31, 2025 and September 30, 2024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condensed consolidated statements of operations.</w:t>
      </w:r>
    </w:p>
    <w:p>
      <w:pPr>
        <w:spacing w:after="0" w:line="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27"/>
        </w:trPr>
        <w:tc>
          <w:tcPr>
            <w:tcW w:w="6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5"/>
        </w:trPr>
        <w:tc>
          <w:tcPr>
            <w:tcW w:w="6600" w:type="dxa"/>
            <w:vAlign w:val="bottom"/>
            <w:gridSpan w:val="2"/>
          </w:tcPr>
          <w:p>
            <w:pPr>
              <w:ind w:left="26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740" w:type="dxa"/>
            <w:vAlign w:val="bottom"/>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0" w:type="dxa"/>
            <w:vAlign w:val="bottom"/>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6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Probabilities of payout</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ind w:left="379"/>
              <w:spacing w:after="0"/>
              <w:rPr>
                <w:sz w:val="20"/>
                <w:szCs w:val="20"/>
                <w:color w:val="auto"/>
              </w:rPr>
            </w:pPr>
            <w:r>
              <w:rPr>
                <w:rFonts w:ascii="Times New Roman" w:cs="Times New Roman" w:eastAsia="Times New Roman" w:hAnsi="Times New Roman"/>
                <w:sz w:val="18"/>
                <w:szCs w:val="18"/>
                <w:color w:val="auto"/>
              </w:rPr>
              <w:t>0%-65%</w:t>
            </w: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0%-65%</w:t>
            </w:r>
          </w:p>
        </w:tc>
      </w:tr>
      <w:tr>
        <w:trPr>
          <w:trHeight w:val="21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FF0FC"/>
          </w:tcPr>
          <w:p>
            <w:pPr>
              <w:jc w:val="center"/>
              <w:ind w:left="399"/>
              <w:spacing w:after="0"/>
              <w:rPr>
                <w:sz w:val="20"/>
                <w:szCs w:val="20"/>
                <w:color w:val="auto"/>
              </w:rPr>
            </w:pPr>
            <w:r>
              <w:rPr>
                <w:rFonts w:ascii="Times New Roman" w:cs="Times New Roman" w:eastAsia="Times New Roman" w:hAnsi="Times New Roman"/>
                <w:sz w:val="18"/>
                <w:szCs w:val="18"/>
                <w:color w:val="auto"/>
                <w:w w:val="98"/>
              </w:rPr>
              <w:t>9.00%</w:t>
            </w:r>
          </w:p>
        </w:tc>
        <w:tc>
          <w:tcPr>
            <w:tcW w:w="2800" w:type="dxa"/>
            <w:vAlign w:val="bottom"/>
            <w:gridSpan w:val="3"/>
            <w:shd w:val="clear" w:color="auto" w:fill="CFF0FC"/>
          </w:tcPr>
          <w:p>
            <w:pPr>
              <w:jc w:val="center"/>
              <w:ind w:left="502"/>
              <w:spacing w:after="0"/>
              <w:rPr>
                <w:sz w:val="20"/>
                <w:szCs w:val="20"/>
                <w:color w:val="auto"/>
              </w:rPr>
            </w:pPr>
            <w:r>
              <w:rPr>
                <w:rFonts w:ascii="Times New Roman" w:cs="Times New Roman" w:eastAsia="Times New Roman" w:hAnsi="Times New Roman"/>
                <w:sz w:val="18"/>
                <w:szCs w:val="18"/>
                <w:color w:val="auto"/>
                <w:w w:val="98"/>
              </w:rPr>
              <w:t>9.00%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fair value of nonconvertible preferred stock during the three and six months ended March 31, 2025 and 2024.</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right="140"/>
        <w:spacing w:after="0" w:line="261" w:lineRule="auto"/>
        <w:rPr>
          <w:sz w:val="20"/>
          <w:szCs w:val="20"/>
          <w:color w:val="auto"/>
        </w:rPr>
      </w:pPr>
      <w:r>
        <w:rPr>
          <w:rFonts w:ascii="Times New Roman" w:cs="Times New Roman" w:eastAsia="Times New Roman" w:hAnsi="Times New Roman"/>
          <w:sz w:val="18"/>
          <w:szCs w:val="18"/>
          <w:color w:val="auto"/>
        </w:rPr>
        <w:t>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March 31, 2025 and is based on current estimates of future royalties expected to be paid to OMERS over the next 8 years, which are considered Level 3 inputs. See Note 8 for a rollforward of the liability.</w:t>
      </w:r>
    </w:p>
    <w:p>
      <w:pPr>
        <w:spacing w:after="0" w:line="68"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September 30, 2024, the fair value of available-for-sale marketable securities, by type of security,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-1148080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-1148080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-1148080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-1148080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September 30, 2024, marketable securities consisted of investments that mature within one year.</w:t>
      </w:r>
    </w:p>
    <w:p>
      <w:pPr>
        <w:spacing w:after="0" w:line="22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March 31, 2025 and September 30, 2024:</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36,760</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00" w:type="dxa"/>
            <w:vAlign w:val="bottom"/>
          </w:tcPr>
          <w:p>
            <w:pPr>
              <w:spacing w:after="0"/>
              <w:rPr>
                <w:sz w:val="18"/>
                <w:szCs w:val="18"/>
                <w:color w:val="auto"/>
              </w:rPr>
            </w:pPr>
          </w:p>
        </w:tc>
      </w:tr>
      <w:tr>
        <w:trPr>
          <w:trHeight w:val="209"/>
        </w:trPr>
        <w:tc>
          <w:tcPr>
            <w:tcW w:w="56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(21,329)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(25,047)</w:t>
            </w:r>
          </w:p>
        </w:tc>
      </w:tr>
      <w:tr>
        <w:trPr>
          <w:trHeight w:val="20"/>
        </w:trPr>
        <w:tc>
          <w:tcPr>
            <w:tcW w:w="5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66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37,572</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00" w:type="dxa"/>
            <w:vAlign w:val="bottom"/>
            <w:shd w:val="clear" w:color="auto" w:fill="CFF0FC"/>
          </w:tcPr>
          <w:p>
            <w:pPr>
              <w:spacing w:after="0"/>
              <w:rPr>
                <w:sz w:val="19"/>
                <w:szCs w:val="19"/>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2024, construction in progress related primarily to leasehold improvements for the new laboratory and office space located at 4 Kingsbury Avenue in Watertown, Massachusetts. We moved into the facility in November 2024 and placed substantially all of those costs into service at that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2025 and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20" w:type="dxa"/>
            <w:vAlign w:val="bottom"/>
          </w:tcPr>
          <w:p>
            <w:pPr>
              <w:spacing w:after="0"/>
              <w:rPr>
                <w:sz w:val="15"/>
                <w:szCs w:val="15"/>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jc w:val="center"/>
              <w:ind w:left="7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7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40" w:type="dxa"/>
            <w:vAlign w:val="bottom"/>
            <w:shd w:val="clear" w:color="auto" w:fill="CFF0FC"/>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8"/>
                <w:szCs w:val="18"/>
                <w:color w:val="auto"/>
              </w:rPr>
              <w:t>2,930</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40" w:type="dxa"/>
            <w:vAlign w:val="bottom"/>
          </w:tcPr>
          <w:p>
            <w:pPr>
              <w:spacing w:after="0"/>
              <w:rPr>
                <w:sz w:val="18"/>
                <w:szCs w:val="18"/>
                <w:color w:val="auto"/>
              </w:rPr>
            </w:pPr>
          </w:p>
        </w:tc>
        <w:tc>
          <w:tcPr>
            <w:tcW w:w="5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1,571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8"/>
                <w:szCs w:val="18"/>
                <w:color w:val="auto"/>
              </w:rPr>
              <w:t>1,658</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1440" w:type="dxa"/>
            <w:vAlign w:val="bottom"/>
          </w:tcPr>
          <w:p>
            <w:pPr>
              <w:spacing w:after="0"/>
              <w:rPr>
                <w:sz w:val="18"/>
                <w:szCs w:val="18"/>
                <w:color w:val="auto"/>
              </w:rPr>
            </w:pPr>
          </w:p>
        </w:tc>
        <w:tc>
          <w:tcPr>
            <w:tcW w:w="5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1,138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4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center"/>
              <w:ind w:left="53"/>
              <w:spacing w:after="0"/>
              <w:rPr>
                <w:sz w:val="20"/>
                <w:szCs w:val="20"/>
                <w:color w:val="auto"/>
              </w:rPr>
            </w:pPr>
            <w:r>
              <w:rPr>
                <w:rFonts w:ascii="Times New Roman" w:cs="Times New Roman" w:eastAsia="Times New Roman" w:hAnsi="Times New Roman"/>
                <w:sz w:val="18"/>
                <w:szCs w:val="18"/>
                <w:color w:val="auto"/>
              </w:rPr>
              <w:t>1,017</w:t>
            </w:r>
          </w:p>
        </w:tc>
        <w:tc>
          <w:tcPr>
            <w:tcW w:w="3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8,314</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AbbVie Collaboration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$1,334,000 through March 31, 2025. Since the Company satisfied all of its performance obligations under the AbbVie Agreement by the end of fiscal 2011, all milestone payments received since then have been recognized as revenue when the milestones were achieved by AbbVie.</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9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condensed consolidated balance sheets which will be amortized as interest expense in the condensed consolidated statements of operations under the effective interest rate method over the life of the royalty sale agreement. The Company will continue to record the full amount of royalties earned on MAVYRET/MAVIRET sales as royalty revenue in the condensed consolidated statements of operations.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 estimated future cash flows resulted in an effective annual imputed interest rate of approximately 4.3%.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liability related to the sale of future royalties: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 related to the sale of future</w:t>
            </w:r>
          </w:p>
        </w:tc>
      </w:tr>
      <w:tr>
        <w:trPr>
          <w:trHeight w:val="173"/>
        </w:trPr>
        <w:tc>
          <w:tcPr>
            <w:tcW w:w="46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royalties</w:t>
            </w:r>
          </w:p>
        </w:tc>
        <w:tc>
          <w:tcPr>
            <w:tcW w:w="100" w:type="dxa"/>
            <w:vAlign w:val="bottom"/>
          </w:tcPr>
          <w:p>
            <w:pPr>
              <w:spacing w:after="0"/>
              <w:rPr>
                <w:sz w:val="15"/>
                <w:szCs w:val="15"/>
                <w:color w:val="auto"/>
              </w:rPr>
            </w:pPr>
          </w:p>
        </w:tc>
      </w:tr>
      <w:tr>
        <w:trPr>
          <w:trHeight w:val="209"/>
        </w:trPr>
        <w:tc>
          <w:tcPr>
            <w:tcW w:w="46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3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169,241</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Royalty payable to purchaser</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(8,135)</w:t>
            </w:r>
          </w:p>
        </w:tc>
      </w:tr>
      <w:tr>
        <w:trPr>
          <w:trHeight w:val="216"/>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Payments on royalty sale liability</w:t>
            </w:r>
          </w:p>
        </w:tc>
        <w:tc>
          <w:tcPr>
            <w:tcW w:w="3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(9,241)</w:t>
            </w: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net of capitalized interest of $519</w:t>
            </w:r>
          </w:p>
        </w:tc>
        <w:tc>
          <w:tcPr>
            <w:tcW w:w="3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Pr>
          <w:p>
            <w:pPr>
              <w:spacing w:after="0"/>
              <w:rPr>
                <w:sz w:val="18"/>
                <w:szCs w:val="18"/>
                <w:color w:val="auto"/>
              </w:rPr>
            </w:pPr>
          </w:p>
        </w:tc>
      </w:tr>
      <w:tr>
        <w:trPr>
          <w:trHeight w:val="24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3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156,060</w:t>
            </w:r>
          </w:p>
        </w:tc>
        <w:tc>
          <w:tcPr>
            <w:tcW w:w="100" w:type="dxa"/>
            <w:vAlign w:val="bottom"/>
            <w:shd w:val="clear" w:color="auto" w:fill="CFF0FC"/>
          </w:tcPr>
          <w:p>
            <w:pPr>
              <w:spacing w:after="0"/>
              <w:rPr>
                <w:sz w:val="21"/>
                <w:szCs w:val="21"/>
                <w:color w:val="auto"/>
              </w:rPr>
            </w:pPr>
          </w:p>
        </w:tc>
      </w:tr>
      <w:tr>
        <w:trPr>
          <w:trHeight w:val="628"/>
        </w:trPr>
        <w:tc>
          <w:tcPr>
            <w:tcW w:w="4640" w:type="dxa"/>
            <w:vAlign w:val="bottom"/>
            <w:tcBorders>
              <w:top w:val="single" w:sz="8" w:color="CFF0FC"/>
            </w:tcBorders>
          </w:tcPr>
          <w:p>
            <w:pPr>
              <w:spacing w:after="0"/>
              <w:rPr>
                <w:sz w:val="24"/>
                <w:szCs w:val="24"/>
                <w:color w:val="auto"/>
              </w:rPr>
            </w:pPr>
          </w:p>
        </w:tc>
        <w:tc>
          <w:tcPr>
            <w:tcW w:w="3780" w:type="dxa"/>
            <w:vAlign w:val="bottom"/>
            <w:tcBorders>
              <w:top w:val="single" w:sz="8" w:color="CFF0FC"/>
            </w:tcBorders>
          </w:tcPr>
          <w:p>
            <w:pPr>
              <w:jc w:val="right"/>
              <w:ind w:right="26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1 Nonconvertible Preferred Stock</w:t>
      </w:r>
    </w:p>
    <w:p>
      <w:pPr>
        <w:spacing w:after="0" w:line="121"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As of March 31, 2025, 1,930 shares of Series 1 nonconvertible preferred stock were issued and outstanding. The outstanding shares are financial instruments that might require a transfer of assets because of the liquidation features in the contract and are carried at fair value as a liability on the Company’s condensed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Awards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March 2022, March 2023, March 2024, December 2024, and March 2025, and its 2024 Inducement Stock Incentive Plan, which was adopted by the Board of Directors in April 2024 and amended in December 2024 for awards to new employees. The Company also has outstanding stock option awards under its 2012 Equity Incentive Plan (the “2012 Plan”), but is no longer granting awards under this plan.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performance-based options, for the year-to-date period ending March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6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March 31, 2025</w:t>
            </w:r>
          </w:p>
        </w:tc>
        <w:tc>
          <w:tcPr>
            <w:tcW w:w="15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gridSpan w:val="2"/>
            <w:shd w:val="clear" w:color="auto" w:fill="CFF0FC"/>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36.13</w:t>
            </w:r>
          </w:p>
        </w:tc>
        <w:tc>
          <w:tcPr>
            <w:tcW w:w="1620" w:type="dxa"/>
            <w:vAlign w:val="bottom"/>
            <w:tcBorders>
              <w:bottom w:val="single" w:sz="8" w:color="CFF0FC"/>
            </w:tcBorders>
            <w:gridSpan w:val="2"/>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6.7</w:t>
            </w:r>
          </w:p>
        </w:tc>
        <w:tc>
          <w:tcPr>
            <w:tcW w:w="400" w:type="dxa"/>
            <w:vAlign w:val="bottom"/>
            <w:tcBorders>
              <w:bottom w:val="single" w:sz="8" w:color="CFF0FC"/>
            </w:tcBorders>
            <w:gridSpan w:val="2"/>
            <w:shd w:val="clear" w:color="auto" w:fill="CFF0FC"/>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gridSpan w:val="2"/>
            <w:shd w:val="clear" w:color="auto" w:fill="CFF0FC"/>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as of March 31, 2025</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3,650</w:t>
            </w:r>
          </w:p>
        </w:tc>
        <w:tc>
          <w:tcPr>
            <w:tcW w:w="160" w:type="dxa"/>
            <w:vAlign w:val="bottom"/>
          </w:tcPr>
          <w:p>
            <w:pPr>
              <w:spacing w:after="0"/>
              <w:rPr>
                <w:sz w:val="17"/>
                <w:szCs w:val="17"/>
                <w:color w:val="auto"/>
              </w:rPr>
            </w:pPr>
          </w:p>
        </w:tc>
        <w:tc>
          <w:tcPr>
            <w:tcW w:w="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48.69</w:t>
            </w:r>
          </w:p>
        </w:tc>
        <w:tc>
          <w:tcPr>
            <w:tcW w:w="1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-607695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-187960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(at target) for the year-to-date period ending March 31,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60" w:type="dxa"/>
            <w:vAlign w:val="bottom"/>
            <w:vMerge w:val="restart"/>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60" w:type="dxa"/>
            <w:vAlign w:val="bottom"/>
            <w:tcBorders>
              <w:top w:val="single" w:sz="8" w:color="auto"/>
            </w:tcBorders>
          </w:tcPr>
          <w:p>
            <w:pPr>
              <w:jc w:val="center"/>
              <w:ind w:left="22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27.98</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20.44</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47.24</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2025</w:t>
            </w:r>
          </w:p>
        </w:tc>
        <w:tc>
          <w:tcPr>
            <w:tcW w:w="12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8.47</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629"/>
        </w:trPr>
        <w:tc>
          <w:tcPr>
            <w:tcW w:w="482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-933450</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-916305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-933450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year-to-date period ending March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70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7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700" w:type="dxa"/>
            <w:vAlign w:val="bottom"/>
            <w:tcBorders>
              <w:top w:val="single" w:sz="8" w:color="auto"/>
            </w:tcBorders>
          </w:tcPr>
          <w:p>
            <w:pPr>
              <w:jc w:val="center"/>
              <w:ind w:left="3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7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2025</w:t>
            </w:r>
          </w:p>
        </w:tc>
        <w:tc>
          <w:tcPr>
            <w:tcW w:w="17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427</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March 31, 2025 and 2024, the Company recognized the following stock-based compensation expense: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50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20" w:type="dxa"/>
            <w:vAlign w:val="bottom"/>
          </w:tcPr>
          <w:p>
            <w:pPr>
              <w:spacing w:after="0"/>
              <w:rPr>
                <w:sz w:val="18"/>
                <w:szCs w:val="18"/>
                <w:color w:val="auto"/>
              </w:rPr>
            </w:pPr>
          </w:p>
        </w:tc>
      </w:tr>
      <w:tr>
        <w:trPr>
          <w:trHeight w:val="230"/>
        </w:trPr>
        <w:tc>
          <w:tcPr>
            <w:tcW w:w="50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20" w:type="dxa"/>
            <w:vAlign w:val="bottom"/>
            <w:shd w:val="clear" w:color="auto" w:fill="CFF0FC"/>
          </w:tcPr>
          <w:p>
            <w:pPr>
              <w:spacing w:after="0"/>
              <w:rPr>
                <w:sz w:val="19"/>
                <w:szCs w:val="19"/>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507"/>
        </w:trPr>
        <w:tc>
          <w:tcPr>
            <w:tcW w:w="5020" w:type="dxa"/>
            <w:vAlign w:val="bottom"/>
          </w:tcPr>
          <w:p>
            <w:pPr>
              <w:spacing w:after="0"/>
              <w:rPr>
                <w:sz w:val="24"/>
                <w:szCs w:val="24"/>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50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rTSRUs</w:t>
            </w: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18"/>
                <w:szCs w:val="18"/>
                <w:color w:val="auto"/>
              </w:rPr>
            </w:pPr>
          </w:p>
        </w:tc>
      </w:tr>
      <w:tr>
        <w:trPr>
          <w:trHeight w:val="230"/>
        </w:trPr>
        <w:tc>
          <w:tcPr>
            <w:tcW w:w="50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20" w:type="dxa"/>
            <w:vAlign w:val="bottom"/>
            <w:shd w:val="clear" w:color="auto" w:fill="CFF0FC"/>
          </w:tcPr>
          <w:p>
            <w:pPr>
              <w:spacing w:after="0"/>
              <w:rPr>
                <w:sz w:val="19"/>
                <w:szCs w:val="19"/>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-1285240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-1268095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-1285240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-1268095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-1285240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-1268095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March 31, 2025 and 2024, the Company recognized stock-based compensation expense for performance-based stock units for which vesting became probable upon achievement of performance-based targets that occurred during the performance period.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an aggregate of $29,085 of unrecognized stock-based compensation cost, which is expected to be recognized over a weighted average period of 2.1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the Company recorded an income tax benefit of $1,305 and $363, respectively. The income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for the three months ended March 31, 2025 was primarily due to an additional federal income tax refund from a net operating loss carryback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$871. The income tax benefit for the three months ended March 31, 2024 was primarily due to interest earned on the federal income tax refund.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refund of $33,785, inclusive of interest, was received in April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Except as described below, the Company currently is not a party to any material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4" w:name="page15"/>
    <w:bookmarkEnd w:id="14"/>
    <w:p>
      <w:pPr>
        <w:ind w:right="320"/>
        <w:spacing w:after="0" w:line="282" w:lineRule="auto"/>
        <w:rPr>
          <w:sz w:val="20"/>
          <w:szCs w:val="20"/>
          <w:color w:val="auto"/>
        </w:rPr>
      </w:pPr>
      <w:r>
        <w:rPr>
          <w:rFonts w:ascii="Times New Roman" w:cs="Times New Roman" w:eastAsia="Times New Roman" w:hAnsi="Times New Roman"/>
          <w:sz w:val="18"/>
          <w:szCs w:val="18"/>
          <w:color w:val="auto"/>
        </w:rPr>
        <w:t>condition, results of operations or cash flows. The Company accrues contingent liabilities when it is probable that future expenditures will be made and such expenditures can be reasonably estimated.</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In May 2024, the Company and Pfizer each filed motions for summary judgment and a hearing on the motions was held on July 31, 2024. On December 23, 2024, the District Court issued a summary judgment decision ruling that the asserted claims of the ’953 Patent were invalid. In its decision, the District Court also denied the Company’s partial motion for summary judgment of infringement as moot in light of its allowance of summary judgment on invalidity. On February 3, 2025, the Company filed a notice of appeal with the United States Court of Appeals for the Federal Circuit. The Company filed its opening brief with the Federal Circuit on March 21, 2025. The timing for a decision on the appeal is currently uncertain. The Company records all legal expenses associated with the patent infringement suit as incurred in the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condensed consolidated financial statements as of March 31,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has two real estate leases for properties located in Watertown, Massachusetts. The first lease is for office space located at 400 Talcott Avenue and the second lease is for office and laboratory space located at 4 Kingsbury Avenue.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Future annual minimum facility and equipment lease payments, net of the tenant improvement allowance under the Company’s 4 Kingsbury Avenue lease, as of March 31, 2025,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ended September 30,</w:t>
            </w:r>
          </w:p>
        </w:tc>
        <w:tc>
          <w:tcPr>
            <w:tcW w:w="4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fiscal 2025</w:t>
            </w:r>
          </w:p>
        </w:tc>
        <w:tc>
          <w:tcPr>
            <w:tcW w:w="5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8,467</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8,721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8,983</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9,252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90,573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(30,372)</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4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58,732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6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notes thereto included elsewhere in this Quarterly Report on Form 10-Q, or Form 10-Q, and the audited consolidated financial statements and notes thereto for our fiscal year ended September 30, 2024 included in our Annual Report on Form 10-K for that fiscal year, which is referred to as our 2024 Form 10-K. Please refer to our note regarding forward-looking statements on page 2 of this Form 10-Q, which is incorporated herein by this reference.</w:t>
      </w:r>
    </w:p>
    <w:p>
      <w:pPr>
        <w:spacing w:after="0" w:line="75"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discover and develop small molecule drugs for virology and immunology indications.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discovered glecaprevir, the second of two antiviral protease inhibitors developed through our collaboration with AbbVie for the treatment of chronic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infection with hepatitis C virus, or HCV. Glecaprevir is co-formulated as part of AbbVie’s leading brand of direct-acting antiviral, or DAA,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4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Our active development programs in virology are focused on respiratory syncytial virus, or RSV, the most common cause of bronchiolitis and pneumonia and leading cause of U.S. hospitalization in young children and a significant cause of respiratory illness in older adults. Estimates suggest that, on average, each year RSV leads to three million hospitalizations globally in children under 5 years old and 177,000 hospitalizations in the U.S. in adults over the age of 65. Populations at high risk for severe RSV infection include infants and young children, adults older than 65 years of age, and those with comorbidities such as chronic heart or lung disease.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development stage programs in virology for the following disease targets:</w:t>
      </w:r>
    </w:p>
    <w:p>
      <w:pPr>
        <w:spacing w:after="0" w:line="117" w:lineRule="exact"/>
        <w:rPr>
          <w:sz w:val="20"/>
          <w:szCs w:val="20"/>
          <w:color w:val="auto"/>
        </w:rPr>
      </w:pPr>
    </w:p>
    <w:p>
      <w:pPr>
        <w:jc w:val="both"/>
        <w:ind w:left="1020" w:right="2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with estimates suggesting that COVID-19 continues to have a disease burden greater than influenza, with hospitalization and death among the elderly and those with comorbidities, persistent symptoms referred to as long COVID, and new variants emerging on a regular basis; and</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immunology, we are designing and developing highly potent and selective, oral small molecule inhibitors for the treatment of inflammatory disease by targeting key mechanisms of immune response. Our initial focus has been on mechanisms involved in an overactive type 2 immune phenotype, which is the response of the immune system upon encountering infections or allergens. An overactive response is a primary driver of a number of inflammatory diseases.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initial immunology targets involve the following mechanisms of immune response:</w:t>
      </w:r>
    </w:p>
    <w:p>
      <w:pPr>
        <w:spacing w:after="0" w:line="117" w:lineRule="exact"/>
        <w:rPr>
          <w:sz w:val="20"/>
          <w:szCs w:val="20"/>
          <w:color w:val="auto"/>
        </w:rPr>
      </w:pPr>
    </w:p>
    <w:p>
      <w:pPr>
        <w:ind w:left="1020" w:right="2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receptor tyrosine kinase, known as KIT, which is critical for regulating mast cell activity, a primary driver of inflammation in the skin and implicated in multiple allergic diseases;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STAT6, a transcription factor uniquely responsible for interleukin-4 (IL-4)/interleukin-13 (IL-13) cell signaling, which drives a type 2 dominant phenotype and downstream inflammation.</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These mechanisms are implicated, along with others, in several diseases, and it is not uncommon for an efficacious treatment for one disease to be tested and approved for other immunology indications. We currently plan to focus our initial immunology drug development proof-of-concept efforts on the following disease indications:</w:t>
      </w:r>
    </w:p>
    <w:p>
      <w:pPr>
        <w:spacing w:after="0" w:line="68" w:lineRule="exact"/>
        <w:rPr>
          <w:sz w:val="20"/>
          <w:szCs w:val="20"/>
          <w:color w:val="auto"/>
        </w:rPr>
      </w:pPr>
    </w:p>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 with this condition at any given time in the U.S. alone;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1020" w:right="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approximately 40% have moderate to severe disease.</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2025, we had $193.4 million in cash, cash equivalents and short-term marketable securities. We expect that our existing cash, cash equivalents, short-term marketable securities, as well as the cash flows from our retained portion of future HCV royalties and our $33.8 million federal tax refund received in April 2025, will enable us to fund our operating expenses and capital expenditure requirements into fiscal 2028.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and immunology.</w:t>
      </w:r>
    </w:p>
    <w:p>
      <w:pPr>
        <w:spacing w:after="0" w:line="1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RSV</w:t>
      </w:r>
      <w:r>
        <w:rPr>
          <w:rFonts w:ascii="Times New Roman" w:cs="Times New Roman" w:eastAsia="Times New Roman" w:hAnsi="Times New Roman"/>
          <w:sz w:val="18"/>
          <w:szCs w:val="18"/>
          <w:color w:val="auto"/>
        </w:rPr>
        <w:t>. In virology, we have two clinical stage candidates for RSV – zelicapavir (formerly EDP-938) and EDP-323. Both of these compounds are replication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inhibitors that work by shutting down replication and the production of new virions, as opposed to the other mechanism in development of fusion inhibition that only blocks viral entry. Zelicapavir, which has Fast Track designation from the U.S. Food and Drug Administration, or FDA, is a potent inhibitor of the RSV N-protein for both major subgroups of RSV, referred to as RSV-A and RSV-B. Zelicapavir is being studied in two Phase 2 studies, each in a different high risk patient population. EDP-323, which also has a Fast Track designation from the FDA, is an inhibitor of the RSV L-protein for both major subgroups of RSV that has recently completed a Phase 2 challenge study. We will evaluate potential partnership opportunities to advance our RSV programs to the next stage of clinical development.</w:t>
      </w:r>
    </w:p>
    <w:p>
      <w:pPr>
        <w:spacing w:after="0" w:line="77" w:lineRule="exact"/>
        <w:rPr>
          <w:sz w:val="20"/>
          <w:szCs w:val="20"/>
          <w:color w:val="auto"/>
        </w:rPr>
      </w:pPr>
    </w:p>
    <w:p>
      <w:pPr>
        <w:ind w:left="1020" w:right="60" w:hanging="503"/>
        <w:spacing w:after="0" w:line="25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Zelicapavir - N-protein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Zelicapavir is a once-daily, oral, direct-acting antiviral selectively targeting the N-protein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demonstrated statistically significant reductions in RSV viral load and symptoms in a human challenge model, Phase 2 clinical study. Zelicapavir was also tested in another Phase 2 exploratory study of otherwise healthy young adults (not at high-risk for serious outcomes with RSV) to understand viral response to treatment in community-acquired RSV infection. With these studies, zelicapavir has demonstrated a favorable safety profile, consistent with that observed in over 500 subjects exposed to zelicapavir to date. We believe that zelicapavir has the greatest potential to show optimal efficacy in high-risk populations since these patients have reduced RSV immunity, which manifests in a higher and longer duration of viral load and greater disease severity, allowing a bigger window to realize the full potential of zelicapavir. Based on its growing safety profile, we are continuing to evaluate zelicapavir in high-risk populations, including pediatric patients and high-risk adults, all of which have significant unmet need:</w:t>
      </w:r>
    </w:p>
    <w:p>
      <w:pPr>
        <w:spacing w:after="0" w:line="80" w:lineRule="exact"/>
        <w:rPr>
          <w:rFonts w:ascii="Times New Roman" w:cs="Times New Roman" w:eastAsia="Times New Roman" w:hAnsi="Times New Roman"/>
          <w:sz w:val="18"/>
          <w:szCs w:val="18"/>
          <w:color w:val="auto"/>
        </w:rPr>
      </w:pPr>
    </w:p>
    <w:p>
      <w:pPr>
        <w:ind w:left="1540" w:right="20" w:hanging="50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Pediatric Study of Zelicapavir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In December 2024, we announced positive topline results from the first-in-pediatrics Phase 2</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randomized, double-blind, placebo-controlled study evaluating zelicapavir in approximately 90 hospitalized and non-hospitalized children aged 28 days to 36 months with RSV. This Phase 2 study was a randomized, double-blind, dose ranging, placebo-controlled study in hospitalized and non- hospitalized pediatric patients with RSV aged 28 days to 36 months. The first part of the study included dose ranging in two different age cohorts, focused on safety and pharmacokinetics (PK), and the second part of the study focused on virology outcomes from a single dose selected from the first part of the study.</w:t>
      </w:r>
    </w:p>
    <w:p>
      <w:pPr>
        <w:spacing w:after="0" w:line="76" w:lineRule="exact"/>
        <w:rPr>
          <w:rFonts w:ascii="Times New Roman" w:cs="Times New Roman" w:eastAsia="Times New Roman" w:hAnsi="Times New Roman"/>
          <w:sz w:val="18"/>
          <w:szCs w:val="18"/>
          <w:color w:val="auto"/>
        </w:rPr>
      </w:pPr>
    </w:p>
    <w:p>
      <w:pPr>
        <w:ind w:left="2040" w:right="440" w:hanging="505"/>
        <w:spacing w:after="0" w:line="282" w:lineRule="auto"/>
        <w:tabs>
          <w:tab w:leader="none" w:pos="2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Zelicapavir demonstrated a favorable safety profile over the initial 5-day dosing period and through 23 days of follow-up. There were no adverse effects leading to treatment discontinuation or study withdrawal.</w:t>
      </w:r>
    </w:p>
    <w:p>
      <w:pPr>
        <w:spacing w:after="0" w:line="53" w:lineRule="exact"/>
        <w:rPr>
          <w:rFonts w:ascii="Times New Roman" w:cs="Times New Roman" w:eastAsia="Times New Roman" w:hAnsi="Times New Roman"/>
          <w:sz w:val="18"/>
          <w:szCs w:val="18"/>
          <w:color w:val="auto"/>
        </w:rPr>
      </w:pPr>
    </w:p>
    <w:p>
      <w:pPr>
        <w:ind w:left="2040" w:right="40" w:hanging="505"/>
        <w:spacing w:after="0" w:line="266" w:lineRule="auto"/>
        <w:tabs>
          <w:tab w:leader="none" w:pos="2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Zelicapavir achieved target drug exposure levels across all age groups and dosing cohorts. Exposure was similar across cohorts and doses, and all patients received a therapeutic dose. A dose of 5 mg/kg was selected for patients aged ≥ 28 days to &lt;12 months, and a dose of 7.5 mg/kg was selected for patients aged ≥12 months to ≤ 36 months.</w:t>
      </w:r>
    </w:p>
    <w:p>
      <w:pPr>
        <w:spacing w:after="0" w:line="67" w:lineRule="exact"/>
        <w:rPr>
          <w:rFonts w:ascii="Times New Roman" w:cs="Times New Roman" w:eastAsia="Times New Roman" w:hAnsi="Times New Roman"/>
          <w:sz w:val="18"/>
          <w:szCs w:val="18"/>
          <w:color w:val="auto"/>
        </w:rPr>
      </w:pPr>
    </w:p>
    <w:p>
      <w:pPr>
        <w:ind w:left="2040" w:hanging="505"/>
        <w:spacing w:after="0" w:line="253" w:lineRule="auto"/>
        <w:tabs>
          <w:tab w:leader="none" w:pos="2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antiviral effect was observed for the primary and secondary virology endpoints in the overall pooled efficacy population, with the viral load decline peaking at 0.7 log on Day 9 compared to placebo. The primary endpoint for Part 2 of the study showed a more pronounced effect, with a viral load decline of 1.0 log at Day 3 and 1.4 log at Day 5 compared to placebo. Additionally, a rapid and robust antiviral effect was observed in the prespecified subset of patients who were randomized within 3 days of symptom onset, which represents about 40% of patients in the study (n=38/96). In these patients, a viral load decline of 0.9 log at Day 3 and 1.2 log at Day 5 was observed compared to placebo. Furthermore, zelicapavir treatment resulted in a greater proportion of patients having undetectable viral load at Days 5 and 9 compared to placebo and improvements in area under the curve (AUC) of change from baseline for viral load at all timepoints. Qualitative improvement in time to undetectable viral load was observed at early timepoints, although median time to undetectable viral load was similar between groups. Overall, virology results were similar regardless of age or whether patients were enrolled from a hospitalized or outpatient setting.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left="1540" w:right="100" w:hanging="514"/>
        <w:spacing w:after="0" w:line="257"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High-Risk Adults Study of Zelicapavir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have an ongoing Phase 2b study in high-risk adults, including those who are 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65 years of age and those who have asthma, chronic obstructive pulmonary disease, or COPD, or congestive heart failure. Patients enrolled in the study are treated with zelicapavir or placebo for five days, and the primary endpoint is time to resolution of RSV lower respiratory tract disease symptoms. We recently met our target enrollment of 180 patients and we are continuing enrollment to capture the remainder of the Northern Hemisphere RSV season. Enrollment will complete before the end of May 2025, with topline data expected in late third quarter of 2025.</w:t>
      </w:r>
    </w:p>
    <w:p>
      <w:pPr>
        <w:spacing w:after="0" w:line="74"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an oral, direct-acting antiviral selectively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w:t>
      </w:r>
    </w:p>
    <w:p>
      <w:pPr>
        <w:spacing w:after="0" w:line="74" w:lineRule="exact"/>
        <w:rPr>
          <w:rFonts w:ascii="Times New Roman" w:cs="Times New Roman" w:eastAsia="Times New Roman" w:hAnsi="Times New Roman"/>
          <w:sz w:val="18"/>
          <w:szCs w:val="18"/>
          <w:color w:val="auto"/>
        </w:rPr>
      </w:pPr>
    </w:p>
    <w:p>
      <w:pPr>
        <w:ind w:left="1540" w:right="80" w:hanging="514"/>
        <w:spacing w:after="0" w:line="258"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2a Study of EDP-323</w:t>
      </w:r>
      <w:r>
        <w:rPr>
          <w:rFonts w:ascii="Times New Roman" w:cs="Times New Roman" w:eastAsia="Times New Roman" w:hAnsi="Times New Roman"/>
          <w:sz w:val="18"/>
          <w:szCs w:val="18"/>
          <w:color w:val="auto"/>
        </w:rPr>
        <w:t>: In September 2024, we announced positive topline results for EDP-323 in a Phase 2a challenge study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adults infected with RSV. Treatment with EDP-323 achieved highly statistically significant (p=&lt;0.0001) reductions in both viral load and clinical symptoms compared to placebo. Overall, EDP-323 was generally well tolerated and demonstrated a favorable safety profile that was comparable to placebo over 5 days of dosing through Day 28 of follow-up. There were no serious adverse events and no discontinuations of EDP-323.</w:t>
      </w:r>
    </w:p>
    <w:p>
      <w:pPr>
        <w:spacing w:after="0" w:line="7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We leveraged our expertise in developing protease inhibitors to discover compounds specifically designed to target the SARS-CoV-2 virus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potentially other coronaviruses. We selected EDP-235, an oral inhibitor of the coronavirus 3CL protease, also referred to as 3CLpro or the main coronavirus protease, or Mpro, for clinical development.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has good tissue distribution, and is projected to have four times higher drug levels in lung tissue compared to plasma.</w:t>
      </w:r>
    </w:p>
    <w:p>
      <w:pPr>
        <w:spacing w:after="0" w:line="76" w:lineRule="exact"/>
        <w:rPr>
          <w:sz w:val="20"/>
          <w:szCs w:val="20"/>
          <w:color w:val="auto"/>
        </w:rPr>
      </w:pPr>
    </w:p>
    <w:p>
      <w:pPr>
        <w:ind w:left="1020" w:right="280" w:hanging="503"/>
        <w:spacing w:after="0" w:line="26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SPRINT Study of EDP-235: </w:t>
      </w:r>
      <w:r>
        <w:rPr>
          <w:rFonts w:ascii="Times New Roman" w:cs="Times New Roman" w:eastAsia="Times New Roman" w:hAnsi="Times New Roman"/>
          <w:sz w:val="18"/>
          <w:szCs w:val="18"/>
          <w:color w:val="auto"/>
        </w:rPr>
        <w:t>In May 2023, we reported topline results from a Phase 2 clinical trial of EDP-235 in non-hospitalized,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symptomatic patients with mild to moderate COVID-19 who were not at increased risk for developing severe disease, which was the only study population permitted by the FDA. EDP-235 met the primary endpoint of the trial and was generally safe and well-tolerated.</w:t>
      </w:r>
    </w:p>
    <w:p>
      <w:pPr>
        <w:spacing w:after="0" w:line="67" w:lineRule="exact"/>
        <w:rPr>
          <w:rFonts w:ascii="Times New Roman" w:cs="Times New Roman" w:eastAsia="Times New Roman" w:hAnsi="Times New Roman"/>
          <w:sz w:val="18"/>
          <w:szCs w:val="18"/>
          <w:color w:val="auto"/>
        </w:rPr>
      </w:pPr>
    </w:p>
    <w:p>
      <w:pPr>
        <w:jc w:val="right"/>
        <w:ind w:left="1540" w:right="100" w:hanging="50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dose-dependent improvement in total symptom score was observed with EDP-235 treatment compared to placebo, which achieved statistical significance (p&lt;0.05) in the 400 mg treatment group at multiple time points, starting as early as one day after the first dose.</w:t>
      </w:r>
    </w:p>
    <w:p>
      <w:pPr>
        <w:spacing w:after="0" w:line="31"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analysis of a subset of six symptoms showed a two-day shorter time (5 days to 3 days) to improvement in patients receiving EDP-235 400 mg who were enrolled within three days of symptom onset (p&lt;0.01).</w:t>
      </w:r>
    </w:p>
    <w:p>
      <w:pPr>
        <w:spacing w:after="0" w:line="53" w:lineRule="exact"/>
        <w:rPr>
          <w:rFonts w:ascii="Times New Roman" w:cs="Times New Roman" w:eastAsia="Times New Roman" w:hAnsi="Times New Roman"/>
          <w:sz w:val="18"/>
          <w:szCs w:val="18"/>
          <w:color w:val="auto"/>
        </w:rPr>
      </w:pPr>
    </w:p>
    <w:p>
      <w:pPr>
        <w:ind w:left="1540" w:right="1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oNo effect on virologic endpoints as measured in the nose was detected due to the rapid viral decline in the placebo arm of this highly immunologically-experienced, standard risk population.</w:t>
      </w:r>
    </w:p>
    <w:p>
      <w:pPr>
        <w:spacing w:after="0" w:line="54" w:lineRule="exact"/>
        <w:rPr>
          <w:sz w:val="20"/>
          <w:szCs w:val="20"/>
          <w:color w:val="auto"/>
        </w:rPr>
      </w:pPr>
    </w:p>
    <w:p>
      <w:pPr>
        <w:ind w:left="1540" w:hanging="514"/>
        <w:spacing w:after="0" w:line="266"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focus on potential collaborations to progress EDP-235, as we will not advance this candidate into Phase 3 studies on our own.</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Immunology</w:t>
      </w:r>
      <w:r>
        <w:rPr>
          <w:rFonts w:ascii="Times New Roman" w:cs="Times New Roman" w:eastAsia="Times New Roman" w:hAnsi="Times New Roman"/>
          <w:sz w:val="18"/>
          <w:szCs w:val="18"/>
          <w:color w:val="auto"/>
        </w:rPr>
        <w:t>. We are designing and developing highly potent and selective, oral, small molecule inhibitors targeting the following mechanisms of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w:t>
      </w:r>
    </w:p>
    <w:p>
      <w:pPr>
        <w:spacing w:after="0" w:line="51" w:lineRule="exact"/>
        <w:rPr>
          <w:sz w:val="20"/>
          <w:szCs w:val="20"/>
          <w:color w:val="auto"/>
        </w:rPr>
      </w:pPr>
    </w:p>
    <w:p>
      <w:pPr>
        <w:ind w:left="1020" w:right="20" w:hanging="503"/>
        <w:spacing w:after="0" w:line="25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KIT Inhibitors</w:t>
      </w:r>
      <w:r>
        <w:rPr>
          <w:rFonts w:ascii="Times New Roman" w:cs="Times New Roman" w:eastAsia="Times New Roman" w:hAnsi="Times New Roman"/>
          <w:sz w:val="18"/>
          <w:szCs w:val="18"/>
          <w:color w:val="auto"/>
        </w:rPr>
        <w:t xml:space="preserve">. We have a preclinical stage program to develop oral KIT inhibitors to treat CSU and potentially other indications by depleting mast cells, thereby addressing a primary driver of these diseases. We have discovered novel, potent and selective oral KIT inhibitors, which are in preclinical development. In the fourth quarter of 2024, we selected our lead development candidate, EPS-1421. This candidate demonstrates potent nanomolar activity in both binding and cellular function assays, with sub-nanomolar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is highly selective for KIT versus other kinases. This inhibitor also demonstrates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absorption, distribution, metabolism and excretion (ADME) properties. We are conducting scale-up activities and IND-enabling studies for this program in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8" w:name="page19"/>
    <w:bookmarkEnd w:id="18"/>
    <w:p>
      <w:pPr>
        <w:jc w:val="both"/>
        <w:ind w:left="1020" w:right="20" w:hanging="503"/>
        <w:spacing w:after="0" w:line="272"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STAT6 Inhibitors</w:t>
      </w:r>
      <w:r>
        <w:rPr>
          <w:rFonts w:ascii="Times New Roman" w:cs="Times New Roman" w:eastAsia="Times New Roman" w:hAnsi="Times New Roman"/>
          <w:sz w:val="17"/>
          <w:szCs w:val="17"/>
          <w:color w:val="auto"/>
        </w:rPr>
        <w:t>. We have a discovery stage program to develop oral STAT6 inhibitors for the treatment of type 2 immune driven diseases, initially focusing on AD and potentially other indications by blocking the IL-4/IL-13 signaling pathway, thereby addressing a primary driver of these diseases. We have discovered novel, potent and selective oral STAT6 inhibitors, which are being optimized in the discovery stage.</w:t>
      </w:r>
    </w:p>
    <w:p>
      <w:pPr>
        <w:spacing w:after="0" w:line="1" w:lineRule="exact"/>
        <w:rPr>
          <w:rFonts w:ascii="Times New Roman" w:cs="Times New Roman" w:eastAsia="Times New Roman" w:hAnsi="Times New Roman"/>
          <w:sz w:val="17"/>
          <w:szCs w:val="17"/>
          <w:color w:val="auto"/>
        </w:rPr>
      </w:pPr>
    </w:p>
    <w:p>
      <w:pPr>
        <w:ind w:left="102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Our prototype inhibitors demonstrate nanomolar potency and high selectivity for STAT6 over other STATs in both biochemical and cellular assays, with good intrinsic permeability and oral bioavailability. Importantly, a prototype inhibitor resulted in complete inhibition of phosphorylated STAT6, or pSTAT6, in a mouse model, demonstrating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STAT6 target engagement after a single dose with rapid and complete inhibition of pSTAT6. We are continuing to evaluate multiple compounds in preclinical studies, including toxicology studies, and conducting lead optimization activities. Our goal is to select a lead development candidate in the second half of 2025.</w:t>
      </w:r>
    </w:p>
    <w:p>
      <w:pPr>
        <w:spacing w:after="0" w:line="7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expand our presence in immunology with the introduction of a third program in 2025.</w:t>
      </w:r>
    </w:p>
    <w:p>
      <w:pPr>
        <w:spacing w:after="0" w:line="11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immunology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172200" cy="24860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22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 w:right="1620"/>
        <w:spacing w:after="0" w:line="249" w:lineRule="auto"/>
        <w:rPr>
          <w:sz w:val="20"/>
          <w:szCs w:val="20"/>
          <w:color w:val="auto"/>
        </w:rPr>
      </w:pPr>
      <w:r>
        <w:rPr>
          <w:rFonts w:ascii="Times New Roman" w:cs="Times New Roman" w:eastAsia="Times New Roman" w:hAnsi="Times New Roman"/>
          <w:sz w:val="13"/>
          <w:szCs w:val="13"/>
          <w:color w:val="auto"/>
        </w:rPr>
        <w:t>*Fixed-dose antiviral combination contains glecaprevir and AbbVie's NS5A inhibitor, pibrentasvir. Marketed by AbbVie as MAVYRET® (U.S.) and MAVIRET® (ex-U.S.). **Continued development dependent on a future collaboration</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***Initial indications. Potential future indications include asthma, chronic inducible urticaria (CIndU), eosinophilic esophagitis (EoE), prurigo nodularis (PN) and others.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 and Royalty Sale Agreement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9" w:name="page20"/>
    <w:bookmarkEnd w:id="19"/>
    <w:p>
      <w:pPr>
        <w:ind w:right="120"/>
        <w:spacing w:after="0" w:line="261" w:lineRule="auto"/>
        <w:rPr>
          <w:sz w:val="20"/>
          <w:szCs w:val="20"/>
          <w:color w:val="auto"/>
        </w:rPr>
      </w:pPr>
      <w:r>
        <w:rPr>
          <w:rFonts w:ascii="Times New Roman" w:cs="Times New Roman" w:eastAsia="Times New Roman" w:hAnsi="Times New Roman"/>
          <w:sz w:val="18"/>
          <w:szCs w:val="18"/>
          <w:color w:val="auto"/>
        </w:rPr>
        <w:t>For accounting purposes, we continue to record 100% of HCV royalties earned under the AbbVie agreement as royalty revenue in our condensed consolidated statements of operations. The $200.0 million received in April 2023 was recognized on our condensed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 the discovery and development of novel compounds. As of the date of this report, we are conducting a Phase 2b study of zelicapavir in high risk adults and have recently completed a Phase 2b study of zelicapavir in pediatric patients and a Phase 2a human challenge study of EDP-323. We are also conducting preclinical research and discovery efforts in the field of immunology.</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the timing of our clinical and preclinical development programs, we expect our research and development expenses will fluctuate from period to period. However, in the next 12 months, we anticipate a reduction in our external research and development expenses, primarily driven by the completion of the Phase 2a human challenge study of EDP-323 and the Phase 2b study of zelicapavir in pediatric patients. These milestones, along with strategic adjustments, have positioned us to reduce spending in 2025 while maintaining our commitment to advancing key programs.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date, we have funded our operations primarily through milestone and royalty payments received under our collaboration agreement with AbbVie, a $200.0 million payment received in April 2023 from our royalty sale agreement, and our existing cash, cash equivalents, and short-term marketable securities. We believe that our existing cash, cash equivalents and short-term marketable securities, as well as the cash flows from our retained portion of future HCV royalties and our $33.8 million federal tax refund received in April 2025, will enable us to fund our operating expenses and capital expenditure requirements into fiscal 2028.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revenue is primarily derived from our collaboration agreement with AbbVie and AbbVie’s sales of MAVYRET/MAVIRET, an 8-week treatment regimen for chronic HCV.</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three and six months ended March 31, 2025 and 2024:</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Royalty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6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Agreement</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To date, we have received annually tiered, double-digit royalties on our protease inhibitor product glecaprevir included in AbbVie’s net sales of MAVYRET/MAVIRET. Under the terms of our AbbVie Agreement, 50% of AbbVie’s net sales of MAVYRET/MAVIRET are allocated to glecaprevir. Beginning with each January 1, the cumulative net sales of MAVYRET/MAVIRET start at zero for purposes of calculating the tiered royalties. As disclosed above regarding the OMERS royalty sale agreement, we only retain 45.5% of the cash payments from royalties on net sales of MAVYRET/MAVIRET occurring after June 30, 2023 through June 30, 2032, subject to a cap on aggregate payments to OMERS equal to 1.42 times OMERS’ purchase price.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Programs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any given time, we have later stage programs in clinical development as well as several active early-stage research and drug discovery projects. Our internal resources, employees and infrastructure are utilized across multiple projects, including our early-stage discovery projects. As such, we report information regarding costs incurred based on our programs (i.e., disease area) rather than on a project specific basis. All indirect costs are allocated to programs based on headcount and square footage of our facilities. We expect that our research and development expenses will fluctuate from period to period as we advance our research and development programs. However, in the next 12 months, we anticipate a reduction in our external research and development expenses, primarily driven by the completion of the Phase 2a human challenge study of EDP-323 and the Phase 2b study of zelicapavir in pediatric patients. These milestones, along with strategic adjustments, have positioned us to reduce spending in 2025 while maintaining our commitment to advancing key programs. To date, we have not identified any significant impact of inflation on spending in research and development, but it is uncertain whether there will be inflationary impacts, including as a result of tariffs, in future periods.</w:t>
      </w:r>
    </w:p>
    <w:p>
      <w:pPr>
        <w:spacing w:after="0" w:line="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suit.</w:t>
      </w:r>
    </w:p>
    <w:p>
      <w:pPr>
        <w:spacing w:after="0" w:line="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may increase in the long term. To date we have not experienced a significant impact of inflation on general and administrative expenses, but we anticipate inflation may impact future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income (expense) consists of interest expense, interest and investment income, net and the change in fair value of our outstanding Series 1 nonconvertible preferred stock. Interest expense consists of the interest expense and amortization of debt issuance costs associated with the royalty sale agreement with an affiliate of OMERS. Interest income consists of interest earned on our cash equivalents and marketable securities balances. Investment income consists of the amortization or accretion of any purchased premium or discount, respectively, on our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tax benefit (expense) is based on our best estimate of taxable net income (loss), applicable income tax rates, net research and development tax credits and carryforwards, net operating loss carrybacks and interest earned on such refunds, changes in valuation allowance estimates and deferred income taxes.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2"/>
          </w:tcPr>
          <w:p>
            <w:pPr>
              <w:jc w:val="center"/>
              <w:ind w:right="736"/>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500" w:type="dxa"/>
            <w:vAlign w:val="bottom"/>
            <w:gridSpan w:val="2"/>
            <w:shd w:val="clear" w:color="auto" w:fill="CFF0FC"/>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200" w:type="dxa"/>
            <w:vAlign w:val="bottom"/>
            <w:tcBorders>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jc w:val="center"/>
              <w:ind w:right="9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200" w:type="dxa"/>
            <w:vAlign w:val="bottom"/>
            <w:tcBorders>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(1,714)</w:t>
            </w:r>
          </w:p>
        </w:tc>
        <w:tc>
          <w:tcPr>
            <w:tcW w:w="1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(2,563)</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2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tcBorders>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3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(22,644)</w:t>
            </w:r>
          </w:p>
        </w:tc>
        <w:tc>
          <w:tcPr>
            <w:tcW w:w="1160" w:type="dxa"/>
            <w:vAlign w:val="bottom"/>
            <w:shd w:val="clear" w:color="auto" w:fill="CFF0FC"/>
          </w:tcPr>
          <w:p>
            <w:pPr>
              <w:jc w:val="center"/>
              <w:ind w:right="9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(31,157)</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revenue of $14.9 million during the three months ended March 31, 2025 as compared to $17.1 million during the three months ended March 31, 2024. The $2.1 million decrease in revenue was primarily due to AbbVie’s lower reported HCV sales as compared to the comparable period in 2024.</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condensed consolidated balance sheets as a liability which will be reduced by the payments made to OMERS over the term of the royalty sale agreement. We will continue to record 100% of HCV royalties earned under the AbbVie Agreement as royalty revenue in our condensed consolidated statements of operations since the AbbVie Agreement has not been amended and is independent of our agreement with 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22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00" w:type="dxa"/>
            <w:vAlign w:val="bottom"/>
            <w:gridSpan w:val="2"/>
          </w:tcPr>
          <w:p>
            <w:pPr>
              <w:jc w:val="center"/>
              <w:ind w:right="78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29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RSV</w:t>
            </w:r>
          </w:p>
        </w:tc>
        <w:tc>
          <w:tcPr>
            <w:tcW w:w="412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400" w:type="dxa"/>
            <w:vAlign w:val="bottom"/>
            <w:gridSpan w:val="2"/>
            <w:shd w:val="clear" w:color="auto" w:fill="CFF0FC"/>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COVID-19</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HBV</w:t>
            </w:r>
          </w:p>
        </w:tc>
        <w:tc>
          <w:tcPr>
            <w:tcW w:w="29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4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29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KIT</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STAT6</w:t>
            </w:r>
          </w:p>
        </w:tc>
        <w:tc>
          <w:tcPr>
            <w:tcW w:w="29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4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29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Early discovery</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programs for out-licensing</w:t>
            </w:r>
          </w:p>
        </w:tc>
        <w:tc>
          <w:tcPr>
            <w:tcW w:w="29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4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94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-1919605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-1362075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-1079500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ind w:right="780"/>
        <w:spacing w:after="0" w:line="375" w:lineRule="auto"/>
        <w:rPr>
          <w:sz w:val="20"/>
          <w:szCs w:val="20"/>
          <w:color w:val="auto"/>
        </w:rPr>
      </w:pPr>
      <w:r>
        <w:rPr>
          <w:rFonts w:ascii="Times New Roman" w:cs="Times New Roman" w:eastAsia="Times New Roman" w:hAnsi="Times New Roman"/>
          <w:sz w:val="18"/>
          <w:szCs w:val="18"/>
          <w:color w:val="auto"/>
        </w:rPr>
        <w:t xml:space="preserve">Research and development expenses for the three months ended March 31, 2025 decreased by $7.5 million compared to the same period in 2024. </w:t>
      </w:r>
      <w:r>
        <w:rPr>
          <w:rFonts w:ascii="Times New Roman" w:cs="Times New Roman" w:eastAsia="Times New Roman" w:hAnsi="Times New Roman"/>
          <w:sz w:val="18"/>
          <w:szCs w:val="18"/>
          <w:i w:val="1"/>
          <w:iCs w:val="1"/>
          <w:color w:val="auto"/>
        </w:rPr>
        <w:t>Virology</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costs in our virology program decreased $8.4 million primarily due to the timing of clinical trials in our RSV program and to a lesser extent, a decrease in costs associated with our COVID-19 program as we stopped further internal development and will only progress the program in the context of one or more collaborations.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costs in our immunology programs increased by $2.6 million primarily due to the initiation of preclinical studies and lead optimization activities for our STAT6 program.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program costs decreased by $1.7 million primarily due to the completion of the discovery-stage activities related to our STAT6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$2.8 million for the three months ended March 31, 2025 compared to the same period in 2024. The change was primarily due to a decrease in legal expenses related to our patent infringement suit against Pfizer.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Interest expense decreased $0.8 million for the three months ended March 31, 2025, as compared to the same period in 2024 due to the paydown of our obligation associated with our royalty sale agreement entered into during April 2023 with an affiliate of 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decreased $1.5 million for the three months ended March 31, 2025, as compared to the same period in 2024. The decrease was due to lower cash and investment balances year over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income tax benefit during the three months ended March 31, 2025 was primarily due to an additional federal income tax refund from a net operating loss carryback of $871. The income tax benefit during the three months ended March 31, 2024 related to interest recorded on our federal tax refund. We received $33.8 million in April 2025 related to our outstanding income tax receivable as of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March 31,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0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16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center"/>
              <w:ind w:righ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30,753</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(3,676)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(6,004)</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7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16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(44,934)</w:t>
            </w:r>
          </w:p>
        </w:tc>
        <w:tc>
          <w:tcPr>
            <w:tcW w:w="1140" w:type="dxa"/>
            <w:vAlign w:val="bottom"/>
            <w:gridSpan w:val="2"/>
            <w:shd w:val="clear" w:color="auto" w:fill="CFF0FC"/>
          </w:tcPr>
          <w:p>
            <w:pPr>
              <w:jc w:val="center"/>
              <w:ind w:right="7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(64,564)</w:t>
            </w: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recognized revenue of $31.9 million during the six months ended March 31, 2025 as compared to $35.1 million during the six months ended March 31, 2024. The $3.2 million decrease in revenue was primarily due to AbbVie’s lower reported HCV sales as compared to the comparable period in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0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RSV</w:t>
            </w:r>
          </w:p>
        </w:tc>
        <w:tc>
          <w:tcPr>
            <w:tcW w:w="144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36,207</w:t>
            </w:r>
          </w:p>
        </w:tc>
        <w:tc>
          <w:tcPr>
            <w:tcW w:w="1340" w:type="dxa"/>
            <w:vAlign w:val="bottom"/>
            <w:gridSpan w:val="2"/>
            <w:shd w:val="clear" w:color="auto" w:fill="CFF0FC"/>
          </w:tcPr>
          <w:p>
            <w:pPr>
              <w:jc w:val="center"/>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50,001</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COVID-19</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HBV</w:t>
            </w:r>
          </w:p>
        </w:tc>
        <w:tc>
          <w:tcPr>
            <w:tcW w:w="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1440" w:type="dxa"/>
            <w:vAlign w:val="bottom"/>
            <w:gridSpan w:val="2"/>
          </w:tcPr>
          <w:p>
            <w:pPr>
              <w:jc w:val="right"/>
              <w:ind w:right="128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36,699</w:t>
            </w: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54,156</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KIT</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STAT6</w:t>
            </w:r>
          </w:p>
        </w:tc>
        <w:tc>
          <w:tcPr>
            <w:tcW w:w="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3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1440" w:type="dxa"/>
            <w:vAlign w:val="bottom"/>
            <w:gridSpan w:val="2"/>
          </w:tcPr>
          <w:p>
            <w:pPr>
              <w:jc w:val="right"/>
              <w:ind w:right="128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Early discovery</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programs for out-licensing</w:t>
            </w:r>
          </w:p>
        </w:tc>
        <w:tc>
          <w:tcPr>
            <w:tcW w:w="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3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1440" w:type="dxa"/>
            <w:vAlign w:val="bottom"/>
            <w:gridSpan w:val="2"/>
          </w:tcPr>
          <w:p>
            <w:pPr>
              <w:jc w:val="right"/>
              <w:ind w:right="128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40" w:type="dxa"/>
            <w:vAlign w:val="bottom"/>
            <w:gridSpan w:val="2"/>
          </w:tcPr>
          <w:p>
            <w:pPr>
              <w:jc w:val="right"/>
              <w:ind w:right="128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10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-1568450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-1010920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-454025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40"/>
        <w:spacing w:after="0" w:line="375" w:lineRule="auto"/>
        <w:rPr>
          <w:sz w:val="20"/>
          <w:szCs w:val="20"/>
          <w:color w:val="auto"/>
        </w:rPr>
      </w:pPr>
      <w:r>
        <w:rPr>
          <w:rFonts w:ascii="Times New Roman" w:cs="Times New Roman" w:eastAsia="Times New Roman" w:hAnsi="Times New Roman"/>
          <w:sz w:val="18"/>
          <w:szCs w:val="18"/>
          <w:color w:val="auto"/>
        </w:rPr>
        <w:t xml:space="preserve">Research and development expenses for the six months ended March 31, 2025 decreased by $16.2 million compared to the same period in 2024. </w:t>
      </w:r>
      <w:r>
        <w:rPr>
          <w:rFonts w:ascii="Times New Roman" w:cs="Times New Roman" w:eastAsia="Times New Roman" w:hAnsi="Times New Roman"/>
          <w:sz w:val="18"/>
          <w:szCs w:val="18"/>
          <w:i w:val="1"/>
          <w:iCs w:val="1"/>
          <w:color w:val="auto"/>
        </w:rPr>
        <w:t>Virology</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costs in our virology program decreased $17.5 million primarily due to the timing of our clinical trials in our RSV program and to a lesser extent, a decrease in costs associated with our COVID-19 program as we stopped further internal development and will only progress the program in the context of one or more collaborations.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costs in our immunology programs increased by $5.1 million primarily due to the initiation of preclinical studies and lead optimization activities for our STAT6 program.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program costs decreased by $3.9 million primarily due to the completion of the discovery-stage activities related to our STAT6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$6.5 million for the six months ended March 31, 2025 compared to the same period in 2024. The change was primarily due to a decrease in legal expenses related to our patent infringement suit against Pfizer.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Interest expense decreased $2.3 million for the six months ended March 31, 2025, as compared to the same period in 2024 due to the paydown of our obligation associated with our royalty sale agreement entered into during April 2023 with an affiliate of 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decreased $3.0 million for the six months ended March 31, 2025, as compared to the same period in 2024. The decrease was due to lower cash and investment balances year over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income tax benefit during the six months ended March 31, 2025 was primarily due to an additional federal tax refund from a net operating loss carryback of $871. The income tax benefit during the six months ended March 31, 2024 related to interest recorded on our federal tax refund. We received $33.8 million in April 2025 related to our outstanding income tax receivable as of March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retained portion of our royalty revenue and our existing financial resources. At March 31, 2025, our principal sources of liquidity were cash and cash equivalents and short-term marketable securities of $193.4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1000" w:type="dxa"/>
            <w:vAlign w:val="bottom"/>
          </w:tcPr>
          <w:p>
            <w:pPr>
              <w:spacing w:after="0"/>
              <w:rPr>
                <w:sz w:val="15"/>
                <w:szCs w:val="15"/>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(30,289)</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(53,589)</w:t>
            </w: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64,534</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45,507</w:t>
            </w:r>
          </w:p>
        </w:tc>
        <w:tc>
          <w:tcPr>
            <w:tcW w:w="0" w:type="dxa"/>
            <w:vAlign w:val="bottom"/>
          </w:tcPr>
          <w:p>
            <w:pPr>
              <w:spacing w:after="0"/>
              <w:rPr>
                <w:sz w:val="1"/>
                <w:szCs w:val="1"/>
                <w:color w:val="auto"/>
              </w:rPr>
            </w:pPr>
          </w:p>
        </w:tc>
      </w:tr>
      <w:tr>
        <w:trPr>
          <w:trHeight w:val="216"/>
        </w:trPr>
        <w:tc>
          <w:tcPr>
            <w:tcW w:w="75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(11,873)</w:t>
            </w: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(13,764)</w:t>
            </w:r>
          </w:p>
        </w:tc>
        <w:tc>
          <w:tcPr>
            <w:tcW w:w="0" w:type="dxa"/>
            <w:vAlign w:val="bottom"/>
          </w:tcPr>
          <w:p>
            <w:pPr>
              <w:spacing w:after="0"/>
              <w:rPr>
                <w:sz w:val="1"/>
                <w:szCs w:val="1"/>
                <w:color w:val="auto"/>
              </w:rPr>
            </w:pPr>
          </w:p>
        </w:tc>
      </w:tr>
      <w:tr>
        <w:trPr>
          <w:trHeight w:val="20"/>
        </w:trPr>
        <w:tc>
          <w:tcPr>
            <w:tcW w:w="758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0" w:type="dxa"/>
            <w:vAlign w:val="bottom"/>
          </w:tcPr>
          <w:p>
            <w:pPr>
              <w:jc w:val="right"/>
              <w:ind w:right="87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28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(21,846)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$30.3 million for the six months ended March 31, 2025 as compared to cash used in operating activities of $53.6 million for the same period in 2024. Our cash used in operating activities decreased $23.3 million primarily due to lower research and development payments, offset by lower cash receipts associated with our AbbVie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$64.5 million for the six months ended March 31, 2025 as compared to cash provided by investing activities of $45.5 million for the same period in 2024. Our cash provided by investing activities increased $19.0 million, driven by the timing of maturities of marketable securities in 2025 compared to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$11.9 million for the six months ended March 31, 2025 as compared to cash used in financing activities of $13.8 million for the same period in 2024. Our cash used in financing activities decreased $1.9 million, driven primarily by lower payments on our royalty sale agreement with 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2025, we had $193.4 million in cash, cash equivalents and short-term marketable securities. We believe that our existing cash, cash equivalents and short-term marketable securities as of March 31, 2025, as well as our $33.8 million federal tax refund received in April 2025 and our retained portion of future HCV royalties, will enable us to fund our operating expenses and capital expenditure requirements into fiscal 2028. However, our projection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left="1020" w:right="3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we lease space in Watertown, Massachusetts, under two separate lease agreements with one landlord.</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2022, we entered into a ten-year lease for new laboratory and office space in Watertown, Massachusetts, adjacent to our 400 Talcott Avenue premises at Arsenal on the Charles at 4 Kingsbury Avenue since our lease for office and laboratory space at 500 Arsenal Street was to expire on September 1, 2027.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 million of a tenant improvement allowance provided by the landlord, over the 10-year term of the lease. The 4 Kingsbury Avenue lease ends on September 30, 2034.</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conjunction with the commencement of our lease at 4 Kingsbury Avenue, during the three months ended March 31, 2024, we adjusted our 500 Arsenal Street lease liability to shorten the expiration date from September 2027 to the date the 4 Kingsbury Avenue building became ready for our occupancy. This resulted in a decrease in the lease liability and right-of-use asset on our consolidated balance sheets by approximately $9.0 million. The rent commencement date for our 4 Kingsbury Avenue lease was September 12, 2024, and we moved into the space in November 2024, at which time our lease at 500 Arsenal Street expired.</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 In July 2024, we amended our lease agreement to confirm alignment with the lease end date of our 4 Kingsbury Avenue lease at September 30, 2034.</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Total estimated minimum lease payments for the next 5 years and thereafter under our existing facility and leased equipment agreements are $4.6 million for the remainder of 2025, $8.5 million in 2026, $8.7 million in 2027, $9.0 million in 2028, $9.3 million in 2029, and $50.6 million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OMERS Agreement</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$200.0 million received in April 2023 was recognized on our condensed consolidated balance sheets as a liability which will be reduced by the payments made to OMERS over the term of the Agreement.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condensed consolidated financial statements are prepared in accordance with accounting principles generally accepted in the United States of America. The preparation of our condensed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2024 Form 10-K for </w:t>
      </w:r>
      <w:r>
        <w:rPr>
          <w:rFonts w:ascii="Times New Roman" w:cs="Times New Roman" w:eastAsia="Times New Roman" w:hAnsi="Times New Roman"/>
          <w:sz w:val="18"/>
          <w:szCs w:val="18"/>
          <w:color w:val="212529"/>
        </w:rPr>
        <w:t>information about our 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accounting policies as well as a description of our other significant accounting policies</w:t>
      </w:r>
      <w:r>
        <w:rPr>
          <w:rFonts w:ascii="Times New Roman" w:cs="Times New Roman" w:eastAsia="Times New Roman" w:hAnsi="Times New Roman"/>
          <w:sz w:val="18"/>
          <w:szCs w:val="18"/>
          <w:color w:val="000000"/>
        </w:rPr>
        <w:t>. There have been no significant changes to our critical accounting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policies since the beginning of this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condensed consolidated financial statements included in this Form 10-Q.</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2025, there were no material changes to our market risk disclosures as set forth in Part II, Item 7A “Quantitative and Qualitative Disclosures About Market Risk” in our Annual Report on Form 10-K for the fiscal year ended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ind w:right="48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and Internal Control over Financial Reporting </w:t>
      </w:r>
      <w:r>
        <w:rPr>
          <w:rFonts w:ascii="Times New Roman" w:cs="Times New Roman" w:eastAsia="Times New Roman" w:hAnsi="Times New Roman"/>
          <w:sz w:val="18"/>
          <w:szCs w:val="18"/>
          <w:i w:val="1"/>
          <w:iCs w:val="1"/>
          <w:color w:val="auto"/>
        </w:rPr>
        <w:t>Evaluation of Disclosure Controls and Procedures.</w:t>
      </w:r>
    </w:p>
    <w:p>
      <w:pPr>
        <w:ind w:right="12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is included in Note 12 of the Notes to the Unaudited Condensed Consolidated Financial Statements contained in Part I, Item 1 of this Quarterly Report on Form 10-Q, which is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2024 Form 10-K.</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such risk factors during the quarter ended March 31, 2025. Other events that we do not currently anticipate or that we currently deem immaterial may also affect our business, prospects, financial condition and results of operations.</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9"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March 31, 2025, no director or officer (as defined in Rule 16a-1(f)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the Company adopted or terminated a “Rule 10b5-1 trading arrangement” or “non-rule 10b5-1 trading arrangement,” as each term is defined in item 408(a) of Regulation S-K.</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5140" w:type="dxa"/>
            <w:vAlign w:val="bottom"/>
            <w:gridSpan w:val="10"/>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514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4960" w:type="dxa"/>
            <w:vAlign w:val="bottom"/>
            <w:tcBorders>
              <w:bottom w:val="single" w:sz="8" w:color="0000EE"/>
            </w:tcBorders>
            <w:gridSpan w:val="8"/>
          </w:tcPr>
          <w:p>
            <w:pPr>
              <w:spacing w:after="0"/>
              <w:rPr>
                <w:rFonts w:ascii="Times New Roman" w:cs="Times New Roman" w:eastAsia="Times New Roman" w:hAnsi="Times New Roman"/>
                <w:sz w:val="18"/>
                <w:szCs w:val="18"/>
                <w:color w:val="auto"/>
                <w:w w:val="99"/>
              </w:rPr>
            </w:pPr>
            <w:hyperlink r:id="rId231">
              <w:r>
                <w:rPr>
                  <w:rFonts w:ascii="Times New Roman" w:cs="Times New Roman" w:eastAsia="Times New Roman" w:hAnsi="Times New Roman"/>
                  <w:sz w:val="18"/>
                  <w:szCs w:val="18"/>
                  <w:color w:val="auto"/>
                  <w:w w:val="99"/>
                </w:rPr>
                <w:t>Restated Certificate of Incorporation of Enanta Pharmaceuticals, Inc.</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140" w:type="dxa"/>
            <w:vAlign w:val="bottom"/>
            <w:gridSpan w:val="10"/>
          </w:tcPr>
          <w:p>
            <w:pPr>
              <w:spacing w:after="0"/>
              <w:rPr>
                <w:rFonts w:ascii="Times New Roman" w:cs="Times New Roman" w:eastAsia="Times New Roman" w:hAnsi="Times New Roman"/>
                <w:sz w:val="18"/>
                <w:szCs w:val="18"/>
                <w:color w:val="auto"/>
              </w:rPr>
            </w:pPr>
            <w:hyperlink r:id="rId232">
              <w:r>
                <w:rPr>
                  <w:rFonts w:ascii="Times New Roman" w:cs="Times New Roman" w:eastAsia="Times New Roman" w:hAnsi="Times New Roman"/>
                  <w:sz w:val="18"/>
                  <w:szCs w:val="18"/>
                  <w:color w:val="auto"/>
                </w:rPr>
                <w:t>Amended and Restated Bylaws of Enanta Pharmaceuticals, Inc.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8"/>
              </w:rPr>
            </w:pPr>
            <w:hyperlink r:id="rId232">
              <w:r>
                <w:rPr>
                  <w:rFonts w:ascii="Times New Roman" w:cs="Times New Roman" w:eastAsia="Times New Roman" w:hAnsi="Times New Roman"/>
                  <w:sz w:val="18"/>
                  <w:szCs w:val="18"/>
                  <w:color w:val="auto"/>
                  <w:w w:val="98"/>
                </w:rPr>
                <w:t>amended and restated in August 2015)</w:t>
              </w:r>
            </w:hyperlink>
          </w:p>
        </w:tc>
        <w:tc>
          <w:tcPr>
            <w:tcW w:w="2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140" w:type="dxa"/>
            <w:vAlign w:val="bottom"/>
            <w:gridSpan w:val="10"/>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2019 Equity Incentive Plan (as amended March 2025)</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or 15d-14(a) of the Securities Exchange Act of 1934.</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15d-14(a) of the Securities Exchange Act of 1934.</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46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w:t>
            </w:r>
          </w:p>
        </w:tc>
        <w:tc>
          <w:tcPr>
            <w:tcW w:w="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Officer pursuant to 18 U.S.C. Section 1350, as adopted pursuant to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906 of the Sarbanes-Oxley Act of 2002.</w:t>
            </w:r>
          </w:p>
        </w:tc>
        <w:tc>
          <w:tcPr>
            <w:tcW w:w="17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5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41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right="20" w:hanging="1011"/>
        <w:spacing w:after="0" w:line="312" w:lineRule="auto"/>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Cover Page Interactive Data File (formatted as Inline XBRL with applicable Taxonomy Extension information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0"/>
                <w:szCs w:val="10"/>
                <w:color w:val="auto"/>
              </w:rPr>
            </w:pPr>
          </w:p>
        </w:tc>
        <w:tc>
          <w:tcPr>
            <w:tcW w:w="900" w:type="dxa"/>
            <w:vAlign w:val="bottom"/>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03/17/2025</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86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40" w:space="120"/>
            <w:col w:w="4820"/>
          </w:cols>
          <w:pgMar w:left="320" w:top="98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Ph.D., certify that:</w:t>
      </w:r>
    </w:p>
    <w:p>
      <w:pPr>
        <w:spacing w:after="0" w:line="117"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Jay R. Luly,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March 31, 2025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2025</w:t>
            </w:r>
          </w:p>
        </w:tc>
        <w:tc>
          <w:tcPr>
            <w:tcW w:w="30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R. Luly, Ph.D.</w:t>
            </w:r>
          </w:p>
        </w:tc>
      </w:tr>
      <w:tr>
        <w:trPr>
          <w:trHeight w:val="191"/>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R. Luly, Ph.D.</w:t>
            </w:r>
          </w:p>
        </w:tc>
      </w:tr>
      <w:tr>
        <w:trPr>
          <w:trHeight w:val="234"/>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2025</w:t>
            </w:r>
          </w:p>
        </w:tc>
        <w:tc>
          <w:tcPr>
            <w:tcW w:w="30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J. Mellett</w:t>
            </w:r>
          </w:p>
        </w:tc>
      </w:tr>
      <w:tr>
        <w:trPr>
          <w:trHeight w:val="191"/>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J. Mellett</w:t>
            </w:r>
          </w:p>
        </w:tc>
      </w:tr>
      <w:tr>
        <w:trPr>
          <w:trHeight w:val="234"/>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Administrative Officer</w:t>
            </w:r>
          </w:p>
        </w:tc>
      </w:tr>
      <w:tr>
        <w:trPr>
          <w:trHeight w:val="979"/>
        </w:trPr>
        <w:tc>
          <w:tcPr>
            <w:tcW w:w="41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lvl w:ilvl="1">
      <w:lvlJc w:val="left"/>
      <w:lvlText w:val="▪"/>
      <w:numFmt w:val="bullet"/>
      <w:start w:val="1"/>
    </w:lvl>
  </w:abstractNum>
  <w:abstractNum w:abstractNumId="16">
    <w:nsid w:val="721DA317"/>
    <w:multiLevelType w:val="hybridMultilevel"/>
    <w:lvl w:ilvl="0">
      <w:lvlJc w:val="left"/>
      <w:lvlText w:val="•"/>
      <w:numFmt w:val="bullet"/>
      <w:start w:val="1"/>
    </w:lvl>
    <w:lvl w:ilvl="1">
      <w:lvlJc w:val="left"/>
      <w:lvlText w:val="o"/>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o"/>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04"/>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31" Type="http://schemas.openxmlformats.org/officeDocument/2006/relationships/hyperlink" Target="https://www.sec.gov/Archives/edgar/data/1177648/000119312513132679/d511662dex31.htm" TargetMode="External"/><Relationship Id="rId232" Type="http://schemas.openxmlformats.org/officeDocument/2006/relationships/hyperlink" Target="https://www.sec.gov/Archives/edgar/data/1177648/000119312515294582/d95810dex32.htm" TargetMode="External"/><Relationship Id="rId233" Type="http://schemas.openxmlformats.org/officeDocument/2006/relationships/hyperlink" Target="https://www.sec.gov/Archives/edgar/data/1177648/000095017025040230/ent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2025-05-14T15:10:08Z</dcterms:created>
  <dcterms:modified xsi:type="dcterms:W3CDTF">2025-05-14T15:10:08Z</dcterms:modified>
</cp:coreProperties>
</file>