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137795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Pr>
          <w:p>
            <w:pPr>
              <w:spacing w:after="0"/>
              <w:rPr>
                <w:sz w:val="14"/>
                <w:szCs w:val="14"/>
                <w:color w:val="auto"/>
              </w:rPr>
            </w:pPr>
          </w:p>
        </w:tc>
        <w:tc>
          <w:tcPr>
            <w:tcW w:w="41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 of each exchange on which registered:</w:t>
            </w:r>
          </w:p>
        </w:tc>
        <w:tc>
          <w:tcPr>
            <w:tcW w:w="1320" w:type="dxa"/>
            <w:vAlign w:val="bottom"/>
          </w:tcPr>
          <w:p>
            <w:pPr>
              <w:spacing w:after="0"/>
              <w:rPr>
                <w:sz w:val="14"/>
                <w:szCs w:val="14"/>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680" w:type="dxa"/>
            <w:vAlign w:val="bottom"/>
          </w:tcPr>
          <w:p>
            <w:pPr>
              <w:spacing w:after="0"/>
              <w:rPr>
                <w:sz w:val="20"/>
                <w:szCs w:val="20"/>
                <w:color w:val="auto"/>
              </w:rPr>
            </w:pPr>
          </w:p>
        </w:tc>
        <w:tc>
          <w:tcPr>
            <w:tcW w:w="5440" w:type="dxa"/>
            <w:vAlign w:val="bottom"/>
            <w:gridSpan w:val="3"/>
          </w:tcPr>
          <w:p>
            <w:pPr>
              <w:ind w:left="60"/>
              <w:spacing w:after="0"/>
              <w:rPr>
                <w:sz w:val="20"/>
                <w:szCs w:val="20"/>
                <w:color w:val="auto"/>
              </w:rPr>
            </w:pPr>
            <w:r>
              <w:rPr>
                <w:rFonts w:ascii="Arial" w:cs="Arial" w:eastAsia="Arial" w:hAnsi="Arial"/>
                <w:sz w:val="18"/>
                <w:szCs w:val="18"/>
                <w:color w:val="auto"/>
              </w:rPr>
              <w:t>The NASDAQ Stock Market LLC (NASDAQ Global Select Market)</w:t>
            </w:r>
          </w:p>
        </w:tc>
      </w:tr>
      <w:tr>
        <w:trPr>
          <w:trHeight w:val="311"/>
        </w:trPr>
        <w:tc>
          <w:tcPr>
            <w:tcW w:w="2840" w:type="dxa"/>
            <w:vAlign w:val="bottom"/>
          </w:tcPr>
          <w:p>
            <w:pPr>
              <w:spacing w:after="0"/>
              <w:rPr>
                <w:sz w:val="24"/>
                <w:szCs w:val="24"/>
                <w:color w:val="auto"/>
              </w:rPr>
            </w:pPr>
          </w:p>
        </w:tc>
        <w:tc>
          <w:tcPr>
            <w:tcW w:w="5800" w:type="dxa"/>
            <w:vAlign w:val="bottom"/>
            <w:gridSpan w:val="3"/>
          </w:tcPr>
          <w:p>
            <w:pPr>
              <w:ind w:left="460"/>
              <w:spacing w:after="0"/>
              <w:rPr>
                <w:sz w:val="20"/>
                <w:szCs w:val="20"/>
                <w:color w:val="auto"/>
              </w:rPr>
            </w:pPr>
            <w:r>
              <w:rPr>
                <w:rFonts w:ascii="Arial" w:cs="Arial" w:eastAsia="Arial" w:hAnsi="Arial"/>
                <w:sz w:val="18"/>
                <w:szCs w:val="18"/>
                <w:b w:val="1"/>
                <w:bCs w:val="1"/>
                <w:color w:val="auto"/>
                <w:w w:val="97"/>
              </w:rPr>
              <w:t>Securities registered pursuant to Section 12(g) of the Act: None</w:t>
            </w:r>
          </w:p>
        </w:tc>
        <w:tc>
          <w:tcPr>
            <w:tcW w:w="1320" w:type="dxa"/>
            <w:vAlign w:val="bottom"/>
          </w:tcPr>
          <w:p>
            <w:pPr>
              <w:spacing w:after="0"/>
              <w:rPr>
                <w:sz w:val="24"/>
                <w:szCs w:val="24"/>
                <w:color w:val="auto"/>
              </w:rPr>
            </w:pPr>
          </w:p>
        </w:tc>
      </w:tr>
      <w:tr>
        <w:trPr>
          <w:trHeight w:val="189"/>
        </w:trPr>
        <w:tc>
          <w:tcPr>
            <w:tcW w:w="4520" w:type="dxa"/>
            <w:vAlign w:val="bottom"/>
            <w:gridSpan w:val="2"/>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76"/>
        </w:trPr>
        <w:tc>
          <w:tcPr>
            <w:tcW w:w="8640" w:type="dxa"/>
            <w:vAlign w:val="bottom"/>
            <w:gridSpan w:val="4"/>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No</w:t>
            </w:r>
          </w:p>
        </w:tc>
        <w:tc>
          <w:tcPr>
            <w:tcW w:w="13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r>
        <w:trPr>
          <w:trHeight w:val="305"/>
        </w:trPr>
        <w:tc>
          <w:tcPr>
            <w:tcW w:w="86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13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38" w:lineRule="exact"/>
        <w:rPr>
          <w:sz w:val="24"/>
          <w:szCs w:val="24"/>
          <w:color w:val="auto"/>
        </w:rPr>
      </w:pPr>
    </w:p>
    <w:p>
      <w:pPr>
        <w:ind w:right="52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center"/>
        <w:ind w:right="30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4"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560" w:firstLine="342"/>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6"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460"/>
            <w:col w:w="6240" w:space="720"/>
            <w:col w:w="1680" w:space="72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5">
            <w:col w:w="1380" w:space="540"/>
            <w:col w:w="160" w:space="80"/>
            <w:col w:w="6000" w:space="720"/>
            <w:col w:w="1780" w:space="620"/>
            <w:col w:w="140"/>
          </w:cols>
          <w:pgMar w:left="240" w:top="230" w:right="239" w:bottom="1440" w:gutter="0" w:footer="0" w:header="0"/>
          <w:type w:val="continuous"/>
        </w:sectPr>
      </w:pPr>
    </w:p>
    <w:p>
      <w:pPr>
        <w:spacing w:after="0" w:line="3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7700" w:space="160"/>
            <w:col w:w="240" w:space="80"/>
            <w:col w:w="140" w:space="180"/>
            <w:col w:w="180" w:space="100"/>
            <w:col w:w="2640"/>
          </w:cols>
          <w:pgMar w:left="240" w:top="230" w:right="239" w:bottom="1440" w:gutter="0" w:footer="0" w:header="0"/>
          <w:type w:val="continuous"/>
        </w:sectPr>
      </w:pPr>
    </w:p>
    <w:p>
      <w:pPr>
        <w:ind w:right="80" w:firstLine="342"/>
        <w:spacing w:after="0" w:line="278"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the last business day of the registrant’s most recently completed second fiscal quarter, March 31, 2015, based on the last reported sale price of the registrant’s common stock of $30.62 per share was $572,279,471. The number of shares of the registrant’s Common Stock, $0.01 par value, outstanding as of November 30, 2015, was 18,795,071 shares.</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4"/>
          <w:szCs w:val="24"/>
          <w:color w:val="auto"/>
        </w:rPr>
      </w:pPr>
    </w:p>
    <w:p>
      <w:pPr>
        <w:jc w:val="both"/>
        <w:ind w:right="200" w:firstLine="342"/>
        <w:spacing w:after="0" w:line="278" w:lineRule="auto"/>
        <w:rPr>
          <w:sz w:val="20"/>
          <w:szCs w:val="20"/>
          <w:color w:val="auto"/>
        </w:rPr>
      </w:pPr>
      <w:r>
        <w:rPr>
          <w:rFonts w:ascii="Arial" w:cs="Arial" w:eastAsia="Arial" w:hAnsi="Arial"/>
          <w:sz w:val="16"/>
          <w:szCs w:val="16"/>
          <w:color w:val="auto"/>
        </w:rPr>
        <w:t>Portions of the registrant’s Definitive Proxy Statement for its 2016 Annual Meeting of Stockholders scheduled to be held on February 11, 2016, which Definitive Proxy will be filed with the Securities and Exchange Commission not later than 120 days after the registrant’s fiscal year end of September 30, 2015,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used in this Form 10-K, “Enanta,” “the Company,” “we,” “our,” and “us” refer to Enanta Pharmaceuticals, Inc., except where the context otherwise requires or as otherwise indicated.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commitment of AbbVie, our collaborator, with respect to the development of product candidates incorporating paritaprevir or ABT-493;</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prospects and timing of preclinical studies and clinical trials of EDP-494 or any other product candidate of ours conducted by us or any collaborator of ours;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AbbVie’s abilities to obtain and maintain regulatory approvals of paritaprevir-containing therapies, or our or any collaborator’s abilities to do the same for therapies involving any of our other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amount of any milestone payments or royalties from AbbVie;</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HCV drugs that are available now or become available later or other developments or projections relating to our competitors or our industry;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or any collaborator’s plans to develop and commercialize our product candidates;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paritaprevir-containing therapies or any of our product candidates and any combination therapies developed by AbbVie or us;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products and product candidates and our abilities to serve those markets ourselves or with a collaborator, including our belief that substantial opportunities exist for improved treatments in HCV and other liver diseases;</w:t>
      </w:r>
    </w:p>
    <w:p>
      <w:pPr>
        <w:spacing w:after="0" w:line="51"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 and operate our business without infringing on the intellectual property rights of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affecting disease indications for our product candidates or anti-infective drugs generally;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third-party manufacturers of our products and product candidates, including any collaborators;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our future expenses and revenues, and the sufficiency of our financial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collaborators for our development programs or to otherwise obtain additional funding for the development of our proprietary product candidates;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forward-looking statements are based on our management’s current expectations, estimates, forecasts and projections about our business and the industry in which we operate and our management’s beliefs and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8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rPr>
              <w:t>ENANTA PHARMACEUTICALS, INC.</w:t>
            </w:r>
          </w:p>
        </w:tc>
        <w:tc>
          <w:tcPr>
            <w:tcW w:w="300" w:type="dxa"/>
            <w:vAlign w:val="bottom"/>
          </w:tcPr>
          <w:p>
            <w:pPr>
              <w:spacing w:after="0"/>
              <w:rPr>
                <w:sz w:val="20"/>
                <w:szCs w:val="20"/>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80" w:type="dxa"/>
            <w:vAlign w:val="bottom"/>
            <w:gridSpan w:val="15"/>
          </w:tcPr>
          <w:p>
            <w:pPr>
              <w:jc w:val="center"/>
              <w:ind w:right="3340"/>
              <w:spacing w:after="0"/>
              <w:rPr>
                <w:sz w:val="20"/>
                <w:szCs w:val="20"/>
                <w:color w:val="auto"/>
              </w:rPr>
            </w:pPr>
            <w:r>
              <w:rPr>
                <w:rFonts w:ascii="Arial" w:cs="Arial" w:eastAsia="Arial" w:hAnsi="Arial"/>
                <w:sz w:val="18"/>
                <w:szCs w:val="18"/>
                <w:b w:val="1"/>
                <w:bCs w:val="1"/>
                <w:color w:val="auto"/>
                <w:w w:val="99"/>
              </w:rPr>
              <w:t>ANNUAL REPORT ON FORM 10-K</w:t>
            </w:r>
          </w:p>
        </w:tc>
        <w:tc>
          <w:tcPr>
            <w:tcW w:w="30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8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89"/>
              </w:rPr>
              <w:t>For the year ended September 30, 2015</w:t>
            </w:r>
          </w:p>
        </w:tc>
        <w:tc>
          <w:tcPr>
            <w:tcW w:w="30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12"/>
          </w:tcPr>
          <w:p>
            <w:pPr>
              <w:jc w:val="center"/>
              <w:ind w:right="476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4"/>
                <w:szCs w:val="24"/>
                <w:color w:val="auto"/>
              </w:rPr>
            </w:pPr>
          </w:p>
        </w:tc>
      </w:tr>
      <w:tr>
        <w:trPr>
          <w:trHeight w:val="405"/>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Item No.</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520" w:type="dxa"/>
            <w:vAlign w:val="bottom"/>
            <w:gridSpan w:val="9"/>
          </w:tcPr>
          <w:p>
            <w:pPr>
              <w:jc w:val="center"/>
              <w:ind w:right="4980"/>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300" w:type="dxa"/>
            <w:vAlign w:val="bottom"/>
          </w:tcPr>
          <w:p>
            <w:pPr>
              <w:spacing w:after="0"/>
              <w:rPr>
                <w:sz w:val="22"/>
                <w:szCs w:val="22"/>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4020" w:type="dxa"/>
            <w:vAlign w:val="bottom"/>
            <w:gridSpan w:val="16"/>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9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1A.</w:t>
            </w:r>
          </w:p>
        </w:tc>
        <w:tc>
          <w:tcPr>
            <w:tcW w:w="30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928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1B.</w:t>
            </w:r>
          </w:p>
        </w:tc>
        <w:tc>
          <w:tcPr>
            <w:tcW w:w="300" w:type="dxa"/>
            <w:vAlign w:val="bottom"/>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Unresolved Staff Comments</w:t>
              </w:r>
            </w:hyperlink>
          </w:p>
        </w:tc>
        <w:tc>
          <w:tcPr>
            <w:tcW w:w="814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Properties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12"/>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PART II</w:t>
              </w:r>
            </w:hyperlink>
          </w:p>
        </w:tc>
        <w:tc>
          <w:tcPr>
            <w:tcW w:w="494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83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Market for the Company’s Common Equity, Related Stockholder Matters and Issuer Purchases of Equity Securities</w:t>
              </w:r>
            </w:hyperlink>
          </w:p>
        </w:tc>
        <w:tc>
          <w:tcPr>
            <w:tcW w:w="18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Selected Consolidated Financial Data</w:t>
              </w:r>
            </w:hyperlink>
          </w:p>
        </w:tc>
        <w:tc>
          <w:tcPr>
            <w:tcW w:w="748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Management’s Discussion and Analysis of Financial Condition and Results of Operations</w:t>
              </w:r>
            </w:hyperlink>
          </w:p>
        </w:tc>
        <w:tc>
          <w:tcPr>
            <w:tcW w:w="37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7A.</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Financial Statements and Supplementary Data</w:t>
              </w:r>
            </w:hyperlink>
          </w:p>
        </w:tc>
        <w:tc>
          <w:tcPr>
            <w:tcW w:w="58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64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Changes in and Disagreements with Accountants on Accounting and Financial Disclosure</w:t>
              </w:r>
            </w:hyperlink>
          </w:p>
        </w:tc>
        <w:tc>
          <w:tcPr>
            <w:tcW w:w="37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9A.</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9B.</w:t>
            </w:r>
          </w:p>
        </w:tc>
        <w:tc>
          <w:tcPr>
            <w:tcW w:w="30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84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412"/>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11"/>
          </w:tcPr>
          <w:p>
            <w:pPr>
              <w:jc w:val="center"/>
              <w:ind w:right="4920"/>
              <w:spacing w:after="0"/>
              <w:rPr>
                <w:rFonts w:ascii="Arial" w:cs="Arial" w:eastAsia="Arial" w:hAnsi="Arial"/>
                <w:sz w:val="18"/>
                <w:szCs w:val="18"/>
                <w:color w:val="0000EE"/>
                <w:w w:val="96"/>
              </w:rPr>
            </w:pPr>
            <w:hyperlink w:anchor="page79">
              <w:r>
                <w:rPr>
                  <w:rFonts w:ascii="Arial" w:cs="Arial" w:eastAsia="Arial" w:hAnsi="Arial"/>
                  <w:sz w:val="18"/>
                  <w:szCs w:val="18"/>
                  <w:color w:val="0000EE"/>
                  <w:w w:val="96"/>
                </w:rPr>
                <w:t>PART III</w:t>
              </w:r>
            </w:hyperlink>
          </w:p>
        </w:tc>
        <w:tc>
          <w:tcPr>
            <w:tcW w:w="300" w:type="dxa"/>
            <w:vAlign w:val="bottom"/>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4600" w:type="dxa"/>
            <w:vAlign w:val="bottom"/>
            <w:gridSpan w:val="1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660" w:type="dxa"/>
            <w:vAlign w:val="bottom"/>
            <w:tcBorders>
              <w:top w:val="single" w:sz="8" w:color="0000EE"/>
            </w:tcBorders>
            <w:gridSpan w:val="5"/>
          </w:tcPr>
          <w:p>
            <w:pPr>
              <w:spacing w:after="0"/>
              <w:rPr>
                <w:sz w:val="17"/>
                <w:szCs w:val="17"/>
                <w:color w:val="auto"/>
              </w:rPr>
            </w:pPr>
          </w:p>
        </w:tc>
        <w:tc>
          <w:tcPr>
            <w:tcW w:w="49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61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0180" w:type="dxa"/>
            <w:vAlign w:val="bottom"/>
            <w:gridSpan w:val="2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72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 and Director Independence</w:t>
              </w:r>
            </w:hyperlink>
          </w:p>
        </w:tc>
        <w:tc>
          <w:tcPr>
            <w:tcW w:w="29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5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Principal Accounting Fees and Services</w:t>
              </w:r>
            </w:hyperlink>
          </w:p>
        </w:tc>
        <w:tc>
          <w:tcPr>
            <w:tcW w:w="47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412"/>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gridSpan w:val="11"/>
          </w:tcPr>
          <w:p>
            <w:pPr>
              <w:jc w:val="center"/>
              <w:ind w:right="4920"/>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PART IV</w:t>
              </w:r>
            </w:hyperlink>
          </w:p>
        </w:tc>
        <w:tc>
          <w:tcPr>
            <w:tcW w:w="300" w:type="dxa"/>
            <w:vAlign w:val="bottom"/>
          </w:tcPr>
          <w:p>
            <w:pPr>
              <w:spacing w:after="0"/>
              <w:rPr>
                <w:sz w:val="24"/>
                <w:szCs w:val="24"/>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Exhibits, Financial Statement Schedules</w:t>
              </w:r>
            </w:hyperlink>
          </w:p>
        </w:tc>
        <w:tc>
          <w:tcPr>
            <w:tcW w:w="1700" w:type="dxa"/>
            <w:vAlign w:val="bottom"/>
            <w:gridSpan w:val="4"/>
          </w:tcPr>
          <w:p>
            <w:pPr>
              <w:spacing w:after="0"/>
              <w:rPr>
                <w:sz w:val="17"/>
                <w:szCs w:val="17"/>
                <w:color w:val="auto"/>
              </w:rPr>
            </w:pPr>
          </w:p>
        </w:tc>
        <w:tc>
          <w:tcPr>
            <w:tcW w:w="660" w:type="dxa"/>
            <w:vAlign w:val="bottom"/>
            <w:tcBorders>
              <w:top w:val="single" w:sz="8" w:color="0000EE"/>
            </w:tcBorders>
            <w:gridSpan w:val="5"/>
          </w:tcPr>
          <w:p>
            <w:pPr>
              <w:spacing w:after="0"/>
              <w:rPr>
                <w:sz w:val="17"/>
                <w:szCs w:val="17"/>
                <w:color w:val="auto"/>
              </w:rPr>
            </w:pPr>
          </w:p>
        </w:tc>
        <w:tc>
          <w:tcPr>
            <w:tcW w:w="49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Signatures</w:t>
              </w:r>
            </w:hyperlink>
          </w:p>
        </w:tc>
        <w:tc>
          <w:tcPr>
            <w:tcW w:w="942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research and development-focused biotechnology company that uses its robust chemistry-driven approach and drug discovery capabilities to create small molecule drugs primarily for the treatment of viral infections and liver diseases. Our lead product, paritaprevir, a protease inhibitor designed for use against the hepatitis C virus, referred to as HCV, is a key compound in AbbVie’s marketed HCV treatment regimens. We also have a second HCV protease inhibitor in phase 3 development with AbbVie, as well as a wholly-owned HCV program using a different class of molecules known as cyclophilin inhibitors, which we plan to take into clinical trials in the first quarter of calendar 2016. In addition, we have a program in non-alcoholic steatohepatitis, or NASH, which we also plan to take into clinical trials in calendar 2016, as well as discovery programs in other areas of viral infection and liver disease.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HCV protease inhibitors have been discovered and developed through our collaboration with AbbVie (formerly Abbott Laboratories), including:</w:t>
      </w:r>
    </w:p>
    <w:p>
      <w:pPr>
        <w:spacing w:after="0" w:line="142" w:lineRule="exact"/>
        <w:rPr>
          <w:sz w:val="20"/>
          <w:szCs w:val="20"/>
          <w:color w:val="auto"/>
        </w:rPr>
      </w:pPr>
    </w:p>
    <w:p>
      <w:pPr>
        <w:ind w:left="9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all-oral, interferon-free HCV treatment regimens currently marketed in the U.S., EU, Japan and other countries around the world. VIEKIRA PAK was approved and first sold in the U.S. in December 2014 for treatment of genotype 1 HCV, the most prevalent genotype of HCV in the U.S., EU and Japan. A regimen containing paritaprevir and only one other direct-acting antiviral, or DAA, is now approved in Japan (VIEKIRAX</w:t>
      </w:r>
      <w:r>
        <w:rPr>
          <w:rFonts w:ascii="Arial" w:cs="Arial" w:eastAsia="Arial" w:hAnsi="Arial"/>
          <w:sz w:val="15"/>
          <w:szCs w:val="15"/>
          <w:color w:val="auto"/>
        </w:rPr>
        <w:t>®</w:t>
      </w:r>
      <w:r>
        <w:rPr>
          <w:rFonts w:ascii="Arial" w:cs="Arial" w:eastAsia="Arial" w:hAnsi="Arial"/>
          <w:sz w:val="18"/>
          <w:szCs w:val="18"/>
          <w:color w:val="auto"/>
        </w:rPr>
        <w:t>, September 2015) for the treatment of genotype 1 HCV and in the U.S. (TECHNIVIE™, July 2015), EU (VIEKIRAX, January 2015) and other countries for the treatment of genotype 4 HCV.</w:t>
      </w:r>
    </w:p>
    <w:p>
      <w:pPr>
        <w:spacing w:after="0" w:line="98"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ABT-493:</w:t>
      </w:r>
      <w:r>
        <w:rPr>
          <w:rFonts w:ascii="Arial" w:cs="Arial" w:eastAsia="Arial" w:hAnsi="Arial"/>
          <w:sz w:val="18"/>
          <w:szCs w:val="18"/>
          <w:color w:val="auto"/>
        </w:rPr>
        <w:t xml:space="preserve"> Our next-generation protease inhibitor, ABT-493, is being developed by AbbVie in combination with its next-generation NS5A inhibitor, ABT-530, as a pan-genotypic, once daily, all oral, fixed-dose combination treatment for HCV. AbbVie completed two Phase 2 clinical trials of this investigational 2-DAA treatment and reported results in November 2015:</w:t>
      </w:r>
    </w:p>
    <w:p>
      <w:pPr>
        <w:spacing w:after="0" w:line="86" w:lineRule="exact"/>
        <w:rPr>
          <w:rFonts w:ascii="Arial" w:cs="Arial" w:eastAsia="Arial" w:hAnsi="Arial"/>
          <w:sz w:val="18"/>
          <w:szCs w:val="18"/>
          <w:color w:val="auto"/>
        </w:rPr>
      </w:pPr>
    </w:p>
    <w:p>
      <w:pPr>
        <w:ind w:left="1920" w:right="440" w:hanging="318"/>
        <w:spacing w:after="0" w:line="277"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After 12 weeks of treatment with doses at or closest to the Phase 3 clinical dose, SVR</w:t>
      </w:r>
      <w:r>
        <w:rPr>
          <w:rFonts w:ascii="Arial" w:cs="Arial" w:eastAsia="Arial" w:hAnsi="Arial"/>
          <w:sz w:val="15"/>
          <w:szCs w:val="15"/>
          <w:color w:val="auto"/>
        </w:rPr>
        <w:t>12</w:t>
      </w:r>
      <w:r>
        <w:rPr>
          <w:rFonts w:ascii="Arial" w:cs="Arial" w:eastAsia="Arial" w:hAnsi="Arial"/>
          <w:sz w:val="18"/>
          <w:szCs w:val="18"/>
          <w:color w:val="auto"/>
        </w:rPr>
        <w:t xml:space="preserve"> rates were 100% in genotype 1 HCV patients, 96% in genotype 2, and 93% in genotype 3.</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Data after 8 weeks of treatment in non-cirrhotic genotype 1 chronic HCV patients demonstrated an SVR</w:t>
      </w:r>
      <w:r>
        <w:rPr>
          <w:rFonts w:ascii="Arial" w:cs="Arial" w:eastAsia="Arial" w:hAnsi="Arial"/>
          <w:sz w:val="15"/>
          <w:szCs w:val="15"/>
          <w:color w:val="auto"/>
        </w:rPr>
        <w:t>12</w:t>
      </w:r>
      <w:r>
        <w:rPr>
          <w:rFonts w:ascii="Arial" w:cs="Arial" w:eastAsia="Arial" w:hAnsi="Arial"/>
          <w:sz w:val="18"/>
          <w:szCs w:val="18"/>
          <w:color w:val="auto"/>
        </w:rPr>
        <w:t xml:space="preserve"> rate of 97%.</w:t>
      </w:r>
    </w:p>
    <w:p>
      <w:pPr>
        <w:spacing w:after="0" w:line="117" w:lineRule="exact"/>
        <w:rPr>
          <w:sz w:val="20"/>
          <w:szCs w:val="20"/>
          <w:color w:val="auto"/>
        </w:rPr>
      </w:pPr>
    </w:p>
    <w:p>
      <w:pPr>
        <w:ind w:left="920" w:right="420"/>
        <w:spacing w:after="0" w:line="264" w:lineRule="auto"/>
        <w:rPr>
          <w:sz w:val="20"/>
          <w:szCs w:val="20"/>
          <w:color w:val="auto"/>
        </w:rPr>
      </w:pPr>
      <w:r>
        <w:rPr>
          <w:rFonts w:ascii="Arial" w:cs="Arial" w:eastAsia="Arial" w:hAnsi="Arial"/>
          <w:sz w:val="18"/>
          <w:szCs w:val="18"/>
          <w:color w:val="auto"/>
        </w:rPr>
        <w:t>In November 2015 AbbVie initiated its ENDURANCE-1 study, the first in a series of phase 3 studies of this next-generation combination treatment. ENDURANCE-1 will study 8-week and 12-week courses of this 2-DAA combination in non-cirrhotic genotype 1 HCV patients. AbbVie is planning for the first approval of this treatment in the U.S. in 2017.</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our fiscal 2015, we received $125 million in milestone payments for commercialization regulatory approvals of paritaprevir, and we earned $34.1 million in royalties on its allocated portion of AbbVie’s net sales of paritaprevir-containing HCV regimens. We had $209.4 million in cash and marketable securities at September 30, 2015, exclusive of the $14.3 million in royalty receivables due us from AbbVie at that date and exclusive of the $30 million milestone payment we earned in November 2015 upon reimbursement approval of VIEKIRAX in Japan. These existing resources will allow us to continue to invest for the foreseeable future in our current research and development programs, which include the following:</w:t>
      </w:r>
    </w:p>
    <w:p>
      <w:pPr>
        <w:spacing w:after="0" w:line="78" w:lineRule="exact"/>
        <w:rPr>
          <w:sz w:val="20"/>
          <w:szCs w:val="20"/>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cyclophilin inhibitor, EDP-494, which we are preparing for clinical trials in HCV in the first quarter of calendar 2016 to demonstrate its potential benefit as a host targeted antiviral, or HTA.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89" w:lineRule="auto"/>
        <w:rPr>
          <w:sz w:val="20"/>
          <w:szCs w:val="20"/>
          <w:color w:val="auto"/>
        </w:rPr>
      </w:pPr>
      <w:r>
        <w:rPr>
          <w:rFonts w:ascii="Arial" w:cs="Arial" w:eastAsia="Arial" w:hAnsi="Arial"/>
          <w:sz w:val="16"/>
          <w:szCs w:val="16"/>
          <w:color w:val="auto"/>
        </w:rPr>
        <w:t>Cyclophilin is a protein in the human body that has been shown to be involved in HCV replication. By focusing on this human, or host, target rather than a viral target, we have selected a mechanism shown to be less susceptible to the HCV resistance that can occur due to viral mutation in response to therapy. We believe that cyclophilin inhibitors will be particularly valuable in the presence of resistance associated variants, or RAVs, of HCV. The presence of pre-treatment, or baseline, RAVs in treatment-naïve patients, and the emergence of treatment emergent RAVs in treatment-experienced patients, can result in reduced ability to eradicate the HCV virus. Since cyclophilin is a host human target, and not a viral target, cyclophilin inhibitors are not affected by changes in the virus and, therefore, use of this class of inhibitor may provide a unique solution for a subset of hard-to-treat HCV patients. We plan to develop EDP-494 for use in combination with one or more DAAs for the treatment of any emerging HCV resistance to currently approved therapies and other therapies under development for HCV that use DAAs. It is also possible that an EDP-494-containing regimen may find utility in other hard-to-treat subpopulations of HCV patients.</w:t>
      </w:r>
    </w:p>
    <w:p>
      <w:pPr>
        <w:spacing w:after="0" w:line="72" w:lineRule="exact"/>
        <w:rPr>
          <w:sz w:val="20"/>
          <w:szCs w:val="20"/>
          <w:color w:val="auto"/>
        </w:rPr>
      </w:pPr>
    </w:p>
    <w:p>
      <w:pPr>
        <w:ind w:left="900" w:right="140" w:hanging="325"/>
        <w:spacing w:after="0" w:line="31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also working on several compounds that selectively bind to and activate the farnesoid X receptor, referred to as FXR agonists, which we plan to develop for use in the treatment of non-alcoholic steatohepatitis, or NASH, and possibly primary biliary cholangitis, or PBC, both of which are liver diseases with very few therapeutic options. We plan to initiate clinical trials of an FXR agonist candidate in 2016.</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also have other early stage programs to discover new chemical entities for the treatment of other diseases with significant unmet medical need.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primary objective is to become a leader in the field of viral infections and liver disease, with a focus on antiviral targets such as HCV and liver diseases such as NASH and PBC. Our strategy includes the following key elements:</w:t>
      </w:r>
    </w:p>
    <w:p>
      <w:pPr>
        <w:spacing w:after="0" w:line="76" w:lineRule="exact"/>
        <w:rPr>
          <w:sz w:val="20"/>
          <w:szCs w:val="20"/>
          <w:color w:val="auto"/>
        </w:rPr>
      </w:pPr>
    </w:p>
    <w:p>
      <w:pPr>
        <w:ind w:left="900" w:right="80" w:hanging="325"/>
        <w:spacing w:after="0" w:line="27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Use our existing resources and future cash flow from our AbbVie collaboration to fund our research and development activities. </w:t>
      </w:r>
      <w:r>
        <w:rPr>
          <w:rFonts w:ascii="Arial" w:cs="Arial" w:eastAsia="Arial" w:hAnsi="Arial"/>
          <w:sz w:val="17"/>
          <w:szCs w:val="17"/>
          <w:color w:val="auto"/>
        </w:rPr>
        <w:t>Our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resources and any future royalty revenues from our AbbVie collaboration will provide us substantial resources to fund our research and development programs. We had $209.4 million in cash and marketable securities at September 30, 2015. In addition, before AbbVie had begun marketing VIEKIRAX in Japan, our royalty revenue from paritaprevir was running at a rate of approximately $14.3 million per quarter at our 2015 fiscal year-end, or approximately $57 million on an annualized basis.</w:t>
      </w:r>
    </w:p>
    <w:p>
      <w:pPr>
        <w:spacing w:after="0" w:line="77" w:lineRule="exact"/>
        <w:rPr>
          <w:rFonts w:ascii="Arial" w:cs="Arial" w:eastAsia="Arial" w:hAnsi="Arial"/>
          <w:sz w:val="17"/>
          <w:szCs w:val="17"/>
          <w:color w:val="auto"/>
        </w:rPr>
      </w:pPr>
    </w:p>
    <w:p>
      <w:pPr>
        <w:ind w:left="900" w:right="140" w:hanging="325"/>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Develop independently our own cyclophilin inhibitor compound for use in combination therapies for treatment of existing and emerging HCV RAVs. </w:t>
      </w:r>
      <w:r>
        <w:rPr>
          <w:rFonts w:ascii="Arial" w:cs="Arial" w:eastAsia="Arial" w:hAnsi="Arial"/>
          <w:sz w:val="17"/>
          <w:szCs w:val="17"/>
          <w:color w:val="auto"/>
        </w:rPr>
        <w:t>We are developing our cyclophilin inhibitor, EDP-494, which we are preparing for clinical trials beginning in the first quarter of calendar</w:t>
      </w:r>
      <w:r>
        <w:rPr>
          <w:rFonts w:ascii="Arial" w:cs="Arial" w:eastAsia="Arial" w:hAnsi="Arial"/>
          <w:sz w:val="17"/>
          <w:szCs w:val="17"/>
          <w:i w:val="1"/>
          <w:iCs w:val="1"/>
          <w:color w:val="auto"/>
        </w:rPr>
        <w:t xml:space="preserve"> </w:t>
      </w:r>
      <w:r>
        <w:rPr>
          <w:rFonts w:ascii="Arial" w:cs="Arial" w:eastAsia="Arial" w:hAnsi="Arial"/>
          <w:sz w:val="17"/>
          <w:szCs w:val="17"/>
          <w:color w:val="auto"/>
        </w:rPr>
        <w:t>2016. Once we demonstrate clinical data and possible proof-of-concept of EDP-494 in HCV, we will consider potential combinations of this compound with other high-barrier-to-resistance compounds for the treatment of HCV RAVs.</w:t>
      </w:r>
    </w:p>
    <w:p>
      <w:pPr>
        <w:spacing w:after="0" w:line="76"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 independently our own novel treatment options for NASH and PBC</w:t>
      </w:r>
      <w:r>
        <w:rPr>
          <w:rFonts w:ascii="Arial" w:cs="Arial" w:eastAsia="Arial" w:hAnsi="Arial"/>
          <w:sz w:val="18"/>
          <w:szCs w:val="18"/>
          <w:color w:val="auto"/>
        </w:rPr>
        <w:t>. We are focusing efforts to identify potent and efficacious agonists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farnesoid X receptor, or FXR, for the treatment of NASH and PBC. Recently, an FXR agonist developed by Intercept, obeticholic acid (OCA), has been shown to have efficacy in phase 3 PBC trials and phase 2b NASH trials. We are seeking to develop novel FXR agonists with improved efficacy and safety properties versus OCA and other published FXR agonists.</w:t>
      </w:r>
    </w:p>
    <w:p>
      <w:pPr>
        <w:spacing w:after="0" w:line="9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Invest in research and early-stage development of product candidates. </w:t>
      </w:r>
      <w:r>
        <w:rPr>
          <w:rFonts w:ascii="Arial" w:cs="Arial" w:eastAsia="Arial" w:hAnsi="Arial"/>
          <w:sz w:val="18"/>
          <w:szCs w:val="18"/>
          <w:color w:val="auto"/>
        </w:rPr>
        <w:t>We are continuing to invest significant resources in research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early-stage development of product candidates in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effort to identify and advance additional compounds that have the potential to address significant unmet medical needs in infectious disease and liver disease. We plan to announce one or more of these programs in calendar 2016. In addition, we may seek to augment our pipeline through the acquisition or in-licensing of external assets and/or technologies.</w:t>
      </w:r>
    </w:p>
    <w:p>
      <w:pPr>
        <w:spacing w:after="0" w:line="87" w:lineRule="exact"/>
        <w:rPr>
          <w:sz w:val="20"/>
          <w:szCs w:val="20"/>
          <w:color w:val="auto"/>
        </w:rPr>
      </w:pPr>
    </w:p>
    <w:p>
      <w:pPr>
        <w:ind w:left="90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Collaborate, where appropriate, with pharmaceutical partners to accelerate the development and commercialization of our proprietary compounds</w:t>
      </w:r>
      <w:r>
        <w:rPr>
          <w:rFonts w:ascii="Arial" w:cs="Arial" w:eastAsia="Arial" w:hAnsi="Arial"/>
          <w:sz w:val="18"/>
          <w:szCs w:val="18"/>
          <w:color w:val="auto"/>
        </w:rPr>
        <w:t>. Strategic partnerships allow us to join forces with collaborators with substantially greater resources and late-stage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expertise as we seek the right combinations for treatments for RAVs of HCV or potentially for NASH. Our decisions regarding our proprietary programs will be based on the results of our early phase clinical trials and the potential for combination with one or more drugs targeting other mechanisms of action of either of these diseases.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HCV antivirals and liver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179695" cy="4073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969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HCV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HCV Market</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organ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new guidelines issued by the United States Centers for Disease Control and Prevention, or CDC, in 2013 recommend screening for all Americans born between the years 1945 and 1965 so that HCV-infected individuals will be aware of their condition and can consider treatment options.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estimated 150 million people worldwide are chronically infected with HCV and have an increased risk of eventually developing liver cirrhosis or liver cancer. More than 350,000 people die every year from HCV-related liver diseases. The CDC estimated in 2015 that approximately 3.2 million people in the United States are chronically infected with HCV, with an estimated 29,000 new infections in 2013, the most recent year for which the CDC published data. We believe that the chronically infected population remains largely untreated, even with the introduction of several new regimens beginning in 2013. The reported worldwide sales of the first of the currently available therapies for HCV (sofosbuvir and simeprevir) in 2014 totaled approximately $15 billion. With the introduction of Gilead’s Harvoni</w:t>
      </w:r>
      <w:r>
        <w:rPr>
          <w:rFonts w:ascii="Arial" w:cs="Arial" w:eastAsia="Arial" w:hAnsi="Arial"/>
          <w:sz w:val="14"/>
          <w:szCs w:val="14"/>
          <w:color w:val="auto"/>
        </w:rPr>
        <w:t>®</w:t>
      </w:r>
      <w:r>
        <w:rPr>
          <w:rFonts w:ascii="Arial" w:cs="Arial" w:eastAsia="Arial" w:hAnsi="Arial"/>
          <w:sz w:val="17"/>
          <w:szCs w:val="17"/>
          <w:color w:val="auto"/>
        </w:rPr>
        <w:t xml:space="preserve"> and AbbVie’s VIEKIRA PAK</w:t>
      </w:r>
      <w:r>
        <w:rPr>
          <w:rFonts w:ascii="Arial" w:cs="Arial" w:eastAsia="Arial" w:hAnsi="Arial"/>
          <w:sz w:val="14"/>
          <w:szCs w:val="14"/>
          <w:color w:val="auto"/>
        </w:rPr>
        <w:t>®</w:t>
      </w:r>
      <w:r>
        <w:rPr>
          <w:rFonts w:ascii="Arial" w:cs="Arial" w:eastAsia="Arial" w:hAnsi="Arial"/>
          <w:sz w:val="17"/>
          <w:szCs w:val="17"/>
          <w:color w:val="auto"/>
        </w:rPr>
        <w:t xml:space="preserve"> in late 2014, worldwide sales of the four leading HCV therapies in the first nine months of 2015 totaled approximately $15.9 billion. In its November 2015 “Global Medicines Use in 2020”, the IMS Institute for Healthcare Informatics estimated that the worldwide market for HCV treatments will report increase to approximately $36 billion by 2020, of which $30 billion is projected to be in the developed countries of the world.</w:t>
      </w:r>
    </w:p>
    <w:p>
      <w:pPr>
        <w:spacing w:after="0" w:line="18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HCV is a small, single-stranded RNA virus. The specific genetic makeup, or genotype, of the virus can vary and at least six genotypes have been characterized in HCV-infected patients, with over 50 sub-types identified. Genotypes are designated with numbers (genotypes 1-6) and subtypes with letters (</w:t>
      </w:r>
      <w:r>
        <w:rPr>
          <w:rFonts w:ascii="Arial" w:cs="Arial" w:eastAsia="Arial" w:hAnsi="Arial"/>
          <w:sz w:val="18"/>
          <w:szCs w:val="18"/>
          <w:i w:val="1"/>
          <w:iCs w:val="1"/>
          <w:color w:val="auto"/>
        </w:rPr>
        <w:t>e.g.,</w:t>
      </w:r>
      <w:r>
        <w:rPr>
          <w:rFonts w:ascii="Arial" w:cs="Arial" w:eastAsia="Arial" w:hAnsi="Arial"/>
          <w:sz w:val="18"/>
          <w:szCs w:val="18"/>
          <w:color w:val="auto"/>
        </w:rPr>
        <w:t xml:space="preserve"> genotype 1a). HCV genotypes 1, 2, 3 and 4 are found worldwide, but their prevalence varies among geographic regions. Genotype 1, including its subtypes 1a and 1b, is the most common genotype globally, accounting for approximately 74% of all HCV infections. It is estimated that patients with genotype 2 or 3 represent approximately 12% of the worldwide chronically infected HCV population, with approximately 6% comprised of genotypes 4 through 6 and the remaining 8% of patients in other undesignated categories. The specific genotype and subtype of HCV in a patient appears to play a significant role in the degree of efficacy of standard of care therapy. Genotype 1a is the most common genotype in North America, and genotype 1b is the most common in Europe and Japan.</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the discovery of the virus in the late 1980s, considerable progress has been made in the treatment of HCV-infected individuals. The standard of care for HCV traditionally consisted of weekly injections of interferon, a protein that interferes with viral replication, with twice-daily dosing of ribavirin for 24 to 48 weeks. Ribavirin is a broad-spectrum drug that prevents the replication of a number of DNA and RNA-based viruses. This regimen was moderately effective in many patients, resulting in a cure in only about 50% of genotype 1-infected patients. Medical practice defines a “cure” as the point at which there is no quantifiable virus in a patient’s blood for a sustained period of time after cessation of therapy, which is often referred to as a sustained virologic response, or SVR.</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Recently introduced treatment regimens contain direct acting antivirals, or DAAs, with initial approvals coming for the protease inhibitor class of DAAs. The first two protease inhibitors approved, telaprevir (Incivek</w:t>
      </w:r>
      <w:r>
        <w:rPr>
          <w:rFonts w:ascii="Arial" w:cs="Arial" w:eastAsia="Arial" w:hAnsi="Arial"/>
          <w:sz w:val="15"/>
          <w:szCs w:val="15"/>
          <w:color w:val="auto"/>
        </w:rPr>
        <w:t>®</w:t>
      </w:r>
      <w:r>
        <w:rPr>
          <w:rFonts w:ascii="Arial" w:cs="Arial" w:eastAsia="Arial" w:hAnsi="Arial"/>
          <w:sz w:val="18"/>
          <w:szCs w:val="18"/>
          <w:color w:val="auto"/>
        </w:rPr>
        <w:t>, Vertex Pharmaceuticals) and boceprevir (Victrelis</w:t>
      </w:r>
      <w:r>
        <w:rPr>
          <w:rFonts w:ascii="Arial" w:cs="Arial" w:eastAsia="Arial" w:hAnsi="Arial"/>
          <w:sz w:val="15"/>
          <w:szCs w:val="15"/>
          <w:color w:val="auto"/>
        </w:rPr>
        <w:t>®</w:t>
      </w:r>
      <w:r>
        <w:rPr>
          <w:rFonts w:ascii="Arial" w:cs="Arial" w:eastAsia="Arial" w:hAnsi="Arial"/>
          <w:sz w:val="18"/>
          <w:szCs w:val="18"/>
          <w:color w:val="auto"/>
        </w:rPr>
        <w:t>, Merck), showed cure rates of approximately 70% in genotype 1-infected patients, when co-administered with an interferon-based regimen. Telaprevir and boceprevir were approved in 2011 for use in combination with interferon and ribavirin in patients infected with genotype 1 virus,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combination therapy incorporating a protease inhibitor emerged as a new standard of care for a segment of HCV patients. In November 2013 the FDA approved a new protease inhibitor from Janssen Therapeutics, simeprevir (Olysio</w:t>
      </w:r>
      <w:r>
        <w:rPr>
          <w:rFonts w:ascii="Arial" w:cs="Arial" w:eastAsia="Arial" w:hAnsi="Arial"/>
          <w:sz w:val="13"/>
          <w:szCs w:val="13"/>
          <w:color w:val="auto"/>
        </w:rPr>
        <w:t>®</w:t>
      </w:r>
      <w:r>
        <w:rPr>
          <w:rFonts w:ascii="Arial" w:cs="Arial" w:eastAsia="Arial" w:hAnsi="Arial"/>
          <w:sz w:val="16"/>
          <w:szCs w:val="16"/>
          <w:color w:val="auto"/>
        </w:rPr>
        <w:t>), for the treatment of genotype 1 chronic hepatitis C in adult patients with compensated liver disease. Simeprevir showed cure rates of up to 80% in genotype 1-infected patients. However, the once-daily treatment was approved only for use with pegylated interferon and ribavirin. In December 2013, the FDA approved Gilead’s sofosbuvir (Sovaldi</w:t>
      </w:r>
      <w:r>
        <w:rPr>
          <w:rFonts w:ascii="Arial" w:cs="Arial" w:eastAsia="Arial" w:hAnsi="Arial"/>
          <w:sz w:val="13"/>
          <w:szCs w:val="13"/>
          <w:color w:val="auto"/>
        </w:rPr>
        <w:t>®</w:t>
      </w:r>
      <w:r>
        <w:rPr>
          <w:rFonts w:ascii="Arial" w:cs="Arial" w:eastAsia="Arial" w:hAnsi="Arial"/>
          <w:sz w:val="16"/>
          <w:szCs w:val="16"/>
          <w:color w:val="auto"/>
        </w:rPr>
        <w:t>), a nucleotide analogue inhibitor of the HCV NS5B polymerase enzyme. Sofosbuvir is a once-a-day treatment given in combination with ribavirin for the treatment of chronic hepatitis C in adult patients with genotype 2 or 3 infection. Sofosbuvir was also approved in combination with pegylated interferon and ribavirin for the treatment of chronic hepatitis C in treatment-naïve adult patients with genotype 1 (the predominant genotype in the major world markets) and genotype 4 infection. However, medical practice quickly evolved to use a combination of sofosbuvir and simeprevir for these genotypes, which the FDA then approved in November 2014 for genotype 1 patients. Meanwhile, in October 2014, the FDA approved Gilead’s Harvoni</w:t>
      </w:r>
      <w:r>
        <w:rPr>
          <w:rFonts w:ascii="Arial" w:cs="Arial" w:eastAsia="Arial" w:hAnsi="Arial"/>
          <w:sz w:val="13"/>
          <w:szCs w:val="13"/>
          <w:color w:val="auto"/>
        </w:rPr>
        <w:t>®</w:t>
      </w:r>
      <w:r>
        <w:rPr>
          <w:rFonts w:ascii="Arial" w:cs="Arial" w:eastAsia="Arial" w:hAnsi="Arial"/>
          <w:sz w:val="16"/>
          <w:szCs w:val="16"/>
          <w:color w:val="auto"/>
        </w:rPr>
        <w:t>, an interferon-free combination therapy containing sofosbuvir and an NS5A inhibitor, as a once-a-day treatment for genotype 1 infection. AbbVie’s 3-DAA regimen (VIEKIRA PAK</w:t>
      </w:r>
      <w:r>
        <w:rPr>
          <w:rFonts w:ascii="Arial" w:cs="Arial" w:eastAsia="Arial" w:hAnsi="Arial"/>
          <w:sz w:val="13"/>
          <w:szCs w:val="13"/>
          <w:color w:val="auto"/>
        </w:rPr>
        <w:t>®</w:t>
      </w:r>
      <w:r>
        <w:rPr>
          <w:rFonts w:ascii="Arial" w:cs="Arial" w:eastAsia="Arial" w:hAnsi="Arial"/>
          <w:sz w:val="16"/>
          <w:szCs w:val="16"/>
          <w:color w:val="auto"/>
        </w:rPr>
        <w:t>) was then approved by the FDA in December 2014. Gilead, AbbVie, Janssen and Merck are all developing next generation DAAs for use in various combinations for specific subpopulations and, in some cases, for use across several of the genotypes, which is referred to as pan-genotypic.</w:t>
      </w:r>
    </w:p>
    <w:p>
      <w:pPr>
        <w:spacing w:after="0" w:line="16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While the recently approved treatments for HCV have provided significant benefit to HCV patients, as will others still in development, to date these treatments do not provide 100% cure rates for all HCV patients. We believe that emergent RAVs will result in a new population of patients who have failed existing treatments and that there may continue to be significant opportunity for a new combination therapy that can address these treatment failures. Accordingly, we believe there remains a significant unmet medical need in the HCV field, which is likely to grow as more patients receive treatment and some portion of them are not cured.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Most of the new approved therapies and others under development targeting HCV focus directly on the viral life cycle and proteins that are critical to HCV replication. Replication of the HCV genome occurs on intracellular membranes and requires the participation of multiple viral proteins, some of which have enzymatic activities. Agents, often referred to as inhibitors, that target viral proteins directly are generally referred to as direct acting antivirals, or DAAs.</w:t>
      </w:r>
    </w:p>
    <w:p>
      <w:pPr>
        <w:ind w:right="220"/>
        <w:spacing w:after="0" w:line="254" w:lineRule="auto"/>
        <w:rPr>
          <w:sz w:val="20"/>
          <w:szCs w:val="20"/>
          <w:color w:val="auto"/>
        </w:rPr>
      </w:pPr>
      <w:r>
        <w:rPr>
          <w:rFonts w:ascii="Arial" w:cs="Arial" w:eastAsia="Arial" w:hAnsi="Arial"/>
          <w:sz w:val="18"/>
          <w:szCs w:val="18"/>
          <w:color w:val="auto"/>
        </w:rPr>
        <w:t>Current DAA therapies typically include some combination of one or more inhibitors of the NS3 protease, the NS5A protein, and the NS5B polymerase. In addition to targets in HCV itself, there are human host proteins that are critical to viral replication. Inhibitors that interfere with host targets resulting in antiviral activity are referred to as host-targeted antivirals, or HTAs. One of the most promising HTA approaches to HCV treatment focuses on the human host protein known as cyclophilin A, or cyclophilin.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Key Proteins in the HCV Replication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169545</wp:posOffset>
            </wp:positionV>
            <wp:extent cx="3687445" cy="2212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744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NS3 Protease</w:t>
      </w:r>
      <w:r>
        <w:rPr>
          <w:rFonts w:ascii="Arial" w:cs="Arial" w:eastAsia="Arial" w:hAnsi="Arial"/>
          <w:sz w:val="18"/>
          <w:szCs w:val="18"/>
          <w:color w:val="auto"/>
        </w:rPr>
        <w:t>. As HCV replicates, it generates long strands of protein that must be processed into many individual active functional proteins that are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non-structural proteins with the designated abbreviation NS, including NS3 and NS5A. The NS3 protease is responsible for most of this protein processing of the newly translated HCV protein, and plays an essential role in the viral life cycle. Inhibition of the protease prevents these new critical proteins from forming and therefore prevents replication and survival of the virus.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NS5A</w:t>
      </w:r>
      <w:r>
        <w:rPr>
          <w:rFonts w:ascii="Arial" w:cs="Arial" w:eastAsia="Arial" w:hAnsi="Arial"/>
          <w:sz w:val="18"/>
          <w:szCs w:val="18"/>
          <w:color w:val="auto"/>
        </w:rPr>
        <w:t>. The NS5A protein has key roles in both the RNA replication of HCV and modulation of the physiology of its host cell in the body. Research has</w:t>
      </w:r>
      <w:r>
        <w:rPr>
          <w:rFonts w:ascii="Arial" w:cs="Arial" w:eastAsia="Arial" w:hAnsi="Arial"/>
          <w:sz w:val="18"/>
          <w:szCs w:val="18"/>
          <w:i w:val="1"/>
          <w:iCs w:val="1"/>
          <w:color w:val="auto"/>
        </w:rPr>
        <w:t xml:space="preserve"> </w:t>
      </w:r>
      <w:r>
        <w:rPr>
          <w:rFonts w:ascii="Arial" w:cs="Arial" w:eastAsia="Arial" w:hAnsi="Arial"/>
          <w:sz w:val="18"/>
          <w:szCs w:val="18"/>
          <w:color w:val="auto"/>
        </w:rPr>
        <w:t>shown that targeting NS5A gives rise to profound antiviral activity, and as a result, this protein has emerged as an additional important DAA target for anti-HCV drugs.</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NS5B Polymerase</w:t>
      </w:r>
      <w:r>
        <w:rPr>
          <w:rFonts w:ascii="Arial" w:cs="Arial" w:eastAsia="Arial" w:hAnsi="Arial"/>
          <w:sz w:val="17"/>
          <w:szCs w:val="17"/>
          <w:color w:val="auto"/>
        </w:rPr>
        <w:t>. HCV is a single-stranded RNA virus, and NS5B is an HCV RNA polymerase responsible for synthesis of new HCV RNA, allowing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HCV genome to be copied and the virus to survive and replicate. Two separate classes of DAA inhibitors of NS5B polymerase are used as treatments for HCV. Nucleoside/nucleotide inhibitors of NS5B directly inhibit the active site of that enzyme and prevent further elongation of the RNA, and thus are equally active against all HCV genotypes. A second class, known as non-nucleoside inhibitors, affects replication of the RNA by altering the shape of the enzyme at remote sites on the enzyme surface so that any given inhibitor is usually only active against certain HCV genotypes.</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Cyclophilin</w:t>
      </w:r>
      <w:r>
        <w:rPr>
          <w:rFonts w:ascii="Arial" w:cs="Arial" w:eastAsia="Arial" w:hAnsi="Arial"/>
          <w:sz w:val="17"/>
          <w:szCs w:val="17"/>
          <w:color w:val="auto"/>
        </w:rPr>
        <w:t>. Viral function requires an interaction of the viral protein NS5A with the human host protein known as cyclophilin. Inhibitors that interfere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this NS5A-cyclophilin interaction would essentially provide a treatment that protects the human host cells from infection by the virus. Several studies using the immunosuppressive drug cyclosporine A, a known cyclophilin inhibitor, support the clinical validation of cyclophilin as an HTA for treatment of HCV infection. However, the immunosuppressive activity of cyclosporine A and associated side effects limit its clinical use and thus an effective cyclophilin inhibitor for HCV would need to be devoid of immunosuppressive activity. Clinical proof-of-concept of a cyclophilin inhibitor was established with alisporivir, a non-immunosuppressive cyclosporine A derivative that has demonstrated effectiveness against many HCV genotypes and as a high barrier to HCV resistance, with no cross-resistance with several DAAs.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Evolving Approach to the Development of Treatments for HCV</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successfully identified clinical development candidates for inhibitors of three of the fundamental, validated targets within the HCV field, including inhibitors of two of the critical proteins of HCV replication, the NS3 protease and the NS5A protein, as well inhibitors of the human host protein cyclophilin, which the hepatitis C virus co-opts into its viral replication machinery. We have already combined our protease inhibitors with AbbVie’s marketed HCV therapies and its next-generation therapy currently in phase 3 clinical development. In addition, we are planning to advance EDP-494, our lead cyclophilin inhibitor, into clinical trials in the quarter ending March 31, 2016 and, if successful, we plan to explore its further development in combination with one or more other high-barrier-to-resistance mechanisms to inhibit the replication of HCV and its RAVs.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Paritaprevir, the Protease Inhibitor in AbbVie’s marketed therapies for HCV Infection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protease inhibitor, paritaprevir, was discovered through our collaboration with AbbVie. Co-administration of paritaprevir with ritonavir, which we refer to together as paritaprevir/r, combines paritaprevir with a commonly used boosting agent that increases the blood concentrations of many protease inhibitors and has enabled once-daily dosing of paritaprevir. AbbVie developed paritaprevir/r in a 3-DAA combination with its non-nucleoside polymerase and NS5A inhibitors, with or without ribavirin, for treatment of genotype 1 HCV patients, which was approved in the U.S. in December 2014 and in the EU in January 2015. This 3-DAA combination is sold as VIEKIRA PAK in the U.S. and as VIEKIRAX</w:t>
      </w:r>
      <w:r>
        <w:rPr>
          <w:rFonts w:ascii="Arial" w:cs="Arial" w:eastAsia="Arial" w:hAnsi="Arial"/>
          <w:sz w:val="14"/>
          <w:szCs w:val="14"/>
          <w:color w:val="auto"/>
        </w:rPr>
        <w:t>®</w:t>
      </w:r>
      <w:r>
        <w:rPr>
          <w:rFonts w:ascii="Arial" w:cs="Arial" w:eastAsia="Arial" w:hAnsi="Arial"/>
          <w:sz w:val="17"/>
          <w:szCs w:val="17"/>
          <w:color w:val="auto"/>
        </w:rPr>
        <w:t>+EXVIERA</w:t>
      </w:r>
      <w:r>
        <w:rPr>
          <w:rFonts w:ascii="Arial" w:cs="Arial" w:eastAsia="Arial" w:hAnsi="Arial"/>
          <w:sz w:val="14"/>
          <w:szCs w:val="14"/>
          <w:color w:val="auto"/>
        </w:rPr>
        <w:t>®</w:t>
      </w:r>
      <w:r>
        <w:rPr>
          <w:rFonts w:ascii="Arial" w:cs="Arial" w:eastAsia="Arial" w:hAnsi="Arial"/>
          <w:sz w:val="17"/>
          <w:szCs w:val="17"/>
          <w:color w:val="auto"/>
        </w:rPr>
        <w:t xml:space="preserve"> in the EU for non-cirrhotic patients and those with early stage, or compensated, cirrhosis. In genotype 1a and 1b HCV patients AbbVie’s clinical trials showed SVR rates of 90-100% depending on the patient and group. AbbVie also markets a 2-DAA combination with the same NS5A inhibitor for genotype 4 HCV patients in the U.S. and EU under the name VIEKIRAX, which is also approved for genotype 1 patients in Japan.</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AbbVie continues to advance its paritaprevir-containing regimens through regulatory and reimbursement approvals worldwide. In addition, in December 2015 AbbVie’s New Drug Application (NDA) was accepted by the FDA for a fixed-dose formulation of the active components of VIEKIRA PAK, which would simplify the dosage for genotype 1 HCV patients to three identical pills taken once daily. Since AbbVie began marketing its paritaprevir-containing regimens in 2015, it reported gross sales of those regimens totaling $469 million in the quarter ended September 30, 2015, which resulted in the payment of $14.3 million of royalties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ABT-494, Next-Generation HCV Protease Inhibitor</w:t>
      </w:r>
    </w:p>
    <w:p>
      <w:pPr>
        <w:spacing w:after="0" w:line="117"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AbbVie is also developing a next-generation protease inhibitor, ABT-493, discovered within the Enanta-AbbVie collaboration. AbbVie has co-formulated ABT-493 with AbbVie’s next-generation NS5A inhibitor, ABT-530 for development as a pan-genotypic, once daily, all oral, fixed-dose combination treatment for HCV. AbbVie completed two Phase 2 clinical trials of this investigational 2-DAA treatment and reported results in November 2015. After 12 weeks of treatment with doses at or closest to the Phase 3 clinical dose, SVR</w:t>
      </w:r>
      <w:r>
        <w:rPr>
          <w:rFonts w:ascii="Arial" w:cs="Arial" w:eastAsia="Arial" w:hAnsi="Arial"/>
          <w:sz w:val="13"/>
          <w:szCs w:val="13"/>
          <w:color w:val="auto"/>
        </w:rPr>
        <w:t>12</w:t>
      </w:r>
      <w:r>
        <w:rPr>
          <w:rFonts w:ascii="Arial" w:cs="Arial" w:eastAsia="Arial" w:hAnsi="Arial"/>
          <w:sz w:val="16"/>
          <w:szCs w:val="16"/>
          <w:color w:val="auto"/>
        </w:rPr>
        <w:t xml:space="preserve"> rates were 100% in genotype 1 HCV patients, 96% in genotype 2, and 93% in genotype 3. Data after 8 weeks of treatment in non-cirrhotic genotype 1 chronic HCV patients demonstrated an SVR</w:t>
      </w:r>
      <w:r>
        <w:rPr>
          <w:rFonts w:ascii="Arial" w:cs="Arial" w:eastAsia="Arial" w:hAnsi="Arial"/>
          <w:sz w:val="13"/>
          <w:szCs w:val="13"/>
          <w:color w:val="auto"/>
        </w:rPr>
        <w:t>12</w:t>
      </w:r>
      <w:r>
        <w:rPr>
          <w:rFonts w:ascii="Arial" w:cs="Arial" w:eastAsia="Arial" w:hAnsi="Arial"/>
          <w:sz w:val="16"/>
          <w:szCs w:val="16"/>
          <w:color w:val="auto"/>
        </w:rPr>
        <w:t xml:space="preserve"> rate of 97%.</w:t>
      </w:r>
    </w:p>
    <w:p>
      <w:pPr>
        <w:spacing w:after="0" w:line="13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November 2015 AbbVie initiated its ENDURANCE-1 study, the first in a series of phase 3 studies of this next-generation combination treatment. ENDURANCE-1 will study 8-week and 12-week courses of this 2-DAA combination in non-cirrhotic genotype 1 HCV patients. AbbVie is planning for the first approval of this treatment in the U.S. in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EDP-494, Cyclophilin (Cyp) Inhibitor for HCV Infection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anticipation of resistance arising to DAA HCV therapy that targets viral proteins, we have been developing an alternative HTA approach that targets the human host protein, cyclophilin, which is essential for replication of HCV.</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Interruption of Viral Replication of HCV RNA by Cyclophilin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169545</wp:posOffset>
            </wp:positionV>
            <wp:extent cx="4450715" cy="2383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5071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8"/>
          <w:szCs w:val="18"/>
          <w:b w:val="1"/>
          <w:bCs w:val="1"/>
          <w:color w:val="auto"/>
        </w:rPr>
        <w:t>Abbreviation:</w:t>
      </w:r>
      <w:r>
        <w:rPr>
          <w:sz w:val="20"/>
          <w:szCs w:val="20"/>
          <w:color w:val="auto"/>
        </w:rPr>
        <w:tab/>
      </w:r>
      <w:r>
        <w:rPr>
          <w:rFonts w:ascii="Arial" w:cs="Arial" w:eastAsia="Arial" w:hAnsi="Arial"/>
          <w:sz w:val="18"/>
          <w:szCs w:val="18"/>
          <w:color w:val="auto"/>
        </w:rPr>
        <w:t>CypA refers to cyclophilin A</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demonstrated in replicon assays that our lead cyclophilin-targeting inhibitor, EDP-494, is a potent inhibitor of HCV replication in wild-type virus and in virus with resistance associated variants (RAVs) and is more potent than the clinical stage cyclophilin inhibitor alisporivir. Typically, cyclophilin inhibitors are based on the structures of cyclosporine A, which is known to be immunosuppressant with associated side effects that limit its clinical use. Based on our understanding of the structural elements of cyclosporine A that contribute to immunosuppressive activity, we have designed those elements out of our cyclophilin inhibitors and have confirmed a lack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immunosuppressive activity. We have advanced EDP-494 through preclinical studies and plan to study it in clinical trials beginning in the first quarter of calendar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EDP-239, an NS5A Inhibitor for HCV Infection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also discovered EDP-239, an NS5A inhibitor. This compound has demonstrated potent activity against major genotypes in the replicon assay, which is a common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 for determining potency of an active compound in reducing HCV replication. EDP-239 successfully completed phase 1 studies in 2015, including a proof-of-concept study, but its further development will depend upon its potential utility as an additional component of an EDP-494 containing combination therapy, which will be determined after early clinical trials of EDP-494.</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Nucleotide Polymerase Inhibitor Program for HCV Infection</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a small-molecule drug discovery effort underway for inhibitors of nucleotide polymerase, which is a clinically validated mechanism that is less susceptible to HCV resistance. We are seeking to advance novel candidates that have the requisite characteristics to make them viable contenders for further development in combination with EDP-494. If we are ready to study EDP-494 in combination studies before we have identified a nucleotide polymerase inhibitor of our own, we will shift our focus to external compounds of that inhibitor class that are already in clinical development or otherwise available.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FXR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NASH and PBC Market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Non-alcoholic fatty liver disease (NAFLD) is the accumulation of excessive fat in the form of triglycerides, a process known as steatosis, in liver cells that is not caused by alcohol. It is normal for the liver to contain some fat. However, if more than 5% – 10% of the liver’s weight is fat, then it is called a fatty liver. A subgroup of these patients have liver cell injury and inflammation in addition to excessive fat (steatohepatitis). Progression of this condition leads to non-alcoholic steatohepatitis (NASH). NASH is widely considered to be the liver expression of metabolic diseases related to type 2 diabetes, insulin resistance, obesity, hyperlipidemia and hypertension.</w:t>
      </w:r>
    </w:p>
    <w:p>
      <w:pPr>
        <w:spacing w:after="0" w:line="188"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According to the World Gastroenterology Organization Global Guidelines 2014, NASH is an increasingly common chronic liver disease with worldwide distribution that is closely associated with diabetes and obesity, which have both reached epidemic proportions. It is estimated that there are at least 1.46 billion obese adults worldwide. Approximately 6 million individuals in the USA are estimated to have progressed to NASH and some 600,000 to NASH-related cirrhosis. NASH and NAFLD are now considered the number one cause of liver disease in Western countries.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there are no approved treatments for NASH. While patients presenting with NASH are counseled on life style modifications, new effective treatments are urgently needed, particularly in the setting of advanced fibrosis and cirrhosis. Currently, two advanced Phase 3 trials are initiating in NASH, conducted by Intercept Pharmaceuticals and Genfit. In addition, several large Phase 2b studies are underway, including those from Tobira, Galmed, Galectin, and Gilead. In addition, earlier stage trials are ongoing from a number of companies.</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Primary biliary cholangitis (formerly known as primary biliary cirrhosis), or PBC, is a chronic, or long-term, disease of the liver that slowly destroys the medium-sized bile ducts within the liver. Bile is a digestive liquid that is made in the liver. It travels through the bile ducts to the small intestine, where it helps digest fats and absorb fatty vitamins.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patients with PBC, the bile ducts are destroyed by inflammation. This causes bile to remain in the liver, where gradual injury damages liver cells and causes cirrhosis, or scarring of the liver. As cirrhosis progresses and the amount of scar tissue in the liver increases, the liver loses its ability to function, leading to potential liver failure, liver transplantation or hepatocellular carcinoma. While PBC is a relatively rare disease (in the U.S., the incidence has been estimated as 4.5 cases for women and 0.7 cases per 100,000 for men), it remains as one of the major causes of liver failure and/or the need for liver transplant.</w:t>
      </w:r>
    </w:p>
    <w:p>
      <w:pPr>
        <w:spacing w:after="0" w:line="1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Currently, there is only one approved drug for PBC, ursodeoxycholic acid, also known as ursodiol. Ursodiol is a naturally occurring bile acid found in small quantities in normal human bile. When given at high doses to PBC patients, many respond with improved liver function. However, a significant number of patients do not respond to ursodiol, and thus new treatments are urgently needed.</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Agonists of the farnesoid X receptor, or FXR agonists, have shown promising activity in many preclinical models of liver disease. One FXR agonist, OCA from Intercept Pharmaceuticals, has already demonstrated clinical efficacy in both NASH and PBC. We believe that new FXR agonists may provide substantial therapeutic benefit in NASH and PBC and may overcome some the potential shortcomings of OCA, including limited effects on resolution of NASH, elevation of LDL, and pruritis.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farnesoid X receptor, or FXR, is a nuclear hormone receptor that functions to modulate gene expression in response to various metabolic stimuli. FXRs are expressed at high levels in the liver and intestine. Bile acids have been identified as important physiological ligands for FXRs, able to bind and activate the receptor. The downstream gene modulation resulting from bile acid engagement of FXRs not only contribute to the regulation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bile acid synthesis and metabolism, but is also involved in a number of other metabolic processes, in particular lipid metabolism. More recently, it has been discovered that bile acids, via FXR, are able to promote insulin sensitivity and decrease lipid synthesis in the liver. In addition, studies have shown that bile acid-dependent FXR activation is able to provide beneficial effects on fibrosis in the liver as well. For these reasons, FXR is considered to be a viable target for NASH. Indeed, recent Phase 2b trials with obeticholic acid, a synthetic analog of natural bile acids known to activate FXR, demonstrated efficacy in NASH patients. In PBC, improved outcomes would be expected due to the reduction of bile acid synthesis by activation of FXR. OCA has also demonstrated efficacy in a Phase 3 trial in PBC.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the Treatment of NASH and PBC</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Even through there has been clinical validation demonstrated by the prototypical FXR agonist OCA, we believe that there is opportunity for treatment that shows improvements in potency and efficacy and reductions in potential safety liabilities for the treatment of NASH and PBC. Using our strong chemistry capabilities, we have undertaken the discovery and development of new FXR agonists that we believe may provide substantial improvements over currently known FXR agonists. We intend to advance our agents through preclinical testing and aim to move a candidate into the clinic in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Discovery and Chemical Development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internally developed all of the initial compounds in our research and development programs. Our scientists have expertise in the areas of medicinal chemistry, molecular virology and pharmacology, with highly developed sets of skills in compound generation, target selection, screening and pharmacology, preclinical development and lead optimization. We are utilizing these skills and capabilities in our discovery and development of antiviral and other product candidates.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focus on infectious disease and liver disease indications representing large and growing market opportunities with significant unmet medical needs. Our selection of a particular therapeutic target within those disease indications takes into consideration the experience and expertise of our scientific team. The final selection is based on the possibility of being able to generate robust medicinal chemistry structure-activity relationships to assist lead optimization and secure relevant intellectual property rights. Once we have identified lead compounds, they are tested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research models of antiviral or antibacterial efficacy.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Bicyclolide Antibiotics</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Through our internal chemistry efforts, we created a new family of antibiotics called Bicyclolides to overcome resistance associated with existing macrolide antibiotics. The main focus of our antibiotic work had been on new mechanisms targeting resistant, Gram-positive pathogens, including bacteria resistant to currently marketed macrolides. In September 2011, National Institute of Allergy and Infectious Diseases, or NIAID, contracted for us to undertake the initial clinical development of our lead product candidate, which NIAID wanted to investigate as a medical biodefense countermeasure against several pathogens.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NIAID funded our preclinical and early clinical development of this candidate. Based primarily on the competitive landscape for antibiotics for Gram-positive bacterial infections, in December 2014 we decided not to continue commercial development of our antibiotic program. Given that we were no longer pursuing a commercial indication for our lead antibiotic candidate, we and NIAID amended our contract so that it was completed in August 2015 upon our delivery of the study report for the Phase 1 clinical study. We are not currently conducting any research in the field of antibiotics.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entered into a Collaborative Development and License Agreement with Abbott Laboratories in November 2006 to develop and commercialize HCV NS3 and NS3/4A protease inhibitors. The agreement, which was amended in January and December 2009, was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funds all costs associated with the development, manufacturing and commercialization of paritaprevir, ABT-493 and any other compounds under this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research program and the evaluation period, which was performed by both parties, ended in June 2011. The first commercialized compound is paritaprevir, and ABT-493 is the next-generation compound under development. The first clinical milestone for paritaprevir was achieved in 2010. Through September 30, 2015, we have received from AbbVie a total of $285 million, consisting of an upfront license payment, research funding, milestone payments and an initial preferred stock financing. In addition, we have earned a total of approximately $34 million in royalties on AbbVie’s net sales of HCV products allocable to paritaprevir in the year ended September 30, 2015.</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November, 2015, we also earned a final paritaprevir-related milestone payment of $30 million upon AbbVie’s achievement of reimbursement approval of VIEKIRAX in Japan, and we are eligible to receive additional milestone payments totaling up to $80 million upon AbbVie’s achievement of commercial regulatory approval milestones for any ABT-493-containing treatment in selected world markets similar to those for paritaprevir.</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We are eligible to receive annually tiered royalties ranging from the low double digits up to twenty percent, or up to the high teens on a blended basis, based on the annual net sales of each product developed under the agreement. However, if a product is determined to be a combination product, as was the case for paritaprevir and is expected to be the case for ABT-493, the net sales of the combination product will be adjusted on a country-by-country and product-by-product basis to reflect a good faith determination of the relative value of each pharmaceutically active ingredient, based on estimated fair market value. This means that AbbVie’s worldwide annual net sales of a combination product will first be allocated to determine the royalty-bearing portion, and then multiplied by the annually tiered royalty rates to determine Enanta’s actual royalty for a given year. In October 2014 we entered into an amendment to our agreement with AbbVie to finalize the net sales allocations for regimens containing paritaprevir, as well as for any regimen containing ABT-493. Under the terms of this agreement, 30% of net sales of a 3-DAA regimen containing paritaprevir are allocated to paritaprevir and 45% of net sales of a 2-DAA regimen containing paritaprevir are allocated to paritaprevir. For ABT-493, 50% of net sales will be allocated for a 2-DAA regimen and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for a 3-DAA regimen. If there is any active ingredient other than DAA’s in any ABT-493-containing regimen sold by AbbVie, there will be a further adjustment to net sales based on the relative value of the non-DAA ingredient.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the agreement, we also have an option to fund 40% of U.S. development costs and U.S. commercialization efforts (sales and promotion costs), in exchange for 40% of any U.S. profits, allocable to any product candidate that ultimately achieves regulatory approval and commercialization. We did not exercise our option right with respect to paritaprevir or ABT-493, but we retain our option right for any additional product developed under the agreement, which must be exercised within a specified period after the successful completion of a Phase 2a trial of the additional product. If we exercise our co-development option right, we would be eligible for a different schedule of milestones and milestone payments than those described above, but would not be eligible to receive royalties on U.S. sales. If any additional collaboration product containing a protease inhibitor is co-developed, we would be eligible to receive future milestone payments totaling up to $40 million for similar regulatory and reimbursement approval milestones. There are no additional protease inhibitors currently being developed in our collaboration with AbbVie.</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intellectual property existing as of the effective date of the agreement remains our property. Any intellectual property jointly developed will be jointly owned. We will have unilateral right to enforce Enanta patent rights on any covered product following the first commercial sale of such product, as will AbbVie. In the event of infringement related to any Enanta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19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compounds. Upon our request, AbbVie will also transfer to us all right, title and interest in any related product trademarks, regulatory filings and clinical trials.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AbbVie terminates the agreement for our uncured breach, the milestone and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In September 2011, we were awarded a contract from NIAID to fund preclinical and early clinical development of our lead candidate in a new class of bridged bicyclic antibiotics known as Bicyclolides. The lead candidate was under development by NIAID for use by the U.S. government as medical biodefense countermeasures against multiple bacteria found in anthrax, plague and tularemia.</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contract was completed in August 2015. Under the terms of the NIAID contract, which was completed in August 2015, NIAID has paid us research and development funding totaling approximately $18.7 million through September 30, 2015, and there may be additional payments to us in connection with final reconciliation of payments due under the contract.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the contract, all intellectual property rights held by us and any inventions, know-how or other intellectual property rights derived as a result of this contract will be our property, subject to certain rights of the United States federal government. See “Risk Factors—We could be unsuccessful in obtaining or maintaining adequate patent and other intellectual property protection for one or more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NASH and other viral diseases and liver diseases that we may target in the future.</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Many of our competitors have substantially greater commercial infrastructure and greater financial, technical and personnel resources than we have, as well as drug candidates in late-stage clinical development. 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6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We expect our current and future product candidates to face intense and increasing competition as new products enter the HCV and antiviral markets and advanced technologies become available, particularly in the case of HCV in combinations with existing products and other new products. First generation protease inhibitors, Incivek™ (telaprevir) of Vertex and Victrelis™ (boceprevir) of Merck, were approved in 2011 by the FDA for the treatment of HCV in combination with interferon and ribavirin, which in combination were the previous standard of care. However, by January 2015 both Vertex and Merck had announced they would discontinue the sale of these products, noting competing treatments and diminishing market demand. A third protease inhibitor, simeprevir (Olysio™) from Janssen Therapeutics, was approved by the FDA in November 2013 for use in genotype 1 HCV patients only when used in combination with pegylated interferon and ribavirin. The evolving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competitive landscape in HCV intensified in December 2013, when the FDA approved sofosbuvir (Sovaldi</w:t>
      </w:r>
      <w:r>
        <w:rPr>
          <w:rFonts w:ascii="Arial" w:cs="Arial" w:eastAsia="Arial" w:hAnsi="Arial"/>
          <w:sz w:val="14"/>
          <w:szCs w:val="14"/>
          <w:color w:val="auto"/>
        </w:rPr>
        <w:t>®</w:t>
      </w:r>
      <w:r>
        <w:rPr>
          <w:rFonts w:ascii="Arial" w:cs="Arial" w:eastAsia="Arial" w:hAnsi="Arial"/>
          <w:sz w:val="17"/>
          <w:szCs w:val="17"/>
          <w:color w:val="auto"/>
        </w:rPr>
        <w:t>),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or BMS, gained approval in Japan for the NS5A/protease inhibitor combination daclatasvir/asunaprevir. In October 2014 the FDA approved Gilead’s interferon-free Harvoni</w:t>
      </w:r>
      <w:r>
        <w:rPr>
          <w:rFonts w:ascii="Arial" w:cs="Arial" w:eastAsia="Arial" w:hAnsi="Arial"/>
          <w:sz w:val="14"/>
          <w:szCs w:val="14"/>
          <w:color w:val="auto"/>
        </w:rPr>
        <w:t>®</w:t>
      </w:r>
      <w:r>
        <w:rPr>
          <w:rFonts w:ascii="Arial" w:cs="Arial" w:eastAsia="Arial" w:hAnsi="Arial"/>
          <w:sz w:val="17"/>
          <w:szCs w:val="17"/>
          <w:color w:val="auto"/>
        </w:rPr>
        <w:t>, a fixed-dose combination of sofosbuvir and ledipasvir (a NS5A inhibitor) for patients with genotype 1 HCV. Also in November 2014 the FDA approved an interferon-free combination therapy of simeprevir and sofusbuvir for genotype 1 HCV patients. In December 2014, AbbVie’s VIEKIRA PAK treatment regimen containing our collaboration’s paritaprevir was approved by the FDA, and since then approvals of other paritaprevir-containing regimens and Harvoni followed in the EU and Japan. In July 2015, BMS received approval in the U.S. for daclatasvir in combination with sofosbuvir for genotype 3 HCV patients. Also in that month, the FDA approved the paritaprevir-containing regimen Technivie</w:t>
      </w:r>
      <w:r>
        <w:rPr>
          <w:rFonts w:ascii="Arial" w:cs="Arial" w:eastAsia="Arial" w:hAnsi="Arial"/>
          <w:sz w:val="14"/>
          <w:szCs w:val="14"/>
          <w:color w:val="auto"/>
        </w:rPr>
        <w:t>TM</w:t>
      </w:r>
      <w:r>
        <w:rPr>
          <w:rFonts w:ascii="Arial" w:cs="Arial" w:eastAsia="Arial" w:hAnsi="Arial"/>
          <w:sz w:val="17"/>
          <w:szCs w:val="17"/>
          <w:color w:val="auto"/>
        </w:rPr>
        <w:t xml:space="preserve"> from our partner Abbvie for genotype 4 HCV patients. Other all-oral, next-generation treatment regimens are under development at Merck and Gilead and may obtain regulatory approvals in other settings for the treatment of HCV in the next year. These other potential new treatment regimens may render AbbVie’s treatment regimens containing any of our HCV product candidates noncompetitive. In particular, regimens containing our HCV product candidates may not be able to compete successfully with other products and regimens, a number of which remain under active development and involve multiple classes of inhibitors of HCV, including protease inhibitors, polymerase inhibitors (nucleoside and non-nucleoside), NS5A inhibitors, and others, under development by companies such as Achillion, BMS, Gilead, Johnson &amp; Johnson, Medivir, Merck, Regulus and Roche, as well as by our collaborator AbbVie.</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Though there is currently no approved treatment for NASH and just one for PBC (ursadiol), we expect significant competition from other companies in the development of new treatments for these and related liver conditions. We are aware of several companies with programs that are significantly more advanced than ours, including companies with compounds in Phase 2 or later stage clinical trials for NASH or related conditions. These companies include Alberio, Conatus, Galectin, Galmed, Genfit, Gilead, GlaxoSmithKline, Intercept, Novartis, Novo Nordisk and Tobira. A significant number of other companies are conducting earlier clinical trials that may be applicable in NASH and other cholestatic diseases, including AstraZeneca, Boehringer Ingelheim, Cymabay, Durect, Islet, Medicnova, Metabolic Solutions Development Company, NGM, Nimbus, Poxel, Shire, and Viking, and there are additional companies conducting preclinical studies in these disease areas.</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infrastructures and financial, technical and personnel resources than we have. We will not be able to compete successfully unless we are able to:</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and develop products that are superior to other products in the market;</w:t>
      </w:r>
    </w:p>
    <w:p>
      <w:pPr>
        <w:spacing w:after="0" w:line="130" w:lineRule="exact"/>
        <w:rPr>
          <w:rFonts w:ascii="Arial" w:cs="Arial" w:eastAsia="Arial" w:hAnsi="Arial"/>
          <w:sz w:val="18"/>
          <w:szCs w:val="18"/>
          <w:color w:val="auto"/>
        </w:rPr>
      </w:pPr>
    </w:p>
    <w:p>
      <w:pPr>
        <w:ind w:left="5620" w:right="4500" w:hanging="5045"/>
        <w:spacing w:after="0" w:line="449" w:lineRule="auto"/>
        <w:tabs>
          <w:tab w:leader="none" w:pos="8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qualified scientific, medical, sales and marketing and commercial personnel;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processes and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collaborate with others in the development and commercialization of new products.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in order to overcome price competition and to be commercially successful. If we and our collaborators are not able to compete effectively against current and future competitors for our product candidates, our business will not grow and our financial condition will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Each of our major programs typically has several issued patents and pending patent claims in the program area containing claims to compounds, methods of use and processes for synthesis, but only a few of the issued patents and/or pending patent applications cover the lead product candidate in the program.</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HCV NS3 Protease Inhibitor Program. </w:t>
      </w:r>
      <w:r>
        <w:rPr>
          <w:rFonts w:ascii="Arial" w:cs="Arial" w:eastAsia="Arial" w:hAnsi="Arial"/>
          <w:sz w:val="16"/>
          <w:szCs w:val="16"/>
          <w:color w:val="auto"/>
        </w:rPr>
        <w:t>The patent portfolio directed to the HCV protease inhibitor program with AbbVie included as of September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48 issued U.S. patents, with five U.S. non-provisional applications, 237 issued foreign patents and approximately 206 foreign non-provisional applications. The issued United States patents and the applications, if granted, will expire between 2023 and 2035 before taking into account any extensions that may be obtained through patent term extension or adjustment, or term reduction due to filing of terminal disclaimers. AbbVie is a joint owner of a number of these patent applications. AbbVie also has rights to some or all of these patents and patent applications pursuant to its collaboration agreement with us.</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HCV NS5A Inhibitor Program</w:t>
      </w:r>
      <w:r>
        <w:rPr>
          <w:rFonts w:ascii="Arial" w:cs="Arial" w:eastAsia="Arial" w:hAnsi="Arial"/>
          <w:sz w:val="18"/>
          <w:szCs w:val="18"/>
          <w:color w:val="auto"/>
        </w:rPr>
        <w:t>. Our patent portfolio directed to our HCV NS5A inhibitor program included as of September 30, 2015, 27 issued U.S.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three U.S. non-provisional applications, 11 issued foreign patents, 11 foreign non-provisional applications and one PCT application. The issued United States patents and the applications, if granted, will expire between 2030 and 2034 before taking into account any extensions that may be obtained through patent term extension or adjustment, or term reduction due to filing of terminal disclaimers.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Cyclophilin Inhibitor Program. </w:t>
      </w:r>
      <w:r>
        <w:rPr>
          <w:rFonts w:ascii="Arial" w:cs="Arial" w:eastAsia="Arial" w:hAnsi="Arial"/>
          <w:sz w:val="16"/>
          <w:szCs w:val="16"/>
          <w:color w:val="auto"/>
        </w:rPr>
        <w:t>Our ongoing research activities include identifying compounds that inhibit cyclophilin, a protein in the human body that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shown to be involved in HCV replication. Our current portfolio directed to cyclophilin binders for the treatment of HCV included as of September 30, 2015, nine issued U.S. patents, two U.S. non-provisional applications, one U.S. provisional application, one PCT application, nine granted foreign patents and eight foreign non-provisional applications. The issued United States patents and patent applications, if granted, will expire between 2030 and 2035 before taking into account any extensions that may be obtained through patent term extension or adjustment, or term reduction due to filing of terminal disclaimers.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Antibacterial Program</w:t>
      </w:r>
      <w:r>
        <w:rPr>
          <w:rFonts w:ascii="Arial" w:cs="Arial" w:eastAsia="Arial" w:hAnsi="Arial"/>
          <w:sz w:val="18"/>
          <w:szCs w:val="18"/>
          <w:color w:val="auto"/>
        </w:rPr>
        <w:t>. Our patent portfolio directed to antibacterials included as of September 30, 2015, approximately 32 issued U.S. patents, one U.S. non-provisional application, 59 foreign patents and seven non-provisional foreign applications. These patents and patent applications, if granted, will expire between 2020 and 2032 before taking into account any extension that may be obtained through patent term extension or adjustment, or term reduction due to filing of terminal disclaimers.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obtain patents for certain compounds many years before we obtain marketing approval for products containing such compounds. Because patents have a limited life, which may begin to run prior to the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we jointly own patent applications, together with AbbVie, that claim paritaprevir as a chemical entity. However, there is no guaranty that such applications will issue. We also own one issued patent that claims EDP-239 as a chemical entity. Further, the existence of issued patents does not guarantee our right to practice the patented technology or commercialize the patented product. Third parties may have or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18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 Risks Related to Our Intellectual Property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pharmaceutical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GLPs or other applicable regulations;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an IND, which must become effective before human clinical trials may begin;</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current Good Clinical Practices, or GCPs, to establish the safety and efficacy of the proposed drug for its intended use;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an NDA, for a new drug product;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suspend or terminate such trial.</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prior to approval are typically conducted in three sequential phases that may overlap or be combined:</w:t>
      </w:r>
    </w:p>
    <w:p>
      <w:pPr>
        <w:spacing w:after="0" w:line="131" w:lineRule="exact"/>
        <w:rPr>
          <w:sz w:val="20"/>
          <w:szCs w:val="20"/>
          <w:color w:val="auto"/>
        </w:rPr>
      </w:pPr>
    </w:p>
    <w:p>
      <w:pPr>
        <w:ind w:left="900" w:right="300" w:hanging="325"/>
        <w:spacing w:after="0" w:line="31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The drug is initially introduced into healthy humans and tested for safety, dosage tolerance, absorption, metabolism,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52"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evaluated in a limited patient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optimal dosage and dosing schedule for patients having the specific disease.</w:t>
      </w:r>
    </w:p>
    <w:p>
      <w:pPr>
        <w:spacing w:after="0" w:line="86"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are undertaken to further evaluate dosage, clinical efficacy and safety in an expanded patient population at geographically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by the investigators for serious and unexpected AEs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6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submission of an NDA is subject to the payment of substantial user fees by the applicant; a waiver of such fees may be obtained under certain limited circumstances.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Before approving an NDA, the FDA will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w:t>
      </w:r>
    </w:p>
    <w:p>
      <w:pPr>
        <w:ind w:right="260"/>
        <w:spacing w:after="0" w:line="302" w:lineRule="auto"/>
        <w:rPr>
          <w:sz w:val="20"/>
          <w:szCs w:val="20"/>
          <w:color w:val="auto"/>
        </w:rPr>
      </w:pPr>
      <w:r>
        <w:rPr>
          <w:rFonts w:ascii="Arial" w:cs="Arial" w:eastAsia="Arial" w:hAnsi="Arial"/>
          <w:sz w:val="16"/>
          <w:szCs w:val="16"/>
          <w:color w:val="auto"/>
        </w:rPr>
        <w:t>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16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Price Competition and Patent Term Restoration Act of 1984</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Food, Drug and Cosmetic Act (“FDCA”)</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Arial" w:cs="Arial" w:eastAsia="Arial" w:hAnsi="Arial"/>
          <w:sz w:val="16"/>
          <w:szCs w:val="16"/>
          <w:i w:val="1"/>
          <w:iCs w:val="1"/>
          <w:color w:val="auto"/>
        </w:rPr>
        <w:t>e.g.</w:t>
      </w:r>
      <w:r>
        <w:rPr>
          <w:rFonts w:ascii="Arial" w:cs="Arial" w:eastAsia="Arial" w:hAnsi="Arial"/>
          <w:sz w:val="16"/>
          <w:szCs w:val="16"/>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7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18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2003, the United States government enacted legislation providing a partial prescription drug benefit for Medicare recipients, which became effective at the beginning of 2006. Government payment for some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collectively known as the Affordable Care Act, substantially changed the way healthcare is financed by both governmental and private insurers, and significantly impacted the pharmaceutical industry.</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comprehensive overhaul has extended coverage to approximately 17 million previously uninsured Americans. Since its adoption, the Affordable Care Act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9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There have been proposed in Congress a number of legislative initiatives regarding healthcare, including possible repeal of the Affordable Care Act. At this time, it remains unclear whether there will be any changes made to the Affordable Care Act, whether to certain provisions or its entirety. The full impact that the Affordable Care Act and other new laws will have on our business is uncertain. Nor is it clear whether other legislative changes will be adopted, if any, or how such changes would affect the demand for our product candidates once commercialized.</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marketability of any drug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do not have our own manufacturing capabilities, except with respect to limited amounts of active pharmaceutical ingredients needed for preclinical development. In the past we have relied on third-party manufacturers for supply of active pharmaceutical ingredients, and we expect that in the future we will rely on such manufacturers for supply of ingredients that will be used in clinical trials of our product candidates that we are developing ourselves. Manufacturing for each of our two lead product candidates, namely paritaprevir and ABT-493 are being conducted by AbbVie. We do not expect to establish our own manufacturing facilities and we will continue to rely on third-party manufacturers to produce commercial quantities of any product candidates that we commercialize ourselves. We believe that all of the materials required for the manufacture of those product candidates could be obtained from more than one source.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currently do not have any commercialization or sales and marketing capabilities, and currently have no fixed plans to invest in or build such capabilities internally. We have partnered our lead product candidate with AbbVie. We may also partner or collaborate with, or license commercial rights to, other larger pharmaceutical or biopharmaceutical companies to support the development of our cyclophilin inhibitor product candidates, or other product candidates for large market indications,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September 30, 2015, we had 69 full-time employees, 39 of whom hold Ph.D. degrees. None of our employees is subject to a collective bargaining agreement or represented by a trade or labor union. We consider our relations with our employees to be good.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the protease inhibitors paritaprevir or ABT-493 for the treatment of HCV. AbbVie may act in its best interest rather than in our best interest, which could adversely affect our business.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rely on AbbVie to fund and conduct the clinical development and commercialization of paritaprevir and ABT-493 (our next-generation protease inhibitor, in clinical development), over which AbbVie has complete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ABT-493. Any of several events or factors could have a material adverse effect on our ability to generate revenue from AbbVie’s commercialization of paritaprevir or potentially ABT-493 in combination therapies. For example, AbbVie:</w:t>
      </w:r>
    </w:p>
    <w:p>
      <w:pPr>
        <w:spacing w:after="0" w:line="94" w:lineRule="exact"/>
        <w:rPr>
          <w:sz w:val="20"/>
          <w:szCs w:val="20"/>
          <w:color w:val="auto"/>
        </w:rPr>
      </w:pPr>
    </w:p>
    <w:p>
      <w:pPr>
        <w:jc w:val="both"/>
        <w:ind w:left="900" w:right="48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not compete successfully with any such combination therapies against alternative products and therapies for HCV;</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ABT-493;</w:t>
      </w:r>
    </w:p>
    <w:p>
      <w:pPr>
        <w:spacing w:after="0" w:line="75" w:lineRule="exact"/>
        <w:rPr>
          <w:rFonts w:ascii="Arial" w:cs="Arial" w:eastAsia="Arial" w:hAnsi="Arial"/>
          <w:sz w:val="18"/>
          <w:szCs w:val="18"/>
          <w:color w:val="auto"/>
        </w:rPr>
      </w:pPr>
    </w:p>
    <w:p>
      <w:pPr>
        <w:ind w:left="900" w:right="9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be unable to complete successfully the clinical development of an ABT-493-containing regimen;</w:t>
      </w:r>
    </w:p>
    <w:p>
      <w:pPr>
        <w:spacing w:after="0" w:line="130" w:lineRule="exact"/>
        <w:rPr>
          <w:rFonts w:ascii="Arial" w:cs="Arial" w:eastAsia="Arial" w:hAnsi="Arial"/>
          <w:sz w:val="18"/>
          <w:szCs w:val="18"/>
          <w:color w:val="auto"/>
        </w:rPr>
      </w:pPr>
    </w:p>
    <w:p>
      <w:pPr>
        <w:jc w:val="both"/>
        <w:ind w:left="900" w:right="64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regimens containing ABT-493 or to the marketing and distribution of regimens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not be able to manufacture paritaprevir or ABT-493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ABT-493 in the treatment of HCV.</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clinical development, regulatory approval and commercialization efforts related to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 about the progress of the clinical development of a product candidate, the achievement and payment of a milestone amount, the 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non-alcoholic steatohepatitis (“NASH”), as well as other liver and viral diseases, which may result in others discovering, developing or commercializing products before ours or doing so more successfully than we or our collaborators.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expect our current and future product candidates to face intense and increasing competition as new products enter the HCV and antiviral markets and advanced technologies become available, particularly in the case of HCV in combinations with existing products and other new products. First generation protease inhibitors, Incivek</w:t>
      </w:r>
      <w:r>
        <w:rPr>
          <w:rFonts w:ascii="Arial" w:cs="Arial" w:eastAsia="Arial" w:hAnsi="Arial"/>
          <w:sz w:val="13"/>
          <w:szCs w:val="13"/>
          <w:color w:val="auto"/>
        </w:rPr>
        <w:t>®</w:t>
      </w:r>
      <w:r>
        <w:rPr>
          <w:rFonts w:ascii="Arial" w:cs="Arial" w:eastAsia="Arial" w:hAnsi="Arial"/>
          <w:sz w:val="16"/>
          <w:szCs w:val="16"/>
          <w:color w:val="auto"/>
        </w:rPr>
        <w:t xml:space="preserve"> (telaprevir) of Vertex and Victrelis™ (boceprevir) of Merck, were approved in 2011 by the FDA for the treatment of HCV in combination with interferon and ribavirin, which in combination were the previous standard of care. However, by January 2015 both Vertex and Merck had announced they would discontinue the sale of these products, noting competing treatments and diminishing market demand. A third protease inhibitor, simeprevir (Olysio</w:t>
      </w:r>
      <w:r>
        <w:rPr>
          <w:rFonts w:ascii="Arial" w:cs="Arial" w:eastAsia="Arial" w:hAnsi="Arial"/>
          <w:sz w:val="13"/>
          <w:szCs w:val="13"/>
          <w:color w:val="auto"/>
        </w:rPr>
        <w:t>®</w:t>
      </w:r>
      <w:r>
        <w:rPr>
          <w:rFonts w:ascii="Arial" w:cs="Arial" w:eastAsia="Arial" w:hAnsi="Arial"/>
          <w:sz w:val="16"/>
          <w:szCs w:val="16"/>
          <w:color w:val="auto"/>
        </w:rPr>
        <w:t>) from Janssen Therapeutics, was approved by the FDA in November 2013 for use in genotype 1 HCV patients only when used in combination with pegylated interferon and ribavirin. The evolving competitive landscape in HCV intensified in December 2013, when the FDA approved sofosbuvir (Sovaldi</w:t>
      </w:r>
      <w:r>
        <w:rPr>
          <w:rFonts w:ascii="Arial" w:cs="Arial" w:eastAsia="Arial" w:hAnsi="Arial"/>
          <w:sz w:val="13"/>
          <w:szCs w:val="13"/>
          <w:color w:val="auto"/>
        </w:rPr>
        <w:t>®</w:t>
      </w:r>
      <w:r>
        <w:rPr>
          <w:rFonts w:ascii="Arial" w:cs="Arial" w:eastAsia="Arial" w:hAnsi="Arial"/>
          <w:sz w:val="16"/>
          <w:szCs w:val="16"/>
          <w:color w:val="auto"/>
        </w:rPr>
        <w:t>),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gained approval in Japan for the NS5A/protease inhibitor combination daclatasvir/asunaprevir. In October 2014 the FDA approved Gilead’s interferon-free Harvoni</w:t>
      </w:r>
      <w:r>
        <w:rPr>
          <w:rFonts w:ascii="Arial" w:cs="Arial" w:eastAsia="Arial" w:hAnsi="Arial"/>
          <w:sz w:val="13"/>
          <w:szCs w:val="13"/>
          <w:color w:val="auto"/>
        </w:rPr>
        <w:t>®</w:t>
      </w:r>
      <w:r>
        <w:rPr>
          <w:rFonts w:ascii="Arial" w:cs="Arial" w:eastAsia="Arial" w:hAnsi="Arial"/>
          <w:sz w:val="16"/>
          <w:szCs w:val="16"/>
          <w:color w:val="auto"/>
        </w:rPr>
        <w:t>, a fixed-dose combination of sofosbuvir and ledipasvir (a NS5A inhibitor) for patients with genotype 1 HCV. Also in November 2014 the FDA approved an interferon-free combination therapy of simeprevir and sofusbuvir for genotype 1 HCV patients. In December 2014, AbbVie’s VIEKIRA PAK treatment regimen containing our collaboration’s paritaprevir was approved by the FDA, and since then approvals of other paritaprevir-containing regimens and Harvoni followed in the EU and Japan. In July 2015, BMS received approval in the US for daclatasvir in combination with sofosbuvir for genotype 3 HCV patients. Also in that month, the FDA approved the paritaprevir-containing regimen Technivie</w:t>
      </w:r>
      <w:r>
        <w:rPr>
          <w:rFonts w:ascii="Arial" w:cs="Arial" w:eastAsia="Arial" w:hAnsi="Arial"/>
          <w:sz w:val="13"/>
          <w:szCs w:val="13"/>
          <w:color w:val="auto"/>
        </w:rPr>
        <w:t>TM</w:t>
      </w:r>
      <w:r>
        <w:rPr>
          <w:rFonts w:ascii="Arial" w:cs="Arial" w:eastAsia="Arial" w:hAnsi="Arial"/>
          <w:sz w:val="16"/>
          <w:szCs w:val="16"/>
          <w:color w:val="auto"/>
        </w:rPr>
        <w:t xml:space="preserve"> from our partner Abbvie for genotype 4 HCV patients. Other all-oral, next-generation treatment regimens are under development at Merck and Gilead and may obtain regulatory approvals in other settings for the treatment of HCV in the next year. These other potential new treatment regimens may render AbbVie’s treatment regimens containing any of our HCV product candidates noncompetitive. In particular, regimens containing our HCV product candidates may not be able to compete successfully with other products and regimens, a number of which remain under active development and involve multiple classes of inhibitors of HCV, including protease inhibitors, polymerase inhibitors (nucleoside and non-nucleoside), NS5A inhibitors, and others, under development by companies such as Achillion, Bristol-Myers Squibb, Gilead, Johnson &amp; Johnson, Medivir, Merck, Regulus and Roche, as well as by our collaborator AbbVie.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2 or later stage clinical trials for NASH or related conditions. These companies include Alberio, Conatus, Galectin, Galmed, Genfit, Gilead, GlaxoSmithKline, Intercept, Novo Nordisk, and Tobira. A significant number of other companies are conducting earlier clinical trials that may be applicable in NASH and other cholestatic diseases, including AstraZeneca, Boehringer Ingelheim, Cymabay, Durect, Islet, Medicnova, Metabolic Solutions Development Company, NGM, Nimbus, Shire, and Viking, and there are additional companies conducting preclinical studies in these disease areas.</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future product candidates.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ABT-493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any combinations of any of our cyclophilin inhibitors, NS5A inhibitors and nucleotide polymerase inhibitors for HCV, as well as for any of our research programs beyond HCV, we will need to successfully:</w:t>
      </w:r>
    </w:p>
    <w:p>
      <w:pPr>
        <w:spacing w:after="0" w:line="78" w:lineRule="exact"/>
        <w:rPr>
          <w:sz w:val="20"/>
          <w:szCs w:val="20"/>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 clinical development of our future product candidates and demonstrate acceptable safety and efficacy for them alone and, at least in the case of HCV, in combination with other drugs or drug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future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market acceptance for our future product candidates among physicians, payers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and ABT-493, our ability to expand our business and achieve our strategic objectives will be impaired.</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9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future product candidates less commercially viable or obsolete;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potential product candidate;</w:t>
      </w:r>
    </w:p>
    <w:p>
      <w:pPr>
        <w:spacing w:after="0" w:line="130"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future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future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services of any of these individuals or one or more of our other members of senior management could delay or prevent the successful development of our future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30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each of our 2013, 2014 and 2015 fiscal years, our net income resulted primarily from license payments, including milestone payments we earned from AbbVie and/or Novartis and royalties we earned in 2015 on AbbVie’s net sales allocated to paritaprevir. There is no assurance, however, that we will report net income in subsequent years. To date, we have not commercialized any products ourselves and we have not yet generated sustained revenue from product sales by AbbVie.</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principal source of revenue has been our collaboration agreements, including our current agreement with AbbVie. The level of future royalties on paritaprevir are uncertain given the competitive nature of the market for HCV therapies, the emergence of new, but not yet approved, therapies for HCV, the changing nature of payer contracts of AbbVie and others, and the varying rates of reimbursement in different countries. In addition, it is not yet clear what will be the impact, if any, of the October 2015 warning letter from the FDA regarding the risks of Abbvie’s VIEKIRA PAK and TECHNIVIE regimens in patients with decompensated cirrhosis, for which it had never been recommended. Future milestone payments are uncertain because AbbVie may choose not to continue research or development activities for our ABT-493 product candidate.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ABT-493, that product candidate may not be approved by the FDA or other regulatory authorities or, if ABT-493 is approved, the combination containing it may not be accepted in the market. If we are unable to develop and commercialize any more of our product candidates, either alone or with our collaborators, or if 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such product candidate or paritaprevir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8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delayed or curtailed or if the development of ABT-493 is delayed or terminated. A failure to obtain this necessary capital when needed could force us to delay, limit, reduce or terminate some or all of our product development efforts.</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 including manufacturing for clinical development;</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ABT-493-containing regimens.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 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DAAs for the treatment of HCV;</w:t>
      </w:r>
    </w:p>
    <w:p>
      <w:pPr>
        <w:spacing w:after="0" w:line="75" w:lineRule="exact"/>
        <w:rPr>
          <w:rFonts w:ascii="Arial" w:cs="Arial" w:eastAsia="Arial" w:hAnsi="Arial"/>
          <w:sz w:val="18"/>
          <w:szCs w:val="18"/>
          <w:color w:val="auto"/>
        </w:rPr>
      </w:pPr>
    </w:p>
    <w:p>
      <w:pPr>
        <w:ind w:left="900" w:right="42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results of any Phase 3 clinical trial may not be adequate to support marketing approval for one of AbbVie’s regimens containing a protease inhibitor. These clinical trials are lengthy and usually involve from many hundreds to thousands of patients. In addition, if the FDA or the EMA disagrees with AbbVie’s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likely be 2017 before an NDA for one of AbbVie’s HCV treatment regimens containing one of our product candidates other than paritaprevir could be approved by the FDA or the EMA.</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EDP-494 or any product candidate in our current NASH program may have undesirable side effects which may delay or prevent marketing approval, or, if approval is received, require our product candidate to be taken off the market, require us to include safety warnings or otherwise limit sales.</w:t>
      </w:r>
    </w:p>
    <w:p>
      <w:pPr>
        <w:spacing w:after="0" w:line="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designed our EDP-494 to be substantially different from another cyclophilin inhibitor, alisporivir. The combination of interferon with ribavirin and alisporivir has been associated with pancreatitis in patients receiving treatment with the combination during clinical trials. We do not plan to develop EDP-494 in combination with interferon or ribavirin, which have also been associated with pancreatitis in other clinical contexts not including a cyclophilin inhibitor. However, we cannot give any assurance that EDP-494 will not result in any unforeseen side effects.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With the exception of one drug approved to treat cholesterol gallstone dissolution and a rare lipid storage disease, there are no approved FXR agonists and the adverse effects from long-term exposure to this drug class are unknown. Unforeseen side effects from any of our product candidates could arise either during clinical development or, if approved, after the approved product has been marketed. The range and potential severity of possible side effects from systemic therapies like FXR agonists is significant.</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our drug candidates for NASH will be developed as a potential treatment for a severe disease that commonly occurs in patients with other serious conditions, including metabolic syndrome and diabetes. Any clinical trials in NASH will necessarily be conducted in patient populations that will be more prone than the general population to exhibit certain disease states or adverse events. It may be difficult to discern whether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4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 with EDP-494 or any of our FXR agonists for NASH.</w:t>
      </w:r>
    </w:p>
    <w:p>
      <w:pPr>
        <w:spacing w:after="0" w:line="28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b w:val="1"/>
          <w:bCs w:val="1"/>
          <w:i w:val="1"/>
          <w:iCs w:val="1"/>
          <w:color w:val="auto"/>
        </w:rPr>
        <w:t>If we, or AbbVie in the case of our protease inhibitor product candidates,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results of preclinical studies and early clinical trials of our product candidates, whether ABT-493, EDP-494 , EDP-239 or any of our future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2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7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paritaprevir or ABT-493,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ABT-493,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ABT-493 without consulting us, and may make decisions with which we do not agree.</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future products;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any other protease inhibitor product candidates licensed to AbbVie, if approved, as well as similar market acceptance of any future product candidates we plan to develop independently or in collaboration with others.</w:t>
      </w:r>
    </w:p>
    <w:p>
      <w:pPr>
        <w:spacing w:after="0" w:line="7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Paritaprevir, as well as ABT-493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60" w:lineRule="exact"/>
        <w:rPr>
          <w:sz w:val="20"/>
          <w:szCs w:val="20"/>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treatment regimens containing one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alternative treatments;</w:t>
      </w:r>
    </w:p>
    <w:p>
      <w:pPr>
        <w:spacing w:after="0" w:line="130"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our collaborator,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levels of funding for HCV treatment provided by government-funded healthcare;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or our collaborators’ sales and marketing efforts.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Even if AbbVie successfully commercializes paritaprevir in its HCV treatment regimens, or even if we, or AbbVie is in the case of ABT-493, are able to commercialize any other treatment regimen containing one of our product candidates, the resulting products may become subject to unfavorable pricing regulations, third-party reimbursement practices or healthcare reform initiatives in the United States, which would harm our business.</w:t>
      </w:r>
    </w:p>
    <w:p>
      <w:pPr>
        <w:spacing w:after="0" w:line="3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may significantly change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9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future product candidates. We face significant competition in seeking appropriate collaborators and the negotiation process is time-consuming and 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work with third-party contract manufacturers to produce sufficient quantities of any future product candidates for preclinical testing, clinical trials and commercialization. If we are unable to arrange for such a third-party manufacturing source, or fail to do so on commercially reasonable terms, we may not be able to successfully produce, develop and market our future product candidates, or we may be delayed in doing so.</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future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We also use contract researchers in China to conduct a portion of our 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6"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rely on academic institutions, CROs, hospitals, clinics and other third-party collaborators who are outside our control to monitor, support, conduct and/or oversee preclinical and clinical studies of our future product candidates. We will also rely on third parties to perform clinical trials on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commercialization strategy for some of our future product candidates may depend on our ability to enter into collaboration agreements with other companies to obtain assistance and funding for the development and potential commercialization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agreed to indemnify, which litigation could be based on either existing intellectual property or intellectual property that arises in the future.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00" w:right="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76"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300" w:hanging="325"/>
        <w:spacing w:after="0" w:line="279"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00"/>
        <w:spacing w:after="0" w:line="253"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9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900" w:right="6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kind, to induce or reward either the referral of an individual for, or the purchase, order or recommendation of, any good or service for which payment may be made under federal and state healthcare programs such as Medicare and Medicaid;</w:t>
      </w:r>
    </w:p>
    <w:p>
      <w:pPr>
        <w:spacing w:after="0" w:line="76" w:lineRule="exact"/>
        <w:rPr>
          <w:sz w:val="20"/>
          <w:szCs w:val="20"/>
          <w:color w:val="auto"/>
        </w:rPr>
      </w:pPr>
    </w:p>
    <w:p>
      <w:pPr>
        <w:jc w:val="both"/>
        <w:ind w:left="900" w:right="80" w:hanging="325"/>
        <w:spacing w:after="0" w:line="28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720" w:hanging="325"/>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60" w:hanging="325"/>
        <w:spacing w:after="0" w:line="276"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hazardous materials, we could be held liable for any resulting damages, and any liability could exceed our resources. We also could incur significant costs associated with civil or criminal fines and penalties.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900" w:right="5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by AbbVie regarding HCV treatment regimens containing any of our product candidates it is developing, including announcements regarding clinical or regulatory developments or our collaboration;</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achieve commercial success;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or our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our future product candidates we develop independently,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named executive officers are parties to employment agreements that provide for aggregate cash payments of up to approximately $3.8 million for severance and other non-equity-based benefits in the event of a termination of employment in connection with a change of control of our company. In addition, based on the September 30, 2015 closing price of our common stock at $36.14 per share, the aggregate intrinsic value of unvested stock options and other equity awards subject to accelerated vesting upon these events was $6.4 million as of September 30, 2015. The accelerated vesting of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2015, we had outstanding 18,716,834 shares of common stock. In addition, at that date 1,793,810 shares of common stock that are subject to outstanding options or stock unit awards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corporate headquarters is located in Watertown, Massachusetts, where we lease approximately 49,000 square feet of office and laboratory space. The term of our current lease expires on September 30, 2022.</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40" w:right="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COMPANY’S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Stockholder Information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years ended September 30, 2015 and 2014:</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High</w:t>
            </w:r>
          </w:p>
        </w:tc>
        <w:tc>
          <w:tcPr>
            <w:tcW w:w="48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$38.14</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$18.94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$42.77</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$28.28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80" w:type="dxa"/>
            <w:vAlign w:val="bottom"/>
            <w:gridSpan w:val="3"/>
            <w:shd w:val="clear" w:color="auto" w:fill="CCEEFF"/>
          </w:tcPr>
          <w:p>
            <w:pPr>
              <w:jc w:val="center"/>
              <w:ind w:left="3230"/>
              <w:spacing w:after="0"/>
              <w:rPr>
                <w:sz w:val="20"/>
                <w:szCs w:val="20"/>
                <w:color w:val="auto"/>
              </w:rPr>
            </w:pPr>
            <w:r>
              <w:rPr>
                <w:rFonts w:ascii="Arial" w:cs="Arial" w:eastAsia="Arial" w:hAnsi="Arial"/>
                <w:sz w:val="18"/>
                <w:szCs w:val="18"/>
                <w:color w:val="auto"/>
                <w:w w:val="90"/>
              </w:rPr>
              <w:t>$46.14</w:t>
            </w:r>
          </w:p>
        </w:tc>
        <w:tc>
          <w:tcPr>
            <w:tcW w:w="10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$33.13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Fourth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$43.86</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$37.09</w:t>
            </w:r>
          </w:p>
        </w:tc>
      </w:tr>
      <w:tr>
        <w:trPr>
          <w:trHeight w:val="377"/>
        </w:trPr>
        <w:tc>
          <w:tcPr>
            <w:tcW w:w="4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High</w:t>
            </w:r>
          </w:p>
        </w:tc>
        <w:tc>
          <w:tcPr>
            <w:tcW w:w="48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$52.58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$51.60</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$30.55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80" w:type="dxa"/>
            <w:vAlign w:val="bottom"/>
            <w:gridSpan w:val="3"/>
            <w:shd w:val="clear" w:color="auto" w:fill="CCEEFF"/>
          </w:tcPr>
          <w:p>
            <w:pPr>
              <w:jc w:val="center"/>
              <w:ind w:left="3230"/>
              <w:spacing w:after="0"/>
              <w:rPr>
                <w:sz w:val="20"/>
                <w:szCs w:val="20"/>
                <w:color w:val="auto"/>
              </w:rPr>
            </w:pPr>
            <w:r>
              <w:rPr>
                <w:rFonts w:ascii="Arial" w:cs="Arial" w:eastAsia="Arial" w:hAnsi="Arial"/>
                <w:sz w:val="18"/>
                <w:szCs w:val="18"/>
                <w:color w:val="auto"/>
                <w:w w:val="90"/>
              </w:rPr>
              <w:t>$47.28</w:t>
            </w:r>
          </w:p>
        </w:tc>
        <w:tc>
          <w:tcPr>
            <w:tcW w:w="10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$30.13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Fourth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$51.89</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$33.51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2015, there were 34 stockholders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or paid cash dividends on our common stock, and we do not expect to declare or pay any cash dividends for the foreseeable future.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2013, we completed our initial public offering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September 30, 2015, we have used approximately $40.7 million of the net proceeds from the initial public offering to fund our programs for the development of a cyclophilin inhibitor candidate and the development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nucleotide polymerase inhibitor candidate and to fund new research and development activities. None of the net proceeds have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and long-term marketable securities on our balance sheet at September 30, 2015. There has been no material change in the expected use of the net proceeds from our IPO as described in our registration statement on Form S-1.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15"/>
          <w:szCs w:val="15"/>
          <w:b w:val="1"/>
          <w:bCs w:val="1"/>
          <w:color w:val="auto"/>
        </w:rPr>
        <w:t>(1)</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graph shows a comparison from March 21, 2013 through September 30, 2015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9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COMPARISON OF THIRTY MONTH CUMULATIVE TOTAL RETURN Among Enanta Pharmaceuticals,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140335</wp:posOffset>
            </wp:positionV>
            <wp:extent cx="4587875" cy="3044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87875"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 w:hanging="452"/>
        <w:spacing w:after="0" w:line="264"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derived the consolidated statement of operations data for the years ended September 30, 2015, 2014 and 2013 and the consolidated balance sheet data as of September 30, 2015 and 2014 from our audited financial statements included elsewhere in this Annual Report on Form 10-K. The selected statement of operations data for the years ended September 30, 2012 and 2011 and the balance sheet data as of September 30, 2013, 2012 and 2011 are derived from our audited financial statements not included in this Annual Report on Form 10-K. Our historical results for any prior period are not necessarily indicative of any results to be expected for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gridSpan w:val="12"/>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$160,880</w:t>
            </w:r>
          </w:p>
        </w:tc>
        <w:tc>
          <w:tcPr>
            <w:tcW w:w="920" w:type="dxa"/>
            <w:vAlign w:val="bottom"/>
            <w:gridSpan w:val="4"/>
          </w:tcPr>
          <w:p>
            <w:pPr>
              <w:jc w:val="right"/>
              <w:ind w:right="8"/>
              <w:spacing w:after="0"/>
              <w:rPr>
                <w:sz w:val="20"/>
                <w:szCs w:val="20"/>
                <w:color w:val="auto"/>
              </w:rPr>
            </w:pPr>
            <w:r>
              <w:rPr>
                <w:rFonts w:ascii="Arial" w:cs="Arial" w:eastAsia="Arial" w:hAnsi="Arial"/>
                <w:sz w:val="18"/>
                <w:szCs w:val="18"/>
                <w:color w:val="auto"/>
              </w:rPr>
              <w:t>$47,741</w:t>
            </w: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$ 32,053</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41,706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23,189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18,740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16,841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10,016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124,148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18,985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21,289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Therapeutic tax credit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embedded derivative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 before income tax</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125,455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19,268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21,399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(46,463)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15,170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34,438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21,399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Accretion of redeemable convertible preferred stock to redemption value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Net income attributable to participating securities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9"/>
              </w:rPr>
              <w:t>(13,670)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(14,663)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34,438</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1.80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18,673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w w:val="87"/>
              </w:rPr>
              <w:t>18,355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7"/>
              </w:rPr>
              <w:t>19,185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$209,443</w:t>
            </w: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$131,767</w:t>
            </w:r>
          </w:p>
        </w:tc>
        <w:tc>
          <w:tcPr>
            <w:tcW w:w="1480" w:type="dxa"/>
            <w:vAlign w:val="bottom"/>
            <w:gridSpan w:val="5"/>
          </w:tcPr>
          <w:p>
            <w:pPr>
              <w:jc w:val="right"/>
              <w:ind w:right="311"/>
              <w:spacing w:after="0"/>
              <w:rPr>
                <w:sz w:val="20"/>
                <w:szCs w:val="20"/>
                <w:color w:val="auto"/>
              </w:rPr>
            </w:pPr>
            <w:r>
              <w:rPr>
                <w:rFonts w:ascii="Arial" w:cs="Arial" w:eastAsia="Arial" w:hAnsi="Arial"/>
                <w:sz w:val="18"/>
                <w:szCs w:val="18"/>
                <w:color w:val="auto"/>
              </w:rPr>
              <w:t>$ 112,183</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11"/>
              <w:spacing w:after="0"/>
              <w:rPr>
                <w:sz w:val="20"/>
                <w:szCs w:val="20"/>
                <w:color w:val="auto"/>
              </w:rPr>
            </w:pPr>
            <w:r>
              <w:rPr>
                <w:rFonts w:ascii="Arial" w:cs="Arial" w:eastAsia="Arial" w:hAnsi="Arial"/>
                <w:sz w:val="18"/>
                <w:szCs w:val="18"/>
                <w:color w:val="auto"/>
              </w:rPr>
              <w:t>45,418</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163,937</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103,229</w:t>
            </w:r>
          </w:p>
        </w:tc>
        <w:tc>
          <w:tcPr>
            <w:tcW w:w="1480" w:type="dxa"/>
            <w:vAlign w:val="bottom"/>
            <w:gridSpan w:val="5"/>
            <w:shd w:val="clear" w:color="auto" w:fill="CCEEFF"/>
          </w:tcPr>
          <w:p>
            <w:pPr>
              <w:jc w:val="right"/>
              <w:ind w:right="311"/>
              <w:spacing w:after="0"/>
              <w:rPr>
                <w:sz w:val="20"/>
                <w:szCs w:val="20"/>
                <w:color w:val="auto"/>
              </w:rPr>
            </w:pPr>
            <w:r>
              <w:rPr>
                <w:rFonts w:ascii="Arial" w:cs="Arial" w:eastAsia="Arial" w:hAnsi="Arial"/>
                <w:sz w:val="18"/>
                <w:szCs w:val="18"/>
                <w:color w:val="auto"/>
              </w:rPr>
              <w:t>100,187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41,574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246,013</w:t>
            </w: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155,415</w:t>
            </w:r>
          </w:p>
        </w:tc>
        <w:tc>
          <w:tcPr>
            <w:tcW w:w="1480" w:type="dxa"/>
            <w:vAlign w:val="bottom"/>
            <w:gridSpan w:val="5"/>
          </w:tcPr>
          <w:p>
            <w:pPr>
              <w:jc w:val="right"/>
              <w:ind w:right="311"/>
              <w:spacing w:after="0"/>
              <w:rPr>
                <w:sz w:val="20"/>
                <w:szCs w:val="20"/>
                <w:color w:val="auto"/>
              </w:rPr>
            </w:pPr>
            <w:r>
              <w:rPr>
                <w:rFonts w:ascii="Arial" w:cs="Arial" w:eastAsia="Arial" w:hAnsi="Arial"/>
                <w:sz w:val="18"/>
                <w:szCs w:val="18"/>
                <w:color w:val="auto"/>
              </w:rPr>
              <w:t>116,973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11"/>
              <w:spacing w:after="0"/>
              <w:rPr>
                <w:sz w:val="20"/>
                <w:szCs w:val="20"/>
                <w:color w:val="auto"/>
              </w:rPr>
            </w:pPr>
            <w:r>
              <w:rPr>
                <w:rFonts w:ascii="Arial" w:cs="Arial" w:eastAsia="Arial" w:hAnsi="Arial"/>
                <w:sz w:val="18"/>
                <w:szCs w:val="18"/>
                <w:color w:val="auto"/>
              </w:rPr>
              <w:t>52,162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1,620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3"/>
              </w:rPr>
              <w:t>202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w w:val="95"/>
              </w:rPr>
              <w:t>158,955</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0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236,157</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148,654</w:t>
            </w:r>
          </w:p>
        </w:tc>
        <w:tc>
          <w:tcPr>
            <w:tcW w:w="1480" w:type="dxa"/>
            <w:vAlign w:val="bottom"/>
            <w:gridSpan w:val="5"/>
            <w:shd w:val="clear" w:color="auto" w:fill="CCEEFF"/>
          </w:tcPr>
          <w:p>
            <w:pPr>
              <w:jc w:val="right"/>
              <w:ind w:right="311"/>
              <w:spacing w:after="0"/>
              <w:rPr>
                <w:sz w:val="20"/>
                <w:szCs w:val="20"/>
                <w:color w:val="auto"/>
              </w:rPr>
            </w:pPr>
            <w:r>
              <w:rPr>
                <w:rFonts w:ascii="Arial" w:cs="Arial" w:eastAsia="Arial" w:hAnsi="Arial"/>
                <w:sz w:val="18"/>
                <w:szCs w:val="18"/>
                <w:color w:val="auto"/>
              </w:rPr>
              <w:t>110,468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w w:val="88"/>
              </w:rPr>
              <w:t>(115,353)</w:t>
            </w:r>
          </w:p>
        </w:tc>
        <w:tc>
          <w:tcPr>
            <w:tcW w:w="1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(131,961)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57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research and development-focused biotechnology company that uses its robust chemistry-driven approach and drug discovery capabilities to create small molecule drugs primarily for the treatment of viral infections and liver diseases. Our lead product, paritaprevir, a protease inhibitor designed for use against the hepatitis C virus, referred to as HCV, is a key compound in AbbVie’s marketed HCV treatment regimens. We also have a second HCV protease inhibitor in phase 3 development with AbbVie, as well as a wholly-owned HCV program using a different class of molecules known as cyclophilin inhibitors, which we plan to take into clinical trials in the first quarter of calendar 2016. In addition, we have a program in non-alcoholic steatohepatitis, or NASH, which we also plan to take into the clinical trials in calendar 2016, as well as discovery programs in other areas of viral infection and liver disease.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HCV protease inhibitors have been discovered and developed through our collaboration with AbbVie (formerly Abbott Laboratories), including:</w:t>
      </w:r>
    </w:p>
    <w:p>
      <w:pPr>
        <w:spacing w:after="0" w:line="142" w:lineRule="exact"/>
        <w:rPr>
          <w:sz w:val="20"/>
          <w:szCs w:val="20"/>
          <w:color w:val="auto"/>
        </w:rPr>
      </w:pPr>
    </w:p>
    <w:p>
      <w:pPr>
        <w:ind w:left="900" w:hanging="325"/>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all-oral, interferon-free HCV treatment regimens currently marketed in the U.S., EU, Japan and other countries around the world. VIEKIRA PAK was approved and first sold in the U.S. in December 2014 for treatment of genotype 1 HCV, the most prevalent genotype of HCV in the U.S., EU and Japan. A regimen containing paritaprevir and only one other direct-acting antiviral, or DAA, is now approved in Japan (VIEKIRAX</w:t>
      </w:r>
      <w:r>
        <w:rPr>
          <w:rFonts w:ascii="Arial" w:cs="Arial" w:eastAsia="Arial" w:hAnsi="Arial"/>
          <w:sz w:val="15"/>
          <w:szCs w:val="15"/>
          <w:color w:val="auto"/>
        </w:rPr>
        <w:t>®</w:t>
      </w:r>
      <w:r>
        <w:rPr>
          <w:rFonts w:ascii="Arial" w:cs="Arial" w:eastAsia="Arial" w:hAnsi="Arial"/>
          <w:sz w:val="18"/>
          <w:szCs w:val="18"/>
          <w:color w:val="auto"/>
        </w:rPr>
        <w:t>, September 2015) for the treatment of genotype 1 HCV and in the U.S. (TECHNIVIE™, July 2015), EU (VIEKIRAX, January 2015) and other countries for the treatment of genotype 4 HCV.</w:t>
      </w:r>
    </w:p>
    <w:p>
      <w:pPr>
        <w:spacing w:after="0" w:line="98"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ABT-493:</w:t>
      </w:r>
      <w:r>
        <w:rPr>
          <w:rFonts w:ascii="Arial" w:cs="Arial" w:eastAsia="Arial" w:hAnsi="Arial"/>
          <w:sz w:val="18"/>
          <w:szCs w:val="18"/>
          <w:color w:val="auto"/>
        </w:rPr>
        <w:t xml:space="preserve"> Our next-generation protease inhibitor, ABT-493, is being developed by AbbVie in combination with its next-generation NS5A inhibitor, ABT-530, as a pan-genotypic, once daily, all oral, fixed-dose combination treatment for HCV. AbbVie completed two Phase 2 clinical trials of this investigational 2-DAA treatment and reported results in November 2015:</w:t>
      </w:r>
    </w:p>
    <w:p>
      <w:pPr>
        <w:spacing w:after="0" w:line="86" w:lineRule="exact"/>
        <w:rPr>
          <w:rFonts w:ascii="Arial" w:cs="Arial" w:eastAsia="Arial" w:hAnsi="Arial"/>
          <w:sz w:val="18"/>
          <w:szCs w:val="18"/>
          <w:color w:val="auto"/>
        </w:rPr>
      </w:pPr>
    </w:p>
    <w:p>
      <w:pPr>
        <w:ind w:left="1920" w:right="440" w:hanging="318"/>
        <w:spacing w:after="0" w:line="277"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After 12 weeks of treatment with doses at or closest to the Phase 3 clinical dose, SVR</w:t>
      </w:r>
      <w:r>
        <w:rPr>
          <w:rFonts w:ascii="Arial" w:cs="Arial" w:eastAsia="Arial" w:hAnsi="Arial"/>
          <w:sz w:val="15"/>
          <w:szCs w:val="15"/>
          <w:color w:val="auto"/>
        </w:rPr>
        <w:t>12</w:t>
      </w:r>
      <w:r>
        <w:rPr>
          <w:rFonts w:ascii="Arial" w:cs="Arial" w:eastAsia="Arial" w:hAnsi="Arial"/>
          <w:sz w:val="18"/>
          <w:szCs w:val="18"/>
          <w:color w:val="auto"/>
        </w:rPr>
        <w:t xml:space="preserve"> rates were 100% in genotype 1 HCV patients, 96% in genotype 2, and 93% in genotype 3.</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Data after 8 weeks of treatment in non-cirrhotic genotype 1 chronic HCV patients demonstrated an SVR</w:t>
      </w:r>
      <w:r>
        <w:rPr>
          <w:rFonts w:ascii="Arial" w:cs="Arial" w:eastAsia="Arial" w:hAnsi="Arial"/>
          <w:sz w:val="15"/>
          <w:szCs w:val="15"/>
          <w:color w:val="auto"/>
        </w:rPr>
        <w:t>12</w:t>
      </w:r>
      <w:r>
        <w:rPr>
          <w:rFonts w:ascii="Arial" w:cs="Arial" w:eastAsia="Arial" w:hAnsi="Arial"/>
          <w:sz w:val="18"/>
          <w:szCs w:val="18"/>
          <w:color w:val="auto"/>
        </w:rPr>
        <w:t xml:space="preserve"> rate of 97%.</w:t>
      </w:r>
    </w:p>
    <w:p>
      <w:pPr>
        <w:spacing w:after="0" w:line="117" w:lineRule="exact"/>
        <w:rPr>
          <w:sz w:val="20"/>
          <w:szCs w:val="20"/>
          <w:color w:val="auto"/>
        </w:rPr>
      </w:pPr>
    </w:p>
    <w:p>
      <w:pPr>
        <w:ind w:left="920" w:right="420"/>
        <w:spacing w:after="0" w:line="264" w:lineRule="auto"/>
        <w:rPr>
          <w:sz w:val="20"/>
          <w:szCs w:val="20"/>
          <w:color w:val="auto"/>
        </w:rPr>
      </w:pPr>
      <w:r>
        <w:rPr>
          <w:rFonts w:ascii="Arial" w:cs="Arial" w:eastAsia="Arial" w:hAnsi="Arial"/>
          <w:sz w:val="18"/>
          <w:szCs w:val="18"/>
          <w:color w:val="auto"/>
        </w:rPr>
        <w:t>In November 2015 AbbVie initiated its ENDURANCE-1 study, the first in a series of phase 3 studies of this next-generation combination treatment. ENDURANCE-1 will study 8-week and 12-week courses of this 2-DAA combination in non-cirrhotic genotype 1 HCV patients. AbbVie is planning for the first approval of this treatment in the U.S. in 2017.</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our fiscal 2015, we received $125 million in milestone payments for commercialization regulatory approvals of paritaprevir, and we earned $34.1 million in royalties on its allocated portion of AbbVie’s net sales of paritaprevir-containing HCV regimens. We had $209.4 million in cash and marketable securities at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September 30, 2015, exclusive of the $14.3 million in royalty receivables due us from AbbVie at that date and exclusive of the $30 million milestone payment we earned in November 2015 upon reimbursement approval of VIEKIRAX in Japan. These existing resources will allow us to continue to invest for the foreseeable future in our current research and development programs:</w:t>
      </w:r>
    </w:p>
    <w:p>
      <w:pPr>
        <w:spacing w:after="0" w:line="87" w:lineRule="exact"/>
        <w:rPr>
          <w:sz w:val="20"/>
          <w:szCs w:val="20"/>
          <w:color w:val="auto"/>
        </w:rPr>
      </w:pPr>
    </w:p>
    <w:p>
      <w:pPr>
        <w:ind w:left="900" w:hanging="325"/>
        <w:spacing w:after="0" w:line="26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have a cyclophilin inhibitor, EDP-494, which we are preparing for clinical trials in HCV in the first quarter of calendar 2016 to demonstrate its potential benefit as a host targeted antiviral, or HTA. Cyclophilin is a protein in the human body that has been shown to be involved in HCV replication. By focusing on this human, or host, target rather than a viral target, we have selected a mechanism shown to be less susceptible to the HCV resistance that can occur due to viral mutation in response to therapy. We believe that cyclophilin inhibitors will be particularly valuable in the setting of resistance associated variants, or RAVs, of HCV. The presence of pre-treatment, or baseline, RAVs in treatment-naïve patients, and the emergence of treatment emergent RAVs in treatment-experienced patients, can result in reduced ability to eradicate the HCV virus. Since cyclophilin is a human host target, and not a viral target, cyclophilin inhibitors are not affected by changes in the virus and, therefore, use of this class of inhibitor may provide a unique solution for a subset of hard-to-treat HCV patients. We plan to develop EDP-494 for use in combination with one or more DAAs for the treatment of any emerging HCV resistance to currently approved therapies and other therapies under development for HCV that use DAAs. It is also possible that an EDP-494-containing regimen may find utility in other hard-to-treat subpopulations of HCV patients.</w:t>
      </w:r>
    </w:p>
    <w:p>
      <w:pPr>
        <w:spacing w:after="0" w:line="88" w:lineRule="exact"/>
        <w:rPr>
          <w:rFonts w:ascii="Arial" w:cs="Arial" w:eastAsia="Arial" w:hAnsi="Arial"/>
          <w:sz w:val="17"/>
          <w:szCs w:val="17"/>
          <w:color w:val="auto"/>
        </w:rPr>
      </w:pPr>
    </w:p>
    <w:p>
      <w:pPr>
        <w:ind w:left="900" w:right="160" w:hanging="325"/>
        <w:spacing w:after="0" w:line="31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are also working on several compounds that selectively bind to and activate the farnesoid X receptor, referred to as FXR agonists, which we plan to develop for use in the treatment of non-alcoholic steatohepatitis, or NASH, and possibly primary biliary cholangitis, or PBC, both of which are liver diseases with very few therapeutic options. We plan to initiate clinical trials of an FXR agonist candidate in 2016.</w:t>
      </w:r>
    </w:p>
    <w:p>
      <w:pPr>
        <w:spacing w:after="0" w:line="52" w:lineRule="exact"/>
        <w:rPr>
          <w:rFonts w:ascii="Arial" w:cs="Arial" w:eastAsia="Arial" w:hAnsi="Arial"/>
          <w:sz w:val="16"/>
          <w:szCs w:val="16"/>
          <w:color w:val="auto"/>
        </w:rPr>
      </w:pPr>
    </w:p>
    <w:p>
      <w:pPr>
        <w:ind w:left="900" w:right="4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also have other early stage programs to discover new chemical entities for the treatment of other diseases with significant unmet medical need.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HCV antivirals and liver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169545</wp:posOffset>
            </wp:positionV>
            <wp:extent cx="5179695" cy="4073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79695"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currently funding all research and development for our internal programs. We have prioritized our cyclophilin program because we believe that high-barrier-to-resistance mechanisms are going to be increasingly important for the treatment of HCV patients, including those that have failed on current DAA therapies. We expect to incur substantially greater expenses as we advance our cyclophilin inhibitor into Phase 1 clinical development in the first quarter of calendar 2016. We are also funding our FXR agonist program, including substantial preclinical development work, which we expect will enable us to initiate clinical development in 2016. In addition, we expect additional increases in expenses in 2016 as we advance any of our other programs into substantial preclinical development.</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inhibitors for the treatment of infectious diseases and liver diseases. For the periods included in this report we have funded our operations primarily through payments received under our collaborations and a NIAID government contract, as well as net proceeds of approximately $59.9 million that we received from our March 2013 IPO, after deducting underwriting discounts and commissions.</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revenue from our collaboration agreements has resulted in our reporting net income in each of our past five fiscal years, including the year ended September 30, 2015. We expect that our revenue in the near term will continue to be dependent on our collaboration with AbbVie, including royalties from sales of paritaprevir-containing regimens and potential milestone payments and royalties from the development program for AbbVie’s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next-generation HCV product containing ABT-493. Given the schedule of potential milestone payments and the uncertainties due to the nature and timing of clinical development and regulatory approval and market acceptance of any AbbVie regimen containing ABT-493, as well as uncertainty regarding the extent of royalty payments related to paritaprevir, we cannot be certain as to when or whether we will receive further milestone payments or the extent of our royalty revenues under this collaboration or whether we will report continuing net income in future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collaboration agreement with AbbVie. Our second collaboration was with Novartis, from February 2012 through September 2014. In addition, from September 2011 through August 2015, we had a contract with NIAID, which funded the preclinical and early clinical development of an antibiotic product candidate for potential use in biodefense.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including Japan in September 2015. The following table is a summary of revenue recognized from our collaboration agreements and our government contract for the years ended September 30, 2015, 2014 and 2013:</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3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$125,000</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$40,000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$15,000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34,077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Novartis agreement: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Upfront license payment and research funding</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1,675</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7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NIAID contract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5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160,880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47,741</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32,053</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concluded our research obligations under the AbbVie agreement in June 2011 and as such, each of the four milestone payments received after June 2011 has been recognized as revenue upon achievement of the milestone by AbbVie. Under the terms of the AbbVie agreement, we earned a $30 million milestone payment upon AbbVie’s achievement of commercialization regulatory approval of paritaprevir-containing regimen in Japan in November 2015, which will be reflected in the results of the first quarter of fiscal 2016. This is the final milestone payment for which we are eligible for the successful development and commercialization of paritaprevir.</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our revenue in 2016 to be derived primarily from our annually tiered royalties on AbbVie’s net sales of its paritaprevir-containing HCV regimens, as well as the $30 million milestone payment earned in November 2015.</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Agreement</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Novartis agreement, we received an upfront payment of $34.4 million in fiscal 2012 and a commitment to fund research at an agreed amount for one year. We recognized the upfront license payment upon receipt. During the year ended September 30, 2013, we recognized $12.7 million of revenue under the Novartis agreement, of which $11.0 million was a milestone payment attributed to license fees and $1.7 million was attributed to the performance of research services. In September 2014 we entered into an agreement with Novartis to return to us full rights to EDP-239 and our NS5A program. Since then we have not been eligible to receive any further milestone payments or any other payments from Novartis, nor have we owed Novartis any further payments or obligations for future payments.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our NIAID contract, NIAID paid us research and development funding of approximately $18.7 million through August 2015 when the contract was completed.</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recognized revenue under this contract as research and development services were performed. We recognized revenue of $1.8 million, $7.7 million and $4.4 million under this agreement during the years ended September 30, 2015,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our internal product candidates are currently in preclinical or early clinical development, we have not generated any revenue from product sales and do not expect to generate any revenue from product sales derived from these product candidates for at least the next several years. We expect that our revenue for the next several years will be derived from milestone payments and royalties under our current collaboration agreement with AbbVie, as well as any additional collaborations that we may enter into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years ended September 30,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Years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bottom w:val="single" w:sz="8" w:color="auto"/>
            </w:tcBorders>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$23,189</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$18,740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$16,841</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13,543</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10,016</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6,183</w:t>
            </w:r>
          </w:p>
        </w:tc>
      </w:tr>
      <w:tr>
        <w:trPr>
          <w:trHeight w:val="27"/>
        </w:trPr>
        <w:tc>
          <w:tcPr>
            <w:tcW w:w="6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36,732</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28,756</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23,024</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expenses of preclinical and clinical development activities. We expense all costs of research and development as incurred. These expenses consist primarily of:</w:t>
      </w:r>
    </w:p>
    <w:p>
      <w:pPr>
        <w:spacing w:after="0" w:line="87" w:lineRule="exact"/>
        <w:rPr>
          <w:sz w:val="20"/>
          <w:szCs w:val="20"/>
          <w:color w:val="auto"/>
        </w:rPr>
      </w:pPr>
    </w:p>
    <w:p>
      <w:pPr>
        <w:ind w:left="900" w:right="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that our research and development expenses will increase in the future as we advance our independent HCV and NASH programs into clinical development and expand our research and development efforts in other areas.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an early stage;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potential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our operating as a growing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consists of interest earned on our cash and investment balances.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non-cash interest expense which was being accreted to the value of accrued third-party license fees over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obligation.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that are financial instruments that may require a transfer of assets because of the liquidation features of the underlying stock. Therefore, we have classified these warrants and Series 1 nonconvertible preferred stock as liabilities that we remeasure to fair value at each reporting period and we record the changes in the fair value of the warrants and the Series 1 nonconvertible preferred stock as a component of other income (expense).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expense is based on our best estimate of applicable rates applied to pre-tax profit reported during the period. The income tax expense for the year ended September 30, 2015 resulted from federal and state taxes attributable to our operating income. The income tax benefit for the year ended September 30, 2014 resulted from a reversal of our valuation allowance related to our deferred tax assets consisting of research tax credits and net operating loss carryforwards. There was no income tax expense for the year ended September 30, 2013 due to the use of net operating loss carryforwards to offset all taxable income and the full valuation allowance against our deferred tax assets.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of America. The preparation of our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financial statements and, therefore, consider these to be our critical accounting policies. We evaluate our estimates and assumptions on an ongoing basis. Our actual results may differ from these estimates under different assumptions and conditions. See also Note 2 of our financial statements included elsewhere in this Annual Report on Form 10-K for information about these critical accounting policies as well as a description of our other significant accounting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 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the fifth anniversary of the completion of our initial public offering in March 2013 or until we no longer meet the requirements for being an “emerging growth company,” whichever occurs first.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we have fulfilled our performance obligations under the contract.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We apply Accounting Standards Codification No. 605-25, </w:t>
      </w:r>
      <w:r>
        <w:rPr>
          <w:rFonts w:ascii="Arial" w:cs="Arial" w:eastAsia="Arial" w:hAnsi="Arial"/>
          <w:sz w:val="16"/>
          <w:szCs w:val="16"/>
          <w:i w:val="1"/>
          <w:iCs w:val="1"/>
          <w:color w:val="auto"/>
        </w:rPr>
        <w:t>Revenue Recognition Multiple-Deliverable Revenue Arrangements</w:t>
      </w:r>
      <w:r>
        <w:rPr>
          <w:rFonts w:ascii="Arial" w:cs="Arial" w:eastAsia="Arial" w:hAnsi="Arial"/>
          <w:sz w:val="16"/>
          <w:szCs w:val="16"/>
          <w:color w:val="auto"/>
        </w:rPr>
        <w:t>, or ASC 605-25 for multiple element arrangements entered into or materially modified on or after October 1, 2011. This guidance amends the criteria for separating and allocating consideration in a multiple-element arrangement by modifying the fair value requirements for revenue recognition and eliminating the use of residual value method. The selling prices of deliverables under the arrangement may be derived using third-party evidence, or TPE, or a best estimate of selling price, or BESP, if vendor-specific objective evidence of fair value, or VSOE, is not available. The objective of BESP is to determine the price at which we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our BESP, we consider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our control.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We may exercise significant judgment in determining whether a deliverable is a separate unit of accounting.</w:t>
      </w:r>
    </w:p>
    <w:p>
      <w:pPr>
        <w:spacing w:after="0" w:line="1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then remaining.</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the years ended September 30, 2015, 2014 and 2013, we also generated revenue from a government contract under which we were reimbursed for certain allowable costs incurred for the funded project. Revenue from the government contract is recognized when the related service is performed. The related costs incurred by us under the government contract are included in research and development expense in the statements of operations.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the event that a collaborative research and license agreement is terminated and we then have no further performance obligations, we recognize as revenue any amounts that had not previously been recorded as revenue but were classified as deferred revenue at the date of such termination.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measure stock options granted to employees and directors at fair value on the date of grant and recognize the corresponding compensation expense of those awards, net of estimated forfeitures, over the requisite service period, which is generally the vesting period of the respective award. Generally, we issue stock options with service-based vesting conditions and record the expense for these options using the straight-line method. We also issue performance-based and equity-market-based awards. We have historically granted stock options with exercise prices equivalent to the fair value of our common stock as of the date of grant.</w:t>
      </w:r>
    </w:p>
    <w:p>
      <w:pPr>
        <w:spacing w:after="0" w:line="18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option-pricing model. We have estimated our expected volatility based on the historical volatility of our publicly traded peer companies and we expect to continue to do so until such time as we have adequate historical data regarding the volatility of our traded stock price following our March 2013 IPO. The expected term of our options has been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The assumptions we used to determine the fair value of stock options granted in each period were as follows, presented on a weighted average basis:</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Years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gridSpan w:val="2"/>
          </w:tcPr>
          <w:p>
            <w:pPr>
              <w:jc w:val="right"/>
              <w:ind w:right="628"/>
              <w:spacing w:after="0"/>
              <w:rPr>
                <w:sz w:val="20"/>
                <w:szCs w:val="20"/>
                <w:color w:val="auto"/>
              </w:rPr>
            </w:pPr>
            <w:r>
              <w:rPr>
                <w:rFonts w:ascii="Arial" w:cs="Arial" w:eastAsia="Arial" w:hAnsi="Arial"/>
                <w:sz w:val="18"/>
                <w:szCs w:val="18"/>
                <w:color w:val="auto"/>
              </w:rPr>
              <w:t>6.03</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6.06</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74%</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Expected dividends</w:t>
            </w:r>
          </w:p>
        </w:tc>
        <w:tc>
          <w:tcPr>
            <w:tcW w:w="1140" w:type="dxa"/>
            <w:vAlign w:val="bottom"/>
            <w:gridSpan w:val="2"/>
          </w:tcPr>
          <w:p>
            <w:pPr>
              <w:jc w:val="right"/>
              <w:ind w:right="488"/>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assumptions represent our best estimates, but the estimates involve inherent uncertainties and the application of our judgment. As a result, if factors change and we use significantly different assumptions or estimates, our stock-based compensation expense could be materially different. We recognize compensation expense for only the portion of awards that are expected to vest. In developing a forfeiture rate estimate, we have considered our historical experience to estimate pre-vesting forfeitures. If our actual forfeiture rate is materially different from the estimate, our stock-based compensation expense could be different from what we have recorded in the current period. In the case of performance-based awards, we recognize compensation expense related to these awards when performance-based targets are deemed probable of being achieved.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February 2015, we awarded our executive officers a total of 41,800 share units consisting of 20,900 performance share units, or PSUs, and 20,900 relative total shareholder return units, or rTSRUs.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31, 2016. The aggregate grant date fair value of the 20,900 PSUs ranges between $0 and $1.5 million. During the year ended September 30, 2015, we recorded no compensation expense related to the PSU awards as none of the performance-based targets were probable of being achieved during this period</w:t>
      </w:r>
    </w:p>
    <w:p>
      <w:pPr>
        <w:spacing w:after="0" w:line="187"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The rTSRUs will vest and result in the issuance of common stock based on continuing employment and the relative ranking of the total shareholder return, or TSR, of our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used a Monte Carlo simulation model to estimate that the total grant-date fair value of the rTSRUs was $0.6 million.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Dividend yield</w:t>
            </w:r>
          </w:p>
        </w:tc>
        <w:tc>
          <w:tcPr>
            <w:tcW w:w="4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4080" w:type="dxa"/>
            <w:vAlign w:val="bottom"/>
          </w:tcPr>
          <w:p>
            <w:pPr>
              <w:jc w:val="right"/>
              <w:ind w:right="130"/>
              <w:spacing w:after="0"/>
              <w:rPr>
                <w:sz w:val="20"/>
                <w:szCs w:val="20"/>
                <w:color w:val="auto"/>
              </w:rPr>
            </w:pPr>
            <w:r>
              <w:rPr>
                <w:rFonts w:ascii="Arial" w:cs="Arial" w:eastAsia="Arial" w:hAnsi="Arial"/>
                <w:sz w:val="18"/>
                <w:szCs w:val="18"/>
                <w:color w:val="auto"/>
              </w:rPr>
              <w:t>1.86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2"/>
              </w:rPr>
              <w:t>Estimated fair value per share of rTSRUs granted</w:t>
            </w:r>
          </w:p>
        </w:tc>
        <w:tc>
          <w:tcPr>
            <w:tcW w:w="4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$26.51</w:t>
            </w:r>
          </w:p>
        </w:tc>
      </w:tr>
      <w:tr>
        <w:trPr>
          <w:trHeight w:val="365"/>
        </w:trPr>
        <w:tc>
          <w:tcPr>
            <w:tcW w:w="3680" w:type="dxa"/>
            <w:vAlign w:val="bottom"/>
          </w:tcPr>
          <w:p>
            <w:pPr>
              <w:spacing w:after="0"/>
              <w:rPr>
                <w:sz w:val="24"/>
                <w:szCs w:val="24"/>
                <w:color w:val="auto"/>
              </w:rPr>
            </w:pPr>
          </w:p>
        </w:tc>
        <w:tc>
          <w:tcPr>
            <w:tcW w:w="4080" w:type="dxa"/>
            <w:vAlign w:val="bottom"/>
          </w:tcPr>
          <w:p>
            <w:pPr>
              <w:jc w:val="right"/>
              <w:ind w:right="371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 During the year ended September 30, 2015, we recorded $0.2 million in expense related to the rTSRUs.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to Purchase Series 1 Nonconvertible Preferred Stock and Series 1 Nonconvertible Preferred Stock</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in the consolidated statement of operations. On February 5, 2014, 225,408 warrants were exercised resulting in the net issuance of 223,153 shares of Series 1 nonconvertible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Income taxes are provided for tax effects of transactions reported in the financial statements and consist of income taxes currently due plus deferred income taxes related to timing differences between the basis of certain assets and liabilities for financial statement purposes and for income tax reporting purposes. Deferred taxes are determined based on the difference between the financial statement value and tax basis of assets and liabilities using enacted tax rates in effect in the years in which the differences are expected to reverse. A valuation allowance is provided if, based upon the weight of available evidence, it is more likely than not that some or all of the deferred tax assets will not be realized. At each balance sheet date, we assess the likelihood that deferred tax assets will be realized, and recognize a valuation allowance if it is more likely than not that some portion of the deferred tax assets will not be realized. This assessment requires judgment as to the likelihood and amounts of future taxable income.</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of September 30, 2013 based on our analysis of both positive and negative factors, we had determined that it was more likely than not that we would not be able to realize our deferred tax assets, and therefore we had recorded a full valuation allowance against our deferred tax assets. Our analysis included an assessment of our past profitability and our future projections of forecasted revenue and expense levels.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However, during 2014, we reassessed the need for a valuation allowance against our deferred tax assets and concluded that it was more likely than not that we would be able to realize our deferred tax assets primarily as a result of recent profitability and forecasted future profits resulting from future expected milestone payments and on-going royalty payments from AbbVie. Accordingly, we released our valuation allowance related to our deferred tax assets and recorded a net income tax benefit of approximately $15.2 million during the year ended September 30, 2014. As of September 30, 2015, we continue to believe it is more likely than not that we will be able to realize our deferred tax assets and therefore no valuation allowance has been recorded.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September 30,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9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39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1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$160,880</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$47,741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540" w:type="dxa"/>
            <w:vAlign w:val="bottom"/>
            <w:gridSpan w:val="2"/>
          </w:tcPr>
          <w:p>
            <w:pPr>
              <w:jc w:val="right"/>
              <w:ind w:right="108"/>
              <w:spacing w:after="0"/>
              <w:rPr>
                <w:sz w:val="20"/>
                <w:szCs w:val="20"/>
                <w:color w:val="auto"/>
              </w:rPr>
            </w:pPr>
            <w:r>
              <w:rPr>
                <w:rFonts w:ascii="Arial" w:cs="Arial" w:eastAsia="Arial" w:hAnsi="Arial"/>
                <w:sz w:val="18"/>
                <w:szCs w:val="18"/>
                <w:color w:val="auto"/>
              </w:rPr>
              <w:t>23,189</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18,740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16,841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13,543</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10,016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968</w:t>
            </w: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467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54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35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347</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r>
      <w:tr>
        <w:trPr>
          <w:trHeight w:val="365"/>
        </w:trPr>
        <w:tc>
          <w:tcPr>
            <w:tcW w:w="3960" w:type="dxa"/>
            <w:vAlign w:val="bottom"/>
          </w:tcPr>
          <w:p>
            <w:pPr>
              <w:spacing w:after="0"/>
              <w:rPr>
                <w:sz w:val="24"/>
                <w:szCs w:val="24"/>
                <w:color w:val="auto"/>
              </w:rPr>
            </w:pPr>
          </w:p>
        </w:tc>
        <w:tc>
          <w:tcPr>
            <w:tcW w:w="2660" w:type="dxa"/>
            <w:vAlign w:val="bottom"/>
          </w:tcPr>
          <w:p>
            <w:pPr>
              <w:jc w:val="right"/>
              <w:ind w:right="1650"/>
              <w:spacing w:after="0"/>
              <w:rPr>
                <w:sz w:val="20"/>
                <w:szCs w:val="20"/>
                <w:color w:val="auto"/>
              </w:rPr>
            </w:pPr>
            <w:r>
              <w:rPr>
                <w:rFonts w:ascii="Arial" w:cs="Arial" w:eastAsia="Arial" w:hAnsi="Arial"/>
                <w:sz w:val="18"/>
                <w:szCs w:val="18"/>
                <w:color w:val="auto"/>
              </w:rPr>
              <w:t>67</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$160.9 million in the year ended September 30, 2015, as compared to $47.7 million in the year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During fiscal 2015, we received and recognized as revenue $125.0 million in milestone payments under our collaboration with AbbVie as a result of U.S. and EU regulatory approvals for AbbVie’s paritaprevir-containing regimens, as well as royalties of $34.1 million on the portion of AbbVie’s net sales of its HCV treatment regimen allocable to paritaprevir. During fiscal 2014, we received and recognized as revenue a total of $40.0 million in milestone payments from AbbVie as a result of its regulatory filings with the FDA and the EMA for the same regimens. Government contract revenue was $1.8 million and $7.7 million during the years ended September 30, 2015 and 2014, respectively, related to our contract with NIAID for the antibiotic program.</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recognized revenue of $47.7 million in the year ended September 30, 2014, as compared to $32.1 million in the year ended September 30, 2013. During fiscal 2014, we received and recognized as revenue a total of $40.0 million in milestone payments from AbbVie as a result of its regulatory filings with the FDA and the EMA for the first regimen containing paritaprevir. During fiscal 2013, we received and recognized as revenue a $15.0 million milestone payment under our collaboration with AbbVie based on AbbVie’s initiation of dosing in a Phase 3 clinical trial that included a collaboration compound. During the same period we also recognized revenue of $12.7 million under our collaboration with Novartis, as a result of an $11.0 million milestone payment we received in January 2013 based on Novartis’ initiation of dosing in a Phase 1 clinical trial that included EDP-239, and $1.7 million related to research services we provided. Government contract revenue was $7.7 million and $4.4 million during the years ended September 30, 2014 and 2013, respectively, related to our contract with NIAID for the antibiotic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Years Ended September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R&amp;D programs:</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NASH</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$ 9,096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Cyclophilin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NS5A inhibitor</w:t>
            </w:r>
          </w:p>
        </w:tc>
        <w:tc>
          <w:tcPr>
            <w:tcW w:w="600" w:type="dxa"/>
            <w:vAlign w:val="bottom"/>
          </w:tcPr>
          <w:p>
            <w:pPr>
              <w:jc w:val="right"/>
              <w:spacing w:after="0"/>
              <w:rPr>
                <w:sz w:val="20"/>
                <w:szCs w:val="20"/>
                <w:color w:val="auto"/>
              </w:rPr>
            </w:pPr>
            <w:r>
              <w:rPr>
                <w:rFonts w:ascii="Arial" w:cs="Arial" w:eastAsia="Arial" w:hAnsi="Arial"/>
                <w:sz w:val="18"/>
                <w:szCs w:val="18"/>
                <w:color w:val="auto"/>
              </w:rPr>
              <w:t>1,532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Antibiotic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Research and drug discovery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7,756</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13,310</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11,938</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23,189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18,740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16,841</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Research and development expenses were $23.2 million in the year ended September 30, 2015, as compared to $18.7 million for the comparable period in 2014. The increase of $4.5 million year over year was due primarily to expenses related to our new NASH program, partially offset by a decrease of $4.0 million in expenses related to our antibiotic program. During fiscal 2014 we incurred preclinical and clinical expenses under our contract with NIAID, which funded our preclinical and early clinical development of an antibiotic candidate. In fiscal 2015 we incurred higher research and development expenses due to additional headcount, expansion of our research facilities and additional preclinical activities.</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Research and development expenses were $18.7 million in the year ended September 30, 2014, as compared to $16.8 million for 2013. The increase of $1.9 million year over year was due primarily to an increase of $2.2 million in expenses for our antibiotic program and $1.4 million for our early stage drug discovery programs, partially offset by a decrease of $1.7 million in expenses related to our HCV program with Novartis, which had also generated research funding and revenue for us. We incurred preclinical and clinical expenses for the development of our lead antibiotic candidate as a result of the contract we entered into in September 2011 with NIAID, which had funded our preclinical and early clinical development of this candidate.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fiscal 2014 we incurred higher research expenses in our early stage drug discovery programs due to an increase in both the number of preclinical studies and the related costs. Our research costs related to our Novartis-funded program decreased as a result of our completing our research for Novartis in August 2013.</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From inception of each development program through September 30, 2015, we incurred cumulative expenses of $9.1 million for our NASH program, $3.4 million for our cyclophilin program, $14.1 million for our antibiotic program and $14.7 million for our NS5A inhibitor program.</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by $3.5 million from $10.0 million in fiscal 2014 to $13.5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2015. The increase was primarily due to an increase in stock-based compensation expense of $2.3 million related to additional stock option grants to employees and a greater Black-Scholes value for these options granted in the later period due to the higher value of our common stock, as well as to an increase in insurance expense and additional expense to support our expanding operations.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increased by $3.8 million from $6.2 million in fiscal 2013 to $10.0 million in fiscal 2014. The increase was primarily due to increased stock-based compensation expense of $1.6 million related to additional employee stock options and a higher value of our common stock, as well as additional expenses incurred as a result of operating as a publicly traded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of $0.5 million in interest income to $1.0 million for the year ended September 30, 2015, as compared to $0.5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September 30, 2014, was due to higher average investment balances in the fiscal 2015 as compared to 2014.</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interest income for the year ended September 30, 2014, as compared to the year ended September 30, 2013, was due to our higher marketable securities balances due to the $40.0 million of milestone payments from AbbVie in the third fiscal quarter of 2014.</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represented immaterial interest expense which was being accreted to the value of accrued third-party license fees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obligation.</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account for our outstanding warrants and our Series 1</w:t>
      </w:r>
      <w:r>
        <w:rPr>
          <w:rFonts w:ascii="Arial" w:cs="Arial" w:eastAsia="Arial" w:hAnsi="Arial"/>
          <w:sz w:val="18"/>
          <w:szCs w:val="18"/>
          <w:i w:val="1"/>
          <w:iCs w:val="1"/>
          <w:color w:val="auto"/>
        </w:rPr>
        <w:t xml:space="preserve"> </w:t>
      </w:r>
      <w:r>
        <w:rPr>
          <w:rFonts w:ascii="Arial" w:cs="Arial" w:eastAsia="Arial" w:hAnsi="Arial"/>
          <w:sz w:val="18"/>
          <w:szCs w:val="18"/>
          <w:color w:val="auto"/>
        </w:rPr>
        <w:t>nonconvertible preferred stock as liabilities held at fair value, with changes in fair value recorded as a component of other income (expense). In February 2014, 225,408 warrants were exercised resulting in net issuance of 223,153 shares of Series 1 nonconvertible preferred stock. During the year ended September 30, 2015, we recorded a $0.3 million income as a result of a decrease in the fair value of our warrant liability due to the remeasurement of the fair value of the Series 1 nonconvertible preferred stock and related warrants.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year ended September 30, 2014, we recorded a $0.2 million expense as a result of an increase in the fair value of our warrant liability due to the remeasurement of the fair value of the Series 1 nonconvertible preferred stock and related warrants.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 ended September 30, 2013, we recorded a $0.4 million gain as a result of a decrease in the fair value of our warrant liability due to the remeasurement of the fair value of the outstanding warrants for Series 1 nonconvertible preferred stock.</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We recorded income tax expense of $46.5 million for the year ended September 30, 2015 and income tax benefit of $15.2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September 30, 2014. Income tax</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expense for the year ended September 30, 2015, was primarily attributable to the tax provision on the earnings of our operations, all of which are domestic. During the year ended September 30, 2015, we performed a research and development tax credit study and recognized an incremental tax benefit of $1.3 million upon completion of that study in June 2015.</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net income tax benefit during the 2014 period was due to our release of our valuation allowance which we maintained against our deferred tax assets. During the year ended September 30, 2014 we released the net deferred tax asset valuation allowance, which resulted in a net income tax benefit of $15.1 million. The total amount of the valuation allowance released was approximately $22.9 million. As of September 30, 2013, we maintained full valuation allowance, therefore no tax expense or benefit was recorded for the year ended September 30, 2013.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From our inception through September 30, 2015, we have financed our operations primarily through contract payments under our collaborations, private placements of our equity, a government research and development contract and government grants and our IPO which was completed in March 2013. As of September 30, 2015, we had $209.4 million in cash, cash equivalents and short-term and long-term marketable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years ended September 30,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76,673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4"/>
              <w:spacing w:after="0"/>
              <w:rPr>
                <w:sz w:val="20"/>
                <w:szCs w:val="20"/>
                <w:color w:val="auto"/>
              </w:rPr>
            </w:pPr>
            <w:r>
              <w:rPr>
                <w:rFonts w:ascii="Arial" w:cs="Arial" w:eastAsia="Arial" w:hAnsi="Arial"/>
                <w:sz w:val="18"/>
                <w:szCs w:val="18"/>
                <w:color w:val="auto"/>
                <w:w w:val="87"/>
              </w:rPr>
              <w:t>20,179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10,653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(88,186)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rPr>
              <w:t>497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(69,216)</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2,540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4"/>
              <w:spacing w:after="0"/>
              <w:rPr>
                <w:sz w:val="20"/>
                <w:szCs w:val="20"/>
                <w:color w:val="auto"/>
              </w:rPr>
            </w:pPr>
            <w:r>
              <w:rPr>
                <w:rFonts w:ascii="Arial" w:cs="Arial" w:eastAsia="Arial" w:hAnsi="Arial"/>
                <w:sz w:val="18"/>
                <w:szCs w:val="18"/>
                <w:color w:val="auto"/>
              </w:rPr>
              <w:t>1,164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56,911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year ended September 30, 2015, operating activities provided $76.7 million of cash primarily from our net income of $79.0 million after adjusting for net non-cash items of $14.5 million, partially offset by cash used by net changes in our operating assets and liabilities of $16.8 million. Our net non-cash items in the period consisted primarily of the change in deferred taxes of $11.0 million, stock-based compensation of $5.8 million and amortization of premium on marketable securities of $2.2 million offset by purchased premium on marketable securities of $3.0 million. Net uses of cash from changes in our operating assets and liabilities during the year ended September 30, 2015 consisted primarily of an $11.2 million increase in accounts receivable and unbilled receivables, a $6.7 million increase in prepaid expenses and other current assets partially offset by a decrease of $0.8 million in accounts payable and accrued expenses, and an increase of $1.2 million in income taxes payable. The increase in accounts receivable and unbilled receivables was primarily due to the timing of the receipt of our royalties earned in the fourth fiscal quarter of 2015. The increase in accounts payable and accrued expenses was primarily due to the timing of payments made by us to vendors.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year ended September 30, 2014, operating activities provided $20.2 million of cash primarily from our net income of $34.4 million, partially offset by net non-cash items of $12.0 million and net changes in our assets and liabilities of $2.3 million. Our net non-cash items in the period consisted primarily of a benefit from deferred income taxes of $15.3 million and purchased premium on marketable securities of $2.0 million, partially offset by stock-based compensation of $2.7 million and amortization of premium on marketable securities of $2.1 million. Net sources of cash from changes in our operating assets and liabilities during the year ended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September 30, 2014 consisted primarily of a $2.9 million increase in accounts receivable and unbilled receivables, partially offset by a decrease of $0.6 million in prepaid expenses and a $0.4 increase in accounts payable. The increase in accounts receivable and unbilled receivables was primarily due to the timing of our billings and collections under the NIAID contract and royalties receivable as of September 30, 2015, which we had none as of the end of prior fiscal year. The $0.2 million net source of cash from changes in accounts payable and accrued expenses was primarily due to the timing of payments made by us to vendors.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 ended September 30, 2013, operating activities provided $10.7 million of cash primarily from our net income of $9.6 million, after adjusting for net non-cash charges of $0.3 million and cash provided by changes in our operating assets and liabilities. Our net non-cash charges in the period primarily consisted of $1.1 million of stock-based compensation expense and $1.3 million related to amortization of the premium on our marketable securities, offset in part by $1.8 million of purchased premium on marketable securities. Net sources of cash from changes in our operating assets and liabilities during the year ended September 30, 2013 consisted primarily of a $1.4 million decrease in accounts receivable and unbilled receivables and $0.1 million increase in accounts payable, which were offset in part by a $0.3 million increase in prepaid expenses and other current assets and a $0.3 decrease in accrued expenses. The $1.4 million decrease in accounts receivable was primarily due to the timing of our billings and collections under the NIAID contract. The $0.2 million net use of cash from changes in accounts payable and accrued expenses was primarily due to the timing of payments made by us to vendors.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the year ended September 30, 2015, net cash used in investing activities was $88.2 million. Net cash used in investing activities during this period consisted primarily of cash used for purchases of marketable securities of $196.3 million and fixed assets of $2.3 million, partially offset by cash received from the sales and maturities of marketable securities of $110.6 million.</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the year ended September 30, 2014, net cash provided by investing activities was $0.5 million. Net cash provided by investing activities during this period consisted primarily of cash received from the sales and maturities of marketable securities of $99.9 million, substantially offset by the purchases of marketable securities of $98.4 million and purchases of fixed assets of $1.0 million.</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year ended September 30, 2013, net cash used by investing activities was $69.2 million. Net cash used by investing activities during this period consisted primarily of cash paid for the purchases of marketable securities of $115.9 million and purchases of laboratory equipment of $0.6 million, which was partially offset by cash received from the sales and maturities of marketable securities of $47.3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provided by financing activities during the year ended September 30, 2015 was $2.5 million and consisted of proceeds of $0.7 million from the exercise of stock options and a $1.8 million income tax benefit from exercises of stock options.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cash provided by financing activities during the year ended September 30, 2014 was $1.2 million and consisted of proceeds of $1.1 million from the exercise of stock options and a $0.1 million income tax benefit from exercises of stock options.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financing activities during the year ended September 30, 2013 was $56.9 million and consisted of $59.9 million of proceeds from our IPO, net of underwriting discounts and commissions, and proceeds of $0.6 million from the exercise of stock options, offset by $3.5 million of expenses related to our IPO and paid during the period.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 of September 30, 2015, we had $209.4 million in cash, cash equivalents and marketable securities. We believe that our existing cash, cash equivalents and marketable securities as of September 30, 2015, will be sufficient to meet our anticipated cash requirements for the foreseeable future. However, our forecast of the use of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we in-license or otherwise acquire additional assets for development;</w:t>
      </w:r>
    </w:p>
    <w:p>
      <w:pPr>
        <w:spacing w:after="0" w:line="130"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whether our existing AbbVie collaboration continues to generate significant royalties from sales allocated to paritaprevir, as well as potential milestone payments to us and royalties related to AbbVie’s next –generation HCV drug candidate containing ABT-493;</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(Topic 606), which supersedes all existing revenue recognition requirements, including most industry-specific guidance.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company to recognize revenue when it transfers goods or services to customers in an amount that reflects the consideration that the company expects to receive for those goods or services. In August 2015, the FASB deferred the effective date of the standard by an additional year. Accordingly, the standard will be effective for us on October 1, 2018. We are currently evaluating the potential impact that Topic 606 may have on our financial position and results of operations.</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November 2015, FASB issued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This amendment is effective for us in the fiscal year beginning October 1, 2017. We are currently evaluating the potential impact that ASU 2015-17 may have on our financial position and results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lease office space in Watertown, Massachusetts under a lease that commenced on October 1, 2011 and was amended in 2015 to expand the rented space and extend the lease term through September 2022. In conjunction with the amendment of the lease, the Company entered into a capital lease agreement to fund certain leasehold improvements and the purchase of lab equipment. The following table summarizes our contractual obligations at September 30, 2015 and the effect such obligations are expected to have on our liquidity and cash flow in future periods: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Years Ended September 30,</w:t>
            </w:r>
          </w:p>
        </w:tc>
        <w:tc>
          <w:tcPr>
            <w:tcW w:w="48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4"/>
              </w:rPr>
              <w:t>Leases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4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2017</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2019</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4,322</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14,641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15,239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 of September 30, 2015, we had outstanding warrants for the purchase 1,774,581 shares of our Series 1 nonconvertible preferred stock and 223,153 outstanding shares of Series 1 nonconvertible preferred stock that we classified as a long-term liability on our balance sheet, recorded at fair value of $1.4 million. If all of the outstanding warrants are exercised, the Series 1 nonconvertible preferred stock issued upon exercise combined with the currently outstanding shares of Series 1 nonconvertible preferred stock would require the payment of $2.0 million upon a qualifying merger or sale of this company. The table above does not include this liability because we are unable to estimate the timing of this required payment, or if it will be required at all.</w:t>
      </w:r>
    </w:p>
    <w:p>
      <w:pPr>
        <w:spacing w:after="0" w:line="303" w:lineRule="exact"/>
        <w:rPr>
          <w:sz w:val="20"/>
          <w:szCs w:val="20"/>
          <w:color w:val="auto"/>
        </w:rPr>
      </w:pPr>
    </w:p>
    <w:p>
      <w:pPr>
        <w:ind w:right="388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Sensitivity</w:t>
      </w:r>
    </w:p>
    <w:p>
      <w:pPr>
        <w:ind w:right="60"/>
        <w:spacing w:after="0" w:line="259" w:lineRule="auto"/>
        <w:rPr>
          <w:sz w:val="20"/>
          <w:szCs w:val="20"/>
          <w:color w:val="auto"/>
        </w:rPr>
      </w:pPr>
      <w:r>
        <w:rPr>
          <w:rFonts w:ascii="Arial" w:cs="Arial" w:eastAsia="Arial" w:hAnsi="Arial"/>
          <w:sz w:val="18"/>
          <w:szCs w:val="18"/>
          <w:color w:val="auto"/>
        </w:rPr>
        <w:t>We had cash, cash equivalents and marketable securities of $209.4 million at September 30, 2015, which consisted of cash, agency securities and corporate bonds.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September 30, 2015.</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F-29 of this Annual Report on Form 10-K.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Company’s are designed to do, and management necessarily was required to apply its judgment in evaluating the risk related to controls and procedures.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connection with the preparation of this Form 10-K, as of September 30, 2015,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management concluded that our disclosure controls and procedures were effective at a reasonable assurance level as of September 30, 2015. These conclusions were communicated to the Audit Committee.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w:t>
      </w:r>
    </w:p>
    <w:p>
      <w:pPr>
        <w:ind w:right="260"/>
        <w:spacing w:after="0" w:line="261" w:lineRule="auto"/>
        <w:rPr>
          <w:sz w:val="20"/>
          <w:szCs w:val="20"/>
          <w:color w:val="auto"/>
        </w:rPr>
      </w:pPr>
      <w:r>
        <w:rPr>
          <w:rFonts w:ascii="Arial" w:cs="Arial" w:eastAsia="Arial" w:hAnsi="Arial"/>
          <w:sz w:val="18"/>
          <w:szCs w:val="18"/>
          <w:color w:val="auto"/>
        </w:rPr>
        <w:t>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September 30, 2015.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September 30, 2015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an Emerging Growth Company, as defined under the terms of the Jobs Act of 2012, the Company’s independent registered accounting firm is not required to issue an attestation report on the internal control over financial reporting.</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Change in Internal Control over Financial Reporting</w:t>
      </w:r>
      <w:r>
        <w:rPr>
          <w:rFonts w:ascii="Arial" w:cs="Arial" w:eastAsia="Arial" w:hAnsi="Arial"/>
          <w:sz w:val="18"/>
          <w:szCs w:val="18"/>
          <w:color w:val="auto"/>
        </w:rPr>
        <w:t>—There were no changes in our internal control over financial reporting that occurred during our last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Portions of the response to this item are incorporated herein by reference from the discussion responsive thereto under the captions “Election of Directors— Nominees for Director and Current Directors”, “Section 16(a) Beneficial Ownership Reporting Compliance”, “Executive Officers” and “Corporate Governance—Board and Committee Matters” in the Company’s Definitive Proxy Statement relating to the 2016 Annual Meeting of Stockholders (the 2016 Proxy Statement).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available on our website at 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following captions in the 2016 Proxy Statement: “Executive Compensation” and “Corporate Governance—Compensation Committee Interlocks and Insider Participation.”</w:t>
      </w:r>
    </w:p>
    <w:p>
      <w:pPr>
        <w:spacing w:after="0" w:line="291"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response to this item is incorporated herein by reference in part from the discussion responsive thereto under the caption “Beneficial Ownership of Common Stock” in the 2016 Proxy Statement.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information about the securities authorized for issuance under the Company’s equity compensation plans as of September 30,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Weighted</w:t>
            </w:r>
          </w:p>
        </w:tc>
        <w:tc>
          <w:tcPr>
            <w:tcW w:w="1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Number of securities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options,</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480" w:type="dxa"/>
            <w:vAlign w:val="bottom"/>
          </w:tcPr>
          <w:p>
            <w:pPr>
              <w:spacing w:after="0"/>
              <w:rPr>
                <w:sz w:val="12"/>
                <w:szCs w:val="12"/>
                <w:color w:val="auto"/>
              </w:rPr>
            </w:pPr>
          </w:p>
        </w:tc>
        <w:tc>
          <w:tcPr>
            <w:tcW w:w="20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71"/>
        </w:trPr>
        <w:tc>
          <w:tcPr>
            <w:tcW w:w="5160" w:type="dxa"/>
            <w:vAlign w:val="bottom"/>
            <w:gridSpan w:val="3"/>
            <w:vMerge w:val="continue"/>
          </w:tcPr>
          <w:p>
            <w:pPr>
              <w:spacing w:after="0"/>
              <w:rPr>
                <w:sz w:val="14"/>
                <w:szCs w:val="14"/>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warrants and rights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rights</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62"/>
              <w:spacing w:after="0" w:line="142" w:lineRule="exact"/>
              <w:rPr>
                <w:sz w:val="20"/>
                <w:szCs w:val="20"/>
                <w:color w:val="auto"/>
              </w:rPr>
            </w:pPr>
            <w:r>
              <w:rPr>
                <w:rFonts w:ascii="Arial" w:cs="Arial" w:eastAsia="Arial" w:hAnsi="Arial"/>
                <w:sz w:val="14"/>
                <w:szCs w:val="14"/>
                <w:b w:val="1"/>
                <w:bCs w:val="1"/>
                <w:color w:val="auto"/>
              </w:rPr>
              <w:t>(b)</w:t>
            </w:r>
          </w:p>
        </w:tc>
        <w:tc>
          <w:tcPr>
            <w:tcW w:w="100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1,793,810</w:t>
            </w:r>
            <w:r>
              <w:rPr>
                <w:rFonts w:ascii="Arial" w:cs="Arial" w:eastAsia="Arial" w:hAnsi="Arial"/>
                <w:sz w:val="15"/>
                <w:szCs w:val="15"/>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23.76</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629,787</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1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1,793,810</w:t>
            </w:r>
            <w:r>
              <w:rPr>
                <w:rFonts w:ascii="Arial" w:cs="Arial" w:eastAsia="Arial" w:hAnsi="Arial"/>
                <w:sz w:val="15"/>
                <w:szCs w:val="15"/>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23.76</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629,787</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80" w:hanging="572"/>
        <w:spacing w:after="0" w:line="25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the Company’s Amended and Restated 1995 Equity Incentive Plan, as amended, the Company’s 2012 Equity Incentive Plan, as amended, and the Company’s Employee Stock Purchase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shares of the Company’s common stock issuable upon exercise of outstanding options issued under the Company’s Amended and Restated 1995 Equity Incentive Plan and the Company’s 2012 Equity Incentive Plan.</w:t>
      </w:r>
    </w:p>
    <w:p>
      <w:pPr>
        <w:ind w:left="580" w:right="60" w:hanging="572"/>
        <w:spacing w:after="0" w:line="255"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shares of the Company’s common stock reserved for future issuance under the Company’s 2012 Equity Incentive Plan and the Company’s Employee Stock Purchase Plan. Does not include 561,505 shares that were automatically added to the Company’s 2012 Equity Incentive Plan by its terms as of October 1, 2015.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caption “Corporate Governance—Certain Relationships and Related Transactions” and “Corporate Governance—Board and Committee Matters” in the 2016 Proxy Statement.</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captions “Corporate Governance—Board and Committee Matters” and “Audit Committee Report—Audit Fees” in the 2016 Proxy Statement.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STATEMENTS SCHEDULE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exhibits are listed below under Part IV, Item 15(b)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3.1</w:t>
            </w:r>
          </w:p>
        </w:tc>
        <w:tc>
          <w:tcPr>
            <w:tcW w:w="6960" w:type="dxa"/>
            <w:vAlign w:val="bottom"/>
          </w:tcPr>
          <w:p>
            <w:pPr>
              <w:ind w:left="20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03/28/2013</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001-35839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3.2</w:t>
            </w:r>
          </w:p>
        </w:tc>
        <w:tc>
          <w:tcPr>
            <w:tcW w:w="6960" w:type="dxa"/>
            <w:vAlign w:val="bottom"/>
          </w:tcPr>
          <w:p>
            <w:pPr>
              <w:ind w:left="200"/>
              <w:spacing w:after="0"/>
              <w:rPr>
                <w:sz w:val="20"/>
                <w:szCs w:val="20"/>
                <w:color w:val="auto"/>
              </w:rPr>
            </w:pPr>
            <w:r>
              <w:rPr>
                <w:rFonts w:ascii="Arial" w:cs="Arial" w:eastAsia="Arial" w:hAnsi="Arial"/>
                <w:sz w:val="18"/>
                <w:szCs w:val="18"/>
                <w:color w:val="auto"/>
                <w:w w:val="90"/>
              </w:rPr>
              <w:t>Amended and Restated Bylaws of Enanta Pharmaceuticals, Inc. (as amended and restated in</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08/18/2015</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40" w:type="dxa"/>
            <w:vAlign w:val="bottom"/>
          </w:tcPr>
          <w:p>
            <w:pPr>
              <w:jc w:val="center"/>
              <w:ind w:left="90"/>
              <w:spacing w:after="0"/>
              <w:rPr>
                <w:sz w:val="20"/>
                <w:szCs w:val="20"/>
                <w:color w:val="auto"/>
              </w:rPr>
            </w:pPr>
            <w:r>
              <w:rPr>
                <w:rFonts w:ascii="Arial" w:cs="Arial" w:eastAsia="Arial" w:hAnsi="Arial"/>
                <w:sz w:val="18"/>
                <w:szCs w:val="18"/>
                <w:color w:val="auto"/>
                <w:w w:val="90"/>
              </w:rPr>
              <w:t>001-35839</w:t>
            </w:r>
          </w:p>
        </w:tc>
      </w:tr>
      <w:tr>
        <w:trPr>
          <w:trHeight w:val="216"/>
        </w:trPr>
        <w:tc>
          <w:tcPr>
            <w:tcW w:w="60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August 2015)</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6960" w:type="dxa"/>
            <w:vAlign w:val="bottom"/>
          </w:tcPr>
          <w:p>
            <w:pPr>
              <w:ind w:left="200"/>
              <w:spacing w:after="0"/>
              <w:rPr>
                <w:sz w:val="20"/>
                <w:szCs w:val="20"/>
                <w:color w:val="auto"/>
              </w:rPr>
            </w:pPr>
            <w:r>
              <w:rPr>
                <w:rFonts w:ascii="Arial" w:cs="Arial" w:eastAsia="Arial" w:hAnsi="Arial"/>
                <w:sz w:val="18"/>
                <w:szCs w:val="18"/>
                <w:color w:val="auto"/>
              </w:rPr>
              <w:t>Specimen certificate evidencing shares of common stock.</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02/05/2013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333-184779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4.2</w:t>
            </w:r>
          </w:p>
        </w:tc>
        <w:tc>
          <w:tcPr>
            <w:tcW w:w="6960" w:type="dxa"/>
            <w:vAlign w:val="bottom"/>
          </w:tcPr>
          <w:p>
            <w:pPr>
              <w:ind w:left="200"/>
              <w:spacing w:after="0"/>
              <w:rPr>
                <w:sz w:val="20"/>
                <w:szCs w:val="20"/>
                <w:color w:val="auto"/>
              </w:rPr>
            </w:pPr>
            <w:r>
              <w:rPr>
                <w:rFonts w:ascii="Arial" w:cs="Arial" w:eastAsia="Arial" w:hAnsi="Arial"/>
                <w:sz w:val="18"/>
                <w:szCs w:val="18"/>
                <w:color w:val="auto"/>
              </w:rPr>
              <w:t>Form of Series 1 Non-Convertible Preferred Stock Warrant</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11/06/2012</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333-184779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10.1#</w:t>
            </w:r>
          </w:p>
        </w:tc>
        <w:tc>
          <w:tcPr>
            <w:tcW w:w="6960" w:type="dxa"/>
            <w:vAlign w:val="bottom"/>
          </w:tcPr>
          <w:p>
            <w:pPr>
              <w:ind w:left="200"/>
              <w:spacing w:after="0"/>
              <w:rPr>
                <w:sz w:val="20"/>
                <w:szCs w:val="20"/>
                <w:color w:val="auto"/>
              </w:rPr>
            </w:pPr>
            <w:r>
              <w:rPr>
                <w:rFonts w:ascii="Arial" w:cs="Arial" w:eastAsia="Arial" w:hAnsi="Arial"/>
                <w:sz w:val="18"/>
                <w:szCs w:val="18"/>
                <w:color w:val="auto"/>
              </w:rPr>
              <w:t>Form of Indemnification Agreement for directors and officers.</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02/05/2013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333-184779</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10.2#</w:t>
            </w:r>
          </w:p>
        </w:tc>
        <w:tc>
          <w:tcPr>
            <w:tcW w:w="6960" w:type="dxa"/>
            <w:vAlign w:val="bottom"/>
          </w:tcPr>
          <w:p>
            <w:pPr>
              <w:ind w:left="200"/>
              <w:spacing w:after="0"/>
              <w:rPr>
                <w:sz w:val="20"/>
                <w:szCs w:val="20"/>
                <w:color w:val="auto"/>
              </w:rPr>
            </w:pPr>
            <w:r>
              <w:rPr>
                <w:rFonts w:ascii="Arial" w:cs="Arial" w:eastAsia="Arial" w:hAnsi="Arial"/>
                <w:sz w:val="18"/>
                <w:szCs w:val="18"/>
                <w:color w:val="auto"/>
                <w:w w:val="95"/>
              </w:rPr>
              <w:t>Amended and Restated Employment Agreement between the Company and Jay R. Luly,</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333-184779</w:t>
            </w:r>
          </w:p>
        </w:tc>
      </w:tr>
      <w:tr>
        <w:trPr>
          <w:trHeight w:val="216"/>
        </w:trPr>
        <w:tc>
          <w:tcPr>
            <w:tcW w:w="600" w:type="dxa"/>
            <w:vAlign w:val="bottom"/>
          </w:tcPr>
          <w:p>
            <w:pPr>
              <w:spacing w:after="0"/>
              <w:rPr>
                <w:sz w:val="18"/>
                <w:szCs w:val="18"/>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Ph.D., dated as of March 4, 2013.</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10.3#</w:t>
            </w:r>
          </w:p>
        </w:tc>
        <w:tc>
          <w:tcPr>
            <w:tcW w:w="6960" w:type="dxa"/>
            <w:vAlign w:val="bottom"/>
          </w:tcPr>
          <w:p>
            <w:pPr>
              <w:ind w:left="200"/>
              <w:spacing w:after="0"/>
              <w:rPr>
                <w:sz w:val="20"/>
                <w:szCs w:val="20"/>
                <w:color w:val="auto"/>
              </w:rPr>
            </w:pPr>
            <w:r>
              <w:rPr>
                <w:rFonts w:ascii="Arial" w:cs="Arial" w:eastAsia="Arial" w:hAnsi="Arial"/>
                <w:sz w:val="18"/>
                <w:szCs w:val="18"/>
                <w:color w:val="auto"/>
                <w:w w:val="94"/>
              </w:rPr>
              <w:t>Form of Amended and Restated Employment Agreement for Executive Officers other than</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333-184779</w:t>
            </w:r>
          </w:p>
        </w:tc>
      </w:tr>
      <w:tr>
        <w:trPr>
          <w:trHeight w:val="230"/>
        </w:trPr>
        <w:tc>
          <w:tcPr>
            <w:tcW w:w="600" w:type="dxa"/>
            <w:vAlign w:val="bottom"/>
          </w:tcPr>
          <w:p>
            <w:pPr>
              <w:spacing w:after="0"/>
              <w:rPr>
                <w:sz w:val="20"/>
                <w:szCs w:val="20"/>
                <w:color w:val="auto"/>
              </w:rPr>
            </w:pPr>
          </w:p>
        </w:tc>
        <w:tc>
          <w:tcPr>
            <w:tcW w:w="696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5"/>
        </w:trPr>
        <w:tc>
          <w:tcPr>
            <w:tcW w:w="600" w:type="dxa"/>
            <w:vAlign w:val="bottom"/>
          </w:tcPr>
          <w:p>
            <w:pPr>
              <w:spacing w:after="0"/>
              <w:rPr>
                <w:sz w:val="24"/>
                <w:szCs w:val="24"/>
                <w:color w:val="auto"/>
              </w:rPr>
            </w:pPr>
          </w:p>
        </w:tc>
        <w:tc>
          <w:tcPr>
            <w:tcW w:w="6960" w:type="dxa"/>
            <w:vAlign w:val="bottom"/>
          </w:tcPr>
          <w:p>
            <w:pPr>
              <w:ind w:left="5020"/>
              <w:spacing w:after="0"/>
              <w:rPr>
                <w:sz w:val="20"/>
                <w:szCs w:val="20"/>
                <w:color w:val="auto"/>
              </w:rPr>
            </w:pPr>
            <w:r>
              <w:rPr>
                <w:rFonts w:ascii="Arial" w:cs="Arial" w:eastAsia="Arial" w:hAnsi="Arial"/>
                <w:sz w:val="18"/>
                <w:szCs w:val="18"/>
                <w:color w:val="auto"/>
              </w:rPr>
              <w:t>76</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120" w:hanging="782"/>
        <w:spacing w:after="0" w:line="268"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Collaborative Development and License Agreement between the Company and Abbott Laboratories, dated November 27, 2006; as amended by a First Amendment to Collaborative Development and License Agreement dated January 27, 2009 and a Second Amendment to Collaborative Development and License Agreement dated December 9, 2009 (assigned to AbbVie Inc. as of January 1, 2013).</w:t>
      </w:r>
    </w:p>
    <w:p>
      <w:pPr>
        <w:spacing w:after="0" w:line="3" w:lineRule="exact"/>
        <w:rPr>
          <w:sz w:val="20"/>
          <w:szCs w:val="20"/>
          <w:color w:val="auto"/>
        </w:rPr>
      </w:pPr>
    </w:p>
    <w:p>
      <w:pPr>
        <w:ind w:left="800" w:right="360" w:hanging="782"/>
        <w:spacing w:after="0" w:line="250"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Third Amendment to Collaborative Development and License Agreement between the Company and AbbVie dated October 20, 2014.</w:t>
      </w:r>
    </w:p>
    <w:p>
      <w:pPr>
        <w:spacing w:after="0" w:line="1" w:lineRule="exact"/>
        <w:rPr>
          <w:sz w:val="20"/>
          <w:szCs w:val="20"/>
          <w:color w:val="auto"/>
        </w:rPr>
      </w:pPr>
    </w:p>
    <w:p>
      <w:pPr>
        <w:ind w:left="800" w:right="280" w:hanging="782"/>
        <w:spacing w:after="0" w:line="250"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Fourth Amendment to Collaborative Development and License Agreement between the Company and AbbVie dated as of March 3, 2015.</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Lease Agreement between Company and ARE-500 Arsenal Street LLC, dated as of April</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15, 2011.</w:t>
      </w:r>
    </w:p>
    <w:p>
      <w:pPr>
        <w:spacing w:after="0" w:line="9" w:lineRule="exact"/>
        <w:rPr>
          <w:sz w:val="20"/>
          <w:szCs w:val="20"/>
          <w:color w:val="auto"/>
        </w:rPr>
      </w:pPr>
    </w:p>
    <w:p>
      <w:pPr>
        <w:ind w:left="800" w:right="260" w:hanging="782"/>
        <w:spacing w:after="0" w:line="250" w:lineRule="auto"/>
        <w:tabs>
          <w:tab w:leader="none" w:pos="7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First Amendment to Lease Agreement made as of March 5, 2015 between the Company and ARE-500 Arsenal Street LLC.</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Third Amended and Restated Registration Rights Agreement, dated as of August 23, 2012.</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Amended and Restated 1995 Equity Incentive Plan.</w:t>
      </w:r>
    </w:p>
    <w:p>
      <w:pPr>
        <w:spacing w:after="0" w:line="9" w:lineRule="exact"/>
        <w:rPr>
          <w:sz w:val="20"/>
          <w:szCs w:val="20"/>
          <w:color w:val="auto"/>
        </w:rPr>
      </w:pPr>
    </w:p>
    <w:p>
      <w:pPr>
        <w:ind w:left="800" w:right="380" w:hanging="782"/>
        <w:spacing w:after="0" w:line="250"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Incentive Stock Option Certificate under Amended and Restated 1995 Equity Incentive Plan.</w:t>
      </w:r>
    </w:p>
    <w:p>
      <w:pPr>
        <w:spacing w:after="0" w:line="1" w:lineRule="exact"/>
        <w:rPr>
          <w:sz w:val="20"/>
          <w:szCs w:val="20"/>
          <w:color w:val="auto"/>
        </w:rPr>
      </w:pPr>
    </w:p>
    <w:p>
      <w:pPr>
        <w:ind w:left="800" w:right="20" w:hanging="782"/>
        <w:spacing w:after="0" w:line="250"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Non-Statutory Stock Option Certificate under Amended and Restated 1995 Equity Incentive Plan.</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Non-Statutory Stock Option Certificate for directors under Amended and Restated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1995 Equity Incentive Plan.</w:t>
      </w:r>
    </w:p>
    <w:p>
      <w:pPr>
        <w:spacing w:after="0" w:line="9" w:lineRule="exact"/>
        <w:rPr>
          <w:sz w:val="20"/>
          <w:szCs w:val="20"/>
          <w:color w:val="auto"/>
        </w:rPr>
      </w:pPr>
    </w:p>
    <w:p>
      <w:pPr>
        <w:ind w:left="800" w:right="80" w:hanging="782"/>
        <w:spacing w:after="0" w:line="250" w:lineRule="auto"/>
        <w:tabs>
          <w:tab w:leader="none" w:pos="7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2012 Equity Incentive Plan (As adjusted to reflect the application of the 1-for-4.31 reverse stock split of the Company’s common stock effected on March 1, 2013).</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Incentive Stock Option Agreement under 2012 Equity Incentive Plan.</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Non-Statutory Stock Option Agreement under 2012 Equity Incentive Plan.</w:t>
      </w:r>
    </w:p>
    <w:p>
      <w:pPr>
        <w:spacing w:after="0" w:line="9" w:lineRule="exact"/>
        <w:rPr>
          <w:sz w:val="20"/>
          <w:szCs w:val="20"/>
          <w:color w:val="auto"/>
        </w:rPr>
      </w:pPr>
    </w:p>
    <w:p>
      <w:pPr>
        <w:ind w:left="800" w:right="100" w:hanging="782"/>
        <w:spacing w:after="0" w:line="250" w:lineRule="auto"/>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Non-Statutory Stock Option Certificate for directors under 2012 Equity Incentive Plan.</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Performance Share Unit Certificate under 2012 Equity Incentive Plan.</w:t>
      </w:r>
    </w:p>
    <w:p>
      <w:pPr>
        <w:spacing w:after="0" w:line="9" w:lineRule="exact"/>
        <w:rPr>
          <w:sz w:val="20"/>
          <w:szCs w:val="20"/>
          <w:color w:val="auto"/>
        </w:rPr>
      </w:pPr>
    </w:p>
    <w:p>
      <w:pPr>
        <w:ind w:left="800" w:right="220" w:hanging="782"/>
        <w:spacing w:after="0" w:line="250" w:lineRule="auto"/>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Relative Total Stockholder Return Unit Certificate under 2012 Equity Incentive Plan.</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Employee Stock Purchase Plan.</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Company.</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tabs>
          <w:tab w:leader="none" w:pos="700" w:val="left"/>
          <w:tab w:leader="none" w:pos="1860" w:val="left"/>
          <w:tab w:leader="none" w:pos="252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02/05/2013</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333-184779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12/11/2014</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05/08/2015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11/06/2012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05/08/2015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418"/>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11/06/2012</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216"/>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23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12/18/2013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418"/>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216"/>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23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03/05/2013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r>
        <w:trPr>
          <w:trHeight w:val="418"/>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08/10/2015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230"/>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08/10/2015</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20" w:type="dxa"/>
            <w:vAlign w:val="bottom"/>
          </w:tcPr>
          <w:p>
            <w:pPr>
              <w:jc w:val="center"/>
              <w:ind w:left="30"/>
              <w:spacing w:after="0"/>
              <w:rPr>
                <w:sz w:val="20"/>
                <w:szCs w:val="20"/>
                <w:color w:val="auto"/>
              </w:rPr>
            </w:pPr>
            <w:r>
              <w:rPr>
                <w:rFonts w:ascii="Arial" w:cs="Arial" w:eastAsia="Arial" w:hAnsi="Arial"/>
                <w:sz w:val="18"/>
                <w:szCs w:val="18"/>
                <w:color w:val="auto"/>
                <w:w w:val="90"/>
              </w:rPr>
              <w:t>001-35839</w:t>
            </w:r>
          </w:p>
        </w:tc>
      </w:tr>
      <w:tr>
        <w:trPr>
          <w:trHeight w:val="432"/>
        </w:trPr>
        <w:tc>
          <w:tcPr>
            <w:tcW w:w="580" w:type="dxa"/>
            <w:vAlign w:val="bottom"/>
          </w:tcPr>
          <w:p>
            <w:pPr>
              <w:jc w:val="center"/>
              <w:ind w:right="7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02/05/2013</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333-184779</w:t>
            </w:r>
          </w:p>
        </w:tc>
      </w:tr>
    </w:tbl>
    <w:p>
      <w:pPr>
        <w:jc w:val="right"/>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380" w:space="200"/>
            <w:col w:w="3820"/>
          </w:cols>
          <w:pgMar w:left="240" w:top="459"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9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19"/>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Certification of the Chief Executive Officer pursuant to Rule 13a-14(a) or 15d-14(a) of</w:t>
            </w:r>
          </w:p>
        </w:tc>
        <w:tc>
          <w:tcPr>
            <w:tcW w:w="1720" w:type="dxa"/>
            <w:vAlign w:val="bottom"/>
          </w:tcPr>
          <w:p>
            <w:pPr>
              <w:ind w:left="1600"/>
              <w:spacing w:after="0"/>
              <w:rPr>
                <w:sz w:val="20"/>
                <w:szCs w:val="20"/>
                <w:color w:val="auto"/>
              </w:rPr>
            </w:pPr>
            <w:r>
              <w:rPr>
                <w:rFonts w:ascii="Arial" w:cs="Arial" w:eastAsia="Arial" w:hAnsi="Arial"/>
                <w:sz w:val="18"/>
                <w:szCs w:val="18"/>
                <w:color w:val="auto"/>
                <w:w w:val="82"/>
              </w:rPr>
              <w:t>X</w:t>
            </w: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the Securities Exchange Act of 1934.</w:t>
            </w:r>
          </w:p>
        </w:tc>
        <w:tc>
          <w:tcPr>
            <w:tcW w:w="17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Certification of Chief Financial Officer pursuant to Rule 13a-14(a) or 15d-14(a) of the</w:t>
            </w:r>
          </w:p>
        </w:tc>
        <w:tc>
          <w:tcPr>
            <w:tcW w:w="1720" w:type="dxa"/>
            <w:vAlign w:val="bottom"/>
          </w:tcPr>
          <w:p>
            <w:pPr>
              <w:ind w:left="1600"/>
              <w:spacing w:after="0"/>
              <w:rPr>
                <w:sz w:val="20"/>
                <w:szCs w:val="20"/>
                <w:color w:val="auto"/>
              </w:rPr>
            </w:pPr>
            <w:r>
              <w:rPr>
                <w:rFonts w:ascii="Arial" w:cs="Arial" w:eastAsia="Arial" w:hAnsi="Arial"/>
                <w:sz w:val="18"/>
                <w:szCs w:val="18"/>
                <w:color w:val="auto"/>
                <w:w w:val="82"/>
              </w:rPr>
              <w:t>X</w:t>
            </w: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Securities Exchange Act of 1934.</w:t>
            </w:r>
          </w:p>
        </w:tc>
        <w:tc>
          <w:tcPr>
            <w:tcW w:w="17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Certification of the Chief Executive Officer and Chief Financial Officer pursuant to 18</w:t>
            </w:r>
          </w:p>
        </w:tc>
        <w:tc>
          <w:tcPr>
            <w:tcW w:w="1720" w:type="dxa"/>
            <w:vAlign w:val="bottom"/>
          </w:tcPr>
          <w:p>
            <w:pPr>
              <w:ind w:left="1600"/>
              <w:spacing w:after="0"/>
              <w:rPr>
                <w:sz w:val="20"/>
                <w:szCs w:val="20"/>
                <w:color w:val="auto"/>
              </w:rPr>
            </w:pPr>
            <w:r>
              <w:rPr>
                <w:rFonts w:ascii="Arial" w:cs="Arial" w:eastAsia="Arial" w:hAnsi="Arial"/>
                <w:sz w:val="18"/>
                <w:szCs w:val="18"/>
                <w:color w:val="auto"/>
                <w:w w:val="82"/>
              </w:rPr>
              <w:t>X</w:t>
            </w: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U.S.C. Section 1350, as adopted pursuant to Section 906 of the Sarbanes-Oxley Act of</w:t>
            </w:r>
          </w:p>
        </w:tc>
        <w:tc>
          <w:tcPr>
            <w:tcW w:w="17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2002.</w:t>
            </w:r>
          </w:p>
        </w:tc>
        <w:tc>
          <w:tcPr>
            <w:tcW w:w="172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The following materials from the Annual Report of Enanta Pharmaceuticals, Inc. on Form</w:t>
            </w:r>
          </w:p>
        </w:tc>
        <w:tc>
          <w:tcPr>
            <w:tcW w:w="1720" w:type="dxa"/>
            <w:vAlign w:val="bottom"/>
          </w:tcPr>
          <w:p>
            <w:pPr>
              <w:ind w:left="1600"/>
              <w:spacing w:after="0"/>
              <w:rPr>
                <w:sz w:val="20"/>
                <w:szCs w:val="20"/>
                <w:color w:val="auto"/>
              </w:rPr>
            </w:pPr>
            <w:r>
              <w:rPr>
                <w:rFonts w:ascii="Arial" w:cs="Arial" w:eastAsia="Arial" w:hAnsi="Arial"/>
                <w:sz w:val="18"/>
                <w:szCs w:val="18"/>
                <w:color w:val="auto"/>
                <w:w w:val="82"/>
              </w:rPr>
              <w:t>X</w:t>
            </w: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10-K for the year ended September 30, 2015, formatted in XBRL (eXtensible Business</w:t>
            </w:r>
          </w:p>
        </w:tc>
        <w:tc>
          <w:tcPr>
            <w:tcW w:w="172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Reporting Language): (i) Balance Sheets as of September 30, 2015 and September 30,</w:t>
            </w:r>
          </w:p>
        </w:tc>
        <w:tc>
          <w:tcPr>
            <w:tcW w:w="172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2014 of Enanta Pharmaceuticals, Inc., (ii) Statements of Operations for the years ended</w:t>
            </w:r>
          </w:p>
        </w:tc>
        <w:tc>
          <w:tcPr>
            <w:tcW w:w="1720" w:type="dxa"/>
            <w:vAlign w:val="bottom"/>
          </w:tcPr>
          <w:p>
            <w:pPr>
              <w:spacing w:after="0"/>
              <w:rPr>
                <w:sz w:val="20"/>
                <w:szCs w:val="20"/>
                <w:color w:val="auto"/>
              </w:rPr>
            </w:pPr>
          </w:p>
        </w:tc>
      </w:tr>
    </w:tbl>
    <w:p>
      <w:pPr>
        <w:ind w:left="1260" w:right="34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30, 2015, 2014 and 2013 of Enanta Pharmaceuticals, Inc., (iii) Statements of Cash Flows for the years ended September 30, 2015, 2014 and 2013 of Enanta Pharmaceuticals, Inc., and (iv) Notes to Financial Statements of Enanta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3"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Management contract or compensatory plan, contract or agreement.</w:t>
      </w:r>
    </w:p>
    <w:p>
      <w:pPr>
        <w:spacing w:after="0" w:line="23" w:lineRule="exact"/>
        <w:rPr>
          <w:sz w:val="20"/>
          <w:szCs w:val="20"/>
          <w:color w:val="auto"/>
        </w:rPr>
      </w:pPr>
    </w:p>
    <w:p>
      <w:pPr>
        <w:ind w:right="100" w:firstLine="8"/>
        <w:spacing w:after="0" w:line="281" w:lineRule="auto"/>
        <w:tabs>
          <w:tab w:leader="none" w:pos="216" w:val="left"/>
        </w:tabs>
        <w:numPr>
          <w:ilvl w:val="0"/>
          <w:numId w:val="44"/>
        </w:numPr>
        <w:rPr>
          <w:rFonts w:ascii="Arial" w:cs="Arial" w:eastAsia="Arial" w:hAnsi="Arial"/>
          <w:sz w:val="11"/>
          <w:szCs w:val="11"/>
          <w:color w:val="auto"/>
        </w:rPr>
      </w:pPr>
      <w:r>
        <w:rPr>
          <w:rFonts w:ascii="Arial" w:cs="Arial" w:eastAsia="Arial" w:hAnsi="Arial"/>
          <w:sz w:val="16"/>
          <w:szCs w:val="16"/>
          <w:color w:val="auto"/>
        </w:rPr>
        <w:t xml:space="preserve">Confidential treatment granted as to portions of this Exhibit. The confidential portions of this Exhibit have been omitted and are marked by asterisks. </w:t>
      </w:r>
      <w:r>
        <w:rPr>
          <w:rFonts w:ascii="Arial" w:cs="Arial" w:eastAsia="Arial" w:hAnsi="Arial"/>
          <w:sz w:val="10"/>
          <w:szCs w:val="10"/>
          <w:color w:val="auto"/>
        </w:rPr>
        <w:t xml:space="preserve">†† </w:t>
      </w:r>
      <w:r>
        <w:rPr>
          <w:rFonts w:ascii="Arial" w:cs="Arial" w:eastAsia="Arial" w:hAnsi="Arial"/>
          <w:sz w:val="16"/>
          <w:szCs w:val="16"/>
          <w:color w:val="auto"/>
        </w:rPr>
        <w:t>This Exhibit has been filed separately with the commission pursuant to an application for confidentiality treatment. The confidential portions of this</w:t>
      </w:r>
    </w:p>
    <w:p>
      <w:pPr>
        <w:spacing w:after="0" w:line="1"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8"/>
          <w:szCs w:val="18"/>
          <w:color w:val="auto"/>
        </w:rPr>
        <w:t>Exhibit have been omitted and are marked by asterisks.</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240" w:top="446" w:right="5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this 11th day of December, 2015.</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  Jay R. Luly, Ph.D.</w:t>
            </w:r>
          </w:p>
        </w:tc>
      </w:tr>
      <w:tr>
        <w:trPr>
          <w:trHeight w:val="195"/>
        </w:trPr>
        <w:tc>
          <w:tcPr>
            <w:tcW w:w="280" w:type="dxa"/>
            <w:vAlign w:val="bottom"/>
          </w:tcPr>
          <w:p>
            <w:pPr>
              <w:spacing w:after="0"/>
              <w:rPr>
                <w:sz w:val="16"/>
                <w:szCs w:val="16"/>
                <w:color w:val="auto"/>
              </w:rPr>
            </w:pPr>
          </w:p>
        </w:tc>
        <w:tc>
          <w:tcPr>
            <w:tcW w:w="4280" w:type="dxa"/>
            <w:vAlign w:val="bottom"/>
          </w:tcPr>
          <w:p>
            <w:pPr>
              <w:jc w:val="right"/>
              <w:ind w:right="1350"/>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280" w:type="dxa"/>
            <w:vAlign w:val="bottom"/>
          </w:tcPr>
          <w:p>
            <w:pPr>
              <w:spacing w:after="0"/>
              <w:rPr>
                <w:sz w:val="20"/>
                <w:szCs w:val="20"/>
                <w:color w:val="auto"/>
              </w:rPr>
            </w:pPr>
          </w:p>
        </w:tc>
        <w:tc>
          <w:tcPr>
            <w:tcW w:w="4280" w:type="dxa"/>
            <w:vAlign w:val="bottom"/>
          </w:tcPr>
          <w:p>
            <w:pPr>
              <w:jc w:val="right"/>
              <w:ind w:right="115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Signature</w:t>
            </w:r>
          </w:p>
        </w:tc>
        <w:tc>
          <w:tcPr>
            <w:tcW w:w="2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1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900" w:type="dxa"/>
            <w:vAlign w:val="bottom"/>
          </w:tcPr>
          <w:p>
            <w:pPr>
              <w:spacing w:after="0"/>
              <w:rPr>
                <w:sz w:val="15"/>
                <w:szCs w:val="15"/>
                <w:color w:val="auto"/>
              </w:rPr>
            </w:pPr>
          </w:p>
        </w:tc>
      </w:tr>
      <w:tr>
        <w:trPr>
          <w:trHeight w:val="304"/>
        </w:trPr>
        <w:tc>
          <w:tcPr>
            <w:tcW w:w="186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1"/>
              </w:rPr>
              <w:t>Jay R. Luly, Ph.D.</w:t>
            </w:r>
          </w:p>
        </w:tc>
        <w:tc>
          <w:tcPr>
            <w:tcW w:w="404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President and Chief Executive</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2015</w:t>
            </w:r>
          </w:p>
        </w:tc>
      </w:tr>
      <w:tr>
        <w:trPr>
          <w:trHeight w:val="182"/>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3"/>
          </w:tcPr>
          <w:p>
            <w:pPr>
              <w:jc w:val="center"/>
              <w:ind w:right="1860"/>
              <w:spacing w:after="0" w:line="182" w:lineRule="exact"/>
              <w:rPr>
                <w:sz w:val="20"/>
                <w:szCs w:val="20"/>
                <w:color w:val="auto"/>
              </w:rPr>
            </w:pPr>
            <w:r>
              <w:rPr>
                <w:rFonts w:ascii="Arial" w:cs="Arial" w:eastAsia="Arial" w:hAnsi="Arial"/>
                <w:sz w:val="18"/>
                <w:szCs w:val="18"/>
                <w:color w:val="auto"/>
                <w:w w:val="91"/>
              </w:rPr>
              <w:t>Jay R. Luly, Ph.D.</w:t>
            </w:r>
          </w:p>
        </w:tc>
        <w:tc>
          <w:tcPr>
            <w:tcW w:w="4040" w:type="dxa"/>
            <w:vAlign w:val="bottom"/>
            <w:gridSpan w:val="3"/>
          </w:tcPr>
          <w:p>
            <w:pPr>
              <w:jc w:val="center"/>
              <w:ind w:left="10"/>
              <w:spacing w:after="0" w:line="182" w:lineRule="exact"/>
              <w:rPr>
                <w:sz w:val="20"/>
                <w:szCs w:val="20"/>
                <w:color w:val="auto"/>
              </w:rPr>
            </w:pPr>
            <w:r>
              <w:rPr>
                <w:rFonts w:ascii="Arial" w:cs="Arial" w:eastAsia="Arial" w:hAnsi="Arial"/>
                <w:sz w:val="18"/>
                <w:szCs w:val="18"/>
                <w:color w:val="auto"/>
                <w:w w:val="93"/>
              </w:rPr>
              <w:t>Officer and Director</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4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(Principal Executive Officer)</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2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1"/>
              </w:rPr>
              <w:t>Paul J. Mellett</w:t>
            </w:r>
          </w:p>
        </w:tc>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2015</w:t>
            </w:r>
          </w:p>
        </w:tc>
      </w:tr>
      <w:tr>
        <w:trPr>
          <w:trHeight w:val="182"/>
        </w:trPr>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3"/>
          </w:tcPr>
          <w:p>
            <w:pPr>
              <w:jc w:val="center"/>
              <w:ind w:right="1860"/>
              <w:spacing w:after="0" w:line="182" w:lineRule="exact"/>
              <w:rPr>
                <w:sz w:val="20"/>
                <w:szCs w:val="20"/>
                <w:color w:val="auto"/>
              </w:rPr>
            </w:pPr>
            <w:r>
              <w:rPr>
                <w:rFonts w:ascii="Arial" w:cs="Arial" w:eastAsia="Arial" w:hAnsi="Arial"/>
                <w:sz w:val="18"/>
                <w:szCs w:val="18"/>
                <w:color w:val="auto"/>
                <w:w w:val="91"/>
              </w:rPr>
              <w:t>Paul J. Mellett</w:t>
            </w:r>
          </w:p>
        </w:tc>
        <w:tc>
          <w:tcPr>
            <w:tcW w:w="4040" w:type="dxa"/>
            <w:vAlign w:val="bottom"/>
            <w:gridSpan w:val="3"/>
          </w:tcPr>
          <w:p>
            <w:pPr>
              <w:jc w:val="center"/>
              <w:ind w:left="10"/>
              <w:spacing w:after="0" w:line="182" w:lineRule="exact"/>
              <w:rPr>
                <w:sz w:val="20"/>
                <w:szCs w:val="20"/>
                <w:color w:val="auto"/>
              </w:rPr>
            </w:pPr>
            <w:r>
              <w:rPr>
                <w:rFonts w:ascii="Arial" w:cs="Arial" w:eastAsia="Arial" w:hAnsi="Arial"/>
                <w:sz w:val="18"/>
                <w:szCs w:val="18"/>
                <w:color w:val="auto"/>
                <w:w w:val="92"/>
              </w:rPr>
              <w:t>(Principal Financial and</w:t>
            </w: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4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Accounting Officer)</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50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rPr>
              <w:t>/s/  Ernst-Günter Afting, M.D., Ph.D.</w:t>
            </w:r>
          </w:p>
        </w:tc>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2015</w:t>
            </w:r>
          </w:p>
        </w:tc>
      </w:tr>
      <w:tr>
        <w:trPr>
          <w:trHeight w:val="224"/>
        </w:trPr>
        <w:tc>
          <w:tcPr>
            <w:tcW w:w="5080" w:type="dxa"/>
            <w:vAlign w:val="bottom"/>
            <w:gridSpan w:val="5"/>
          </w:tcPr>
          <w:p>
            <w:pPr>
              <w:jc w:val="center"/>
              <w:spacing w:after="0"/>
              <w:rPr>
                <w:sz w:val="20"/>
                <w:szCs w:val="20"/>
                <w:color w:val="auto"/>
              </w:rPr>
            </w:pPr>
            <w:r>
              <w:rPr>
                <w:rFonts w:ascii="Arial" w:cs="Arial" w:eastAsia="Arial" w:hAnsi="Arial"/>
                <w:sz w:val="18"/>
                <w:szCs w:val="18"/>
                <w:color w:val="auto"/>
                <w:w w:val="94"/>
              </w:rPr>
              <w:t>Ernst-Günter Afting, M.D., Ph.D.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3"/>
              </w:rPr>
              <w:t>/s/</w:t>
            </w:r>
          </w:p>
        </w:tc>
        <w:tc>
          <w:tcPr>
            <w:tcW w:w="34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8"/>
                <w:szCs w:val="18"/>
                <w:color w:val="auto"/>
                <w:w w:val="88"/>
              </w:rPr>
              <w:t>Stephen Buckley, Jr.</w:t>
            </w:r>
          </w:p>
        </w:tc>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2015</w:t>
            </w:r>
          </w:p>
        </w:tc>
      </w:tr>
      <w:tr>
        <w:trPr>
          <w:trHeight w:val="224"/>
        </w:trPr>
        <w:tc>
          <w:tcPr>
            <w:tcW w:w="1640" w:type="dxa"/>
            <w:vAlign w:val="bottom"/>
          </w:tcPr>
          <w:p>
            <w:pPr>
              <w:spacing w:after="0"/>
              <w:rPr>
                <w:sz w:val="19"/>
                <w:szCs w:val="19"/>
                <w:color w:val="auto"/>
              </w:rPr>
            </w:pPr>
          </w:p>
        </w:tc>
        <w:tc>
          <w:tcPr>
            <w:tcW w:w="3440" w:type="dxa"/>
            <w:vAlign w:val="bottom"/>
            <w:gridSpan w:val="4"/>
          </w:tcPr>
          <w:p>
            <w:pPr>
              <w:jc w:val="center"/>
              <w:ind w:right="1640"/>
              <w:spacing w:after="0"/>
              <w:rPr>
                <w:sz w:val="20"/>
                <w:szCs w:val="20"/>
                <w:color w:val="auto"/>
              </w:rPr>
            </w:pPr>
            <w:r>
              <w:rPr>
                <w:rFonts w:ascii="Arial" w:cs="Arial" w:eastAsia="Arial" w:hAnsi="Arial"/>
                <w:sz w:val="18"/>
                <w:szCs w:val="18"/>
                <w:color w:val="auto"/>
                <w:w w:val="89"/>
              </w:rPr>
              <w:t>Stephen Buckley, Jr.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64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2"/>
              </w:rPr>
              <w:t>Bruce L.A. Carter, Ph.D.</w:t>
            </w:r>
          </w:p>
        </w:tc>
        <w:tc>
          <w:tcPr>
            <w:tcW w:w="404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300" w:type="dxa"/>
            <w:vAlign w:val="bottom"/>
            <w:gridSpan w:val="3"/>
          </w:tcPr>
          <w:p>
            <w:pPr>
              <w:ind w:left="900"/>
              <w:spacing w:after="0"/>
              <w:rPr>
                <w:sz w:val="20"/>
                <w:szCs w:val="20"/>
                <w:color w:val="auto"/>
              </w:rPr>
            </w:pPr>
            <w:r>
              <w:rPr>
                <w:rFonts w:ascii="Arial" w:cs="Arial" w:eastAsia="Arial" w:hAnsi="Arial"/>
                <w:sz w:val="18"/>
                <w:szCs w:val="18"/>
                <w:color w:val="auto"/>
                <w:w w:val="87"/>
              </w:rPr>
              <w:t>December 11, 2015</w:t>
            </w:r>
          </w:p>
        </w:tc>
      </w:tr>
      <w:tr>
        <w:trPr>
          <w:trHeight w:val="224"/>
        </w:trPr>
        <w:tc>
          <w:tcPr>
            <w:tcW w:w="1640" w:type="dxa"/>
            <w:vAlign w:val="bottom"/>
          </w:tcPr>
          <w:p>
            <w:pPr>
              <w:spacing w:after="0"/>
              <w:rPr>
                <w:sz w:val="19"/>
                <w:szCs w:val="19"/>
                <w:color w:val="auto"/>
              </w:rPr>
            </w:pPr>
          </w:p>
        </w:tc>
        <w:tc>
          <w:tcPr>
            <w:tcW w:w="3440" w:type="dxa"/>
            <w:vAlign w:val="bottom"/>
            <w:gridSpan w:val="4"/>
          </w:tcPr>
          <w:p>
            <w:pPr>
              <w:jc w:val="center"/>
              <w:ind w:right="1640"/>
              <w:spacing w:after="0"/>
              <w:rPr>
                <w:sz w:val="20"/>
                <w:szCs w:val="20"/>
                <w:color w:val="auto"/>
              </w:rPr>
            </w:pPr>
            <w:r>
              <w:rPr>
                <w:rFonts w:ascii="Arial" w:cs="Arial" w:eastAsia="Arial" w:hAnsi="Arial"/>
                <w:sz w:val="18"/>
                <w:szCs w:val="18"/>
                <w:color w:val="auto"/>
                <w:w w:val="92"/>
              </w:rPr>
              <w:t>Bruce L.A. Carter, Ph.D.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/s/  George S. Golumbeski, Ph.D.</w:t>
            </w:r>
          </w:p>
        </w:tc>
        <w:tc>
          <w:tcPr>
            <w:tcW w:w="364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2015</w:t>
            </w:r>
          </w:p>
        </w:tc>
      </w:tr>
      <w:tr>
        <w:trPr>
          <w:trHeight w:val="224"/>
        </w:trPr>
        <w:tc>
          <w:tcPr>
            <w:tcW w:w="5080" w:type="dxa"/>
            <w:vAlign w:val="bottom"/>
          </w:tcPr>
          <w:p>
            <w:pPr>
              <w:jc w:val="right"/>
              <w:ind w:right="1370"/>
              <w:spacing w:after="0"/>
              <w:rPr>
                <w:sz w:val="20"/>
                <w:szCs w:val="20"/>
                <w:color w:val="auto"/>
              </w:rPr>
            </w:pPr>
            <w:r>
              <w:rPr>
                <w:rFonts w:ascii="Arial" w:cs="Arial" w:eastAsia="Arial" w:hAnsi="Arial"/>
                <w:sz w:val="18"/>
                <w:szCs w:val="18"/>
                <w:color w:val="auto"/>
              </w:rPr>
              <w:t>George S. Golumbeski, Ph.D.</w:t>
            </w:r>
          </w:p>
        </w:tc>
        <w:tc>
          <w:tcPr>
            <w:tcW w:w="36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23"/>
        </w:trPr>
        <w:tc>
          <w:tcPr>
            <w:tcW w:w="508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color w:val="auto"/>
              </w:rPr>
              <w:t>/s/  Terry Vance</w:t>
            </w:r>
          </w:p>
        </w:tc>
        <w:tc>
          <w:tcPr>
            <w:tcW w:w="3640" w:type="dxa"/>
            <w:vAlign w:val="bottom"/>
          </w:tcPr>
          <w:p>
            <w:pPr>
              <w:ind w:left="1760"/>
              <w:spacing w:after="0"/>
              <w:rPr>
                <w:sz w:val="20"/>
                <w:szCs w:val="20"/>
                <w:color w:val="auto"/>
              </w:rPr>
            </w:pPr>
            <w:r>
              <w:rPr>
                <w:rFonts w:ascii="Arial" w:cs="Arial" w:eastAsia="Arial" w:hAnsi="Arial"/>
                <w:sz w:val="18"/>
                <w:szCs w:val="18"/>
                <w:color w:val="auto"/>
              </w:rPr>
              <w:t>Director</w:t>
            </w:r>
          </w:p>
        </w:tc>
        <w:tc>
          <w:tcPr>
            <w:tcW w:w="2700" w:type="dxa"/>
            <w:vAlign w:val="bottom"/>
          </w:tcPr>
          <w:p>
            <w:pPr>
              <w:ind w:left="1300"/>
              <w:spacing w:after="0"/>
              <w:rPr>
                <w:sz w:val="20"/>
                <w:szCs w:val="20"/>
                <w:color w:val="auto"/>
              </w:rPr>
            </w:pPr>
            <w:r>
              <w:rPr>
                <w:rFonts w:ascii="Arial" w:cs="Arial" w:eastAsia="Arial" w:hAnsi="Arial"/>
                <w:sz w:val="18"/>
                <w:szCs w:val="18"/>
                <w:color w:val="auto"/>
                <w:w w:val="87"/>
              </w:rPr>
              <w:t>December 11, 2015</w:t>
            </w:r>
          </w:p>
        </w:tc>
      </w:tr>
      <w:tr>
        <w:trPr>
          <w:trHeight w:val="224"/>
        </w:trPr>
        <w:tc>
          <w:tcPr>
            <w:tcW w:w="5080" w:type="dxa"/>
            <w:vAlign w:val="bottom"/>
          </w:tcPr>
          <w:p>
            <w:pPr>
              <w:jc w:val="right"/>
              <w:ind w:right="2010"/>
              <w:spacing w:after="0"/>
              <w:rPr>
                <w:sz w:val="20"/>
                <w:szCs w:val="20"/>
                <w:color w:val="auto"/>
              </w:rPr>
            </w:pPr>
            <w:r>
              <w:rPr>
                <w:rFonts w:ascii="Arial" w:cs="Arial" w:eastAsia="Arial" w:hAnsi="Arial"/>
                <w:sz w:val="18"/>
                <w:szCs w:val="18"/>
                <w:color w:val="auto"/>
              </w:rPr>
              <w:t>Terry Vance</w:t>
            </w:r>
          </w:p>
        </w:tc>
        <w:tc>
          <w:tcPr>
            <w:tcW w:w="364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3640" w:type="dxa"/>
            <w:vAlign w:val="bottom"/>
          </w:tcPr>
          <w:p>
            <w:pPr>
              <w:jc w:val="right"/>
              <w:ind w:right="2830"/>
              <w:spacing w:after="0"/>
              <w:rPr>
                <w:sz w:val="20"/>
                <w:szCs w:val="20"/>
                <w:color w:val="auto"/>
              </w:rPr>
            </w:pPr>
            <w:r>
              <w:rPr>
                <w:rFonts w:ascii="Arial" w:cs="Arial" w:eastAsia="Arial" w:hAnsi="Arial"/>
                <w:sz w:val="18"/>
                <w:szCs w:val="18"/>
                <w:color w:val="auto"/>
              </w:rPr>
              <w:t>79</w:t>
            </w:r>
          </w:p>
        </w:tc>
        <w:tc>
          <w:tcPr>
            <w:tcW w:w="2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Page</w:t>
            </w:r>
          </w:p>
        </w:tc>
      </w:tr>
      <w:tr>
        <w:trPr>
          <w:trHeight w:val="156"/>
        </w:trPr>
        <w:tc>
          <w:tcPr>
            <w:tcW w:w="11020" w:type="dxa"/>
            <w:vAlign w:val="bottom"/>
            <w:tcBorders>
              <w:top w:val="single" w:sz="8" w:color="CCEEFF"/>
            </w:tcBorders>
            <w:gridSpan w:val="8"/>
            <w:shd w:val="clear" w:color="auto" w:fill="CCEEFF"/>
          </w:tcPr>
          <w:p>
            <w:pPr>
              <w:spacing w:after="0" w:line="136" w:lineRule="exact"/>
              <w:rPr>
                <w:rFonts w:ascii="Arial" w:cs="Arial" w:eastAsia="Arial" w:hAnsi="Arial"/>
                <w:sz w:val="15"/>
                <w:szCs w:val="15"/>
                <w:color w:val="0000EE"/>
              </w:rPr>
            </w:pPr>
            <w:hyperlink w:anchor="page85">
              <w:r>
                <w:rPr>
                  <w:rFonts w:ascii="Arial" w:cs="Arial" w:eastAsia="Arial" w:hAnsi="Arial"/>
                  <w:sz w:val="15"/>
                  <w:szCs w:val="15"/>
                  <w:color w:val="0000EE"/>
                </w:rPr>
                <w:t>Report of Independent Registered Public Accounting Firm</w:t>
              </w:r>
            </w:hyperlink>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F-</w:t>
            </w:r>
          </w:p>
        </w:tc>
        <w:tc>
          <w:tcPr>
            <w:tcW w:w="100" w:type="dxa"/>
            <w:vAlign w:val="bottom"/>
            <w:tcBorders>
              <w:top w:val="single" w:sz="8" w:color="CCEEFF"/>
            </w:tcBorders>
            <w:shd w:val="clear" w:color="auto" w:fill="CCEEFF"/>
          </w:tcPr>
          <w:p>
            <w:pPr>
              <w:spacing w:after="0"/>
              <w:rPr>
                <w:sz w:val="13"/>
                <w:szCs w:val="13"/>
                <w:color w:val="auto"/>
              </w:rPr>
            </w:pPr>
          </w:p>
        </w:tc>
      </w:tr>
      <w:tr>
        <w:trPr>
          <w:trHeight w:val="250"/>
        </w:trPr>
        <w:tc>
          <w:tcPr>
            <w:tcW w:w="2100" w:type="dxa"/>
            <w:vAlign w:val="bottom"/>
            <w:tcBorders>
              <w:top w:val="single" w:sz="8" w:color="0000EE"/>
            </w:tcBorders>
            <w:shd w:val="clear" w:color="auto" w:fill="CCEEFF"/>
          </w:tcPr>
          <w:p>
            <w:pPr>
              <w:spacing w:after="0"/>
              <w:rPr>
                <w:sz w:val="21"/>
                <w:szCs w:val="21"/>
                <w:color w:val="auto"/>
              </w:rPr>
            </w:pPr>
          </w:p>
        </w:tc>
        <w:tc>
          <w:tcPr>
            <w:tcW w:w="72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480" w:type="dxa"/>
            <w:vAlign w:val="bottom"/>
            <w:tcBorders>
              <w:top w:val="single" w:sz="8" w:color="0000EE"/>
            </w:tcBorders>
            <w:shd w:val="clear" w:color="auto" w:fill="CCEEFF"/>
          </w:tcPr>
          <w:p>
            <w:pPr>
              <w:spacing w:after="0"/>
              <w:rPr>
                <w:sz w:val="21"/>
                <w:szCs w:val="21"/>
                <w:color w:val="auto"/>
              </w:rPr>
            </w:pPr>
          </w:p>
        </w:tc>
        <w:tc>
          <w:tcPr>
            <w:tcW w:w="4460" w:type="dxa"/>
            <w:vAlign w:val="bottom"/>
            <w:tcBorders>
              <w:top w:val="single" w:sz="8" w:color="CCEEFF"/>
            </w:tcBorders>
            <w:shd w:val="clear" w:color="auto" w:fill="CCEEFF"/>
          </w:tcPr>
          <w:p>
            <w:pPr>
              <w:spacing w:after="0"/>
              <w:rPr>
                <w:sz w:val="21"/>
                <w:szCs w:val="21"/>
                <w:color w:val="auto"/>
              </w:rPr>
            </w:pPr>
          </w:p>
        </w:tc>
        <w:tc>
          <w:tcPr>
            <w:tcW w:w="23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176"/>
        </w:trPr>
        <w:tc>
          <w:tcPr>
            <w:tcW w:w="11020" w:type="dxa"/>
            <w:vAlign w:val="bottom"/>
            <w:gridSpan w:val="8"/>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Balance Sheets</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176"/>
        </w:trPr>
        <w:tc>
          <w:tcPr>
            <w:tcW w:w="11020" w:type="dxa"/>
            <w:vAlign w:val="bottom"/>
            <w:gridSpan w:val="8"/>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Operations</w:t>
              </w:r>
            </w:hyperlink>
          </w:p>
        </w:tc>
        <w:tc>
          <w:tcPr>
            <w:tcW w:w="4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446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176"/>
        </w:trPr>
        <w:tc>
          <w:tcPr>
            <w:tcW w:w="11020" w:type="dxa"/>
            <w:vAlign w:val="bottom"/>
            <w:gridSpan w:val="8"/>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Comprehensive Income</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176"/>
        </w:trPr>
        <w:tc>
          <w:tcPr>
            <w:tcW w:w="11020" w:type="dxa"/>
            <w:vAlign w:val="bottom"/>
            <w:gridSpan w:val="8"/>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Consolidated Statements of Changes in Redeemable and Convertible Preferred Stock and Stockholders’ Equity (Deficit)</w:t>
              </w:r>
            </w:hyperlink>
          </w:p>
        </w:tc>
        <w:tc>
          <w:tcPr>
            <w:tcW w:w="4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4460" w:type="dxa"/>
            <w:vAlign w:val="bottom"/>
            <w:tcBorders>
              <w:top w:val="single" w:sz="8" w:color="0000EE"/>
            </w:tcBorders>
            <w:shd w:val="clear" w:color="auto" w:fill="CCEEFF"/>
          </w:tcPr>
          <w:p>
            <w:pPr>
              <w:spacing w:after="0"/>
              <w:rPr>
                <w:sz w:val="20"/>
                <w:szCs w:val="20"/>
                <w:color w:val="auto"/>
              </w:rPr>
            </w:pPr>
          </w:p>
        </w:tc>
        <w:tc>
          <w:tcPr>
            <w:tcW w:w="2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176"/>
        </w:trPr>
        <w:tc>
          <w:tcPr>
            <w:tcW w:w="11020" w:type="dxa"/>
            <w:vAlign w:val="bottom"/>
            <w:gridSpan w:val="8"/>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Cash Flows</w:t>
              </w:r>
            </w:hyperlink>
          </w:p>
        </w:tc>
        <w:tc>
          <w:tcPr>
            <w:tcW w:w="4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176"/>
        </w:trPr>
        <w:tc>
          <w:tcPr>
            <w:tcW w:w="11020" w:type="dxa"/>
            <w:vAlign w:val="bottom"/>
            <w:gridSpan w:val="8"/>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4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F-</w:t>
            </w:r>
          </w:p>
        </w:tc>
      </w:tr>
      <w:tr>
        <w:trPr>
          <w:trHeight w:val="237"/>
        </w:trPr>
        <w:tc>
          <w:tcPr>
            <w:tcW w:w="21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446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365"/>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gridSpan w:val="2"/>
          </w:tcPr>
          <w:p>
            <w:pPr>
              <w:ind w:left="136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Enanta Pharmaceuticals, Inc.</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comprehensive income, changes in redeemable and convertible preferred stock and stockholders’ equity (deficit) and cash flows present fairly, in all material respects, the financial position of Enanta Pharmaceuticals, Inc. and its subsidiary at September 30, 2015 and 2014 and the results of their operations and their cash flows for each of the three years in the period ended September 30,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30,699</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123,479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60,065</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170,641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107,975</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41,003</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246,013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155,415</w:t>
            </w:r>
          </w:p>
        </w:tc>
        <w:tc>
          <w:tcPr>
            <w:tcW w:w="12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2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9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$0.01 par value; 100,000,000 shares authorized; 18,716,834 and 18,803,390 shares issued and 18,716,834</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18,594,574 shares outstanding at September 30, 2015 and 2014, respectively</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229,957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221,580</w:t>
            </w:r>
          </w:p>
        </w:tc>
        <w:tc>
          <w:tcPr>
            <w:tcW w:w="12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par value; no shares at September 30, 2015 and 208,816 shares at September 30, 2014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(73,012)</w:t>
            </w:r>
          </w:p>
        </w:tc>
      </w:tr>
      <w:tr>
        <w:trPr>
          <w:trHeight w:val="230"/>
        </w:trPr>
        <w:tc>
          <w:tcPr>
            <w:tcW w:w="956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236,157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148,654</w:t>
            </w:r>
          </w:p>
        </w:tc>
        <w:tc>
          <w:tcPr>
            <w:tcW w:w="120" w:type="dxa"/>
            <w:vAlign w:val="bottom"/>
          </w:tcPr>
          <w:p>
            <w:pPr>
              <w:spacing w:after="0"/>
              <w:rPr>
                <w:sz w:val="20"/>
                <w:szCs w:val="20"/>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246,013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155,415</w:t>
            </w:r>
          </w:p>
        </w:tc>
        <w:tc>
          <w:tcPr>
            <w:tcW w:w="12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Milestone payments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Royalties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160,880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47,741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13,543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23,024</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78,992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income attributable to participating securities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34,438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18,673,484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18,354,791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9,788,039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19,294,634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19,185,228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9,788,039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$78,992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$34,438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marketable securities, net of tax of $20, $0 and $0</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79,125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34,340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9,615</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CONSOLIDATED STATEMENTS OF CHANGES IN REDEEMABLE AND CONVERTIBLE PREFERRED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80" w:type="dxa"/>
            <w:vAlign w:val="bottom"/>
            <w:gridSpan w:val="5"/>
            <w:vMerge w:val="restart"/>
          </w:tcPr>
          <w:p>
            <w:pPr>
              <w:jc w:val="center"/>
              <w:ind w:right="160"/>
              <w:spacing w:after="0"/>
              <w:rPr>
                <w:sz w:val="20"/>
                <w:szCs w:val="20"/>
                <w:color w:val="auto"/>
              </w:rPr>
            </w:pPr>
            <w:r>
              <w:rPr>
                <w:rFonts w:ascii="Arial" w:cs="Arial" w:eastAsia="Arial" w:hAnsi="Arial"/>
                <w:sz w:val="13"/>
                <w:szCs w:val="13"/>
                <w:b w:val="1"/>
                <w:bCs w:val="1"/>
                <w:color w:val="auto"/>
                <w:w w:val="88"/>
              </w:rPr>
              <w:t>Series C, D, E, F and G</w:t>
            </w:r>
          </w:p>
        </w:tc>
        <w:tc>
          <w:tcPr>
            <w:tcW w:w="1340" w:type="dxa"/>
            <w:vAlign w:val="bottom"/>
            <w:tcBorders>
              <w:right w:val="single" w:sz="8" w:color="auto"/>
            </w:tcBorders>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84"/>
              </w:rPr>
              <w:t>Series A and B</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340" w:type="dxa"/>
            <w:vAlign w:val="bottom"/>
            <w:tcBorders>
              <w:right w:val="single" w:sz="8" w:color="auto"/>
            </w:tcBorders>
            <w:gridSpan w:val="5"/>
            <w:vMerge w:val="continue"/>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7"/>
                <w:szCs w:val="7"/>
                <w:color w:val="auto"/>
              </w:rPr>
            </w:pPr>
          </w:p>
        </w:tc>
        <w:tc>
          <w:tcPr>
            <w:tcW w:w="8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Retained</w:t>
            </w:r>
          </w:p>
        </w:tc>
        <w:tc>
          <w:tcPr>
            <w:tcW w:w="120" w:type="dxa"/>
            <w:vAlign w:val="bottom"/>
          </w:tcPr>
          <w:p>
            <w:pPr>
              <w:spacing w:after="0"/>
              <w:rPr>
                <w:sz w:val="7"/>
                <w:szCs w:val="7"/>
                <w:color w:val="auto"/>
              </w:rPr>
            </w:pPr>
          </w:p>
        </w:tc>
        <w:tc>
          <w:tcPr>
            <w:tcW w:w="7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680" w:type="dxa"/>
            <w:vAlign w:val="bottom"/>
            <w:gridSpan w:val="5"/>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Redeemable Convertible</w:t>
            </w:r>
          </w:p>
        </w:tc>
        <w:tc>
          <w:tcPr>
            <w:tcW w:w="1340" w:type="dxa"/>
            <w:vAlign w:val="bottom"/>
            <w:tcBorders>
              <w:right w:val="single" w:sz="8" w:color="auto"/>
            </w:tcBorders>
            <w:gridSpan w:val="5"/>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Convertible</w:t>
            </w: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1340" w:type="dxa"/>
            <w:vAlign w:val="bottom"/>
            <w:tcBorders>
              <w:right w:val="single" w:sz="8" w:color="auto"/>
            </w:tcBorders>
            <w:gridSpan w:val="5"/>
            <w:vMerge w:val="continue"/>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3"/>
            <w:vMerge w:val="restart"/>
          </w:tcPr>
          <w:p>
            <w:pPr>
              <w:jc w:val="right"/>
              <w:ind w:right="1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Compre-</w:t>
            </w:r>
          </w:p>
        </w:tc>
        <w:tc>
          <w:tcPr>
            <w:tcW w:w="100" w:type="dxa"/>
            <w:vAlign w:val="bottom"/>
          </w:tcPr>
          <w:p>
            <w:pPr>
              <w:spacing w:after="0"/>
              <w:rPr>
                <w:sz w:val="7"/>
                <w:szCs w:val="7"/>
                <w:color w:val="auto"/>
              </w:rPr>
            </w:pPr>
          </w:p>
        </w:tc>
        <w:tc>
          <w:tcPr>
            <w:tcW w:w="8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Earnings</w:t>
            </w:r>
          </w:p>
        </w:tc>
        <w:tc>
          <w:tcPr>
            <w:tcW w:w="84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5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60" w:type="dxa"/>
            <w:vAlign w:val="bottom"/>
            <w:vMerge w:val="restart"/>
          </w:tcPr>
          <w:p>
            <w:pPr>
              <w:spacing w:after="0"/>
              <w:rPr>
                <w:sz w:val="4"/>
                <w:szCs w:val="4"/>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Borders>
              <w:right w:val="single" w:sz="8" w:color="auto"/>
            </w:tcBorders>
            <w:vMerge w:val="restart"/>
          </w:tcPr>
          <w:p>
            <w:pPr>
              <w:spacing w:after="0"/>
              <w:rPr>
                <w:sz w:val="4"/>
                <w:szCs w:val="4"/>
                <w:color w:val="auto"/>
              </w:rPr>
            </w:pPr>
          </w:p>
        </w:tc>
        <w:tc>
          <w:tcPr>
            <w:tcW w:w="1060" w:type="dxa"/>
            <w:vAlign w:val="bottom"/>
            <w:gridSpan w:val="3"/>
            <w:vMerge w:val="restart"/>
          </w:tcPr>
          <w:p>
            <w:pPr>
              <w:ind w:left="220"/>
              <w:spacing w:after="0"/>
              <w:rPr>
                <w:sz w:val="20"/>
                <w:szCs w:val="20"/>
                <w:color w:val="auto"/>
              </w:rPr>
            </w:pPr>
            <w:r>
              <w:rPr>
                <w:rFonts w:ascii="Arial" w:cs="Arial" w:eastAsia="Arial" w:hAnsi="Arial"/>
                <w:sz w:val="13"/>
                <w:szCs w:val="13"/>
                <w:b w:val="1"/>
                <w:bCs w:val="1"/>
                <w:color w:val="auto"/>
                <w:w w:val="85"/>
              </w:rPr>
              <w:t>Common Stock</w:t>
            </w: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180" w:type="dxa"/>
            <w:vAlign w:val="bottom"/>
            <w:gridSpan w:val="4"/>
            <w:vMerge w:val="restart"/>
          </w:tcPr>
          <w:p>
            <w:pPr>
              <w:jc w:val="right"/>
              <w:ind w:right="108"/>
              <w:spacing w:after="0"/>
              <w:rPr>
                <w:sz w:val="20"/>
                <w:szCs w:val="20"/>
                <w:color w:val="auto"/>
              </w:rPr>
            </w:pPr>
            <w:r>
              <w:rPr>
                <w:rFonts w:ascii="Arial" w:cs="Arial" w:eastAsia="Arial" w:hAnsi="Arial"/>
                <w:sz w:val="13"/>
                <w:szCs w:val="13"/>
                <w:b w:val="1"/>
                <w:bCs w:val="1"/>
                <w:color w:val="auto"/>
              </w:rPr>
              <w:t>Treasury Stock</w:t>
            </w:r>
          </w:p>
        </w:tc>
        <w:tc>
          <w:tcPr>
            <w:tcW w:w="1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520" w:type="dxa"/>
            <w:vAlign w:val="bottom"/>
            <w:tcBorders>
              <w:bottom w:val="single" w:sz="8" w:color="auto"/>
            </w:tcBorders>
            <w:gridSpan w:val="4"/>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140" w:type="dxa"/>
            <w:vAlign w:val="bottom"/>
            <w:tcBorders>
              <w:bottom w:val="single" w:sz="8" w:color="auto"/>
            </w:tcBorders>
            <w:gridSpan w:val="4"/>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60"/>
              <w:spacing w:after="0" w:line="115" w:lineRule="exact"/>
              <w:rPr>
                <w:sz w:val="20"/>
                <w:szCs w:val="20"/>
                <w:color w:val="auto"/>
              </w:rPr>
            </w:pPr>
            <w:r>
              <w:rPr>
                <w:rFonts w:ascii="Arial" w:cs="Arial" w:eastAsia="Arial" w:hAnsi="Arial"/>
                <w:sz w:val="13"/>
                <w:szCs w:val="13"/>
                <w:b w:val="1"/>
                <w:bCs w:val="1"/>
                <w:color w:val="auto"/>
                <w:w w:val="87"/>
              </w:rPr>
              <w:t>Paid-in</w:t>
            </w:r>
          </w:p>
        </w:tc>
        <w:tc>
          <w:tcPr>
            <w:tcW w:w="1180" w:type="dxa"/>
            <w:vAlign w:val="bottom"/>
            <w:tcBorders>
              <w:bottom w:val="single" w:sz="8" w:color="auto"/>
            </w:tcBorders>
            <w:gridSpan w:val="4"/>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2"/>
              </w:rPr>
              <w:t>hensive</w:t>
            </w:r>
          </w:p>
        </w:tc>
        <w:tc>
          <w:tcPr>
            <w:tcW w:w="920" w:type="dxa"/>
            <w:vAlign w:val="bottom"/>
            <w:gridSpan w:val="3"/>
          </w:tcPr>
          <w:p>
            <w:pPr>
              <w:jc w:val="center"/>
              <w:ind w:right="160"/>
              <w:spacing w:after="0" w:line="115"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
              <w:spacing w:after="0"/>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3"/>
                <w:szCs w:val="13"/>
                <w:color w:val="auto"/>
              </w:rPr>
            </w:pPr>
          </w:p>
        </w:tc>
        <w:tc>
          <w:tcPr>
            <w:tcW w:w="560" w:type="dxa"/>
            <w:vAlign w:val="bottom"/>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right w:val="single" w:sz="8" w:color="auto"/>
            </w:tcBorders>
            <w:gridSpan w:val="3"/>
          </w:tcPr>
          <w:p>
            <w:pPr>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Capital</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Balances at September 30, 2012</w:t>
            </w: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43,115,343</w:t>
            </w: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158,955</w:t>
            </w:r>
          </w:p>
        </w:tc>
        <w:tc>
          <w:tcPr>
            <w:tcW w:w="16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566,450</w:t>
            </w:r>
          </w:p>
        </w:tc>
        <w:tc>
          <w:tcPr>
            <w:tcW w:w="1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85"/>
              </w:rPr>
              <w:t>327</w:t>
            </w:r>
          </w:p>
        </w:tc>
        <w:tc>
          <w:tcPr>
            <w:tcW w:w="200" w:type="dxa"/>
            <w:vAlign w:val="bottom"/>
            <w:tcBorders>
              <w:right w:val="single" w:sz="8" w:color="auto"/>
            </w:tcBorders>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1,343,147</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160" w:type="dxa"/>
            <w:vAlign w:val="bottom"/>
            <w:vMerge w:val="continue"/>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(208,816)</w:t>
            </w: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(115,374)</w:t>
            </w:r>
          </w:p>
        </w:tc>
        <w:tc>
          <w:tcPr>
            <w:tcW w:w="160" w:type="dxa"/>
            <w:vAlign w:val="bottom"/>
            <w:tcBorders>
              <w:right w:val="single" w:sz="8" w:color="CCEEFF"/>
            </w:tcBorders>
            <w:vMerge w:val="continue"/>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(115,353)</w:t>
            </w:r>
          </w:p>
        </w:tc>
        <w:tc>
          <w:tcPr>
            <w:tcW w:w="1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538,575</w:t>
            </w:r>
          </w:p>
        </w:tc>
        <w:tc>
          <w:tcPr>
            <w:tcW w:w="22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554</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w:t>
            </w: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options</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1,063</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w w:val="95"/>
              </w:rPr>
              <w:t>Accretion of redeemable convertible</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to redemption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value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2,526</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(823)</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(1,703)</w:t>
            </w:r>
          </w:p>
        </w:tc>
        <w:tc>
          <w:tcPr>
            <w:tcW w:w="12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preferred stock to</w:t>
            </w: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(43,115,343)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(161,481)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(566,450)</w:t>
            </w:r>
          </w:p>
        </w:tc>
        <w:tc>
          <w:tcPr>
            <w:tcW w:w="12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(327)</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11,656,875</w:t>
            </w:r>
          </w:p>
        </w:tc>
        <w:tc>
          <w:tcPr>
            <w:tcW w:w="22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161,691</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161,808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initial public offering</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4,600,000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59,846</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59,892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costs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(4,590)</w:t>
            </w:r>
          </w:p>
        </w:tc>
        <w:tc>
          <w:tcPr>
            <w:tcW w:w="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9,627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9,627</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September 30, 2013</w:t>
            </w: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80" w:type="dxa"/>
            <w:vAlign w:val="bottom"/>
            <w:gridSpan w:val="2"/>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18,138,597</w:t>
            </w:r>
          </w:p>
        </w:tc>
        <w:tc>
          <w:tcPr>
            <w:tcW w:w="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5" w:lineRule="exact"/>
              <w:rPr>
                <w:sz w:val="20"/>
                <w:szCs w:val="20"/>
                <w:color w:val="auto"/>
              </w:rPr>
            </w:pPr>
            <w:r>
              <w:rPr>
                <w:rFonts w:ascii="Arial" w:cs="Arial" w:eastAsia="Arial" w:hAnsi="Arial"/>
                <w:sz w:val="14"/>
                <w:szCs w:val="14"/>
                <w:color w:val="auto"/>
                <w:w w:val="85"/>
              </w:rPr>
              <w:t>181</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217,741</w:t>
            </w:r>
          </w:p>
        </w:tc>
        <w:tc>
          <w:tcPr>
            <w:tcW w:w="1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90"/>
              </w:rPr>
              <w:t>(208,816)</w:t>
            </w: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(107,450)</w:t>
            </w: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110,468</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664,793</w:t>
            </w: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1,047</w:t>
            </w:r>
          </w:p>
        </w:tc>
        <w:tc>
          <w:tcPr>
            <w:tcW w:w="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2,682</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tax benefit from stock</w:t>
            </w: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34,438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34,438</w:t>
            </w:r>
          </w:p>
        </w:tc>
        <w:tc>
          <w:tcPr>
            <w:tcW w:w="0" w:type="dxa"/>
            <w:vAlign w:val="bottom"/>
          </w:tcPr>
          <w:p>
            <w:pPr>
              <w:spacing w:after="0"/>
              <w:rPr>
                <w:sz w:val="1"/>
                <w:szCs w:val="1"/>
                <w:color w:val="auto"/>
              </w:rPr>
            </w:pPr>
          </w:p>
        </w:tc>
      </w:tr>
      <w:tr>
        <w:trPr>
          <w:trHeight w:val="20"/>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September 30, 2014</w:t>
            </w:r>
          </w:p>
        </w:tc>
        <w:tc>
          <w:tcPr>
            <w:tcW w:w="7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80" w:type="dxa"/>
            <w:vAlign w:val="bottom"/>
            <w:gridSpan w:val="2"/>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vMerge w:val="continue"/>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18,803,390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ind w:left="20"/>
              <w:spacing w:after="0" w:line="155" w:lineRule="exact"/>
              <w:rPr>
                <w:sz w:val="20"/>
                <w:szCs w:val="20"/>
                <w:color w:val="auto"/>
              </w:rPr>
            </w:pPr>
            <w:r>
              <w:rPr>
                <w:rFonts w:ascii="Arial" w:cs="Arial" w:eastAsia="Arial" w:hAnsi="Arial"/>
                <w:sz w:val="14"/>
                <w:szCs w:val="14"/>
                <w:color w:val="auto"/>
                <w:w w:val="85"/>
              </w:rPr>
              <w:t>188</w:t>
            </w:r>
          </w:p>
        </w:tc>
        <w:tc>
          <w:tcPr>
            <w:tcW w:w="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221,580</w:t>
            </w:r>
          </w:p>
        </w:tc>
        <w:tc>
          <w:tcPr>
            <w:tcW w:w="160" w:type="dxa"/>
            <w:vAlign w:val="bottom"/>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90"/>
              </w:rPr>
              <w:t>(208,816)</w:t>
            </w: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(73,012)</w:t>
            </w: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148,654</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122,260</w:t>
            </w: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w:t>
            </w:r>
          </w:p>
        </w:tc>
        <w:tc>
          <w:tcPr>
            <w:tcW w:w="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5,838</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5,838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tax benefit from stock</w:t>
            </w:r>
          </w:p>
        </w:tc>
        <w:tc>
          <w:tcPr>
            <w:tcW w:w="7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w:t>
            </w: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1,814</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tcBorders>
              <w:right w:val="single" w:sz="8" w:color="auto"/>
            </w:tcBorders>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w w:val="85"/>
              </w:rPr>
              <w:t>133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treasury stock</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tcBorders>
              <w:right w:val="single" w:sz="8" w:color="auto"/>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(208,816)</w:t>
            </w:r>
          </w:p>
        </w:tc>
        <w:tc>
          <w:tcPr>
            <w:tcW w:w="22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208,816</w:t>
            </w:r>
          </w:p>
        </w:tc>
        <w:tc>
          <w:tcPr>
            <w:tcW w:w="160" w:type="dxa"/>
            <w:vAlign w:val="bottom"/>
            <w:shd w:val="clear" w:color="auto" w:fill="CCEEFF"/>
          </w:tcPr>
          <w:p>
            <w:pPr>
              <w:spacing w:after="0"/>
              <w:rPr>
                <w:sz w:val="12"/>
                <w:szCs w:val="12"/>
                <w:color w:val="auto"/>
              </w:rPr>
            </w:pPr>
          </w:p>
        </w:tc>
        <w:tc>
          <w:tcPr>
            <w:tcW w:w="4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78,992</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78,992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September 30, 2015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18,716,834</w:t>
            </w:r>
          </w:p>
        </w:tc>
        <w:tc>
          <w:tcPr>
            <w:tcW w:w="16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85"/>
              </w:rPr>
              <w:t>187</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229,957</w:t>
            </w:r>
          </w:p>
        </w:tc>
        <w:tc>
          <w:tcPr>
            <w:tcW w:w="7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5,980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5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78,992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34,438</w:t>
            </w:r>
          </w:p>
        </w:tc>
        <w:tc>
          <w:tcPr>
            <w:tcW w:w="2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Depreciation and amortization expense</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639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interest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Change in fair value of warrant liability and Series 1 nonconvertible preferred stock</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5,838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Gain on sale of marketable securities</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disposal of property and equipment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Premium on marketable securities</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(3,042)</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(2,002)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premium on marketable securities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2,244</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11,028</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(15,211)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 benefit from exercise of stock options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(1,814)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(13,565)</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960"/>
              <w:spacing w:after="0"/>
              <w:rPr>
                <w:sz w:val="20"/>
                <w:szCs w:val="20"/>
                <w:color w:val="auto"/>
              </w:rPr>
            </w:pPr>
            <w:r>
              <w:rPr>
                <w:rFonts w:ascii="Arial" w:cs="Arial" w:eastAsia="Arial" w:hAnsi="Arial"/>
                <w:sz w:val="16"/>
                <w:szCs w:val="16"/>
                <w:color w:val="auto"/>
              </w:rPr>
              <w:t>Unbilled receivables</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2,337</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(1,986)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(6,680)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96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96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Income taxes payable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1,199</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76,673</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20,179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(2,336)</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(1,028)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property and equipment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Purchases of marketable securities</w:t>
            </w:r>
          </w:p>
        </w:tc>
        <w:tc>
          <w:tcPr>
            <w:tcW w:w="8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w w:val="87"/>
              </w:rPr>
              <w:t>(196,304)</w:t>
            </w:r>
          </w:p>
        </w:tc>
        <w:tc>
          <w:tcPr>
            <w:tcW w:w="8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w w:val="87"/>
              </w:rPr>
              <w:t>(98,405)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(115,888)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of marketable securities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2,210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Maturities of marketable securities</w:t>
            </w:r>
          </w:p>
        </w:tc>
        <w:tc>
          <w:tcPr>
            <w:tcW w:w="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w w:val="96"/>
              </w:rPr>
              <w:t>108,407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91,506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41,825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restricted cash</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(88,186)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(69,216)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726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Payments of initial public offering costs</w:t>
            </w:r>
          </w:p>
        </w:tc>
        <w:tc>
          <w:tcPr>
            <w:tcW w:w="8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benefit from exercise of stock options</w:t>
            </w: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56,911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(8,973)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21,840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30,699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21,726</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30,699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40,072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redeemable convertible preferred stock to redemption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Conversion of preferred stock into common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161,808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of Series 1 warrants into Series 1 nonconvertible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Fixed assets financed through capital lease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tcPr>
          <w:p>
            <w:pPr>
              <w:ind w:left="320"/>
              <w:spacing w:after="0"/>
              <w:rPr>
                <w:sz w:val="20"/>
                <w:szCs w:val="20"/>
                <w:color w:val="auto"/>
              </w:rPr>
            </w:pPr>
            <w:r>
              <w:rPr>
                <w:rFonts w:ascii="Arial" w:cs="Arial" w:eastAsia="Arial" w:hAnsi="Arial"/>
                <w:sz w:val="16"/>
                <w:szCs w:val="16"/>
                <w:color w:val="auto"/>
              </w:rPr>
              <w:t>Fixed assets financed by landlord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6"/>
                <w:szCs w:val="16"/>
                <w:color w:val="auto"/>
              </w:rPr>
              <w:t>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fixed assets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1,562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 has developed novel protease and NS5A inhibitors for treatment of hepatitis C virus (“HCV”) infection. The Company also has programs to develop cyclophilin and nucleotide polymerase inhibitors targeted against HCV and also has a focus area in non-alcoholic steatohepatitis (“NASH”). Additionally, the Company has programs to discover new chemical entities, or compounds, for the treatment of other diseases.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ind w:right="7800" w:firstLine="8"/>
        <w:spacing w:after="0" w:line="378" w:lineRule="auto"/>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60"/>
        <w:spacing w:after="0" w:line="264"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the useful lives of property and equipment;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Marketable securities with original maturities of greater than 90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classifies all of its marketable securities as available-for-sale. All marketable securities are held with one investment manager. The Company continually evaluates the credit ratings of its investment portfolio and underlying securities. The Company invests in accordance with its investment policy and invests at the date of purchase in securities with a rating of A3 or higher and A– or higher according to Moody’s and S&amp;P, respectively. The Company reports available-for-sale investments at fair value as of each balance sheet date and records any unrealized gains and losses as a component of stockholders’ equity. The cost of securities sold is determined on a specific identification basis, and realized gains and losses are included in other income (expense) within the consolidated statement of operations. If any adjustment to fair value reflects a decline in the value of the investment, the Company considers available evidence to evaluate the extent to which the decline is “other than temporary” and reduces the investment to fair value through a charge to the statement of operations. There were no such adjustments necessary during the years ended September 30, 2015, 2014 or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and 2014, the Company had outstanding a letter of credit collateralized by a money market account of $608 and $436, respectively, to the benefit of the landlord of the Company’s current building lease. This amount was classified as long-term restricted cash as of September 30, 2015 and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Customers and Suppliers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marketable securities, accounts receivable and unbilled receivables. The Company has all cash and investment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historically generated all of its revenue from its collaborative research and license agreements and a U.S. government contract (see Note 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2015, accounts receivable and unbilled receivables consisted of amounts due from the Company’s collaborators and under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government contract (see Note 7). As of September 30, 2014, accounts receivable and unbilled receivables consisted solely of amounts due under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completely dependent on third-party manufacturers for product supply for preclinical research activities in its non-partnered programs. In particular, the Company relies and expects to continue to rely exclusively on several manufacturers to supply it with its requirements for the active pharmaceutical ingredients related to these programs. These research programs would be adversely affected by a significant interruption in the supply of it active pharmaceutical ingredients.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is used to measure fair value:</w:t>
      </w:r>
    </w:p>
    <w:p>
      <w:pPr>
        <w:spacing w:after="0" w:line="94"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Company’s cash equivalents and marketable securities assets and its warrant and Series 1 nonconvertible preferred stock liabilities are carried at fair value determined according to the fair value hierarchy described above (see Note 3). The carrying values of accounts receivable and unbilled receivables, accounts payable and accrued expenses approximate their fair value due to the short-term nature of these assets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or amortization. Depreciation and amortization expense is recognized using the straight-line method over the following estimated useful lives: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Laboratory and office equipment</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5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91"/>
              </w:rPr>
              <w:t>Shorter of life of lease or estimated useful life</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Purchased software</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3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Computer equipment</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3 years</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Furniture</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7 years</w:t>
            </w: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or amortization of assets disposed of are removed from the accounts and any resulting gain or loss is included in income from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October 1, 2011, the Company adopted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 recognition and eliminating the use of the residual value method. The selling prices of deliverables under the arrangement may be derived using third-party evidence (“TPE”) or a best estimate of selling price (“BESP”), if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Company’s BESP, the Company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The Company may exercise significant judgment in determining whether a deliverable is a separate unit of accounting. The Company elected to adopt ASU 2009-13 prospectively as of October 1, 2011.</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ends, then revenue is deferred until the Company can reasonably estimate when the performance obligation period ends.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collectability is reasonably assured, provided that there are no performance obligations then remaining.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years ended September 30, 2015, 2014 and 2013, the Company also generated revenue from a government contract, under which the Company is reimbursed for certain allowable costs for the funded project. Revenue from the government contract is recognized when the related service is performed. The related costs incurred by the Company under the government contract are included in research and development expenses in the statements of operations. This contract was completed in August 2015.</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Research and development costs are expensed as incurred. Included in research and development costs are wages, stock-based compensation and benefits of employees, third-party license fees and other operational costs related to the Company’s research and development activities, including facility-related expenses and external costs of outside contractors engaged to conduct both preclinical and clinical studies. The Company also includes in research and development expense the costs to complete the Company’s obligations under research collaborations.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measures all stock options and other stock-based awards granted to employees at the fair value on the date of the grant. The Company uses the Black-Scholes option-pricing model in the valuation of its stock options. The Company uses Monte-Carlo simulation in order to calculate fair value of market-based awards. The fair value of the awards is recognized as expense, net of estimated forfeitures, over the requisite service period, which is generally the vesting period of the respective award. The straight-line method of expense recognition is applied to all awards with service-only conditions. The Company records compensation expense related to performance-based awards when performance-based targets are deemed to be probable of being achieved. The Company classifies stock-based compensation expense in the statements of operations in the same manner in which the award recipient’s payroll costs are classified.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followed the two-class method when computing net income (loss) per share during periods prior to the IPO when the Company had outstanding shares that met the definition of participating securities. The two-class method was used to determine net income (loss) per share for each class of common and participating securities according to dividends declared or accumulated and participation rights in undistributed earnings. The two-class method required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redeemable convertible preferred shares and convertible preferred shares contractually entitled the holders of such shares to participate in dividends, but did not contractually require the holders of such shares to participate in losses of the Company. Accordingly, in periods in which the Company had participating securities and reported a net loss or a net loss attributable to common stockholders resulting from preferred stock dividends or accretion, net losses were not allocated to participating securities.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including outstanding stock options and outstanding warrants.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outstanding stock options and outstanding warrants. Market-based awards are included in diluted EPS to the extent they would have vested if the period end date was the market criteria measurement date.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in the United States, and all assets are held in the United States.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Comprehensive income (loss) includes net income (loss) as well as other changes in stockholders’ equity (deficit) that result from transactions and economic events other than those with stockholders. The Company’s only element of other comprehensive income (loss) is unrealized gains and losses on available-for-sale marketable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2014, the Financial Accounting Standards Board (the “FASB”) issued Accounting Standards Update (“ASU”) No.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(Topic 606), which supersedes all existing revenue recognition requirements, including most industry-specific guidance.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 company to recognize revenue when it transfers goods or services to customers in an amount that reflects the consideration that the company expects to receive for those goods or services. In August 2015, the FASB deferred the effective date of the standard by an additional year. Accordingly, the standard will be effective for the Company on October 1, 2018. The Company is currently evaluating the potential impact that Topic 606 may have on its financial position and results of operations.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xml:space="preserve"> (“ASU 2015-17”), which simplifies the presentation of deferred income taxes by eliminating the need for entities to separate deferred income tax liabilities and assets into current and noncurrent amounts in a classified statement of financial position. This amendment is effective for the Company in the fiscal year beginning October 1, 2017. The Company is currently evaluating the potential impact that ASU 2015-17 may have on its financial position and results of operations.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September 30, 2015 and 2014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3"/>
              </w:rPr>
              <w:t>Fair Value Measurements as of September 30, 2015 Using:</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equivalents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21,327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5"/>
              </w:rPr>
              <w:t>151,020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151,020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U.S. Agency bonds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36,697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21,327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5"/>
              </w:rPr>
              <w:t>187,717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209,044</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3"/>
              </w:rPr>
              <w:t>Fair Value Measurements as of September 30, 2014 Using:</w:t>
            </w: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14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0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equivalents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30,239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30,239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7,499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88,056</w:t>
            </w:r>
          </w:p>
        </w:tc>
        <w:tc>
          <w:tcPr>
            <w:tcW w:w="12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88,056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5,513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30,239</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101,068</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Warrant liability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1,584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1,786</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F-14</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September 30, 2015 and 2014 consist of money market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September 30, 2015, 2014 and 2013, there were no transfers between Level 1, Level 2 and Level 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2015 and 2014, respectively, the warrant liability was comprised of the value of the warrants for the purchase of Series 1 nonconvertible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measured at fair value. As of September 30, 2015 the outstanding Series 1 nonconvertible preferred stock was also measured at fair value.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fair value of both of these instruments was based on significant inputs not observable in the market, which represented Level 3 measurement within the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hierarchy. The Company utilized a probability weighted valuation model which takes into consideration various outcomes that may require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to transfer assets upon exercise. The fair value of outstanding warrants to purchase our Series 1 nonconvertible preferred stock was $1,276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$1,584 at September 30, 2015 and 2014, respectively. The fair value of Series 1 nonconvertible preferred stock was $163 and $202 as of September 30, 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2014, respectively. Changes in the fair value of the warrant liability and Series 1 nonconvertible preferred stock are recognized in the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ectPr>
          <w:pgSz w:w="11900" w:h="16838" w:orient="portrait"/>
          <w:cols w:equalWidth="0" w:num="1">
            <w:col w:w="11420"/>
          </w:cols>
          <w:pgMar w:left="240" w:top="459"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Warrant liability and Series 1 nonconvertible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Unobservable Input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Probabilities of payout</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310"/>
        </w:trPr>
        <w:tc>
          <w:tcPr>
            <w:tcW w:w="464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2016 - 2017</w:t>
            </w:r>
          </w:p>
        </w:tc>
        <w:tc>
          <w:tcPr>
            <w:tcW w:w="0" w:type="dxa"/>
            <w:vAlign w:val="bottom"/>
          </w:tcPr>
          <w:p>
            <w:pPr>
              <w:spacing w:after="0"/>
              <w:rPr>
                <w:sz w:val="1"/>
                <w:szCs w:val="1"/>
                <w:color w:val="auto"/>
              </w:rPr>
            </w:pPr>
          </w:p>
        </w:tc>
      </w:tr>
      <w:tr>
        <w:trPr>
          <w:trHeight w:val="324"/>
        </w:trPr>
        <w:tc>
          <w:tcPr>
            <w:tcW w:w="46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-556895</wp:posOffset>
            </wp:positionV>
            <wp:extent cx="72466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-136525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4380" w:type="dxa"/>
            <w:vAlign w:val="bottom"/>
            <w:gridSpan w:val="2"/>
            <w:vMerge w:val="restart"/>
          </w:tcPr>
          <w:p>
            <w:pPr>
              <w:ind w:left="146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224"/>
        </w:trPr>
        <w:tc>
          <w:tcPr>
            <w:tcW w:w="160" w:type="dxa"/>
            <w:vAlign w:val="bottom"/>
          </w:tcPr>
          <w:p>
            <w:pPr>
              <w:spacing w:after="0"/>
              <w:rPr>
                <w:sz w:val="19"/>
                <w:szCs w:val="19"/>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Probabilities of payout</w:t>
            </w:r>
          </w:p>
        </w:tc>
        <w:tc>
          <w:tcPr>
            <w:tcW w:w="22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- 90%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Periods in which payout is expected to occur</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2015 - 2016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200" w:type="dxa"/>
            <w:vAlign w:val="bottom"/>
          </w:tcPr>
          <w:p>
            <w:pPr>
              <w:jc w:val="right"/>
              <w:ind w:right="239"/>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540" w:type="dxa"/>
            <w:vAlign w:val="bottom"/>
            <w:gridSpan w:val="3"/>
          </w:tcPr>
          <w:p>
            <w:pPr>
              <w:spacing w:after="0"/>
              <w:rPr>
                <w:sz w:val="20"/>
                <w:szCs w:val="20"/>
                <w:color w:val="auto"/>
              </w:rPr>
            </w:pPr>
            <w:r>
              <w:rPr>
                <w:rFonts w:ascii="Arial" w:cs="Arial" w:eastAsia="Arial" w:hAnsi="Arial"/>
                <w:sz w:val="18"/>
                <w:szCs w:val="18"/>
                <w:color w:val="auto"/>
              </w:rPr>
              <w:t>F-15</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-788035</wp:posOffset>
            </wp:positionV>
            <wp:extent cx="72466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-368300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820" w:space="720"/>
            <w:col w:w="588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Decrease in fair value</w:t>
            </w:r>
          </w:p>
        </w:tc>
        <w:tc>
          <w:tcPr>
            <w:tcW w:w="1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2013</w:t>
            </w:r>
          </w:p>
        </w:tc>
        <w:tc>
          <w:tcPr>
            <w:tcW w:w="17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Warrants exercised</w:t>
            </w:r>
          </w:p>
        </w:tc>
        <w:tc>
          <w:tcPr>
            <w:tcW w:w="2340" w:type="dxa"/>
            <w:vAlign w:val="bottom"/>
            <w:gridSpan w:val="3"/>
          </w:tcPr>
          <w:p>
            <w:pPr>
              <w:jc w:val="right"/>
              <w:ind w:right="60"/>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1 nonconvertible preferred stock issued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Increase in fair value</w:t>
            </w:r>
          </w:p>
        </w:tc>
        <w:tc>
          <w:tcPr>
            <w:tcW w:w="17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2014</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Decrease in fair value</w:t>
            </w:r>
          </w:p>
        </w:tc>
        <w:tc>
          <w:tcPr>
            <w:tcW w:w="17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7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1,439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and 2014,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0"/>
              </w:rPr>
              <w:t>September 30, 2015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840" w:type="dxa"/>
            <w:vAlign w:val="bottom"/>
          </w:tcPr>
          <w:p>
            <w:pPr>
              <w:spacing w:after="0"/>
              <w:rPr>
                <w:sz w:val="10"/>
                <w:szCs w:val="10"/>
                <w:color w:val="auto"/>
              </w:rPr>
            </w:pPr>
          </w:p>
        </w:tc>
        <w:tc>
          <w:tcPr>
            <w:tcW w:w="1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151,012</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U.S. Agency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36,652</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187,664</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187,717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90"/>
              </w:rPr>
              <w:t>September 30, 2014</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840" w:type="dxa"/>
            <w:vAlign w:val="bottom"/>
          </w:tcPr>
          <w:p>
            <w:pPr>
              <w:spacing w:after="0"/>
              <w:rPr>
                <w:sz w:val="10"/>
                <w:szCs w:val="10"/>
                <w:color w:val="auto"/>
              </w:rPr>
            </w:pPr>
          </w:p>
        </w:tc>
        <w:tc>
          <w:tcPr>
            <w:tcW w:w="19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 Unrealized</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8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7,499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88,156</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(114)</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88,056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101,168</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September 30, 2015, marketable securities consisted of investments that mature within one year, with the exception of certain corporate and U.S. Agency bonds, which have maturities between one and three years and an aggregate fair value of $64,238.</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September 30, 2015 and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Computer equipment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Furniture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10,162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(4,276)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(4,135)</w:t>
            </w:r>
          </w:p>
        </w:tc>
      </w:tr>
      <w:tr>
        <w:trPr>
          <w:trHeight w:val="27"/>
        </w:trPr>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$ 1,803</w:t>
            </w:r>
          </w:p>
        </w:tc>
        <w:tc>
          <w:tcPr>
            <w:tcW w:w="12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was $639, $352 and $221 for the years ended September 30, 2015, 2014 and 2013, respectively. During the years ended September 30, 2015, 2014 and 2013, assets with a cost of $518, $554 and $420, respectively, were sold or disposed of, resulting in gains of $31, $3 and $100,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Other Current Liabilities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other current liabilities and other long-term liabilities consisted of the following as of September 30, 2015 and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6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 and other 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fixed asset 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436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preclinical and clinical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493</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vendor manufacturing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116</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third-party license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w w:val="86"/>
              </w:rPr>
              <w:t>240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312</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3,962</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2,872</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Accrued rent expense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w w:val="86"/>
              </w:rPr>
              <w:t>153</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1,713</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6"/>
              </w:rPr>
              <w:t>229</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current lease, as amended, the Company spent $598 of tenant improvement allowance provided by the landlord and accounted for as a capital lease obligation.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9180" w:firstLine="8"/>
        <w:spacing w:after="0" w:line="425" w:lineRule="auto"/>
        <w:tabs>
          <w:tab w:leader="none" w:pos="18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(also known as ABT-450). The agreement was assigned by Abbott to AbbVie Inc. on January 1, 2013 in connection with Abbott’s transfer of its research-based pharmaceuticals business to AbbVie.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AbbVie Agreement, as amended, AbbVie paid to the Company upfront license payments and FTE reimbursements to fund research activities. The Company is also eligible to receive milestone payments for the successful development by AbbVie of one or more HCV compounds as well as annually, tiered per product, royalties ranging from the low double digits up to twenty percent, or on a blended basis from the low double digits up to the high teens, on net sales by AbbVie allocated to the collaboration’s protease inhibitors.</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 responsibilities, and the research services, did not have VSOE or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 making rights. As such, the joint steering committee commitment became protective in nature as of June 16, 2011.</w:t>
      </w:r>
    </w:p>
    <w:p>
      <w:pPr>
        <w:spacing w:after="0" w:line="18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During the years ended September 30, 2015, 2014 and 2013, the Company received $125,000, $40,000 and $15,000 in milestone payments under the AbbVie Agreement as a result of AbbVie’s development and commercialization of a regimen that included paritaprevir. From commencement of the collaboration, through September 30, 2015, the Company has received a total of $319,000 under the AbbVie Agreement consisting of an upfront license payment, research funding, milestone payments, royalties and preferred stock financing. As of September 30, 2015, the Company was eligible to receive an additional milestone payment of $30,000 upon AbbVie’s achievement of commercialization regulatory approval of a paritaprevir-containing regimen in Japan, which was earned in November 2015. The Company is also eligible to receive additional milestone payments totaling up to $80,000 upon AbbVie’s achievement of similar commercialization regulatory approval milestones in the U.S. and other selected world markets for each additional protease inhibitor commercialized by AbbVie. The Company is also eligible to receive annually tiered royalties per product ranging from the low double digits up to twenty percent, or on a blended basis from the low double digits up to the high teens, on net sales by AbbVie allocated to the collaboration’s protease inhibitors separately. Under the terms of the agreement, as amended in October 2014, 30% of net sales of a 3-DAA regimen containing paritaprevir will be allocated to paritaprevir, and 45% of net sales of a 2-DAA regimen containing paritaprevir will be allocated to paritaprevir. For ABT-493, the next generation protease inhibitor currently being developed by AbbVie, 50% of net sales of a 2-DAA regimen containing ABT-493 will be allocated to ABT-493, and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net sales of a 3-DAA regimen containing ABT-493 will be allocated to ABT-493. If there is any active ingredient other than DAA’s 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ABT-493-containing regimen sold by AbbVie, there will be a further adjustment to net sales based on the relative value of the non-DAA ingredient. The Company began earning and receiving royalty payments on net sales of regimens containing paritaprevir during the year ended September 30, 2015.</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the Company completed all its performance obligations under the AbbVie Agreement by the end of fiscal 2011, any milestone payments received since then have been and will be recognized as revenue when achieved by AbbVie.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had the option, but not the obligation, to co-develop and share in the profit of any product in the United States that is developed as a result of the AbbVie Agreement. This option for the first compound (paritaprevir) expired in 2011 and the option for the second compound (ABT-493) expired in 2014 without the Company choosing to exercise either option. The Company has no further obligations in regard to the AbbVie Agreement and will evaluate future options as they arise.</w:t>
      </w:r>
    </w:p>
    <w:p>
      <w:pPr>
        <w:spacing w:after="0" w:line="18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a product in a country.</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Subject to certain exceptions, a party’s rights and obligations under the agreement continues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If the Company terminates the agreement for cause or AbbVie terminates without cause, any licenses and other rights granted to AbbVie will terminate and AbbVie will be deemed to have granted the Company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Collaboration</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Under the terms of a 2012 license and collaboration agreement to develop an NS5A inhibitor with Novartis (the “Novartis Agreement”), the Company received an upfront payment of $34,442 million in fiscal 2012 and a commitment to fund research at an agreed amount for one year. The Company recognized the upfront license payment upon receipt.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 ended September 30, 2013, the Company recognized total revenue of $12,675 under the Novartis Agreement, of which $10,894 was attributable to license fees and $1,781 was attributable to the performance of research services. No revenue was recognized under the agreement in fiscal 2014 or 2015.</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 September 30, 2014 the Company and Novartis entered into an amendment to the Novartis Agreement to return to the Company full rights to its NS5A inhibitor program, including EDP-239, and to transition the proof-of-concept study of EDP-239 to the Company. The Company owes no future payments to Novartis in connection with this transfer.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NIAID Contract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September 30, 2011, the Company entered into a contract with the National Institute of Allergy and Infectious Diseases (“NIAID”), a division of the National Institutes of Health (“NIH”), providing development funding to the Company for the preclinical and clinical development of a bridged bicyclic antibiotic to be used as a medical countermeasure against multiple biodefense Category A and B bacteria. In February 2015, NIAID and the Company amended the contract to provide for completion in August 2015 and to decrease the total committed contract funding. The Company has received payments of $18,672 under the NIAID contract through September 30, 2015.</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recognized revenue under this contract as development services were performed in accordance with the funding agreement. During the year ended September 30, 2015, the Company recognized revenue of $1,803, under this contract. As of September 30, 2015, $955 was invoiced but unpaid and included in accounts receivable, $433 was unbilled and included in unbilled receivables. During the year ended September 30, 2014, the Company recognized revenue of $7,741, under this contract, of which $1,724 was invoiced but unpaid and included in accounts receivable and $2,770 was unpaid and included in unbilled receivables at September 30, 2014. During the year ended September 30, 2013, the Company recognized revenue of $4,378, under this contract.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contract was completed in August 2015 upon the Company’s delivery of the study report for the Phase 1 clinical study.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March 1, 2013, the Company effected an increase in the number of authorized shares of its common stock from 70,000,000 to 100,000,000 shares. On March 1, 2013, the Company effected a 1-for-4.31 reverse stock split of its issued and outstanding shares of common stock and a proportional adjustment to the existing conversion ratio for each series of redeemable convertible preferred stock and convertible preferred stock. Accordingly, all share and per share amounts for all periods presented in these financial statements and notes thereto have been adjusted retroactively, where applicable, to reflect the reverse stock split and adjustment of the preferred share conversion ratios.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26, 2013 the Company completed an initial public offering of its common stock, which resulted in the sale of 4,600,000 shares. The Company received net proceeds from the IPO of $59,892 based upon the price of $14.00 per share and after deducting underwriting discounts and commissions paid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the closing of the initial public offering, all outstanding shares of the Company’s redeemable convertible preferred stock and convertible preferred stock were converted into 11,656,875 shares of common stock.</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such dividends as may be declared by the board of directors, if any.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retired all 208,186 shares of treasury stock effective September 30, 2015 which resulted in a decrease in the same number of issued shares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1 Nonconvertible Preferred Stock</w:t>
      </w:r>
    </w:p>
    <w:p>
      <w:pPr>
        <w:spacing w:after="0" w:line="12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Company’s Certificate of Incorporation authorizes the issuance of up to 1,999,989 shares of Series 1 nonconvertible preferred Stock (the “Series 1 nonconvertible preferred”)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at a redemption price of $1.00 per share. The Company must redeem the stock within 60 days of such election. Shares that are redeemed will be retired or canceled and not reissued by the Company.</w:t>
      </w:r>
    </w:p>
    <w:p>
      <w:pPr>
        <w:spacing w:after="0" w:line="17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October and November 2010, a total of 1,999,989 warrants to purchase Series 1 nonconvertible preferred stock were issued. These warrants expire on October 4, 2017. As these warrants are free-standing financial instruments that may require the Company to transfer assets upon exercise, up to a maximum of $2,000, these warrants are classified as liabilities. The warrants had a fair value upon issuance of $1,280. The Company is required to remeasure the fair value of these preferred stock warrants at each reporting date, with any adjustments recorded within the change in fair value of warrant liability included in other income (expense) in the statement of operations. On February 5, 2014, 225,408 warrants were exercised resulting in the net issuance of 223,153 shares of Series 1 nonconvertible preferred stock, which were outstanding at September 30, 2015 and 2014. The remeasurement of the warrants and Series 1 nonconvertible preferred stock resulted in income of $347, expense of $166 and income of $361 for the years ended September 30, 2015, 2014 and 2013, respectively. As of September 30, 2015 and 2014, the total fair value of the Series 1 nonconvertible preferred stock was $163 and $202, respectively. As of September 30, 2015 and September 30, 2014, the total fair value of the Series 1 nonconvertible preferred stock warrants was $1,276 and $1,584, respectively.</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all outstanding warrants to purchase the Series 1 nonconvertible preferred stock are exercised, the resulting outstanding shares of Series 1 nonconvertible preferred stock will carry an aggregate $2,000 liquidation preference that is superior to the common stock and any other classes of preferred stock then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since October 1, 2012:</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Series 1</w:t>
            </w:r>
          </w:p>
        </w:tc>
        <w:tc>
          <w:tcPr>
            <w:tcW w:w="108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Preferred</w:t>
            </w:r>
          </w:p>
        </w:tc>
        <w:tc>
          <w:tcPr>
            <w:tcW w:w="3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40" w:type="dxa"/>
            <w:vAlign w:val="bottom"/>
            <w:gridSpan w:val="3"/>
          </w:tcPr>
          <w:p>
            <w:pPr>
              <w:jc w:val="center"/>
              <w:ind w:left="1076"/>
              <w:spacing w:after="0" w:line="149" w:lineRule="exact"/>
              <w:rPr>
                <w:sz w:val="20"/>
                <w:szCs w:val="20"/>
                <w:color w:val="auto"/>
              </w:rPr>
            </w:pPr>
            <w:r>
              <w:rPr>
                <w:rFonts w:ascii="Arial" w:cs="Arial" w:eastAsia="Arial" w:hAnsi="Arial"/>
                <w:sz w:val="14"/>
                <w:szCs w:val="14"/>
                <w:b w:val="1"/>
                <w:bCs w:val="1"/>
                <w:color w:val="auto"/>
                <w:w w:val="93"/>
              </w:rPr>
              <w:t>Stock Warrants</w:t>
            </w:r>
          </w:p>
        </w:tc>
        <w:tc>
          <w:tcPr>
            <w:tcW w:w="38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Exercisable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2012</w:t>
            </w:r>
          </w:p>
        </w:tc>
        <w:tc>
          <w:tcPr>
            <w:tcW w:w="1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1,999,989</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2013</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1,999,989</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6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(225,408)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16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1,774,581</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2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6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1,774,581</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Awards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2012 Equity Incentive Plan (the “2012 Plan”) permits the Company to sell or issue common stock or restricted common stock or to grant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terminated and not exercised under the previous plan, known as the 1995 Equity Incentive Plan as well as by a number of additional shares on the first day of each fiscal year by the lowest amount among the following: (i) 3% of the Company’s outstanding shares of common stock as of that date, (ii) 2,088,167 shares of common stock, or (iii) an amount determined by the board of directors. On October 1, 2014, the number of shares of common stock that might be issued under the 2012 Plan was increased by 557,863 shares. As of September 30, 2015, 444,173 shares remained available for future grant.</w:t>
      </w:r>
    </w:p>
    <w:p>
      <w:pPr>
        <w:spacing w:after="0" w:line="17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Options granted under the 2012 Plan to non-executive employees generally vest quarterly over four years and expire after ten years; options granted to executive employees generally vest over one to four years; and options granted to the board of directors vest over two to three years.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2012 Plan replaces and is the successor to the 1995 Equity Incentive Plan (the “1995 Plan”). The 1995 Plan provided for the Company to sell or issue common stock or restricted common stock, or to grant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 reserved for issuance under the 1995 Plan were transferred to the 2012 Plan and no further awards will be made under the 1995 Plan.</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Under the Company’s Employee Stock Purchase Plan (“ESPP”) a total of 185,614 shares of common stock are reserved for issuance. As of September 30, 2015, the Company had not commenced any offering under the ESPP and no plan shares have been issued.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awards is generally four years, with restrictions lapsing evenly over the period.</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March 2013, the Company granted to certain executives 167,052 options that vest upon the achievement of certain performance-based targets. The grant date fair value of these options was $2,479. During the year ended September 30, 2014, one performance-based target was achieved and the Company recorded compensation expense of $206 related to that target. No compensation expense related to these options was recognized during the years ended September 30, 2015 and 2013 as none of the performance-based targets was deemed to be probable of being achieved.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To date the Company lacks sufficient company-specific historical volatility information. Therefore, it estimates its expected stock volatility based on the historical volatility of a selected group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relevant data used to determine the value of the stock option grants is as follows, presented on a weighted average basis: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7"/>
              </w:rPr>
              <w:t>1.85%</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1.05%</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gridSpan w:val="2"/>
          </w:tcPr>
          <w:p>
            <w:pPr>
              <w:jc w:val="right"/>
              <w:ind w:right="568"/>
              <w:spacing w:after="0"/>
              <w:rPr>
                <w:sz w:val="20"/>
                <w:szCs w:val="20"/>
                <w:color w:val="auto"/>
              </w:rPr>
            </w:pPr>
            <w:r>
              <w:rPr>
                <w:rFonts w:ascii="Arial" w:cs="Arial" w:eastAsia="Arial" w:hAnsi="Arial"/>
                <w:sz w:val="18"/>
                <w:szCs w:val="18"/>
                <w:color w:val="auto"/>
              </w:rPr>
              <w:t>6.03</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6.09</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74%</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required by the 1995 Plan and 2012 Plan, the exercise price for awards granted is not to be less than the fair value of common shares as estimated by the Company as of the date of grant. For the periods prior to the March 2013 IPO, the Company valued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 For the periods after the IPO, the Company based fair value of its common stock on the quoted market price.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September 30,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Under</w:t>
            </w:r>
          </w:p>
        </w:tc>
        <w:tc>
          <w:tcPr>
            <w:tcW w:w="26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1,389,437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7.2</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$ 33,573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526,755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42.36</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(122,260)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5.94</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(41,922)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32.24</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1,752,010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23.76</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$ 25,093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September 30, 2015</w:t>
            </w:r>
          </w:p>
        </w:tc>
        <w:tc>
          <w:tcPr>
            <w:tcW w:w="1100" w:type="dxa"/>
            <w:vAlign w:val="bottom"/>
            <w:gridSpan w:val="2"/>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24.71</w:t>
            </w:r>
          </w:p>
        </w:tc>
        <w:tc>
          <w:tcPr>
            <w:tcW w:w="1080" w:type="dxa"/>
            <w:vAlign w:val="bottom"/>
            <w:gridSpan w:val="2"/>
            <w:vMerge w:val="restart"/>
          </w:tcPr>
          <w:p>
            <w:pPr>
              <w:ind w:left="520"/>
              <w:spacing w:after="0"/>
              <w:rPr>
                <w:sz w:val="20"/>
                <w:szCs w:val="20"/>
                <w:color w:val="auto"/>
              </w:rPr>
            </w:pPr>
            <w:r>
              <w:rPr>
                <w:rFonts w:ascii="Arial" w:cs="Arial" w:eastAsia="Arial" w:hAnsi="Arial"/>
                <w:sz w:val="18"/>
                <w:szCs w:val="18"/>
                <w:color w:val="auto"/>
              </w:rPr>
              <w:t>7.1</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$ 21,369</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1,576,413</w:t>
            </w: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September 30, 2015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854,183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14.58</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5.7</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$ 18,852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aggregate intrinsic value of options is calculated as the difference between the exercise price of the options and the fair value of the Company’s common stock for those shares that had exercise prices lower than the fair value of the Company’s common stock. The aggregate intrinsic value of stock options exercised was $4,827, $3,219 and $7,574 during the years ended September 30, 2015, 2014 and 2013, respectively.</w:t>
      </w:r>
    </w:p>
    <w:p>
      <w:pPr>
        <w:spacing w:after="0" w:line="16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received cash proceeds from the exercise of stock options of $726, $1,054 and $559 during the years ended September 30, 2015, 2014 and 2013, respectively. The weighted average grant date fair value of options granted during the years ended September 30, 2015, 2014 and 2013 was $27.77, $19.98 and $9.16,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for the years ended September 30, 2015, 2014 and 2013 in the following expense categories: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1,920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r>
      <w:tr>
        <w:trPr>
          <w:trHeight w:val="27"/>
        </w:trPr>
        <w:tc>
          <w:tcPr>
            <w:tcW w:w="6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2,682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1,063</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2015, the Company had an aggregate of $18,399 of unrecognized stock-based compensation cost, which is expected to be recognized over a weighted average period of 2.8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February 2015, the Company awarded certain executive officers a total of 41,800 share units consisting of 20,900 performance share units, or PSUs, and 20,900 relative total shareholder return units, or rTSRUs. The number of units represents the target number of shares of common stock that may be earned; however, the actual number of shares that may be earned ranges from 0% to 200% of the target number.</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PSUs will vest and result in issuance, or settlement, of common shares for each recipient, based upon the recipient’s continued employment with the Company and the Company’s achievement of specified research and development milestones on or before December 31, 2016. The aggregate grant date fair value of the 20,900 PSUs ranges between $0 and $1,501. During the year ended September 30, 2015, the Company recorded no compensation expense related to the PSU awards as none of the performance-based targets were probable of being achieved during this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rTSRUs will vest and result in the issuance of common stock for each recipient based upon the recipient’s continuing employment with the Company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$554.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2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460" w:type="dxa"/>
            <w:vAlign w:val="bottom"/>
          </w:tcPr>
          <w:p>
            <w:pPr>
              <w:jc w:val="right"/>
              <w:ind w:right="130"/>
              <w:spacing w:after="0"/>
              <w:rPr>
                <w:sz w:val="20"/>
                <w:szCs w:val="20"/>
                <w:color w:val="auto"/>
              </w:rPr>
            </w:pPr>
            <w:r>
              <w:rPr>
                <w:rFonts w:ascii="Arial" w:cs="Arial" w:eastAsia="Arial" w:hAnsi="Arial"/>
                <w:sz w:val="18"/>
                <w:szCs w:val="18"/>
                <w:color w:val="auto"/>
              </w:rPr>
              <w:t>1.86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$26.51</w:t>
            </w: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 During the year ended September 30, 2015, the Company recorded $181 in expense related to rTSRUs.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(Loss) Per Share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years ended September 30, 2015, 2014 and 2013: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Years Ended September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82"/>
        </w:trPr>
        <w:tc>
          <w:tcPr>
            <w:tcW w:w="4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Basic net income (loss) per share attributable to common</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w:t>
            </w:r>
          </w:p>
        </w:tc>
      </w:tr>
      <w:tr>
        <w:trPr>
          <w:trHeight w:val="202"/>
        </w:trPr>
        <w:tc>
          <w:tcPr>
            <w:tcW w:w="4460" w:type="dxa"/>
            <w:vAlign w:val="bottom"/>
          </w:tcPr>
          <w:p>
            <w:pPr>
              <w:ind w:left="720"/>
              <w:spacing w:after="0" w:line="201" w:lineRule="exact"/>
              <w:rPr>
                <w:sz w:val="20"/>
                <w:szCs w:val="20"/>
                <w:color w:val="auto"/>
              </w:rPr>
            </w:pPr>
            <w:r>
              <w:rPr>
                <w:rFonts w:ascii="Arial" w:cs="Arial" w:eastAsia="Arial" w:hAnsi="Arial"/>
                <w:sz w:val="18"/>
                <w:szCs w:val="18"/>
                <w:color w:val="auto"/>
              </w:rPr>
              <w:t>Accretion of redeemable convertible preferred</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900"/>
              <w:spacing w:after="0"/>
              <w:rPr>
                <w:sz w:val="20"/>
                <w:szCs w:val="20"/>
                <w:color w:val="auto"/>
              </w:rPr>
            </w:pPr>
            <w:r>
              <w:rPr>
                <w:rFonts w:ascii="Arial" w:cs="Arial" w:eastAsia="Arial" w:hAnsi="Arial"/>
                <w:sz w:val="18"/>
                <w:szCs w:val="18"/>
                <w:color w:val="auto"/>
              </w:rPr>
              <w:t>stock to redemption value</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r>
      <w:tr>
        <w:trPr>
          <w:trHeight w:val="216"/>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Net income attributable to participating securities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(13,670)</w:t>
            </w:r>
          </w:p>
        </w:tc>
      </w:tr>
      <w:tr>
        <w:trPr>
          <w:trHeight w:val="209"/>
        </w:trPr>
        <w:tc>
          <w:tcPr>
            <w:tcW w:w="4460" w:type="dxa"/>
            <w:vAlign w:val="bottom"/>
          </w:tcPr>
          <w:p>
            <w:pPr>
              <w:ind w:left="1080"/>
              <w:spacing w:after="0"/>
              <w:rPr>
                <w:sz w:val="20"/>
                <w:szCs w:val="20"/>
                <w:color w:val="auto"/>
              </w:rPr>
            </w:pPr>
            <w:r>
              <w:rPr>
                <w:rFonts w:ascii="Arial" w:cs="Arial" w:eastAsia="Arial" w:hAnsi="Arial"/>
                <w:sz w:val="18"/>
                <w:szCs w:val="18"/>
                <w:color w:val="auto"/>
              </w:rPr>
              <w:t>Net income (loss) attributable to common</w:t>
            </w: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60" w:type="dxa"/>
            <w:vAlign w:val="bottom"/>
          </w:tcPr>
          <w:p>
            <w:pPr>
              <w:ind w:left="1260"/>
              <w:spacing w:after="0"/>
              <w:rPr>
                <w:sz w:val="20"/>
                <w:szCs w:val="20"/>
                <w:color w:val="auto"/>
              </w:rPr>
            </w:pPr>
            <w:r>
              <w:rPr>
                <w:rFonts w:ascii="Arial" w:cs="Arial" w:eastAsia="Arial" w:hAnsi="Arial"/>
                <w:sz w:val="18"/>
                <w:szCs w:val="18"/>
                <w:color w:val="auto"/>
              </w:rPr>
              <w:t>stockholders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78,992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34,438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(6,569)</w:t>
            </w:r>
          </w:p>
        </w:tc>
      </w:tr>
      <w:tr>
        <w:trPr>
          <w:trHeight w:val="20"/>
        </w:trPr>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460" w:type="dxa"/>
            <w:vAlign w:val="bottom"/>
          </w:tcPr>
          <w:p>
            <w:pPr>
              <w:ind w:left="720"/>
              <w:spacing w:after="0" w:line="201" w:lineRule="exact"/>
              <w:rPr>
                <w:sz w:val="20"/>
                <w:szCs w:val="20"/>
                <w:color w:val="auto"/>
              </w:rPr>
            </w:pPr>
            <w:r>
              <w:rPr>
                <w:rFonts w:ascii="Arial" w:cs="Arial" w:eastAsia="Arial" w:hAnsi="Arial"/>
                <w:sz w:val="18"/>
                <w:szCs w:val="18"/>
                <w:color w:val="auto"/>
                <w:w w:val="94"/>
              </w:rPr>
              <w:t>Weighted average common shares outstanding—</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90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18,673,484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18,354,791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9,788,039</w:t>
            </w:r>
          </w:p>
        </w:tc>
      </w:tr>
      <w:tr>
        <w:trPr>
          <w:trHeight w:val="20"/>
        </w:trPr>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w w:val="99"/>
              </w:rPr>
              <w:t>Net income (loss) per share attributable to common</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r>
      <w:tr>
        <w:trPr>
          <w:trHeight w:val="20"/>
        </w:trPr>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F-25</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Years Ended September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82"/>
        </w:trPr>
        <w:tc>
          <w:tcPr>
            <w:tcW w:w="5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Diluted net income (loss) per share attributable to common</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34,438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9,627</w:t>
            </w:r>
          </w:p>
        </w:tc>
      </w:tr>
      <w:tr>
        <w:trPr>
          <w:trHeight w:val="202"/>
        </w:trPr>
        <w:tc>
          <w:tcPr>
            <w:tcW w:w="5120" w:type="dxa"/>
            <w:vAlign w:val="bottom"/>
          </w:tcPr>
          <w:p>
            <w:pPr>
              <w:ind w:left="720"/>
              <w:spacing w:after="0" w:line="201" w:lineRule="exact"/>
              <w:rPr>
                <w:sz w:val="20"/>
                <w:szCs w:val="20"/>
                <w:color w:val="auto"/>
              </w:rPr>
            </w:pPr>
            <w:r>
              <w:rPr>
                <w:rFonts w:ascii="Arial" w:cs="Arial" w:eastAsia="Arial" w:hAnsi="Arial"/>
                <w:sz w:val="18"/>
                <w:szCs w:val="18"/>
                <w:color w:val="auto"/>
              </w:rPr>
              <w:t>Accretion of redeemable convertible preferred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20" w:type="dxa"/>
            <w:vAlign w:val="bottom"/>
          </w:tcPr>
          <w:p>
            <w:pPr>
              <w:ind w:left="900"/>
              <w:spacing w:after="0"/>
              <w:rPr>
                <w:sz w:val="20"/>
                <w:szCs w:val="20"/>
                <w:color w:val="auto"/>
              </w:rPr>
            </w:pPr>
            <w:r>
              <w:rPr>
                <w:rFonts w:ascii="Arial" w:cs="Arial" w:eastAsia="Arial" w:hAnsi="Arial"/>
                <w:sz w:val="18"/>
                <w:szCs w:val="18"/>
                <w:color w:val="auto"/>
              </w:rPr>
              <w:t>stock to redemption value</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 to participating securities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(13,670)</w:t>
            </w:r>
          </w:p>
        </w:tc>
      </w:tr>
      <w:tr>
        <w:trPr>
          <w:trHeight w:val="209"/>
        </w:trPr>
        <w:tc>
          <w:tcPr>
            <w:tcW w:w="5120" w:type="dxa"/>
            <w:vAlign w:val="bottom"/>
          </w:tcPr>
          <w:p>
            <w:pPr>
              <w:ind w:left="1080"/>
              <w:spacing w:after="0"/>
              <w:rPr>
                <w:sz w:val="20"/>
                <w:szCs w:val="20"/>
                <w:color w:val="auto"/>
              </w:rPr>
            </w:pPr>
            <w:r>
              <w:rPr>
                <w:rFonts w:ascii="Arial" w:cs="Arial" w:eastAsia="Arial" w:hAnsi="Arial"/>
                <w:sz w:val="18"/>
                <w:szCs w:val="18"/>
                <w:color w:val="auto"/>
              </w:rPr>
              <w:t>Net income (loss) attributable to common</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ind w:left="1260"/>
              <w:spacing w:after="0"/>
              <w:rPr>
                <w:sz w:val="20"/>
                <w:szCs w:val="20"/>
                <w:color w:val="auto"/>
              </w:rPr>
            </w:pPr>
            <w:r>
              <w:rPr>
                <w:rFonts w:ascii="Arial" w:cs="Arial" w:eastAsia="Arial" w:hAnsi="Arial"/>
                <w:sz w:val="18"/>
                <w:szCs w:val="18"/>
                <w:color w:val="auto"/>
              </w:rPr>
              <w:t>stockholders—diluted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78,992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34,438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(6,569)</w:t>
            </w: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120" w:type="dxa"/>
            <w:vAlign w:val="bottom"/>
          </w:tcPr>
          <w:p>
            <w:pPr>
              <w:ind w:left="7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20" w:type="dxa"/>
            <w:vAlign w:val="bottom"/>
          </w:tcPr>
          <w:p>
            <w:pPr>
              <w:ind w:left="9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18,673,484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18,354,791</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9,788,039</w:t>
            </w: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Dilutive effect of common stock equivalents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621,150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830,437</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120" w:type="dxa"/>
            <w:vAlign w:val="bottom"/>
          </w:tcPr>
          <w:p>
            <w:pPr>
              <w:ind w:left="7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20" w:type="dxa"/>
            <w:vAlign w:val="bottom"/>
          </w:tcPr>
          <w:p>
            <w:pPr>
              <w:ind w:left="9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19,294,634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19,185,228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9,788,039</w:t>
            </w: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income (loss) per share attributable to common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Stock options and awards for the purchase of 604,632, 330,430 and 1,713,313 weighted average shares were excluded from the computation of diluted net income per share attributable to common stockholders for the years ended September 30, 2015, 2014 and 2013, respectively, because those options had an anti-dilutive impact due to either the net loss attributable to common stockholders incurred for the period or to the assumed proceeds per share using the treasury stock method being greater than the average fair value of the Company’s common shares for those periods.</w:t>
      </w:r>
    </w:p>
    <w:p>
      <w:pPr>
        <w:spacing w:after="0" w:line="276" w:lineRule="exact"/>
        <w:rPr>
          <w:sz w:val="20"/>
          <w:szCs w:val="20"/>
          <w:color w:val="auto"/>
        </w:rPr>
      </w:pPr>
    </w:p>
    <w:p>
      <w:pPr>
        <w:ind w:right="8500" w:firstLine="8"/>
        <w:spacing w:after="0" w:line="378" w:lineRule="auto"/>
        <w:tabs>
          <w:tab w:leader="none" w:pos="27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279" w:lineRule="auto"/>
        <w:rPr>
          <w:sz w:val="20"/>
          <w:szCs w:val="20"/>
          <w:color w:val="auto"/>
        </w:rPr>
      </w:pPr>
      <w:r>
        <w:rPr>
          <w:rFonts w:ascii="Arial" w:cs="Arial" w:eastAsia="Arial" w:hAnsi="Arial"/>
          <w:sz w:val="17"/>
          <w:szCs w:val="17"/>
          <w:color w:val="auto"/>
        </w:rPr>
        <w:t>The Company had an office and laboratory lease that was effective from fiscal 2011 to 2018. During the year ended September 30, 2015, the Company amended the lease to expand the rented space and extend the lease term through September 2022. Payment escalations specified in the lease agreement, as amended, are accrued such that rent expense is recognized on a straight-line basis over the term of occupancy. The Company incurred rent expense of $1,326 for the year ended September 30, 2015 and $948, for each of the years ended September 30, 2014 and 2013.</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September 30, 2015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Years Ended September 30,</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w w:val="84"/>
              </w:rPr>
              <w:t>Leases</w:t>
            </w: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2,117</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4,322</w:t>
            </w:r>
          </w:p>
        </w:tc>
        <w:tc>
          <w:tcPr>
            <w:tcW w:w="14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14,641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15,239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connection with the current lease, the Company had an outstanding letter of credit in the amounts of $608 and $436 as of September 30, 2015 and 2014, respectively, collateralized by a money market account. As of September 30, 2015 and 2014, the Company classified these amounts as restricted cash.</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Additionally the amended lease included a $598 tenant improvement allowance from the landlord, which allowance is accounted for as a capital lease obligation.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a non-exclusive intellectual property license agreement with a licensor of research technology. Under the 2012 agreement, the Company is required to pay the third party licensor an upfront license fee of $350 and additional license fees of $250 on the first anniversary, $250 on the second anniversary and $200 on the third anniversary of the agreement. In addition, the Company is required to pay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 As of October 1, 2012, the Company had recorded liabilities totaling $995 related to the agreement. During the years ended September 30, 2015, 2014 and 2013, the Company paid $200, $250 and $350, respectively, under the agreement.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year ended September 30, 2013, the Company obtained an amendment to an existing license agreement to extend rights to patents previously licensed for one of its programs for use in its other HCV research. Under the amended agreement, the Company is obligated to pay milestones totaling up to $5,000, plus low single digit royalties, for each HCV product it develops and for which it obtains regulatory approval outside of its collaboration with AbbVie or any other collaboration it may enter into in the future with a partner that has already licensed these patents. In the same period, the Company paid a milestone payment of $500 under this amended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may be required to obtain licenses and could be required to pay license fees or royalties, or both. These licenses may not be available on acceptable terms, or at all. A costly license, or inability to obtain a necessary license, could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September 30, 2015 or 2014.</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income taxes for all periods presented is from domestic operations, which are the Company’s only operations.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2014 and 2013, the Company recorded a provision or a benefit for income taxes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Federal</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$35,040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(13,048)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State</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1,880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46,463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(15,170)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years ended September 30, 2015 and 2014, the Company recorded an income tax provision of $46,463 and an income tax benefit of $15,170, respectively. During the year ended September 30, 2013 no provision for income taxes was recorded due primarily to the Company’s use of net operating loss carryforwards to offset the income before income taxes of $9,627 generated in that period. As the deferred tax assets for those utilized net operating loss carryforwards had previously been recorded with a full valuation allowance, the use of the net operating loss carryforwards in the period resulted in an income tax benefit being recognized, which offset the tax provision recorded as a result of the income before income taxes generated.</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2014, the Company reassessed the need for a valuation allowance against its deferred tax assets. The Company concluded from the reassessment that it was more likely than not that the Company would be able to realize its deferred tax assets primarily as a result of recent profitability and forecasted future profits resulting from future expected milestone payments and on-going royalty payments from its AbbVie collaboration. Accordingly, the Company released its valuation allowance of $22,892 in fiscal 2014.</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effective tax rate for the year ended September 30, 2015 was 37.0% and differs from the federal statutory rate of 35% primarily due to state income taxes, changes in estimates related to research and development tax credits for fiscal years prior to 2015 and certain expenditures which are permanently not deductible for tax purposes.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effective tax rate for the year ended September 30, 2014 was (78.7)% and differs from the federal statutory rate of 35% primarily due to a change in estimate as to the Company’s ability to realize the benefits of its 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operating loss carry-forwards and research and development tax credits resulting in a reduction of the Company’s valuation allowance against deferred tax assets in the amount of $22,892, as well as changes in estimates related to the fiscal 2014 research and development tax credits, and certain expenditures which are permanently not deductible for tax purposes.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tax rate benefit for the fiscal year ended September 30, 2013 was 0% and differs from the federal statutory tax rate of 34% primarily because the Company had available tax loss carryforwards and other deferred tax assets to offset its taxable income in that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13"/>
          </w:tcPr>
          <w:p>
            <w:pPr>
              <w:jc w:val="right"/>
              <w:ind w:right="660"/>
              <w:spacing w:after="0"/>
              <w:rPr>
                <w:sz w:val="20"/>
                <w:szCs w:val="20"/>
                <w:color w:val="auto"/>
              </w:rPr>
            </w:pPr>
            <w:r>
              <w:rPr>
                <w:rFonts w:ascii="Arial" w:cs="Arial" w:eastAsia="Arial" w:hAnsi="Arial"/>
                <w:sz w:val="14"/>
                <w:szCs w:val="14"/>
                <w:b w:val="1"/>
                <w:bCs w:val="1"/>
                <w:color w:val="auto"/>
                <w:w w:val="95"/>
              </w:rPr>
              <w:t>Years Ended 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 research and development tax credit</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5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statutory rate</w:t>
            </w: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(78.7)%</w:t>
            </w:r>
          </w:p>
        </w:tc>
        <w:tc>
          <w:tcPr>
            <w:tcW w:w="10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spacing w:after="0"/>
              <w:rPr>
                <w:sz w:val="20"/>
                <w:szCs w:val="20"/>
                <w:color w:val="auto"/>
              </w:rPr>
            </w:pPr>
            <w:r>
              <w:rPr>
                <w:rFonts w:ascii="Arial" w:cs="Arial" w:eastAsia="Arial" w:hAnsi="Arial"/>
                <w:sz w:val="18"/>
                <w:szCs w:val="18"/>
                <w:color w:val="auto"/>
              </w:rPr>
              <w:t>Net deferred tax assets as of September 30, 2015 and 2014 consisted of the following:</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10"/>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and development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2,903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3,204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6,107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15,321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6,107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15,321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September 30, 2014, the Company had net operating loss carryforwards for federal and state income tax purposes of $0 and $8,433, respectively, which were utilized entirely in fiscal 2015. The Company also had available research and development tax credit and other credit carryforwards for federal and state income tax purposes of $4,481 and $2,214, respectively, which were similarly entirely utilized in fiscal 2015.</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2008 to the present. Earlier years may be examined to the extent that tax credit or net operating loss carryforwards are used in future periods.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had an unrecognized tax benefit of $448 and $0 as of September 30, 2015 and 2014, respectively. Unrecognized tax benefits represent tax positions for which reserves have been established. The Company’s policy is to record interest and penalties related to uncertain tax positions as part of its income tax provision.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401(k) Plan</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a 401(k) plan. This plan covers substantially all employees who meet minimum age and service requirements. Under the terms of the plan, the Company contributed on an annual basis up to 2% of an employee base salary up to a maximum of $4 per employee. During the year ended</w:t>
      </w:r>
    </w:p>
    <w:p>
      <w:pPr>
        <w:spacing w:after="0" w:line="261" w:lineRule="auto"/>
        <w:rPr>
          <w:sz w:val="20"/>
          <w:szCs w:val="20"/>
          <w:color w:val="auto"/>
        </w:rPr>
      </w:pPr>
      <w:r>
        <w:rPr>
          <w:rFonts w:ascii="Arial" w:cs="Arial" w:eastAsia="Arial" w:hAnsi="Arial"/>
          <w:sz w:val="18"/>
          <w:szCs w:val="18"/>
          <w:color w:val="auto"/>
        </w:rPr>
        <w:t>September 30, 2014, the plan was amended to allow the Company to contribute on an annual basis up to 3% of an employee’s base salary up to a maximum of $8 per employee.</w:t>
      </w:r>
    </w:p>
    <w:p>
      <w:pPr>
        <w:spacing w:after="0" w:line="184"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During the years ended September 30, 2015, 2014 and 2013, the Company recognized $382, $180 and $90, respectively, of expense related to its contributions to this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information for fiscal 2015, 2014 and 2013 is presented in the following table, in thousands,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6"/>
              </w:rPr>
              <w:t>2015 Quarter Ended</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2"/>
                <w:szCs w:val="12"/>
                <w:color w:val="auto"/>
              </w:rPr>
            </w:pPr>
          </w:p>
        </w:tc>
        <w:tc>
          <w:tcPr>
            <w:tcW w:w="170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March 31, 2015</w:t>
            </w:r>
          </w:p>
        </w:tc>
        <w:tc>
          <w:tcPr>
            <w:tcW w:w="60" w:type="dxa"/>
            <w:vAlign w:val="bottom"/>
          </w:tcPr>
          <w:p>
            <w:pPr>
              <w:spacing w:after="0"/>
              <w:rPr>
                <w:sz w:val="12"/>
                <w:szCs w:val="12"/>
                <w:color w:val="auto"/>
              </w:rPr>
            </w:pPr>
          </w:p>
        </w:tc>
        <w:tc>
          <w:tcPr>
            <w:tcW w:w="16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2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80" w:type="dxa"/>
            <w:vAlign w:val="bottom"/>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77,498</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7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8,806</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9,896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10,742</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(28,502)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8"/>
                <w:szCs w:val="18"/>
                <w:color w:val="auto"/>
              </w:rPr>
              <w:t>(20,018)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28,753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2,418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5,812</w:t>
            </w:r>
          </w:p>
        </w:tc>
        <w:tc>
          <w:tcPr>
            <w:tcW w:w="80" w:type="dxa"/>
            <w:vAlign w:val="bottom"/>
            <w:shd w:val="clear" w:color="auto" w:fill="CCEEFF"/>
          </w:tcPr>
          <w:p>
            <w:pPr>
              <w:spacing w:after="0"/>
              <w:rPr>
                <w:sz w:val="18"/>
                <w:szCs w:val="18"/>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rPr>
              <w:t>Net income per share attributable to common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shareholders—basic</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80"/>
              <w:spacing w:after="0"/>
              <w:rPr>
                <w:sz w:val="20"/>
                <w:szCs w:val="20"/>
                <w:color w:val="auto"/>
              </w:rPr>
            </w:pPr>
            <w:r>
              <w:rPr>
                <w:rFonts w:ascii="Arial" w:cs="Arial" w:eastAsia="Arial" w:hAnsi="Arial"/>
                <w:sz w:val="18"/>
                <w:szCs w:val="18"/>
                <w:color w:val="auto"/>
              </w:rPr>
              <w:t>2.26</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1.54</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760"/>
              <w:spacing w:after="0"/>
              <w:rPr>
                <w:sz w:val="20"/>
                <w:szCs w:val="20"/>
                <w:color w:val="auto"/>
              </w:rPr>
            </w:pPr>
            <w:r>
              <w:rPr>
                <w:rFonts w:ascii="Arial" w:cs="Arial" w:eastAsia="Arial" w:hAnsi="Arial"/>
                <w:sz w:val="18"/>
                <w:szCs w:val="18"/>
                <w:color w:val="auto"/>
              </w:rPr>
              <w:t>0.13</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0.30</w:t>
            </w: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attributable to common</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shareholders—diluted</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2.18</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1.49</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0.13</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392"/>
        </w:trPr>
        <w:tc>
          <w:tcPr>
            <w:tcW w:w="4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2014 Quarter Ended</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640" w:type="dxa"/>
            <w:vAlign w:val="bottom"/>
          </w:tcPr>
          <w:p>
            <w:pPr>
              <w:spacing w:after="0"/>
              <w:rPr>
                <w:sz w:val="12"/>
                <w:szCs w:val="12"/>
                <w:color w:val="auto"/>
              </w:rPr>
            </w:pPr>
          </w:p>
        </w:tc>
        <w:tc>
          <w:tcPr>
            <w:tcW w:w="20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December 31, 2013</w:t>
            </w:r>
          </w:p>
        </w:tc>
        <w:tc>
          <w:tcPr>
            <w:tcW w:w="18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31, 2014</w:t>
            </w:r>
          </w:p>
        </w:tc>
        <w:tc>
          <w:tcPr>
            <w:tcW w:w="16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1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September 30, 2014</w:t>
            </w:r>
          </w:p>
        </w:tc>
        <w:tc>
          <w:tcPr>
            <w:tcW w:w="100" w:type="dxa"/>
            <w:vAlign w:val="bottom"/>
            <w:gridSpan w:val="2"/>
          </w:tcPr>
          <w:p>
            <w:pPr>
              <w:spacing w:after="0"/>
              <w:rPr>
                <w:sz w:val="12"/>
                <w:szCs w:val="12"/>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42,051</w:t>
            </w: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6,350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7,287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7,156</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7,963</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15,122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(5,203)</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50,053</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(5,042)</w:t>
            </w: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color w:val="auto"/>
              </w:rPr>
              <w:t>Net income (loss) per share attributable to common</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shareholders—basic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7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(0.27)</w:t>
            </w:r>
          </w:p>
        </w:tc>
      </w:tr>
      <w:tr>
        <w:trPr>
          <w:trHeight w:val="202"/>
        </w:trPr>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share attributable to common</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7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7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r>
        <w:trPr>
          <w:trHeight w:val="365"/>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70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Enanta Pharmaceuticals, Inc.</w:t>
            </w:r>
          </w:p>
        </w:tc>
        <w:tc>
          <w:tcPr>
            <w:tcW w:w="36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Subsidiaries of the Company</w:t>
            </w:r>
          </w:p>
        </w:tc>
        <w:tc>
          <w:tcPr>
            <w:tcW w:w="3640" w:type="dxa"/>
            <w:vAlign w:val="bottom"/>
          </w:tcPr>
          <w:p>
            <w:pPr>
              <w:spacing w:after="0"/>
              <w:rPr>
                <w:sz w:val="24"/>
                <w:szCs w:val="24"/>
                <w:color w:val="auto"/>
              </w:rPr>
            </w:pPr>
          </w:p>
        </w:tc>
      </w:tr>
      <w:tr>
        <w:trPr>
          <w:trHeight w:val="399"/>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24"/>
                <w:szCs w:val="24"/>
                <w:color w:val="auto"/>
              </w:rPr>
            </w:pPr>
          </w:p>
        </w:tc>
        <w:tc>
          <w:tcPr>
            <w:tcW w:w="36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OR COUNTRY OF INCORPORATION</w:t>
            </w:r>
          </w:p>
        </w:tc>
      </w:tr>
      <w:tr>
        <w:trPr>
          <w:trHeight w:val="311"/>
        </w:trPr>
        <w:tc>
          <w:tcPr>
            <w:tcW w:w="3660" w:type="dxa"/>
            <w:vAlign w:val="bottom"/>
            <w:gridSpan w:val="2"/>
          </w:tcPr>
          <w:p>
            <w:pPr>
              <w:spacing w:after="0"/>
              <w:rPr>
                <w:sz w:val="20"/>
                <w:szCs w:val="20"/>
                <w:color w:val="auto"/>
              </w:rPr>
            </w:pPr>
            <w:r>
              <w:rPr>
                <w:rFonts w:ascii="Arial" w:cs="Arial" w:eastAsia="Arial" w:hAnsi="Arial"/>
                <w:sz w:val="18"/>
                <w:szCs w:val="18"/>
                <w:color w:val="auto"/>
                <w:w w:val="99"/>
              </w:rPr>
              <w:t>Enanta Pharmaceuticals Security Corporation</w:t>
            </w: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Enanta Pharmaceuticals, Inc.</w:t>
            </w:r>
          </w:p>
        </w:tc>
        <w:tc>
          <w:tcPr>
            <w:tcW w:w="364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333-189217, 333-192935 and 333-202257) of Enanta Pharmaceuticals, Inc. of our report dated December 11, 2015 relating to the financial statements, which appears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2015</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Certification Pursuant to Section 240.13a-14 or 240.15d-14 of the Securities Exchange Act of 1934,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R. Luly, certify that:</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w:t>
      </w:r>
      <w:r>
        <w:rPr>
          <w:rFonts w:ascii="Arial" w:cs="Arial" w:eastAsia="Arial" w:hAnsi="Arial"/>
          <w:sz w:val="18"/>
          <w:szCs w:val="18"/>
          <w:color w:val="auto"/>
        </w:rPr>
        <w:t>r</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2015 fully complies with the requirements of Section 13(a) or 15(d) of the Securities Exchange Act of 1934 and that information contained in the Form 10-K fairly presents, in all material respects, the financial condition and results of operations of Enanta.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lvl w:ilvl="1">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2"/>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7"/>
    </w:lvl>
  </w:abstractNum>
  <w:abstractNum w:abstractNumId="48">
    <w:nsid w:val="749ABB43"/>
    <w:multiLevelType w:val="hybridMultilevel"/>
    <w:lvl w:ilvl="0">
      <w:lvlJc w:val="left"/>
      <w:lvlText w:val="%1."/>
      <w:numFmt w:val="decimal"/>
      <w:start w:val="12"/>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2019-12-29T12:53:17Z</dcterms:created>
  <dcterms:modified xsi:type="dcterms:W3CDTF">2019-12-29T12:53:17Z</dcterms:modified>
</cp:coreProperties>
</file>