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0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right="18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355" w:right="279" w:bottom="1440" w:gutter="0" w:footer="0" w:header="0"/>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57" w:lineRule="exact"/>
        <w:tabs>
          <w:tab w:leader="none" w:pos="5140" w:val="left"/>
          <w:tab w:leader="none" w:pos="7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Unicode MS" w:cs="Arial Unicode MS" w:eastAsia="Arial Unicode MS" w:hAnsi="Arial Unicode MS"/>
          <w:sz w:val="18"/>
          <w:szCs w:val="18"/>
          <w:color w:val="auto"/>
        </w:rPr>
        <w:t>☒</w:t>
      </w:r>
    </w:p>
    <w:p>
      <w:pPr>
        <w:spacing w:after="0" w:line="233" w:lineRule="exact"/>
        <w:tabs>
          <w:tab w:leader="none" w:pos="5140" w:val="left"/>
          <w:tab w:leader="none" w:pos="7760" w:val="left"/>
        </w:tabs>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(Do not check if a small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2">
            <w:col w:w="2400" w:space="720"/>
            <w:col w:w="8260"/>
          </w:cols>
          <w:pgMar w:left="240" w:top="355" w:right="279" w:bottom="1440" w:gutter="0" w:footer="0" w:header="0"/>
          <w:type w:val="continuous"/>
        </w:sectPr>
      </w:pPr>
    </w:p>
    <w:p>
      <w:pPr>
        <w:spacing w:after="0" w:line="9" w:lineRule="exact"/>
        <w:rPr>
          <w:sz w:val="24"/>
          <w:szCs w:val="24"/>
          <w:color w:val="auto"/>
        </w:rPr>
      </w:pPr>
    </w:p>
    <w:p>
      <w:pPr>
        <w:ind w:left="20"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520" w:right="1340"/>
        <w:spacing w:after="0" w:line="29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May 1, 2018, the registrant had 19,267,599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2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0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44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Notes to Consolidated Financial Statements</w:t>
              </w:r>
            </w:hyperlink>
          </w:p>
        </w:tc>
        <w:tc>
          <w:tcPr>
            <w:tcW w:w="61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within the meaning of Section 21E of the Securities Exchange Act of 1934, as amended.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Securities and Exchange Commission (SEC) after the date of this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157,994</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70,038</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9"/>
                <w:szCs w:val="19"/>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354,654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20,982</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24,961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19,260 and</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5"/>
              </w:rPr>
              <w:t>19,120 shares issued and outstanding at March 31, 2018 and September 30, 2017, respectively</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264,354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256,241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301,676</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354,654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44,049</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8,959</w:t>
            </w:r>
          </w:p>
        </w:tc>
        <w:tc>
          <w:tcPr>
            <w:tcW w:w="18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67,158</w:t>
            </w:r>
          </w:p>
        </w:tc>
        <w:tc>
          <w:tcPr>
            <w:tcW w:w="180" w:type="dxa"/>
            <w:vAlign w:val="bottom"/>
          </w:tcPr>
          <w:p>
            <w:pPr>
              <w:spacing w:after="0"/>
              <w:rPr>
                <w:sz w:val="19"/>
                <w:szCs w:val="19"/>
                <w:color w:val="auto"/>
              </w:rPr>
            </w:pP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44,049</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27,190</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16,859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(5,370)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(9,014)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19,206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Net unrealized losses on marketable securities, net of tax of ($128),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($13), ($235), ($76)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gridSpan w:val="3"/>
          </w:tcPr>
          <w:p>
            <w:pPr>
              <w:jc w:val="right"/>
              <w:ind w:right="165"/>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4"/>
                <w:szCs w:val="14"/>
                <w:b w:val="1"/>
                <w:bCs w:val="1"/>
                <w:color w:val="auto"/>
              </w:rPr>
              <w:t>March 31,</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280" w:type="dxa"/>
            <w:vAlign w:val="bottom"/>
          </w:tcPr>
          <w:p>
            <w:pPr>
              <w:jc w:val="right"/>
              <w:ind w:right="112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24,248</w:t>
            </w:r>
          </w:p>
        </w:tc>
        <w:tc>
          <w:tcPr>
            <w:tcW w:w="340" w:type="dxa"/>
            <w:vAlign w:val="bottom"/>
          </w:tcPr>
          <w:p>
            <w:pPr>
              <w:spacing w:after="0"/>
              <w:rPr>
                <w:sz w:val="19"/>
                <w:szCs w:val="19"/>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(10,372)</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7,710</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6,759</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2,791</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(5,437)</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benefit from stock awards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Premium on marketable securities</w:t>
            </w:r>
          </w:p>
        </w:tc>
        <w:tc>
          <w:tcPr>
            <w:tcW w:w="1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6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(857)</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premium on marketable securities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w w:val="97"/>
              </w:rPr>
              <w:t>Change in fair value of warrant liability and Series 1 nonconvertible preferred stock</w:t>
            </w:r>
          </w:p>
        </w:tc>
        <w:tc>
          <w:tcPr>
            <w:tcW w:w="1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non-cash items</w:t>
            </w:r>
          </w:p>
        </w:tc>
        <w:tc>
          <w:tcPr>
            <w:tcW w:w="1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(33,435)</w:t>
            </w: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(1,369)</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(939)</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 payable</w:t>
            </w:r>
          </w:p>
        </w:tc>
        <w:tc>
          <w:tcPr>
            <w:tcW w:w="1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(5,902)</w:t>
            </w:r>
          </w:p>
        </w:tc>
        <w:tc>
          <w:tcPr>
            <w:tcW w:w="6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w:t>
            </w:r>
          </w:p>
        </w:tc>
        <w:tc>
          <w:tcPr>
            <w:tcW w:w="3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(1,256)</w:t>
            </w:r>
          </w:p>
        </w:tc>
        <w:tc>
          <w:tcPr>
            <w:tcW w:w="6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(1,531)</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1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(99,721)</w:t>
            </w:r>
          </w:p>
        </w:tc>
        <w:tc>
          <w:tcPr>
            <w:tcW w:w="6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(151,273)</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and sales of marketable securities</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104,986</w:t>
            </w:r>
          </w:p>
        </w:tc>
        <w:tc>
          <w:tcPr>
            <w:tcW w:w="3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155,475</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3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2,207</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capital lease obligations</w:t>
            </w:r>
          </w:p>
        </w:tc>
        <w:tc>
          <w:tcPr>
            <w:tcW w:w="1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(39)</w:t>
            </w:r>
          </w:p>
        </w:tc>
        <w:tc>
          <w:tcPr>
            <w:tcW w:w="6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Payments for settlement of share-based awards</w:t>
            </w:r>
          </w:p>
        </w:tc>
        <w:tc>
          <w:tcPr>
            <w:tcW w:w="1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(1,757)</w:t>
            </w:r>
          </w:p>
        </w:tc>
        <w:tc>
          <w:tcPr>
            <w:tcW w:w="6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1,251</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3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auto"/>
            </w:tcBorders>
          </w:tcPr>
          <w:p>
            <w:pPr>
              <w:jc w:val="right"/>
              <w:ind w:right="1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66,926</w:t>
            </w:r>
          </w:p>
        </w:tc>
        <w:tc>
          <w:tcPr>
            <w:tcW w:w="3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1280" w:type="dxa"/>
            <w:vAlign w:val="bottom"/>
          </w:tcPr>
          <w:p>
            <w:pPr>
              <w:jc w:val="right"/>
              <w:ind w:right="112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9,883</w:t>
            </w:r>
          </w:p>
        </w:tc>
        <w:tc>
          <w:tcPr>
            <w:tcW w:w="340" w:type="dxa"/>
            <w:vAlign w:val="bottom"/>
          </w:tcPr>
          <w:p>
            <w:pPr>
              <w:spacing w:after="0"/>
              <w:rPr>
                <w:sz w:val="20"/>
                <w:szCs w:val="20"/>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of two protease inhibitors discovered and developed through its collaboration with AbbVie and marketed as part of AbbVie’s new direct-acting antiviral (DAA) regimen under the tradenames MAVYRET™ (U.S.) or MAVIRET™ (ex-U.S.) (glecaprevir/pibrentasvir) for the treatment of chronic hepatitis C virus, or HCV. The other protease inhibitor under its HCV collaboration is part of AbbVie’s initial DAA regimens for the treatment of chronic HCV marketed under the tradenames VIEKIRA PAK</w:t>
      </w:r>
      <w:r>
        <w:rPr>
          <w:rFonts w:ascii="Arial" w:cs="Arial" w:eastAsia="Arial" w:hAnsi="Arial"/>
          <w:sz w:val="14"/>
          <w:szCs w:val="14"/>
          <w:color w:val="auto"/>
        </w:rPr>
        <w:t>®</w:t>
      </w:r>
      <w:r>
        <w:rPr>
          <w:rFonts w:ascii="Arial" w:cs="Arial" w:eastAsia="Arial" w:hAnsi="Arial"/>
          <w:sz w:val="17"/>
          <w:szCs w:val="17"/>
          <w:color w:val="auto"/>
        </w:rPr>
        <w:t xml:space="preserve"> (paritaprevir/ritonavir/ombitasvir/dasabuvir) (U.S.) or VIEKIRAX</w:t>
      </w:r>
      <w:r>
        <w:rPr>
          <w:rFonts w:ascii="Arial" w:cs="Arial" w:eastAsia="Arial" w:hAnsi="Arial"/>
          <w:sz w:val="14"/>
          <w:szCs w:val="14"/>
          <w:color w:val="auto"/>
        </w:rPr>
        <w:t>®</w:t>
      </w:r>
      <w:r>
        <w:rPr>
          <w:rFonts w:ascii="Arial" w:cs="Arial" w:eastAsia="Arial" w:hAnsi="Arial"/>
          <w:sz w:val="17"/>
          <w:szCs w:val="17"/>
          <w:color w:val="auto"/>
        </w:rPr>
        <w:t xml:space="preserve"> (paritaprevir/ritonavir/ombitasvir) (ex-U.S.). Royalties from the Company’s AbbVie collaboration and its existing financial resources provide funding to support its wholly-owned research and development programs, which are currently focused on the following disease targets: non-alcoholic steatohepatitis (“NASH”); primary biliary cholangitis (“PBC”); respiratory syncytial virus (“RSV”) and hepatitis B virus (“HBV”).</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balance sheet at September 30, 2017 was derived from audited financial statements, but does not include all disclosures required by accounting principles generally accepted in the United States of America (“GAAP”). The accompanying unaudited consolidated financial statements as of March 31, 2018 and for the three and six months ended March 31, 2018 and 2017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2017.</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opinion of management, all adjustments, consisting of normal recurring adjustments necessary for a fair statement of the Company’s financial position as of March 31, 2018 and results of operations for the three and six months ended March 31, 2018 and 2017 and cash flows for the six months ended March 31, 2018 and 2017, have been made. The results of operations for the six months ended March 31, 2018 are not necessarily indicative of the results of operations that may be expected for subsequent quarters or the year ending September 30, 2018.</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GAAP. All dollar amounts in the consolidated financial statements and in the notes to the consolidated financial statements, except per share amounts, are in thousands unless otherwise indicated. Certain reclassifications were made to non-operating income (expense) to net interest income and interest expense in the consolidated statements of operations and to net proceeds received from maturities and sales of marketable securities in the consolidated statements of cash flows to confirm the prior period presentation to the current period presentation.</w:t>
      </w:r>
    </w:p>
    <w:p>
      <w:pPr>
        <w:spacing w:after="0" w:line="29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2017. Other than the adoption of ASU 2016-09 as of October 1, 2017, there were no other significant changes to the Company’s Significant Accounting Policies during the quarter.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was effective for the Company in the fiscal year beginning October 1, 2017. As a result of the adoption, the Company changed its forfeiture rate policy to recognize forfeitures as they occur. Upon adoption, the cumulative impact of this change in policy on retained earnings and deferred tax assets in the consolidated balance sheet was not material. In addition, the consolidated statements of cash flows will present excess tax benefits, if any, as part of cash flows from operating activities. The Company elected to adopt this change on a prospective basis and, therefore, excess tax benefits from prior periods in the statement of cash flow were not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an 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 new guidance must be adopted using either a modified retrospective approach or a full retrospective approach for all periods presented. Under the modified retrospective method, the cumulative effect of applying the new standard would</w:t>
      </w:r>
    </w:p>
    <w:p>
      <w:pPr>
        <w:spacing w:after="0" w:line="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be recognized at the adoption date in retained earnings on the consolidated balance sheet. Under the full retrospective approach, the new standard would be applied to each prior reporting period presented. These new standards will be effective for the Company beginning October 1, 2018. The Company is in process of determining the method of adoption of this standard, but under either method, the impact of adoption is not expected to have a material impact on the Company’s consolidated financial statements. The AbbVie Agreement is the only revenue-generating arrangement outstanding. All performance obligations under the agreement have been achieved and the Company is earning annually tiered per-product royalties on the portion of AbbVie’s net sales of its HCV regimens allocable to the protease inhibitor product in the regimen.</w:t>
      </w:r>
    </w:p>
    <w:p>
      <w:pPr>
        <w:spacing w:after="0" w:line="1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Upon adoption, the Company will adjust the presentation of the statement of cash flows to include restricted cash related to an outstanding letter of credit collateralized by a money market fund of $608 so that it is included in the beginning balance of cash and cash equivalents.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(“ASU 2017-09”) which provides updated guidance about changes to the terms or conditions of a share-based payment award that requires companies to apply modification accounting under Topic 718. This amendment is effective for the Company in the fiscal year beginning October 1, 2018, but early adoption is permissible. The Company does not expect the adoption of ASU 2017-09 to have a material impact on its consolidated financial statements.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March 31, 2018 and September 30, 2017 and indicate the fair value hierarchy of the valuation inputs utilized to determine such fair value: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Fair Value Measurements at March 31, 2018 Using:</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59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24,465</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162,037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27,313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10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11"/>
          </w:tcPr>
          <w:p>
            <w:pPr>
              <w:jc w:val="center"/>
              <w:ind w:left="632"/>
              <w:spacing w:after="0"/>
              <w:rPr>
                <w:sz w:val="20"/>
                <w:szCs w:val="20"/>
                <w:color w:val="auto"/>
              </w:rPr>
            </w:pPr>
            <w:r>
              <w:rPr>
                <w:rFonts w:ascii="Arial" w:cs="Arial" w:eastAsia="Arial" w:hAnsi="Arial"/>
                <w:sz w:val="14"/>
                <w:szCs w:val="14"/>
                <w:b w:val="1"/>
                <w:bCs w:val="1"/>
                <w:color w:val="auto"/>
                <w:w w:val="93"/>
              </w:rPr>
              <w:t>Fair Value Measurements at September 30, 2017 Using:</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59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19,863</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12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60,843</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12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60,843</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12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U.S. Agency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2FC"/>
              <w:bottom w:val="single" w:sz="8" w:color="CFF2FC"/>
            </w:tcBorders>
            <w:shd w:val="clear" w:color="auto" w:fill="CFF2FC"/>
          </w:tcPr>
          <w:p>
            <w:pPr>
              <w:spacing w:after="0"/>
              <w:rPr>
                <w:sz w:val="19"/>
                <w:szCs w:val="19"/>
                <w:color w:val="auto"/>
              </w:rPr>
            </w:pPr>
          </w:p>
        </w:tc>
        <w:tc>
          <w:tcPr>
            <w:tcW w:w="80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80,706</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220" w:type="dxa"/>
            <w:vAlign w:val="bottom"/>
            <w:tcBorders>
              <w:top w:val="single" w:sz="8" w:color="auto"/>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199,945</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20" w:type="dxa"/>
            <w:vAlign w:val="bottom"/>
            <w:tcBorders>
              <w:top w:val="single" w:sz="8" w:color="CFF2FC"/>
              <w:bottom w:val="single" w:sz="8" w:color="CFF2FC"/>
            </w:tcBorders>
            <w:shd w:val="clear" w:color="auto" w:fill="CFF2FC"/>
          </w:tcPr>
          <w:p>
            <w:pPr>
              <w:spacing w:after="0"/>
              <w:rPr>
                <w:sz w:val="19"/>
                <w:szCs w:val="19"/>
                <w:color w:val="auto"/>
              </w:rPr>
            </w:pPr>
          </w:p>
        </w:tc>
        <w:tc>
          <w:tcPr>
            <w:tcW w:w="280" w:type="dxa"/>
            <w:vAlign w:val="bottom"/>
            <w:tcBorders>
              <w:top w:val="single" w:sz="8" w:color="auto"/>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280,651</w:t>
            </w: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color w:val="auto"/>
              </w:rPr>
              <w:t>Warrant liability</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c>
          <w:tcPr>
            <w:tcW w:w="30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2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800" w:type="dxa"/>
            <w:vAlign w:val="bottom"/>
            <w:tcBorders>
              <w:bottom w:val="single" w:sz="8" w:color="CFF2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FF2FC"/>
            </w:tcBorders>
          </w:tcPr>
          <w:p>
            <w:pPr>
              <w:spacing w:after="0"/>
              <w:rPr>
                <w:sz w:val="19"/>
                <w:szCs w:val="19"/>
                <w:color w:val="auto"/>
              </w:rPr>
            </w:pPr>
          </w:p>
        </w:tc>
        <w:tc>
          <w:tcPr>
            <w:tcW w:w="120" w:type="dxa"/>
            <w:vAlign w:val="bottom"/>
            <w:tcBorders>
              <w:bottom w:val="single" w:sz="8" w:color="CFF2FC"/>
            </w:tcBorders>
          </w:tcPr>
          <w:p>
            <w:pPr>
              <w:spacing w:after="0"/>
              <w:rPr>
                <w:sz w:val="19"/>
                <w:szCs w:val="19"/>
                <w:color w:val="auto"/>
              </w:rPr>
            </w:pPr>
          </w:p>
        </w:tc>
        <w:tc>
          <w:tcPr>
            <w:tcW w:w="20" w:type="dxa"/>
            <w:vAlign w:val="bottom"/>
            <w:tcBorders>
              <w:bottom w:val="single" w:sz="8" w:color="CFF2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FF2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2FC"/>
            </w:tcBorders>
            <w:shd w:val="clear" w:color="auto" w:fill="CFF2FC"/>
          </w:tcPr>
          <w:p>
            <w:pPr>
              <w:spacing w:after="0"/>
              <w:rPr>
                <w:sz w:val="19"/>
                <w:szCs w:val="19"/>
                <w:color w:val="auto"/>
              </w:rPr>
            </w:pPr>
          </w:p>
        </w:tc>
        <w:tc>
          <w:tcPr>
            <w:tcW w:w="800" w:type="dxa"/>
            <w:vAlign w:val="bottom"/>
            <w:tcBorders>
              <w:bottom w:val="single" w:sz="8" w:color="CFF2FC"/>
            </w:tcBorders>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FF2FC"/>
            </w:tcBorders>
            <w:shd w:val="clear" w:color="auto" w:fill="CFF2FC"/>
          </w:tcPr>
          <w:p>
            <w:pPr>
              <w:spacing w:after="0"/>
              <w:rPr>
                <w:sz w:val="19"/>
                <w:szCs w:val="19"/>
                <w:color w:val="auto"/>
              </w:rPr>
            </w:pPr>
          </w:p>
        </w:tc>
        <w:tc>
          <w:tcPr>
            <w:tcW w:w="120" w:type="dxa"/>
            <w:vAlign w:val="bottom"/>
            <w:tcBorders>
              <w:bottom w:val="single" w:sz="8" w:color="CFF2FC"/>
            </w:tcBorders>
            <w:shd w:val="clear" w:color="auto" w:fill="CFF2FC"/>
          </w:tcPr>
          <w:p>
            <w:pPr>
              <w:spacing w:after="0"/>
              <w:rPr>
                <w:sz w:val="19"/>
                <w:szCs w:val="19"/>
                <w:color w:val="auto"/>
              </w:rPr>
            </w:pPr>
          </w:p>
        </w:tc>
        <w:tc>
          <w:tcPr>
            <w:tcW w:w="20" w:type="dxa"/>
            <w:vAlign w:val="bottom"/>
            <w:tcBorders>
              <w:bottom w:val="single" w:sz="8" w:color="CFF2FC"/>
            </w:tcBorders>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2018 and 2017, there were no transfers between Level 1, Level 2 and Level 3.</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September 30, 2017, the Company’s warrant liability was comprised of the value of warrants for the purchase of its Series 1 nonconvertible preferred stock. These warrants were financial instruments that might have required a transfer of assets because of the liquidation features in the contract and were therefore recorded as liabilities and measured at fair value. These warrants expired on October 4, 2017, and are therefore no longer outstanding. The outstanding shares of Series 1 nonconvertible preferred stock are also measured at fair value. The fair value of both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other income (expense), net in the consolidated statements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warrant liability and Series 1 nonconvertible preferred stock using probability-weighted discounted cash flow include the following significant unobservable inputs: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80" w:type="dxa"/>
            <w:vAlign w:val="bottom"/>
          </w:tcPr>
          <w:p>
            <w:pPr>
              <w:spacing w:after="0"/>
              <w:rPr>
                <w:sz w:val="14"/>
                <w:szCs w:val="14"/>
                <w:color w:val="auto"/>
              </w:rPr>
            </w:pPr>
          </w:p>
        </w:tc>
      </w:tr>
      <w:tr>
        <w:trPr>
          <w:trHeight w:val="252"/>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680" w:type="dxa"/>
            <w:vAlign w:val="bottom"/>
            <w:gridSpan w:val="3"/>
          </w:tcPr>
          <w:p>
            <w:pPr>
              <w:ind w:left="260"/>
              <w:spacing w:after="0"/>
              <w:rPr>
                <w:sz w:val="20"/>
                <w:szCs w:val="20"/>
                <w:color w:val="auto"/>
              </w:rPr>
            </w:pPr>
            <w:r>
              <w:rPr>
                <w:rFonts w:ascii="Arial" w:cs="Arial" w:eastAsia="Arial" w:hAnsi="Arial"/>
                <w:sz w:val="14"/>
                <w:szCs w:val="14"/>
                <w:b w:val="1"/>
                <w:bCs w:val="1"/>
                <w:color w:val="auto"/>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Warrant liability and Series 1</w:t>
            </w:r>
          </w:p>
        </w:tc>
        <w:tc>
          <w:tcPr>
            <w:tcW w:w="26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color w:val="auto"/>
              </w:rPr>
              <w:t>Probabilities of payout</w:t>
            </w:r>
          </w:p>
        </w:tc>
        <w:tc>
          <w:tcPr>
            <w:tcW w:w="1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0%-65%</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0%-65%</w:t>
            </w: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nonconvertible preferred stock</w:t>
            </w:r>
          </w:p>
        </w:tc>
        <w:tc>
          <w:tcPr>
            <w:tcW w:w="26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Discount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Warrant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Nonconvertible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2017</w:t>
            </w: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Warrants exercised</w:t>
            </w:r>
          </w:p>
        </w:tc>
        <w:tc>
          <w:tcPr>
            <w:tcW w:w="10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 expired</w:t>
            </w: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March 31, 2018</w:t>
            </w:r>
          </w:p>
        </w:tc>
        <w:tc>
          <w:tcPr>
            <w:tcW w:w="1020" w:type="dxa"/>
            <w:vAlign w:val="bottom"/>
            <w:tcBorders>
              <w:top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September 30, 2017,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4"/>
              </w:rPr>
              <w:t>March 31, 2018</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0"/>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162,981</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(944)</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Treasury notes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223,079</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10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150,841</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(119)</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Treasury notes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Agency bonds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228,211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March 31, 2018, marketable securities consisted of short-term marketable securities, which are investments that mature within one year, and long-term marketable securities, with an aggregate fair value of $32,186, which consist of certain U.S. Treasury notes and corporate bonds that have maturities of more than one year but not more than three years.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3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March 31, 2018 and September 30, 2017:</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4"/>
          </w:tcPr>
          <w:p>
            <w:pPr>
              <w:jc w:val="right"/>
              <w:ind w:right="103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140" w:firstLine="8"/>
        <w:spacing w:after="0" w:line="503" w:lineRule="auto"/>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$548,000 through March 31, 2018. Since the Company completed all its performance obligations under the AbbVie Agreement by the end of fiscal 2011, all milestone payments received since then have been recognized as revenue when the milestones were achieved by AbbVie.</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also receiving annually tiered royalties per Company protease product ranging from the low double digits up to twenty percent, or on a blended basis from the low double digits up to the high teens, on the portion of AbbVie’s calendar year net sales of each HCV regimen that is allocated to the protease inhibitor product in the regimen. Beginning with each January 1, the cumulative net sales of a given royalty-bearing protease inhibitor product start at zero for purposes of calculating the tiered royalties on a product-by-product basis.</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During the six months ended March 31, 2018, the Company earned and recognized milestone revenue of $15,000 upon AbbVie’s achievement of commercialization regulatory approval in Japan for MAVIRET™.</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and November 2010, the Company issued warrants to purchase up to a total of 2,000 shares of Series 1 nonconvertible preferred stock. As these warrants were financial instruments that might have required the Company to transfer assets, these instruments are classified as liabilities. The following table summarizes the activity of the warrants to purchase Series 1 nonconvertible preferred stock:</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Outstanding Warrants</w:t>
            </w:r>
          </w:p>
        </w:tc>
        <w:tc>
          <w:tcPr>
            <w:tcW w:w="1960" w:type="dxa"/>
            <w:vAlign w:val="bottom"/>
            <w:gridSpan w:val="3"/>
          </w:tcPr>
          <w:p>
            <w:pPr>
              <w:ind w:left="180"/>
              <w:spacing w:after="0"/>
              <w:rPr>
                <w:sz w:val="20"/>
                <w:szCs w:val="20"/>
                <w:color w:val="auto"/>
              </w:rPr>
            </w:pPr>
            <w:r>
              <w:rPr>
                <w:rFonts w:ascii="Arial" w:cs="Arial" w:eastAsia="Arial" w:hAnsi="Arial"/>
                <w:sz w:val="14"/>
                <w:szCs w:val="14"/>
                <w:b w:val="1"/>
                <w:bCs w:val="1"/>
                <w:color w:val="auto"/>
                <w:w w:val="95"/>
              </w:rPr>
              <w:t>Weighted Average Exercise</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920" w:type="dxa"/>
            <w:vAlign w:val="bottom"/>
            <w:tcBorders>
              <w:bottom w:val="single" w:sz="8" w:color="auto"/>
            </w:tcBorders>
            <w:gridSpan w:val="2"/>
            <w:vMerge w:val="continue"/>
          </w:tcPr>
          <w:p>
            <w:pPr>
              <w:spacing w:after="0"/>
              <w:rPr>
                <w:sz w:val="14"/>
                <w:szCs w:val="14"/>
                <w:color w:val="auto"/>
              </w:rPr>
            </w:pPr>
          </w:p>
        </w:tc>
        <w:tc>
          <w:tcPr>
            <w:tcW w:w="15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4"/>
              </w:rPr>
              <w:t>Price Per Share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3460" w:type="dxa"/>
            <w:vAlign w:val="bottom"/>
            <w:gridSpan w:val="3"/>
          </w:tcPr>
          <w:p>
            <w:pPr>
              <w:ind w:left="78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15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1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rPr>
              <w:t>Outstanding as of March 31, 2018</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2018, 1,931 shares of Series 1 nonconvertible preferred stock were issued and outstanding. As this preferred stock may require the Company to transfer a fixed amount of assets, these shares are classified as liabilities.</w:t>
      </w:r>
    </w:p>
    <w:p>
      <w:pPr>
        <w:spacing w:after="0" w:line="200" w:lineRule="exact"/>
        <w:rPr>
          <w:sz w:val="20"/>
          <w:szCs w:val="20"/>
          <w:color w:val="auto"/>
        </w:rPr>
      </w:pPr>
    </w:p>
    <w:p>
      <w:pPr>
        <w:spacing w:after="0" w:line="2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has granted stock-based awards, including stock options, restricted stock units, and performance share units, under its existing 2012 Equity Incentive Plan (the “2012 Plan”). The Company also has outstanding stock-based awards under its 1995 Equity Incentive Plan (the “1995 Plan”), but is no longer granting awards under this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March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Issuable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Under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Price Per Share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52.47</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39.44</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2018</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125,041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March 31, 2018</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77,113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(at target) for the year-to-date period ending March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rTSRUs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Share</w:t>
            </w: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Value Per Share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77.93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84.70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(25)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Cancelled</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2018</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3"/>
          </w:tcPr>
          <w:p>
            <w:pPr>
              <w:jc w:val="right"/>
              <w:ind w:right="68"/>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total of 80% of the target PSUs and 192.91% of the target rTSRUs granted in December 2015 vested during the three months ended March 31, 2018, resulting in the issuance of an aggregate of 68 common shares, net of share withholding.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of these awards is determined based on the intrinsic value of the stock on the date of grant and will be recognized as stock-based compensation expense over the requisite service period. The following table summarizes the restricted stock unit activity for the year-to-date period ending March 31, 2018:</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4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Restricted Stock</w:t>
            </w:r>
          </w:p>
        </w:tc>
        <w:tc>
          <w:tcPr>
            <w:tcW w:w="38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Units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Value Per Share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3180" w:type="dxa"/>
            <w:vAlign w:val="bottom"/>
            <w:gridSpan w:val="4"/>
          </w:tcPr>
          <w:p>
            <w:pPr>
              <w:ind w:left="42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2018</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March 31, 2018 and 2017, the Company recognized the following stock-based compensation expense:</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5"/>
                <w:szCs w:val="15"/>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4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6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24"/>
                <w:szCs w:val="24"/>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4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6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six months ended March 31, 2018 and 2017, the Company recognized stock-based compensation expense for PSUs and performance-based options upon achievement of performance-based targets that occurred during their respective periods.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2, the Company adopted ASU 2016-09 during the three months ended December 31, 2017. ASU 2016-09 intends to simplify several aspects of accounting for share-based payment transactions, including the income tax consequences, classification of awards as either equity awards or liability awards, a choice to recognize gross stock compensation expense with actual forfeitures recognized as they occur, as well as certain classifications on the statement of cash flows. As a result of the adoption,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changed its forfeiture rate policy to recognize forfeitures as they occur. Upon adoption, the cumulative impact of this change in policy on retained earnings and deferred tax assets in the consolidated balance sheet was not material. In addition, the consolidated statements of cash flows will present excess tax benefits, if any, as part of cash flows from operating activities. The Company elected to adopt this change on a prospective basis and, therefore, excess tax benefits from prior periods in the statement of cash flow were not retroactively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31, 2018, the Company had an aggregate of $33,320 of unrecognized stock-based compensation cost, which is expected to be recognized over a weighted average period of 2.5 years.</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for the three and six months ended March 31, 2018 and 2017 was calculated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tcPr>
          <w:p>
            <w:pPr>
              <w:jc w:val="right"/>
              <w:ind w:right="194"/>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w:t>
            </w:r>
          </w:p>
        </w:tc>
        <w:tc>
          <w:tcPr>
            <w:tcW w:w="5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(5,392)</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24,248</w:t>
            </w:r>
          </w:p>
        </w:tc>
        <w:tc>
          <w:tcPr>
            <w:tcW w:w="7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19,206</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19,167</w:t>
            </w:r>
          </w:p>
        </w:tc>
        <w:tc>
          <w:tcPr>
            <w:tcW w:w="3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w:t>
            </w:r>
          </w:p>
        </w:tc>
        <w:tc>
          <w:tcPr>
            <w:tcW w:w="5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(5,392)</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24,248</w:t>
            </w:r>
          </w:p>
        </w:tc>
        <w:tc>
          <w:tcPr>
            <w:tcW w:w="7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19,206</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19,167</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3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Anti-dilutive common stock equivalents excluded from above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three months ended March 31, 2018, the Company recorded income tax expense of $(5,370) and for the comparable period in 2017, recorded an income tax benefit of $3,565, both of which were attributable to the Company’s domestic operations. Income tax expense for the three months ended March 31, 2018 was driven by the Company’s pre-tax income during the quarter which increased from the prior comparable quarter due to an increase in royalties earned from the AbbVie Agreement. During the three months ended March 31, 2017, the Company’s income tax benefit was driven by the Company’s pre-tax loss during the quarter.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six months ended March 31, 2018, the Company recorded income tax expense of $(9,014) and for the comparable period in 2017, recorded an income tax benefit of $5,107, representing effective tax rates of 27.1% and 33.0%, respectively. Income tax expense for the six months ended March 31, 2018, was driven by the Company’s pre-tax income for the year which increased from the prior comparable period due to an increase in royalties earned under the AbbVie Agreement. The effective tax rate of 27.1% differs from the federal statutory rate of 21.0% due to the revaluation adjustment against deferred tax assets due to a decrease in the federal corporate income tax rate as enacted under the U.S. Tax Cuts and Jobs Act (the “Tax Act”), offset by federal research and development tax credits and excess tax benefits from stock option exercises and restricted stock units vesting during the first half of 2018. During the six months ended March 31, 2017, the Company’s income tax benefit was driven by the Company’s pre-tax loss during the first half of 2017. The effective tax rate of 33.0% differs from the prior year federal statutory rate of 35.0% due to federal research and development tax credits which reduced the Company’s annual effective tax rate slightly below the statutory rate.</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Estimates used to prepare our income tax expense are based on the Company’s initial analysis of the Tax Act enacted in December 2017. Given the complexity of the act, anticipated guidance from the U. S. Treasury regarding implementation of the act, and potential for additional guidance from the SEC and the Financial Accounting Standards Board related to the act, these estimates may be adjusted during fiscal 2018 to reflect any such guidance provided. </w:t>
      </w:r>
      <w:r>
        <w:rPr>
          <w:rFonts w:ascii="Arial" w:cs="Arial" w:eastAsia="Arial" w:hAnsi="Arial"/>
          <w:sz w:val="16"/>
          <w:szCs w:val="16"/>
          <w:color w:val="222222"/>
        </w:rPr>
        <w:t>The effective tax rate in 2018 therefore could be affected by adjustments to the provisional amounts recorded under the guidance of SAB 118 for the revaluation of deferred tax assets and liabilities due to the U.S. statutory rate change in 2017.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and state tax matters in future periods as new information becomes available.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fiscal year 2014 to the present. Earlier years may be examined to the extent that tax credit or net operating loss carryforwards are used in future periods. The Company is currently under examination by the Internal Revenue Service for the year ending September 30, 2016. No adjustments have been proposed to date. The Company has not received notice of examination by any other jurisdictions for any other tax year open under statute.</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an unrecognized tax benefit of $1,439 and $1,175 as of March 31, 2018 and September 30, 2017,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$1,013 for both the six months ended March 31, 2018 and 2017.</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lease, the Company has outstanding a $608 letter of credit, collateralized by a money market account. As of March 31, 2018 and September 30, 2017, the Company classified the $608 related to the letter of credit as restricted cash. Additionally, the lease, as amended, included a $598 tenant improvement allowance from the landlord, which is accounted for as a capital lease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has not accrued any liabilities related to such obligations in its financial statements as of March 31, 2018.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2017 included in our Annual Report on Form 10-K for that fiscal year which is referred to as our 2017 Form 10-K. Please refer to our note regarding forward-looking statements on page 2 of this Form 10-Q, which is incorporated herein by this reference.</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and marketed as part of AbbVie’s new direct-acting antiviral (DAA) regimen under the tradenames MAVYRET™ (U.S.) or MAVIRET™ (ex-U.S.) (glecaprevir/pibrentasvir) for the treatment of chronic hepatitis C virus, or HCV. The other protease inhibitor under our HCV collaboration is part of AbbVie’s initial DAA regimens for the treatment of chronic HCV marketed under the tradenames VIEKIRA PAK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(paritaprevir/ritonavir/</w:t>
      </w:r>
    </w:p>
    <w:p>
      <w:pPr>
        <w:spacing w:after="0" w:line="1" w:lineRule="exact"/>
        <w:rPr>
          <w:sz w:val="20"/>
          <w:szCs w:val="20"/>
          <w:color w:val="auto"/>
        </w:rPr>
      </w:pPr>
    </w:p>
    <w:p>
      <w:pPr>
        <w:ind w:right="400"/>
        <w:spacing w:after="0" w:line="217" w:lineRule="auto"/>
        <w:rPr>
          <w:sz w:val="20"/>
          <w:szCs w:val="20"/>
          <w:color w:val="auto"/>
        </w:rPr>
      </w:pPr>
      <w:r>
        <w:rPr>
          <w:rFonts w:ascii="Arial" w:cs="Arial" w:eastAsia="Arial" w:hAnsi="Arial"/>
          <w:sz w:val="18"/>
          <w:szCs w:val="18"/>
          <w:color w:val="auto"/>
        </w:rPr>
        <w:t>ombitasvir/dasabuvir) (U.S.) or VIEKIRAX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(paritaprevir/ritonavir/ombitasvir) (ex-U.S.). Our royalties from our AbbVie collaboration and our existing financial resources provide us funding to support our wholly-owned research and development programs, which are currently focused on the following disease targets:</w:t>
      </w:r>
    </w:p>
    <w:p>
      <w:pPr>
        <w:spacing w:after="0" w:line="96" w:lineRule="exact"/>
        <w:rPr>
          <w:sz w:val="20"/>
          <w:szCs w:val="20"/>
          <w:color w:val="auto"/>
        </w:rPr>
      </w:pPr>
    </w:p>
    <w:p>
      <w:pPr>
        <w:ind w:left="1040" w:right="6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1.5% to 6.5% of the population (which is the equivalent of approximately 5 to 20 million individuals in the U.S. alone);</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one year of age in the U.S., resulting in an estimated 57,000 to 125,000 hospitalizations each year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had $288.9 million in cash and marketable securities at March 31, 2018. In the first half of our fiscal year 2018, we earned $67.2 million in royalties on the portion of AbbVie’s net sales of its HCV regimens allocated to glecaprevir or paritaprevir and earned the remaining $15.0 million milestone under our collaboration with AbbVie as a result of commercialization regulatory approval of MAVIRET™ in Japan. We expect our existing financial resources and cash flows will allow us to continue to fund our wholly-owned research and development programs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liver disease (non-virology), namely NASH and PBC, and in virology, namely RSV and HBV:</w:t>
      </w:r>
    </w:p>
    <w:p>
      <w:pPr>
        <w:spacing w:after="0" w:line="154" w:lineRule="exact"/>
        <w:rPr>
          <w:sz w:val="20"/>
          <w:szCs w:val="20"/>
          <w:color w:val="auto"/>
        </w:rPr>
      </w:pPr>
    </w:p>
    <w:p>
      <w:pPr>
        <w:ind w:left="1040" w:right="160" w:hanging="519"/>
        <w:spacing w:after="0" w:line="27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34290" cy="146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8" w:name="page19"/>
    <w:bookmarkEnd w:id="18"/>
    <w:p>
      <w:pPr>
        <w:ind w:left="1520" w:right="200" w:hanging="378"/>
        <w:spacing w:after="0" w:line="270" w:lineRule="auto"/>
        <w:tabs>
          <w:tab w:leader="none" w:pos="1520" w:val="left"/>
        </w:tabs>
        <w:numPr>
          <w:ilvl w:val="0"/>
          <w:numId w:val="16"/>
        </w:numPr>
        <w:rPr>
          <w:rFonts w:ascii="Courier New" w:cs="Courier New" w:eastAsia="Courier New" w:hAnsi="Courier New"/>
          <w:sz w:val="17"/>
          <w:szCs w:val="17"/>
          <w:color w:val="auto"/>
        </w:rPr>
      </w:pPr>
      <w:r>
        <w:rPr>
          <w:rFonts w:ascii="Arial" w:cs="Arial" w:eastAsia="Arial" w:hAnsi="Arial"/>
          <w:sz w:val="17"/>
          <w:szCs w:val="17"/>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and the 2018 International Liver Conference (ILC). The study included 98 healthy volunteer subjects, or HV subjects, and 48 subjects who were obese and with or without pre-diabetes or type 2 diabetes, whom we refer to as subjects with presumptive non-alcoholic fatty liver disease, or PN subjects.</w:t>
      </w:r>
    </w:p>
    <w:p>
      <w:pPr>
        <w:spacing w:after="0" w:line="72" w:lineRule="exact"/>
        <w:rPr>
          <w:rFonts w:ascii="Courier New" w:cs="Courier New" w:eastAsia="Courier New" w:hAnsi="Courier New"/>
          <w:sz w:val="17"/>
          <w:szCs w:val="17"/>
          <w:color w:val="auto"/>
        </w:rPr>
      </w:pPr>
    </w:p>
    <w:p>
      <w:pPr>
        <w:ind w:left="2280" w:right="140" w:hanging="381"/>
        <w:spacing w:after="0" w:line="277"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EDP-305 exhibited strong engagement of the FXR receptor as evidenced by increased levels of FGF19 and reduced levels of C4, both of which are monitored as downstream markers indicating FXR receptor activity.</w:t>
      </w:r>
    </w:p>
    <w:p>
      <w:pPr>
        <w:spacing w:after="0" w:line="62" w:lineRule="exact"/>
        <w:rPr>
          <w:rFonts w:ascii="Arial" w:cs="Arial" w:eastAsia="Arial" w:hAnsi="Arial"/>
          <w:sz w:val="18"/>
          <w:szCs w:val="18"/>
          <w:color w:val="auto"/>
        </w:rPr>
      </w:pPr>
    </w:p>
    <w:p>
      <w:pPr>
        <w:ind w:left="2280" w:right="280" w:hanging="381"/>
        <w:spacing w:after="0" w:line="277"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Results support the ability to administer EDP-305 in future trials at doses that neither elicit clinically significant changes in lipids nor result in pruritus (itching).</w:t>
      </w:r>
    </w:p>
    <w:p>
      <w:pPr>
        <w:spacing w:after="0" w:line="62" w:lineRule="exact"/>
        <w:rPr>
          <w:sz w:val="20"/>
          <w:szCs w:val="20"/>
          <w:color w:val="auto"/>
        </w:rPr>
      </w:pPr>
    </w:p>
    <w:p>
      <w:pPr>
        <w:ind w:left="1540" w:hanging="506"/>
        <w:spacing w:after="0" w:line="253"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 xml:space="preserve">Since November 2016, we have presented data at the 2016 and 2017 annual meetings of the American Association for the Study of Liver Diseases (AASLD), the 2017 and 2018 NASH-TAG conferences and the 2017 and 2018 ILC conferences that demonstrated that EDP-305 is a highly selective FXR agonist and shows more potent activity in a variety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NASH models compared to the most advanced NASH candidate in development today, obeticholic acid, or OCA.</w:t>
      </w:r>
    </w:p>
    <w:p>
      <w:pPr>
        <w:spacing w:after="0" w:line="82" w:lineRule="exact"/>
        <w:rPr>
          <w:rFonts w:ascii="Courier New" w:cs="Courier New" w:eastAsia="Courier New" w:hAnsi="Courier New"/>
          <w:sz w:val="18"/>
          <w:szCs w:val="18"/>
          <w:color w:val="auto"/>
        </w:rPr>
      </w:pPr>
    </w:p>
    <w:p>
      <w:pPr>
        <w:ind w:left="1540" w:hanging="506"/>
        <w:spacing w:after="0"/>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We initiated a Phase 2 clinical study, known as INTREPID, of EDP-305 in PBC patients in December 2017.</w:t>
      </w:r>
    </w:p>
    <w:p>
      <w:pPr>
        <w:spacing w:after="0" w:line="101" w:lineRule="exact"/>
        <w:rPr>
          <w:rFonts w:ascii="Courier New" w:cs="Courier New" w:eastAsia="Courier New" w:hAnsi="Courier New"/>
          <w:sz w:val="18"/>
          <w:szCs w:val="18"/>
          <w:color w:val="auto"/>
        </w:rPr>
      </w:pPr>
    </w:p>
    <w:p>
      <w:pPr>
        <w:ind w:left="1540" w:hanging="506"/>
        <w:spacing w:after="0"/>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We initiated a Phase 2 clinical study, known as ARGON-1, of EDP-305 in NASH patients in February 2018.</w:t>
      </w:r>
    </w:p>
    <w:p>
      <w:pPr>
        <w:spacing w:after="0" w:line="101" w:lineRule="exact"/>
        <w:rPr>
          <w:rFonts w:ascii="Courier New" w:cs="Courier New" w:eastAsia="Courier New" w:hAnsi="Courier New"/>
          <w:sz w:val="18"/>
          <w:szCs w:val="18"/>
          <w:color w:val="auto"/>
        </w:rPr>
      </w:pPr>
    </w:p>
    <w:p>
      <w:pPr>
        <w:ind w:left="1540" w:right="4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EDP-305 has been granted Fast Track designation by the U.S. Food and Drug Administration (FDA) for the treatment of NASH patients with liver fibrosis and separately for the treatment of PBC.</w:t>
      </w:r>
    </w:p>
    <w:p>
      <w:pPr>
        <w:spacing w:after="0" w:line="76" w:lineRule="exact"/>
        <w:rPr>
          <w:rFonts w:ascii="Courier New" w:cs="Courier New" w:eastAsia="Courier New" w:hAnsi="Courier New"/>
          <w:sz w:val="18"/>
          <w:szCs w:val="18"/>
          <w:color w:val="auto"/>
        </w:rPr>
      </w:pPr>
    </w:p>
    <w:p>
      <w:pPr>
        <w:ind w:left="1540" w:right="8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In addition, we are pursuing research in other classes of FXR agonists as well as other mechanisms that may provide therapeutic benefit in NASH, any of which could be used as combination therapies for NASH.</w:t>
      </w:r>
    </w:p>
    <w:p>
      <w:pPr>
        <w:spacing w:after="0" w:line="76" w:lineRule="exact"/>
        <w:rPr>
          <w:rFonts w:ascii="Courier New" w:cs="Courier New" w:eastAsia="Courier New" w:hAnsi="Courier New"/>
          <w:sz w:val="18"/>
          <w:szCs w:val="18"/>
          <w:color w:val="auto"/>
        </w:rPr>
      </w:pPr>
    </w:p>
    <w:p>
      <w:pPr>
        <w:ind w:left="1040" w:right="6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selected EDP-938, a potent N-protein inhibitor of activity of both major subgroups of RSV, referred to as RSV-A and RSV-B, as our first development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9" w:lineRule="exact"/>
        <w:rPr>
          <w:sz w:val="20"/>
          <w:szCs w:val="20"/>
          <w:color w:val="auto"/>
        </w:rPr>
      </w:pPr>
    </w:p>
    <w:p>
      <w:pPr>
        <w:ind w:left="1520" w:right="20" w:hanging="378"/>
        <w:spacing w:after="0" w:line="269" w:lineRule="auto"/>
        <w:tabs>
          <w:tab w:leader="none" w:pos="1520" w:val="left"/>
        </w:tabs>
        <w:numPr>
          <w:ilvl w:val="1"/>
          <w:numId w:val="18"/>
        </w:numPr>
        <w:rPr>
          <w:rFonts w:ascii="Courier New" w:cs="Courier New" w:eastAsia="Courier New" w:hAnsi="Courier New"/>
          <w:sz w:val="17"/>
          <w:szCs w:val="17"/>
          <w:color w:val="auto"/>
        </w:rPr>
      </w:pPr>
      <w:r>
        <w:rPr>
          <w:rFonts w:ascii="Arial" w:cs="Arial" w:eastAsia="Arial" w:hAnsi="Arial"/>
          <w:sz w:val="17"/>
          <w:szCs w:val="17"/>
          <w:color w:val="auto"/>
        </w:rPr>
        <w:t xml:space="preserve">In June 2017, we presented preclinical data demonstrating that EDP-938 is a potent inhibitor of both RSV-A and RSV-B activity, maintaining antiviral activity post-infection while presenting a high barrier to resistance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EDP-938 demonstrated a greater than 4-log reduction in viral load in an animal model challenged with RSV. Further, EDP-938 maintained antiviral potency across all clinical isolates tested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 well as virus that was resistant to fusion inhibitors. The compound inhibited RSV at a post-entry, replication step and maintained its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when given 24 hours post infection. In addition, combination studies of EDP-938 with other types of RSV inhibitors, such as fusion inhibitors, showed synergistic antiviral effects.</w:t>
      </w:r>
    </w:p>
    <w:p>
      <w:pPr>
        <w:spacing w:after="0" w:line="73" w:lineRule="exact"/>
        <w:rPr>
          <w:rFonts w:ascii="Courier New" w:cs="Courier New" w:eastAsia="Courier New" w:hAnsi="Courier New"/>
          <w:sz w:val="17"/>
          <w:szCs w:val="17"/>
          <w:color w:val="auto"/>
        </w:rPr>
      </w:pPr>
    </w:p>
    <w:p>
      <w:pPr>
        <w:ind w:left="1520" w:hanging="378"/>
        <w:spacing w:after="0"/>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We initiated a Phase 1 clinical study of EDP-938 in the fourth quarter of calendar 2017.</w:t>
      </w:r>
    </w:p>
    <w:p>
      <w:pPr>
        <w:spacing w:after="0" w:line="101" w:lineRule="exact"/>
        <w:rPr>
          <w:rFonts w:ascii="Courier New" w:cs="Courier New" w:eastAsia="Courier New" w:hAnsi="Courier New"/>
          <w:sz w:val="18"/>
          <w:szCs w:val="18"/>
          <w:color w:val="auto"/>
        </w:rPr>
      </w:pPr>
    </w:p>
    <w:p>
      <w:pPr>
        <w:ind w:left="1520" w:right="40" w:hanging="378"/>
        <w:spacing w:after="0" w:line="254" w:lineRule="auto"/>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Assuming successful completion of the Phase 1 study, we anticipate starting a Phase 2a challenge study of EDP-938 in the fourth quarter of calendar 2018. The challenge study will test the effect of EDP-938 on volunteers who will be infected with RSV in the course of the study.</w:t>
      </w:r>
    </w:p>
    <w:p>
      <w:pPr>
        <w:spacing w:after="0" w:line="82" w:lineRule="exact"/>
        <w:rPr>
          <w:rFonts w:ascii="Courier New" w:cs="Courier New" w:eastAsia="Courier New" w:hAnsi="Courier New"/>
          <w:sz w:val="18"/>
          <w:szCs w:val="18"/>
          <w:color w:val="auto"/>
        </w:rPr>
      </w:pPr>
    </w:p>
    <w:p>
      <w:pPr>
        <w:ind w:left="1040" w:right="60" w:hanging="519"/>
        <w:spacing w:after="0" w:line="25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also have a program to discover and develop new chemical entities for the treatment of HBV. Our initial focus is on core inhibition,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HBV core inhibitors, also known as core protein allosteric modulators, or CpAMs, or capsid assembly modulators, with the goal of identifying a development candidate in 2018.</w:t>
      </w:r>
    </w:p>
    <w:p>
      <w:pPr>
        <w:spacing w:after="0" w:line="80" w:lineRule="exact"/>
        <w:rPr>
          <w:rFonts w:ascii="Arial" w:cs="Arial" w:eastAsia="Arial" w:hAnsi="Arial"/>
          <w:sz w:val="18"/>
          <w:szCs w:val="18"/>
          <w:color w:val="auto"/>
        </w:rPr>
      </w:pPr>
    </w:p>
    <w:p>
      <w:pPr>
        <w:ind w:left="1520" w:right="200" w:hanging="378"/>
        <w:spacing w:after="0" w:line="253" w:lineRule="auto"/>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In April 2018 at the ILC, we presented in vitro and humanized mouse model data on one of our most advanced core inhibitors being evaluated for HBV. The data presented demonstrated that in a chimeric mouse model with human liver cells, EP-027367 reduced HBV DNA levels by up to 3.0 logs from baseline in HBV viral titers with four weeks of treatment and demonstrated a favorable tolerability and safety profile.</w:t>
      </w:r>
    </w:p>
    <w:p>
      <w:pPr>
        <w:spacing w:after="0" w:line="82" w:lineRule="exact"/>
        <w:rPr>
          <w:rFonts w:ascii="Courier New" w:cs="Courier New" w:eastAsia="Courier New" w:hAnsi="Courier New"/>
          <w:sz w:val="18"/>
          <w:szCs w:val="18"/>
          <w:color w:val="auto"/>
        </w:rPr>
      </w:pPr>
    </w:p>
    <w:p>
      <w:pPr>
        <w:ind w:left="1520" w:hanging="378"/>
        <w:spacing w:after="0"/>
        <w:tabs>
          <w:tab w:leader="none" w:pos="1520" w:val="left"/>
        </w:tabs>
        <w:numPr>
          <w:ilvl w:val="1"/>
          <w:numId w:val="18"/>
        </w:numPr>
        <w:rPr>
          <w:rFonts w:ascii="Courier New" w:cs="Courier New" w:eastAsia="Courier New" w:hAnsi="Courier New"/>
          <w:sz w:val="16"/>
          <w:szCs w:val="16"/>
          <w:color w:val="auto"/>
        </w:rPr>
      </w:pPr>
      <w:r>
        <w:rPr>
          <w:rFonts w:ascii="Arial" w:cs="Arial" w:eastAsia="Arial" w:hAnsi="Arial"/>
          <w:sz w:val="16"/>
          <w:szCs w:val="16"/>
          <w:color w:val="auto"/>
        </w:rPr>
        <w:t>In addition, we are conducting preclinical experiments with compounds we have discovered that use other mechanisms to target HBV.</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Through our Collaborative Development and License Agreement with AbbVie, we have developed and licensed to AbbVie two protease inhibitor compounds that have been clinically tested, manufactured, and commercialized by AbbVie. To date, we have earned a total of $330.0 million in milestone payments related to clinical development and commercialization regulatory approvals of these regimens in major markets:</w:t>
      </w:r>
    </w:p>
    <w:p>
      <w:pPr>
        <w:spacing w:after="0" w:line="73" w:lineRule="exact"/>
        <w:rPr>
          <w:sz w:val="20"/>
          <w:szCs w:val="20"/>
          <w:color w:val="auto"/>
        </w:rPr>
      </w:pPr>
    </w:p>
    <w:p>
      <w:pPr>
        <w:ind w:left="1040" w:hanging="519"/>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Glecaprevir:</w:t>
      </w:r>
      <w:r>
        <w:rPr>
          <w:rFonts w:ascii="Arial" w:cs="Arial" w:eastAsia="Arial" w:hAnsi="Arial"/>
          <w:sz w:val="18"/>
          <w:szCs w:val="18"/>
          <w:color w:val="auto"/>
        </w:rPr>
        <w:t xml:space="preserve"> Glecaprevir is the protease inhibitor we discovered that was developed by AbbVie in a fixed-dose combination with its NS5A inhibitor, pibrentasvir, for the treatment of HCV. This combination, currently marketed under the brand name MAVYRET™ in the U.S. and MAVIRET™ (ex-U.S.) and referred to in this report as MAVYRET/MAVIRET, is a new, once daily, all oral, fixed-dose, ribavirin-free treatment for HCV genotypes 1-6, or GT1-6, which is referred to as being pan-genotypic. In the EU, U.S. and Japan it is approved as an 8-week treatment for patients without cirrhosis and new to treatment. Today, these patients are estimated to represent the majority of HCV patients in the developed country markets.</w:t>
      </w:r>
    </w:p>
    <w:p>
      <w:pPr>
        <w:spacing w:after="0" w:line="8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Our economics from AbbVie’s MAVYRET/MAVIRET consist of two components:</w:t>
      </w:r>
    </w:p>
    <w:p>
      <w:pPr>
        <w:spacing w:after="0" w:line="117" w:lineRule="exact"/>
        <w:rPr>
          <w:rFonts w:ascii="Arial" w:cs="Arial" w:eastAsia="Arial" w:hAnsi="Arial"/>
          <w:sz w:val="18"/>
          <w:szCs w:val="18"/>
          <w:color w:val="auto"/>
        </w:rPr>
      </w:pPr>
    </w:p>
    <w:p>
      <w:pPr>
        <w:ind w:left="1540" w:right="720" w:hanging="513"/>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receive annually tiered, double-digit, per-product royalties on 50% of the net sales of the 2-DAA glecaprevir/pibrentasvir combination in MAVYRET/MAVIRET. These royalties are calculated separately from the royalties on paritaprevir-containing regimens.</w:t>
      </w:r>
    </w:p>
    <w:p>
      <w:pPr>
        <w:spacing w:after="0" w:line="73" w:lineRule="exact"/>
        <w:rPr>
          <w:rFonts w:ascii="Arial" w:cs="Arial" w:eastAsia="Arial" w:hAnsi="Arial"/>
          <w:sz w:val="18"/>
          <w:szCs w:val="18"/>
          <w:color w:val="auto"/>
        </w:rPr>
      </w:pPr>
    </w:p>
    <w:p>
      <w:pPr>
        <w:ind w:left="1540" w:right="17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also earned all available milestones, totaling $80.0 million, for commercialization regulatory approvals of the glecaprevir/pibrentasvir combination in the U.S., EU and Japan.</w:t>
      </w:r>
    </w:p>
    <w:p>
      <w:pPr>
        <w:spacing w:after="0" w:line="62" w:lineRule="exact"/>
        <w:rPr>
          <w:rFonts w:ascii="Arial" w:cs="Arial" w:eastAsia="Arial" w:hAnsi="Arial"/>
          <w:sz w:val="18"/>
          <w:szCs w:val="18"/>
          <w:color w:val="auto"/>
        </w:rPr>
      </w:pPr>
    </w:p>
    <w:p>
      <w:pPr>
        <w:ind w:left="1040" w:right="100"/>
        <w:spacing w:after="0" w:line="277" w:lineRule="auto"/>
        <w:rPr>
          <w:rFonts w:ascii="Arial" w:cs="Arial" w:eastAsia="Arial" w:hAnsi="Arial"/>
          <w:sz w:val="18"/>
          <w:szCs w:val="18"/>
          <w:color w:val="auto"/>
        </w:rPr>
      </w:pPr>
      <w:r>
        <w:rPr>
          <w:rFonts w:ascii="Arial" w:cs="Arial" w:eastAsia="Arial" w:hAnsi="Arial"/>
          <w:sz w:val="18"/>
          <w:szCs w:val="18"/>
          <w:color w:val="auto"/>
        </w:rPr>
        <w:t>The U.S., EU and Japan authorizations for the MAVYRET/MAVIRET combination of glecaprevir and pibrentasvir, and AbbVie’s applications for approval of MAVYRET/MAVIRET in other jurisdictions, are supported by the following studies:</w:t>
      </w:r>
    </w:p>
    <w:p>
      <w:pPr>
        <w:spacing w:after="0" w:line="62" w:lineRule="exact"/>
        <w:rPr>
          <w:rFonts w:ascii="Arial" w:cs="Arial" w:eastAsia="Arial" w:hAnsi="Arial"/>
          <w:sz w:val="18"/>
          <w:szCs w:val="18"/>
          <w:color w:val="auto"/>
        </w:rPr>
      </w:pPr>
    </w:p>
    <w:p>
      <w:pPr>
        <w:ind w:left="1620" w:hanging="567"/>
        <w:spacing w:after="0" w:line="32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b w:val="1"/>
          <w:bCs w:val="1"/>
          <w:i w:val="1"/>
          <w:iCs w:val="1"/>
          <w:color w:val="auto"/>
        </w:rPr>
        <w:t xml:space="preserve">8 weeks for treatment-naïve, non-cirrhotics: </w:t>
      </w:r>
      <w:r>
        <w:rPr>
          <w:rFonts w:ascii="Arial" w:cs="Arial" w:eastAsia="Arial" w:hAnsi="Arial"/>
          <w:sz w:val="16"/>
          <w:szCs w:val="16"/>
          <w:color w:val="auto"/>
        </w:rPr>
        <w:t>In November 2016, results from several Phase 3 studies of this combination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97.5% of chronic HCV infected patients without cirrhosis and new to treatment across all major genotypes (GT1-6) achieved sustained virologic response at 12 weeks post-treatment, referred to as SVR</w:t>
      </w:r>
      <w:r>
        <w:rPr>
          <w:rFonts w:ascii="Arial" w:cs="Arial" w:eastAsia="Arial" w:hAnsi="Arial"/>
          <w:sz w:val="13"/>
          <w:szCs w:val="13"/>
          <w:color w:val="auto"/>
        </w:rPr>
        <w:t>12</w:t>
      </w:r>
      <w:r>
        <w:rPr>
          <w:rFonts w:ascii="Arial" w:cs="Arial" w:eastAsia="Arial" w:hAnsi="Arial"/>
          <w:sz w:val="16"/>
          <w:szCs w:val="16"/>
          <w:color w:val="auto"/>
        </w:rPr>
        <w:t>, with just 8 weeks of MAVYRET/MAVIRET treatment.</w:t>
      </w:r>
    </w:p>
    <w:p>
      <w:pPr>
        <w:spacing w:after="0" w:line="11" w:lineRule="exact"/>
        <w:rPr>
          <w:rFonts w:ascii="Arial" w:cs="Arial" w:eastAsia="Arial" w:hAnsi="Arial"/>
          <w:sz w:val="18"/>
          <w:szCs w:val="18"/>
          <w:color w:val="auto"/>
        </w:rPr>
      </w:pPr>
    </w:p>
    <w:p>
      <w:pPr>
        <w:ind w:left="1620" w:right="40" w:hanging="567"/>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b w:val="1"/>
          <w:bCs w:val="1"/>
          <w:i w:val="1"/>
          <w:iCs w:val="1"/>
          <w:color w:val="auto"/>
        </w:rPr>
        <w:t xml:space="preserve">8 weeks with chronic kidney disease: </w:t>
      </w:r>
      <w:r>
        <w:rPr>
          <w:rFonts w:ascii="Arial" w:cs="Arial" w:eastAsia="Arial" w:hAnsi="Arial"/>
          <w:sz w:val="18"/>
          <w:szCs w:val="18"/>
          <w:color w:val="auto"/>
        </w:rPr>
        <w:t>Results were also presented from AbbVie’s EXPEDITION-4 study in chronic HCV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chronic kidney disease (CKD), in which 98% of patients (n=102/104)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12 weeks of treatment with MAVYRET/MAVIRET.</w:t>
      </w:r>
    </w:p>
    <w:p>
      <w:pPr>
        <w:spacing w:after="0" w:line="73" w:lineRule="exact"/>
        <w:rPr>
          <w:rFonts w:ascii="Arial" w:cs="Arial" w:eastAsia="Arial" w:hAnsi="Arial"/>
          <w:sz w:val="18"/>
          <w:szCs w:val="18"/>
          <w:color w:val="auto"/>
        </w:rPr>
      </w:pPr>
    </w:p>
    <w:p>
      <w:pPr>
        <w:ind w:left="1620" w:right="280" w:hanging="567"/>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b w:val="1"/>
          <w:bCs w:val="1"/>
          <w:i w:val="1"/>
          <w:iCs w:val="1"/>
          <w:color w:val="auto"/>
        </w:rPr>
        <w:t xml:space="preserve">8 weeks for GT-3: </w:t>
      </w:r>
      <w:r>
        <w:rPr>
          <w:rFonts w:ascii="Arial" w:cs="Arial" w:eastAsia="Arial" w:hAnsi="Arial"/>
          <w:sz w:val="18"/>
          <w:szCs w:val="18"/>
          <w:color w:val="auto"/>
        </w:rPr>
        <w:t>Data from AbbVie’s ENDURANCE-3 study were presented at the 2017 ILC, demonstrating that 95%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challenging-to-treat, genotype 3 (GT3) chronic HCV infection, without cirrhosis and new to treatment, achieved SVR</w:t>
      </w:r>
      <w:r>
        <w:rPr>
          <w:rFonts w:ascii="Arial" w:cs="Arial" w:eastAsia="Arial" w:hAnsi="Arial"/>
          <w:sz w:val="15"/>
          <w:szCs w:val="15"/>
          <w:color w:val="auto"/>
        </w:rPr>
        <w:t>12</w:t>
      </w:r>
      <w:r>
        <w:rPr>
          <w:rFonts w:ascii="Arial" w:cs="Arial" w:eastAsia="Arial" w:hAnsi="Arial"/>
          <w:sz w:val="18"/>
          <w:szCs w:val="18"/>
          <w:color w:val="auto"/>
        </w:rPr>
        <w:t xml:space="preserve"> after 8 weeks of treatment with MAVYRET/MAVIRET.</w:t>
      </w:r>
    </w:p>
    <w:p>
      <w:pPr>
        <w:spacing w:after="0" w:line="73" w:lineRule="exact"/>
        <w:rPr>
          <w:rFonts w:ascii="Arial" w:cs="Arial" w:eastAsia="Arial" w:hAnsi="Arial"/>
          <w:sz w:val="18"/>
          <w:szCs w:val="18"/>
          <w:color w:val="auto"/>
        </w:rPr>
      </w:pPr>
    </w:p>
    <w:p>
      <w:pPr>
        <w:ind w:left="1620" w:right="120" w:hanging="567"/>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b w:val="1"/>
          <w:bCs w:val="1"/>
          <w:i w:val="1"/>
          <w:iCs w:val="1"/>
          <w:color w:val="auto"/>
        </w:rPr>
        <w:t xml:space="preserve">12 weeks for compensated cirrhosis: </w:t>
      </w:r>
      <w:r>
        <w:rPr>
          <w:rFonts w:ascii="Arial" w:cs="Arial" w:eastAsia="Arial" w:hAnsi="Arial"/>
          <w:sz w:val="18"/>
          <w:szCs w:val="18"/>
          <w:color w:val="auto"/>
        </w:rPr>
        <w:t>Data from AbbVie’s EXPEDITION-1 study were also presented at the 2017 ILC, demonstrating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99% of HCV-infected patients with genotype 1, 2, 4, 5 or 6 and compensated cirrhosis (Child-Pugh A) achieved SVR</w:t>
      </w:r>
      <w:r>
        <w:rPr>
          <w:rFonts w:ascii="Arial" w:cs="Arial" w:eastAsia="Arial" w:hAnsi="Arial"/>
          <w:sz w:val="15"/>
          <w:szCs w:val="15"/>
          <w:color w:val="auto"/>
        </w:rPr>
        <w:t>12</w:t>
      </w:r>
      <w:r>
        <w:rPr>
          <w:rFonts w:ascii="Arial" w:cs="Arial" w:eastAsia="Arial" w:hAnsi="Arial"/>
          <w:sz w:val="18"/>
          <w:szCs w:val="18"/>
          <w:color w:val="auto"/>
        </w:rPr>
        <w:t xml:space="preserve"> following 12 weeks of MAVYRET/MAVIRET treatment without ribavirin.</w:t>
      </w:r>
    </w:p>
    <w:p>
      <w:pPr>
        <w:spacing w:after="0" w:line="73" w:lineRule="exact"/>
        <w:rPr>
          <w:rFonts w:ascii="Arial" w:cs="Arial" w:eastAsia="Arial" w:hAnsi="Arial"/>
          <w:sz w:val="18"/>
          <w:szCs w:val="18"/>
          <w:color w:val="auto"/>
        </w:rPr>
      </w:pPr>
    </w:p>
    <w:p>
      <w:pPr>
        <w:jc w:val="both"/>
        <w:ind w:left="1040" w:right="260" w:hanging="519"/>
        <w:spacing w:after="0" w:line="289"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Paritaprevir:</w:t>
      </w:r>
      <w:r>
        <w:rPr>
          <w:rFonts w:ascii="Arial" w:cs="Arial" w:eastAsia="Arial" w:hAnsi="Arial"/>
          <w:sz w:val="16"/>
          <w:szCs w:val="16"/>
          <w:color w:val="auto"/>
        </w:rPr>
        <w:t xml:space="preserve"> Paritaprevir is the protease inhibitor contained in AbbVie’s initial HCV treatment regimens currently marketed in the U.S., EU, Japan and other countries around the world under the trade names VIEKIRA PAK</w:t>
      </w:r>
      <w:r>
        <w:rPr>
          <w:rFonts w:ascii="Arial" w:cs="Arial" w:eastAsia="Arial" w:hAnsi="Arial"/>
          <w:sz w:val="19"/>
          <w:szCs w:val="19"/>
          <w:color w:val="auto"/>
          <w:vertAlign w:val="superscript"/>
        </w:rPr>
        <w:t>®</w:t>
      </w:r>
      <w:r>
        <w:rPr>
          <w:rFonts w:ascii="Arial" w:cs="Arial" w:eastAsia="Arial" w:hAnsi="Arial"/>
          <w:sz w:val="16"/>
          <w:szCs w:val="16"/>
          <w:color w:val="auto"/>
        </w:rPr>
        <w:t>, and VIEKIRAX</w:t>
      </w:r>
      <w:r>
        <w:rPr>
          <w:rFonts w:ascii="Arial" w:cs="Arial" w:eastAsia="Arial" w:hAnsi="Arial"/>
          <w:sz w:val="19"/>
          <w:szCs w:val="19"/>
          <w:color w:val="auto"/>
          <w:vertAlign w:val="superscript"/>
        </w:rPr>
        <w:t>®</w:t>
      </w:r>
      <w:r>
        <w:rPr>
          <w:rFonts w:ascii="Arial" w:cs="Arial" w:eastAsia="Arial" w:hAnsi="Arial"/>
          <w:sz w:val="11"/>
          <w:szCs w:val="11"/>
          <w:color w:val="auto"/>
        </w:rPr>
        <w:t>.</w:t>
      </w:r>
      <w:r>
        <w:rPr>
          <w:rFonts w:ascii="Arial" w:cs="Arial" w:eastAsia="Arial" w:hAnsi="Arial"/>
          <w:sz w:val="16"/>
          <w:szCs w:val="16"/>
          <w:color w:val="auto"/>
        </w:rPr>
        <w:t xml:space="preserve"> First approved and sold in the U.S. in December 2014 for treatment of GT-1 HCV, AbbVie’s HCV regimens containing paritaprevir are also approved for GT-4 HCV.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4999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5850" cy="499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funding all research and development for our wholly-owned programs. We expect to incur substantially greater expenses as we continue to advance our FXR agonist program for NASH and PBC. Specifically, we recently initiated two Phase 2 studies of EDP-305 one in PBC patients, known as the INTREPID study, and one in NASH patients, known as the ARGON-1 study. We also initiated a Phase 1 clinical study of our lead RSV candidate, EDP-938, in the fourth quarter of calendar 2017 and plan to initiate a Phase 2a challenge study in RSV in the fourth calendar quarter of 2018. We are increasing our expenses in fiscal 2018 as compared to our fiscal 2017, as we conduct these clinical studies and advance other compounds into substantial preclinical development.</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Since our initial public offering in 2013, we have devoted substantially all of our resources to the discovery and development of novel compounds for the treatment of viral infections and liver diseases. For the periods included in this report we have funded our operations primarily through payments received under our collaboration agreement with AbbVie. Our revenue will continue to be dependent on royalty payments we receive from our collaboration with AbbVie.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its new MAVYRET/MAVIRET regimen, which in the majority of chronic HCV patients only requires 8 weeks of treatment compared to 12 weeks with VIEKIRA PAK</w:t>
      </w:r>
      <w:r>
        <w:rPr>
          <w:rFonts w:ascii="Arial" w:cs="Arial" w:eastAsia="Arial" w:hAnsi="Arial"/>
          <w:sz w:val="15"/>
          <w:szCs w:val="15"/>
          <w:color w:val="auto"/>
        </w:rPr>
        <w:t>®</w:t>
      </w:r>
      <w:r>
        <w:rPr>
          <w:rFonts w:ascii="Arial" w:cs="Arial" w:eastAsia="Arial" w:hAnsi="Arial"/>
          <w:sz w:val="18"/>
          <w:szCs w:val="18"/>
          <w:color w:val="auto"/>
        </w:rPr>
        <w:t>, AbbVie initially set a lower list price compared to its original HCV regimens and other HCV products on the market. Over the past few quarters, AbbVie reported increasing MAVYRET/MAVIRET market share and has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ind w:right="520"/>
        <w:spacing w:after="0" w:line="277" w:lineRule="auto"/>
        <w:rPr>
          <w:sz w:val="20"/>
          <w:szCs w:val="20"/>
          <w:color w:val="auto"/>
        </w:rPr>
      </w:pPr>
      <w:r>
        <w:rPr>
          <w:rFonts w:ascii="Arial" w:cs="Arial" w:eastAsia="Arial" w:hAnsi="Arial"/>
          <w:sz w:val="18"/>
          <w:szCs w:val="18"/>
          <w:color w:val="auto"/>
        </w:rPr>
        <w:t>become a leading HCV treatment in several market geographies where it is approved. However, the market for HCV therapies remains very dynamic in several jurisdictions and we cannot predict how it will continue to evolve.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our fiscal 2018 and 2017, our revenue has been derived from our continuing collaboration agreement with AbbVie. In 2017 we generated royalty revenue from AbbVie’s net sales allocable to our protease inhibitor, paritaprevir, which is part of AbbVie’s initial treatment regimens for HCV approved in the U.S. in December 2014 and in the EU and dozens of other countries since then. Since then, AbbVie received approvals of its new HCV regimen containing glecaprevir in the U.S. and EU in the summer of 2017 and began commercializing the combination under the tradenames MAVYRET™ (U.S.) and MAVIRET™ (ex-U.S.). The large majority of our royalty revenues are now derived from this regimen.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for the three and six months ended March 31, 2018 and 2017:</w:t>
      </w:r>
    </w:p>
    <w:p>
      <w:pPr>
        <w:spacing w:after="0" w:line="10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6"/>
        </w:trPr>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620"/>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0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44,049</w:t>
            </w:r>
          </w:p>
        </w:tc>
        <w:tc>
          <w:tcPr>
            <w:tcW w:w="2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8,959</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67,158</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19,376</w:t>
            </w:r>
          </w:p>
        </w:tc>
        <w:tc>
          <w:tcPr>
            <w:tcW w:w="60" w:type="dxa"/>
            <w:vAlign w:val="bottom"/>
          </w:tcPr>
          <w:p>
            <w:pPr>
              <w:spacing w:after="0"/>
              <w:rPr>
                <w:sz w:val="19"/>
                <w:szCs w:val="19"/>
                <w:color w:val="auto"/>
              </w:rPr>
            </w:pPr>
          </w:p>
        </w:tc>
      </w:tr>
      <w:tr>
        <w:trPr>
          <w:trHeight w:val="230"/>
        </w:trPr>
        <w:tc>
          <w:tcPr>
            <w:tcW w:w="2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82,158</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19,376</w:t>
            </w:r>
          </w:p>
        </w:tc>
        <w:tc>
          <w:tcPr>
            <w:tcW w:w="6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Since all of our research obligations under the AbbVie agreement were concluded by June 30, 2011, all milestone payments received since then have been recognized as revenue upon achievement of each milestone by AbbVie. During the six months ended March 31, 2018, we earned and recognized as revenue the last milestone payment for glecaprevir, which was a $15.0 million milestone payment upon AbbVie’s achievement of commercialization regulatory approval of MAVIRET™ in Japan. We did not earn any milestones during the same period in 2017.</w:t>
      </w:r>
    </w:p>
    <w:p>
      <w:pPr>
        <w:spacing w:after="0" w:line="17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also receive annually tiered, double-digit royalties per protease inhibitor product on AbbVie’s net sales allocable to either of our collaboration’s protease inhibitors.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 We expect that our revenue for 2018 and the next several years will be derived from royalties under our current collaboration agreement with AbbVie, as well as any additional collaboration that we may enter into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six months ended March 31, 2018 and 2017:</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center"/>
              <w:ind w:right="1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35,928</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3" w:lineRule="exact"/>
        <w:rPr>
          <w:sz w:val="20"/>
          <w:szCs w:val="20"/>
          <w:color w:val="auto"/>
        </w:rPr>
      </w:pPr>
    </w:p>
    <w:p>
      <w:pPr>
        <w:ind w:left="1040" w:right="9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NASH, PBC,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Other income (expense), net, consists of interest income, interest expense and the change in fair value of our Series 1 nonconvertible preferred stock and the change in fair value of our outstanding warrant liability in 2017. Interest income consists of interest earned on our cash equivalents and short-term and long-term marketable securities balances as well as interest earned for refunds received from tax authorities. Interest expense consists of interest expense related to our capital lease obligation. The change in fair value of our outstanding warrant liability and Series 1 nonconvertible preferred stock relates to the remeasurement of these financial instruments from period to period as these instruments may require a transfer of assets because of the liquidation preference features of the underlying stock. The change in fair value also includes any forfeiture of unexercised warrants which expired on October 4,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tax (expense) benefit is based on our best estimate of applicable income tax rates for the entire fiscal year applied to pre-tax profit or loss reported for the year-to-date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2017 (referred to as our 2017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2017 aside from the adoption of ASU 2016-09 in the first quarter of fiscal 2018. For further information, please see the discussion of critical accounting policies included in our 2017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center"/>
              <w:ind w:lef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8,959</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21,484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13,004</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5,461</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(5,370)</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3,565</w:t>
            </w:r>
          </w:p>
        </w:tc>
        <w:tc>
          <w:tcPr>
            <w:tcW w:w="60" w:type="dxa"/>
            <w:vAlign w:val="bottom"/>
            <w:shd w:val="clear" w:color="auto" w:fill="CFF0FC"/>
          </w:tcPr>
          <w:p>
            <w:pPr>
              <w:spacing w:after="0"/>
              <w:rPr>
                <w:sz w:val="19"/>
                <w:szCs w:val="19"/>
                <w:color w:val="auto"/>
              </w:rPr>
            </w:pPr>
          </w:p>
        </w:tc>
      </w:tr>
      <w:tr>
        <w:trPr>
          <w:trHeight w:val="581"/>
        </w:trPr>
        <w:tc>
          <w:tcPr>
            <w:tcW w:w="7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center"/>
              <w:ind w:left="4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Royalties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44,049</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recognized revenue of $44.0 million during the three months ended March 31, 2018 as compared to $9.0 million during the same period 2017. During the three months ended March 31, 2018, revenue consisted of royalties earned on the portion of AbbVie’s net sales of its HCV treatment regimens allocable to glecaprevir or paritaprevir. During the three months ended March 31, 2017, our revenue consisted solely of royalties earned on the portion of AbbVie’s net sales of its HCV treatment regimen allocable to paritaprevir.</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revenue is generated through our collaboration with AbbVie. Our collaboration’s new MAVYRET/MAVIRET regimen, a pan-genotypic treatment combining two DAAs, began commercialization in the second half of calendar quarter 2017, following its approval in the EU, and U.S., and most recently, Japan. We receive annually tiered, double-digit, per-product royalties on 50% of all net sales of MAVYRET/MAVIRET. Our royalty revenues eligible to be earned in the future will be dependent on AbbVie’s HCV market share, the pricing of the MAVYRET/MAVIRET regimen and the number of patients treated.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12,259</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Research and development expenses increased $8.5 million for the three months ended March 31, 2018 as compared to the same period in 2017. The increase was primarily due to progression of preclinical and clinical activities in our liver disease and virology programs. Increases were driven by an increase in headcount to support our preclinical studies and an increase in external costs for clinical and preclinical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General and administrative expenses increased by $0.3 million for the three months ended March 31, 2018 as compared to the same period in 2017. The increase was primarily due to a slight increase in compensation expense due to an increase in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(expense), net, increased $0.5 million for the three months ended March 31, 2018 as compared to the same period in 2017 due to an increase in interest income due to higher average investment balances and an increase in interest rates year over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March 31, 2018, we recorded income tax (expense) of $(5.4) million and for the comparable period in 2017, an income tax benefit of $3.6 million. During the three months ended March 31, 2018, our income tax expense was driven by our pre-tax income during the quarter which increased from the prior comparable quarter due to an increase in royalties earned from the AbbVie Agreement. For the three months ended March 31, 2017, our income tax benefit was driven by our pre-tax loss during the quarter.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March 31, 2018 and 2017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r>
      <w:tr>
        <w:trPr>
          <w:trHeight w:val="155"/>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left="41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4720" w:type="dxa"/>
            <w:vAlign w:val="bottom"/>
            <w:gridSpan w:val="2"/>
          </w:tcPr>
          <w:p>
            <w:pPr>
              <w:ind w:left="1720"/>
              <w:spacing w:after="0"/>
              <w:rPr>
                <w:sz w:val="20"/>
                <w:szCs w:val="20"/>
                <w:color w:val="auto"/>
              </w:rPr>
            </w:pPr>
            <w:r>
              <w:rPr>
                <w:rFonts w:ascii="Arial" w:cs="Arial" w:eastAsia="Arial" w:hAnsi="Arial"/>
                <w:sz w:val="18"/>
                <w:szCs w:val="18"/>
                <w:color w:val="auto"/>
              </w:rPr>
              <w:t>Revenue</w:t>
            </w:r>
          </w:p>
        </w:tc>
        <w:tc>
          <w:tcPr>
            <w:tcW w:w="2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82,158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19,376</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39,446</w:t>
            </w:r>
          </w:p>
        </w:tc>
        <w:tc>
          <w:tcPr>
            <w:tcW w:w="4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11,476</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(9,014)</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5,107</w:t>
            </w:r>
          </w:p>
        </w:tc>
        <w:tc>
          <w:tcPr>
            <w:tcW w:w="1740" w:type="dxa"/>
            <w:vAlign w:val="bottom"/>
          </w:tcPr>
          <w:p>
            <w:pPr>
              <w:spacing w:after="0"/>
              <w:rPr>
                <w:sz w:val="20"/>
                <w:szCs w:val="20"/>
                <w:color w:val="auto"/>
              </w:rPr>
            </w:pPr>
          </w:p>
        </w:tc>
      </w:tr>
      <w:tr>
        <w:trPr>
          <w:trHeight w:val="431"/>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40" w:type="dxa"/>
            <w:vAlign w:val="bottom"/>
          </w:tcPr>
          <w:p>
            <w:pPr>
              <w:jc w:val="right"/>
              <w:ind w:right="127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67,158</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19,376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82,158</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recognized revenue of $82.2 million during the six months ended March 31, 2018 as compared to $19.4 million during the same period in 2017. During the six months ended March 31, 2018, revenue consisted of a $15.0 million milestone payment earned upon AbbVie’s achievement of commercialization regulatory approval of MAVIRET™ in Japan, as well as royalties earned on the portion of AbbVie’s net sales of its HCV treatment regimens allocable to glecaprevir or paritaprevir. During the six months ended March 31, 2017, our revenue consisted solely of royalties earned on the portion of AbbVie’s net sales of its HCV treatment regimens allocable to paritaprevir.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1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440" w:type="dxa"/>
            <w:vAlign w:val="bottom"/>
            <w:vMerge w:val="restart"/>
          </w:tcPr>
          <w:p>
            <w:pPr>
              <w:spacing w:after="0"/>
              <w:rPr>
                <w:sz w:val="20"/>
                <w:szCs w:val="20"/>
                <w:color w:val="auto"/>
              </w:rPr>
            </w:pPr>
            <w:r>
              <w:rPr>
                <w:rFonts w:ascii="Arial" w:cs="Arial" w:eastAsia="Arial" w:hAnsi="Arial"/>
                <w:sz w:val="18"/>
                <w:szCs w:val="18"/>
                <w:color w:val="auto"/>
              </w:rPr>
              <w:t>R&amp;D programs:</w:t>
            </w:r>
          </w:p>
        </w:tc>
        <w:tc>
          <w:tcPr>
            <w:tcW w:w="240" w:type="dxa"/>
            <w:vAlign w:val="bottom"/>
          </w:tcPr>
          <w:p>
            <w:pPr>
              <w:spacing w:after="0"/>
              <w:rPr>
                <w:sz w:val="20"/>
                <w:szCs w:val="20"/>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39,446</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Research and development expenses increased $13.9 million for the six months ended March 31, 2018 as compared to the same period in 2017. The increase was primarily due to progression of preclinical and clinical activities in our liver disease and virology programs. Increases were driven by an increase in headcount to support our preclinical activities and an increase in external costs for clinical and preclinical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General and administrative expenses increased by $1.1 million for the six months ended March 31, 2018 as compared to the same period in 2017. The increase was primarily due to an increase in compensation expense due to increased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income (expense), net, increased $1.0 million for the six months ended March 31, 2018 as compared to the same period in 2017 due to an increase in interest income due to higher average investment balances and an increase in interest rates year over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six months ended March 31, 2018, we recorded income tax expense of $(9.0) million and for the comparable period in 2017, recorded an income tax benefit of $5.1 million. Income tax expense for the six months ended March 31, 2018 was driven by our pre-tax income for the year which increased from the prior comparable period due to an increase in royalties earned under the AbbVie Agreement. Our estimated annual effective tax rate of 27.1% for the six months ended March 31, 2018, differs from the federal statutory rate of 21.0% due to the revaluation adjustment against deferred tax assets due to a decrease in the federal corporate income tax rate as enacted under the U.S. Tax Cuts and Jobs Act (the “Tax Act”), offset by federal research and development tax credits and excess tax benefits from stock option exercises and restricted stock units vesting during the first half of 2018. For the six months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ended March 31, 2017, we recorded an income tax benefit due to our pre-tax loss during the first half of fiscal 2017. Our estimated annual effective tax rate of 33.0% for the six months ended March 31, 2017, differs from the prior year U.S. statutory rate of 35.0% due to federal research and development tax credits which reduced our estimated annual effective tax rate slightly below the statutory rate.</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Estimates used to prepare our income tax expense are based on our initial analysis of the Tax Act. Given the complexity of the Tax Act, anticipated guidance from the U.S. Treasury regarding implementation of the act, and potential for guidance from the Securities and Exchange Commission or the Financial Accounting Standards Board related to the act, these estimates may be adjusted during our fiscal 2018 to reflect any such guidance provided.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2018, our principal sources of liquidity were cash, cash equivalents and short-term and long-term marketable securities totaling $288.9 million.</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periods presented, we have financed our operations primarily through payments under our AbbVie collaboration. The following table shows a summary of our cash flows for the six months ended March 31, 2018 and 2017:</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00" w:type="dxa"/>
            <w:vAlign w:val="bottom"/>
            <w:vMerge w:val="restart"/>
          </w:tcPr>
          <w:p>
            <w:pPr>
              <w:ind w:left="240"/>
              <w:spacing w:after="0"/>
              <w:rPr>
                <w:sz w:val="20"/>
                <w:szCs w:val="20"/>
                <w:color w:val="auto"/>
              </w:rPr>
            </w:pPr>
            <w:r>
              <w:rPr>
                <w:rFonts w:ascii="Arial" w:cs="Arial" w:eastAsia="Arial" w:hAnsi="Arial"/>
                <w:sz w:val="18"/>
                <w:szCs w:val="18"/>
                <w:color w:val="auto"/>
              </w:rPr>
              <w:t>Cash provided by (used in):</w:t>
            </w:r>
          </w:p>
        </w:tc>
        <w:tc>
          <w:tcPr>
            <w:tcW w:w="240" w:type="dxa"/>
            <w:vAlign w:val="bottom"/>
          </w:tcPr>
          <w:p>
            <w:pPr>
              <w:spacing w:after="0"/>
              <w:rPr>
                <w:sz w:val="15"/>
                <w:szCs w:val="15"/>
                <w:color w:val="auto"/>
              </w:rPr>
            </w:pPr>
          </w:p>
        </w:tc>
        <w:tc>
          <w:tcPr>
            <w:tcW w:w="174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(3,169)</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4,009</w:t>
            </w:r>
          </w:p>
        </w:tc>
        <w:tc>
          <w:tcPr>
            <w:tcW w:w="64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decrease in cash provided by operating activities of $3.3 million for the six months ended March 31, 2018 as compared to the same period in 2017 is driven primarily by timing of payments received under our collaboration with AbbVie year over year, which were substantially offset by increased expenditures in research and development in order to progress clinical development and preclinical research in our proprietary programs. We received $48.7 million in cash during the six months ended March 31, 2018 from AbbVie, including royalties and a $15.0 million milestone payment, compared to $23.3 million in cash during six months ended March 31, 2017 which consisted exclusively of royalties. The increase in cash received from our collaboration agreement was offset by an increase in cash spending on research and development to progress clinical development and preclinical research in our proprietary programs, an increase in taxes paid of $8.9 million year over year due to timing of estimated tax payments and a decrease in tax refunds received year over year of $4.9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cash provided by investing activities of $1.3 million for the six months ended March 31, 2018 as compared to the same period in 2017 was driven by the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increase in net cash provided by financing activities of $0.6 million for the six months ended March 31, 2018 as compared to the same period in 2017 was driven by an increase proceeds from stock option exercises during the first half of 2018 as a result of the increase of the price of our common stock as compared to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2018, we had $288.9 million in cash, cash equivalents and short-term and long-term marketable securities. We believe that our existing cash, cash equivalents and marketable securities as of March 31, 2018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therapeutic candidates and therapies;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amount of royalties on glecaprevir and paritaprevir and any sales of our product candidates, if any, or royalties thereon;</w:t>
      </w:r>
    </w:p>
    <w:p>
      <w:pPr>
        <w:spacing w:after="0" w:line="128" w:lineRule="exact"/>
        <w:rPr>
          <w:rFonts w:ascii="Arial" w:cs="Arial" w:eastAsia="Arial" w:hAnsi="Arial"/>
          <w:sz w:val="17"/>
          <w:szCs w:val="17"/>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48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8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0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2017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six months ended March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$288.9 million at March 31, 2018 consisting of cash, money market funds, commercial paper, corporate bonds and government securities. Interest income is sensitive to changes in the general level of interest rates; however, due to the nature of these investments, a 1% change in market interest rates would not be expected to have a material impact on our financial condition or results of operations. Other than our capital lease obligation, we had no debt outstanding as of March 31, 2018.</w:t>
      </w: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ind w:right="420"/>
        <w:spacing w:after="0" w:line="277" w:lineRule="auto"/>
        <w:rPr>
          <w:sz w:val="20"/>
          <w:szCs w:val="20"/>
          <w:color w:val="auto"/>
        </w:rPr>
      </w:pPr>
      <w:r>
        <w:rPr>
          <w:rFonts w:ascii="Arial" w:cs="Arial" w:eastAsia="Arial" w:hAnsi="Arial"/>
          <w:sz w:val="18"/>
          <w:szCs w:val="18"/>
          <w:color w:val="auto"/>
        </w:rPr>
        <w:t>procedures are effective and designed to ensure that the information required to be disclosed in our reports filed or submitted under the Exchange Act is recorded, processed, summarized and reported within the requisite time periods.</w:t>
      </w:r>
    </w:p>
    <w:p>
      <w:pPr>
        <w:spacing w:after="0" w:line="279"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400"/>
          </w:cols>
          <w:pgMar w:left="240" w:top="328" w:right="25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60"/>
          </w:cols>
          <w:pgMar w:left="240" w:top="328" w:right="259" w:bottom="1440" w:gutter="0" w:footer="0" w:header="0"/>
          <w:type w:val="continuous"/>
        </w:sectPr>
      </w:pPr>
    </w:p>
    <w:p>
      <w:pPr>
        <w:spacing w:after="0" w:line="254" w:lineRule="auto"/>
        <w:rPr>
          <w:sz w:val="20"/>
          <w:szCs w:val="20"/>
          <w:color w:val="auto"/>
        </w:rPr>
      </w:pPr>
      <w:r>
        <w:rPr>
          <w:rFonts w:ascii="Arial" w:cs="Arial" w:eastAsia="Arial" w:hAnsi="Arial"/>
          <w:sz w:val="18"/>
          <w:szCs w:val="18"/>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3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statement of risk factors provided in this Item 1A includes any material changes to and supersedes the statement of risk factors associated with our business previously disclosed in Item 1A of our Quarterly Report on Form 10-Q for the quarter ended December 31, 2017 filed on February 9, 2018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73"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generate revenue will depend primarily on the success of AbbVie’s continued efforts to commercialize MAVYRET/MAVIRET. Such success is subject to significant uncertainty, and we have no control over the resources, time and effort that AbbVie may devote to this regimen. Any of several events or factors could have a material adverse effect on our ability to generate revenue from AbbVie’s commercialization of glecaprevir in combination therapies. For example, AbbVie:</w:t>
      </w:r>
    </w:p>
    <w:p>
      <w:pPr>
        <w:spacing w:after="0" w:line="50" w:lineRule="exact"/>
        <w:rPr>
          <w:sz w:val="20"/>
          <w:szCs w:val="20"/>
          <w:color w:val="auto"/>
        </w:rPr>
      </w:pPr>
    </w:p>
    <w:p>
      <w:pPr>
        <w:ind w:left="1040" w:right="100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not achieve satisfactory levels of market acceptance and reimbursement by physicians, patients and third-party payers for the MAVYRET/MAVIRET regimen in the various markets of the world where it is being introduced and sold by AbbVie;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30" w:name="page31"/>
    <w:bookmarkEnd w:id="30"/>
    <w:p>
      <w:pPr>
        <w:ind w:left="1040" w:right="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and may make decisions with which we do not agree. If AbbVie acts in a manner that is not in our best interest, then it could adversely affect our business and prospects.</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increase and maintain sales of these regimens above current levels of sales, our royalty revenues and results of operations would be adversely affected.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quarterly royalty revenue from AbbVie’s net sales of HCV treatment regimens containing paritaprevir has declined since those sales peaked in the first quarter of our fiscal 2016. AbbVie has priced the MAVYRET/MAVIRET regimen well below the pricing of its first HCV regimens, and below that of its principal competitor, which means AbbVie will need to capture significant increases in market share to maintain or increase its HCV net sales and our royalty revenues. While commercialization of these regimens is exclusively in AbbVie’s control without any input from us, we believe it is possible that prices will decline further due to payers obtaining additional discounts or competitive market dynamics and that there may be fluctuation in AbbVie’s market share over time due to competitive actions by its principal competitor, Gilead. We also note Gilead has reported a decline year over year across most major geographic markets in the number of new patients starting on DAA treatments for HCV.</w:t>
      </w:r>
    </w:p>
    <w:p>
      <w:pPr>
        <w:spacing w:after="0" w:line="17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regimens from their formulary coverage lists or limit the types of patients for whom coverage will be provided. Any such change in formulary coverage, discounts or rebates or reimbursement for AbbVie’s HCV regimens would negatively affect the demand for such regimens and our royalty revenues from them.</w:t>
      </w:r>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more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78"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We expect AbbVie’s MAVYRET/MAVIRET to continue to face intense competition due to existing approved products in the HCV market. AbbVie’s HCV treatment regimens currently face competition in various world markets and subpopulations of HCV from Gilead’s Sovaldi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(sofosbuvir), Harvoni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fixed-dose combination of sofosbuvir and ledipasvirm), Epclusa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 dose combination of sofosbuvir and velpatasvir) and Vosevi™ (a triple combination therapy of sofosbuvir, velpatasvir and voxilaprevir approved by the FDA in July 2017 for specified sofosbuvir -treatment failures and NS5A-inhibitor treatment failures); and to a lesser extent - Merck’s Zepatier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fixed-dose combination of grazoprevir and elbasvir). Competitive products in the form of other treatment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100"/>
        <w:spacing w:after="0" w:line="255" w:lineRule="auto"/>
        <w:rPr>
          <w:sz w:val="20"/>
          <w:szCs w:val="20"/>
          <w:color w:val="auto"/>
        </w:rPr>
      </w:pPr>
      <w:r>
        <w:rPr>
          <w:rFonts w:ascii="Arial" w:cs="Arial" w:eastAsia="Arial" w:hAnsi="Arial"/>
          <w:sz w:val="18"/>
          <w:szCs w:val="18"/>
          <w:color w:val="auto"/>
        </w:rPr>
        <w:t>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9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also expect our other product candidates to face intense and increasing competition in the NASH and antiviral markets and as advanced technologies and products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Gilead, and Tobira (Allergan). In May 2016, the FDA granted conditional approval for Intercept’s FXR agonist (brand name Ocaliva</w:t>
      </w:r>
      <w:r>
        <w:rPr>
          <w:rFonts w:ascii="Arial" w:cs="Arial" w:eastAsia="Arial" w:hAnsi="Arial"/>
          <w:sz w:val="21"/>
          <w:szCs w:val="21"/>
          <w:color w:val="auto"/>
          <w:vertAlign w:val="superscript"/>
        </w:rPr>
        <w:t>®</w:t>
      </w:r>
      <w:r>
        <w:rPr>
          <w:rFonts w:ascii="Arial" w:cs="Arial" w:eastAsia="Arial" w:hAnsi="Arial"/>
          <w:sz w:val="16"/>
          <w:szCs w:val="16"/>
          <w:color w:val="auto"/>
        </w:rPr>
        <w:t>) for the treatment of primary biliary cholangitis (PBC) in combination with first line therapy ursodeoxycholic acid (UDCA) in adults with an inadequate response to UDCA, or as monotherapy in adults unable to tolerate UDCA. In addition, a number of companies are in Phase 2 clinical trials for NASH or related conditions. These companies include Alberio, Astra-Zeneca, BMS, Boehringer Ingelheim, Conatus, Cirius, Cymabay, Galectin, Galmed, Gilead, GlaxoSmithKline, Immuron, Inventiva, Madrigal, Medicinova, Northsea Therapeutics, Novartis, NGM, Novo Nordisk, Pfizer, Shire, and Viking. A significant number of other companies are conducting earlier clinical trials that may be applicable in NASH and other cholestatic diseases. There are also additional companies conducting preclinical studies in these disease areas.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HEC, Ionis, Johnson &amp; Johnson, Maxwell, Replicor, Roche and Spring Bank have Phase 2 programs in progress, with many of these companies conducting earlier stage programs as well. In addition, a number of companies have Phase 1 or earlier stage HBV programs, including Aicuris, Alnylam, Altimmune, Assembly, Arrowhead, Enyo and Transgene.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as does Ablynx with a potential therapeutic antibody.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RSV and HBV programs, we will need to successfully:</w:t>
      </w:r>
    </w:p>
    <w:p>
      <w:pPr>
        <w:spacing w:after="0" w:line="79" w:lineRule="exact"/>
        <w:rPr>
          <w:sz w:val="20"/>
          <w:szCs w:val="20"/>
          <w:color w:val="auto"/>
        </w:rPr>
      </w:pPr>
    </w:p>
    <w:p>
      <w:pPr>
        <w:ind w:left="1040" w:right="1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EDP-305 and EDP-938, our ability to expand our business and achieve our strategic objectives will be impaired.</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3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results of operations to fluctuate from period to period, which may result in operating losses.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Many of the preclinical and clinical development activities required for our product candidates have to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 and our ability to achieve sustained profitability is unproven.</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each of our past four fiscal years, our net income resulted primarily from license payments, including milestone payments we earned from AbbVie and royalties we earned since December 2014 on net sales of AbbVie’s HCV regimens allocated to our protease inhibitors included in those regimens. There is no assurance, however, that we will report net income in subsequent years. To date, we have not commercialized any products ourselves.</w:t>
      </w:r>
    </w:p>
    <w:p>
      <w:pPr>
        <w:spacing w:after="0" w:line="166"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or that regimen may not be accepted in the market.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9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We may require substantial additional financing in the longer term to achieve our goals if the further commercialization of paritaprevir containing regimens is curtailed or if any launch or commercialization of MAVYRET/MAVIRET is not successful. A failure to obtain this necessary capital when needed could force us to delay, limit, reduce or terminate some or all of our product development efforts.</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AbbVie in developing MAVYRET/MAVIRET. In addition, we may seek opportunities to in-license or otherwise acquire new therapeutic candidates and therapies.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4" w:name="page35"/>
    <w:bookmarkEnd w:id="34"/>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receipt and amount of royalties on paritaprevir and glecaprevir and any sales of our product candidates, if any, or royalties thereon;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U.S. Tax Cuts and Jobs Act enacted in December 2017 includes significant changes from current tax legislation which could result in significant changes to our future tax positions.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U.S. Tax Cuts and Jobs Act (the “Tax Act”) enacted in December 2017 contains many provisions which differ from current tax law. These changes include, but are not limited to, the reduction in the federal corporate income tax rate from 35% to 21%, the elimination of a corporation’s ability to carryback net operating losses to prior taxable income periods and the elimination of the deductibility of certain performance-based equity awards under Section 162(m). We accounted for the Tax Act during the six months ended March 31, 2018, which resulted in an adjustment that decreased our deferred tax assets by $3.8 million due to the reduction of the federal corporate income tax rate from 35% to 21%. Estimates used to prepare our income tax expense during the quarter are based on our initial analysis of the Tax Act. Given the complexity of the act, anticipated guidance from the U.S. Treasury regarding implementation of the act, and potential for guidance from the Securities and Exchange Commission or the Financial Accounting Standards Board related to the act, these estimates may be adjusted during our fiscal 2018 to reflect any such guidance provided.</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440" w:hanging="519"/>
        <w:spacing w:after="0" w:line="308"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NASH, PBC, RSV or HBV;</w:t>
      </w:r>
    </w:p>
    <w:p>
      <w:pPr>
        <w:spacing w:after="0" w:line="62" w:lineRule="exact"/>
        <w:rPr>
          <w:rFonts w:ascii="Arial" w:cs="Arial" w:eastAsia="Arial" w:hAnsi="Arial"/>
          <w:sz w:val="18"/>
          <w:szCs w:val="18"/>
          <w:color w:val="auto"/>
        </w:rPr>
      </w:pPr>
    </w:p>
    <w:p>
      <w:pPr>
        <w:ind w:left="1040" w:right="30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that the further development of successful therapies in our principal disease areas of NASH, RSV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ind w:right="40"/>
        <w:spacing w:after="0" w:line="264" w:lineRule="auto"/>
        <w:rPr>
          <w:sz w:val="20"/>
          <w:szCs w:val="20"/>
          <w:color w:val="auto"/>
        </w:rPr>
      </w:pPr>
      <w:r>
        <w:rPr>
          <w:rFonts w:ascii="Arial" w:cs="Arial" w:eastAsia="Arial" w:hAnsi="Arial"/>
          <w:sz w:val="18"/>
          <w:szCs w:val="18"/>
          <w:b w:val="1"/>
          <w:bCs w:val="1"/>
          <w:i w:val="1"/>
          <w:iCs w:val="1"/>
          <w:color w:val="auto"/>
        </w:rPr>
        <w:t>EDP-305, EDP-938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1"/>
          <w:szCs w:val="21"/>
          <w:color w:val="auto"/>
          <w:vertAlign w:val="superscript"/>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3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ind w:right="240"/>
        <w:spacing w:after="0" w:line="264" w:lineRule="auto"/>
        <w:rPr>
          <w:sz w:val="20"/>
          <w:szCs w:val="20"/>
          <w:color w:val="auto"/>
        </w:rPr>
      </w:pPr>
      <w:r>
        <w:rPr>
          <w:rFonts w:ascii="Arial" w:cs="Arial" w:eastAsia="Arial" w:hAnsi="Arial"/>
          <w:sz w:val="18"/>
          <w:szCs w:val="18"/>
          <w:color w:val="auto"/>
        </w:rPr>
        <w:t>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 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the EMA or other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140"/>
        <w:spacing w:after="0" w:line="277" w:lineRule="auto"/>
        <w:rPr>
          <w:sz w:val="20"/>
          <w:szCs w:val="20"/>
          <w:color w:val="auto"/>
        </w:rPr>
      </w:pPr>
      <w:r>
        <w:rPr>
          <w:rFonts w:ascii="Arial" w:cs="Arial" w:eastAsia="Arial" w:hAnsi="Arial"/>
          <w:sz w:val="17"/>
          <w:szCs w:val="17"/>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right="420"/>
        <w:spacing w:after="0" w:line="277" w:lineRule="auto"/>
        <w:rPr>
          <w:sz w:val="20"/>
          <w:szCs w:val="20"/>
          <w:color w:val="auto"/>
        </w:rPr>
      </w:pPr>
      <w:r>
        <w:rPr>
          <w:rFonts w:ascii="Arial" w:cs="Arial" w:eastAsia="Arial" w:hAnsi="Arial"/>
          <w:sz w:val="18"/>
          <w:szCs w:val="18"/>
          <w:color w:val="auto"/>
        </w:rPr>
        <w:t>reimbursement before it can be approved for sale in that country. Any of the foregoing scenarios could materially harm the commercial prospects for our product candidates and our business.</w:t>
      </w:r>
    </w:p>
    <w:p>
      <w:pPr>
        <w:spacing w:after="0" w:line="2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MAVYRET/MAVIRET, or even if we are able to commercialize any other treatment regimen containing one of our product candidates from any of our proprietary discovery programs, MAVYRET/MAVIRET or the resulting products, as the case may be,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or any amendment to it will continue to have in general or specifically on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18 that have rejected the expansion of Medicaid eligibility for low income citizens, and some members of the U.S. Congress are still working to repeal the ACA. More recently, President Trump and the Republican majorities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on AbbVie’s commercialization of its HCV regimens.</w:t>
      </w:r>
    </w:p>
    <w:p>
      <w:pPr>
        <w:spacing w:after="0" w:line="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Our ability to commercialize any product candidate successfully, as well as AbbVie’s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5"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r>
        <w:rPr>
          <w:rFonts w:ascii="Arial" w:cs="Arial" w:eastAsia="Arial" w:hAnsi="Arial"/>
          <w:sz w:val="21"/>
          <w:szCs w:val="21"/>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MAVYRET/MAVIRET, as well as similar market acceptance of any product candidates we are developing independently.</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MAVYRET/MAVIRET, as well as EDP-305, EDP-938, or any other product candidate that we may develop in the future, whether as part of a combination therapy or as a monotherapy, may not gain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40" w:right="40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line="288" w:lineRule="auto"/>
        <w:rPr>
          <w:sz w:val="20"/>
          <w:szCs w:val="20"/>
          <w:color w:val="auto"/>
        </w:rPr>
      </w:pPr>
      <w:r>
        <w:rPr>
          <w:rFonts w:ascii="Arial" w:cs="Arial" w:eastAsia="Arial" w:hAnsi="Arial"/>
          <w:sz w:val="16"/>
          <w:szCs w:val="16"/>
          <w:color w:val="auto"/>
        </w:rPr>
        <w:t>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tarrifs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7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ind w:right="100"/>
        <w:spacing w:after="0" w:line="302" w:lineRule="auto"/>
        <w:rPr>
          <w:sz w:val="20"/>
          <w:szCs w:val="20"/>
          <w:color w:val="auto"/>
        </w:rPr>
      </w:pPr>
      <w:r>
        <w:rPr>
          <w:rFonts w:ascii="Arial" w:cs="Arial" w:eastAsia="Arial" w:hAnsi="Arial"/>
          <w:sz w:val="16"/>
          <w:szCs w:val="16"/>
          <w:color w:val="auto"/>
        </w:rPr>
        <w:t>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6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right="20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49" w:name="page50"/>
    <w:bookmarkEnd w:id="49"/>
    <w:p>
      <w:pPr>
        <w:spacing w:after="0" w:line="302" w:lineRule="auto"/>
        <w:rPr>
          <w:sz w:val="20"/>
          <w:szCs w:val="20"/>
          <w:color w:val="auto"/>
        </w:rPr>
      </w:pPr>
      <w:r>
        <w:rPr>
          <w:rFonts w:ascii="Arial" w:cs="Arial" w:eastAsia="Arial" w:hAnsi="Arial"/>
          <w:sz w:val="16"/>
          <w:szCs w:val="16"/>
          <w:color w:val="auto"/>
        </w:rPr>
        <w:t>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00" w:hanging="5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20" w:hanging="519"/>
        <w:spacing w:after="0" w:line="286"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00" w:hanging="5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4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40" w:hanging="519"/>
        <w:spacing w:after="0" w:line="276"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0" w:name="page51"/>
    <w:bookmarkEnd w:id="50"/>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3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stock price has been volatile and could be subject to wide fluctuations in response to various factors, many of which are beyond our control. Since our initial public offering in March 2013 and through May 8, 2018, the price of our common stock on the NASDAQ Global Select Market has ranged from $16.18 to $107.29.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5" w:lineRule="exact"/>
        <w:rPr>
          <w:sz w:val="20"/>
          <w:szCs w:val="20"/>
          <w:color w:val="auto"/>
        </w:rPr>
      </w:pPr>
    </w:p>
    <w:p>
      <w:pPr>
        <w:jc w:val="both"/>
        <w:ind w:left="1040" w:right="60" w:hanging="519"/>
        <w:spacing w:after="0" w:line="34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actions by AbbVie regarding HCV treatment regimens containing paritaprevir or the MAVYRET/MAVIRET regimen containing glecaprevir as approved in the U.S., EU and Japan, including announcements regarding clinical, regulatory or commercial developments or our collaboration;</w:t>
      </w:r>
    </w:p>
    <w:p>
      <w:pPr>
        <w:spacing w:after="0" w:line="15" w:lineRule="exact"/>
        <w:rPr>
          <w:rFonts w:ascii="Arial" w:cs="Arial" w:eastAsia="Arial" w:hAnsi="Arial"/>
          <w:sz w:val="16"/>
          <w:szCs w:val="16"/>
          <w:color w:val="auto"/>
        </w:rPr>
      </w:pPr>
    </w:p>
    <w:p>
      <w:pPr>
        <w:ind w:left="1040" w:right="6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MAVYRET/MAVIRET regimen to achieve commercial success;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$4.5 million for severance and other non-equity-based benefits in the event of a termination of employment in connection with a change of control of our company. In addition, based on the closing price of our common stock as of March 31, 2018 of $80.91 per common share, the aggregate intrinsic value of unvested stock options and other equity awards subject to accelerated vesting upon these events was $40.5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will cease to be an “emerging growth company” as of our fiscal year ending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2018, we had 19.3 million shares of common stock outstanding. In addition, as of March 31, 2018, 2.7 million and 0.2 million shares of common stock that are subject to outstanding options or restricted stock unit awards, respectively, under our outstanding equity plans are eligible for sale in the public market to the extent permitted by the provisions of various vesting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schedules, and Rules 144 and 701 under the Securities Act. If these additional shares of common stock are sold, or it is perceived that they will be sold, in the public market, the trading price of our common stock could decline.</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gridSpan w:val="11"/>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gridSpan w:val="11"/>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260" w:type="dxa"/>
            <w:vAlign w:val="bottom"/>
            <w:tcBorders>
              <w:top w:val="single" w:sz="8" w:color="auto"/>
            </w:tcBorders>
            <w:gridSpan w:val="11"/>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Restated Certificate of Incorporation of Enanta Pharmaceuticals, Inc.</w:t>
              </w:r>
            </w:hyperlink>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980" w:type="dxa"/>
            <w:vAlign w:val="bottom"/>
            <w:tcBorders>
              <w:top w:val="single" w:sz="8" w:color="0000EE"/>
            </w:tcBorders>
            <w:gridSpan w:val="6"/>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Bylaws of Enanta Pharmaceuticals, Inc. (as</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amended and restated in August 2015)</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or 15d-14(a) of the Securities Exchange Act of 1934.</w:t>
              </w:r>
            </w:hyperlink>
          </w:p>
        </w:tc>
        <w:tc>
          <w:tcPr>
            <w:tcW w:w="128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7"/>
              </w:rPr>
            </w:pPr>
            <w:hyperlink w:anchor="page58">
              <w:r>
                <w:rPr>
                  <w:rFonts w:ascii="Arial" w:cs="Arial" w:eastAsia="Arial" w:hAnsi="Arial"/>
                  <w:sz w:val="18"/>
                  <w:szCs w:val="18"/>
                  <w:color w:val="0000EE"/>
                  <w:w w:val="97"/>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Certification of the Chief Executive Officer and Chief Financial Officer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gridSpan w:val="11"/>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of the Sarbanes-Oxley Act of 2002.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right="100" w:hanging="708"/>
        <w:spacing w:after="0" w:line="288"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of March 31, 2018, formatted in XBRL (eXtensible Business Reporting Language):</w:t>
      </w:r>
    </w:p>
    <w:p>
      <w:pPr>
        <w:ind w:left="1040" w:right="40"/>
        <w:spacing w:after="0" w:line="287" w:lineRule="auto"/>
        <w:rPr>
          <w:rFonts w:ascii="Arial" w:cs="Arial" w:eastAsia="Arial" w:hAnsi="Arial"/>
          <w:sz w:val="16"/>
          <w:szCs w:val="16"/>
          <w:color w:val="auto"/>
        </w:rPr>
      </w:pPr>
      <w:r>
        <w:rPr>
          <w:rFonts w:ascii="Arial" w:cs="Arial" w:eastAsia="Arial" w:hAnsi="Arial"/>
          <w:sz w:val="16"/>
          <w:szCs w:val="16"/>
          <w:color w:val="auto"/>
        </w:rPr>
        <w:t>(i) Consolidated Balance Sheets as of March 31, 2018 and September 30, 2017 of Enanta Pharmaceuticals, Inc., (ii) Consolidated Statements of Operations for the three and six months ended March 31, 2018 and 2017 of Enanta Pharmaceuticals, Inc., (iii) Consolidated Statements of Comprehensive Income (Loss) for the three and six months ended March 31, 2018 and 2017 of Enanta Pharmaceuticals, Inc., (iv) Consolidated Statements of Cash Flows for the six months ended March 31, 2018 and 2017 of Enanta Pharmaceuticals, Inc., and (v) Notes to Consolidated Financial Statements of Enanta Pharmaceuticals, Inc.</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20"/>
            <w:col w:w="500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337"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2018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Dated: May 10, 2018</w:t>
            </w:r>
          </w:p>
        </w:tc>
        <w:tc>
          <w:tcPr>
            <w:tcW w:w="312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Dated: May 10, 2018</w:t>
            </w:r>
          </w:p>
        </w:tc>
        <w:tc>
          <w:tcPr>
            <w:tcW w:w="312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0"/>
    </w:lvl>
  </w:abstractNum>
  <w:abstractNum w:abstractNumId="12">
    <w:nsid w:val="7C3DBD3D"/>
    <w:multiLevelType w:val="hybridMultilevel"/>
    <w:lvl w:ilvl="0">
      <w:lvlJc w:val="left"/>
      <w:lvlText w:val="%1."/>
      <w:numFmt w:val="decimal"/>
      <w:start w:val="1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o"/>
      <w:numFmt w:val="bullet"/>
      <w:start w:val="1"/>
    </w:lvl>
    <w:lvl w:ilvl="1">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o"/>
      <w:numFmt w:val="bullet"/>
      <w:start w:val="1"/>
    </w:lvl>
  </w:abstractNum>
  <w:abstractNum w:abstractNumId="17">
    <w:nsid w:val="3006C83E"/>
    <w:multiLevelType w:val="hybridMultilevel"/>
    <w:lvl w:ilvl="0">
      <w:lvlJc w:val="left"/>
      <w:lvlText w:val="•"/>
      <w:numFmt w:val="bullet"/>
      <w:start w:val="1"/>
    </w:lvl>
    <w:lvl w:ilvl="1">
      <w:lvlJc w:val="left"/>
      <w:lvlText w:val="o"/>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2"/>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0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6" Type="http://schemas.openxmlformats.org/officeDocument/2006/relationships/hyperlink" Target="http://www.sec.gov/Archives/edgar/data/1177648/000119312513132679/d511662dex31.htm" TargetMode="External"/><Relationship Id="rId77"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2019-12-28T22:01:39Z</dcterms:created>
  <dcterms:modified xsi:type="dcterms:W3CDTF">2019-12-28T22:01:39Z</dcterms:modified>
</cp:coreProperties>
</file>