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580" w:right="18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June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9"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284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86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2834</w:t>
            </w:r>
          </w:p>
        </w:tc>
        <w:tc>
          <w:tcPr>
            <w:tcW w:w="248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04-3205099</w:t>
            </w:r>
          </w:p>
        </w:tc>
      </w:tr>
      <w:tr>
        <w:trPr>
          <w:trHeight w:val="149"/>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8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ENTA</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01"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29, 2021, the registrant had 20,214,850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880" w:type="dxa"/>
            <w:vAlign w:val="bottom"/>
            <w:gridSpan w:val="17"/>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7"/>
                <w:szCs w:val="17"/>
                <w:color w:val="auto"/>
              </w:rPr>
            </w:pPr>
          </w:p>
        </w:tc>
        <w:tc>
          <w:tcPr>
            <w:tcW w:w="1002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714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w:t>
              </w:r>
            </w:hyperlink>
          </w:p>
        </w:tc>
        <w:tc>
          <w:tcPr>
            <w:tcW w:w="642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Comprehensive Loss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Stockholders’ Equity</w:t>
              </w:r>
            </w:hyperlink>
          </w:p>
        </w:tc>
        <w:tc>
          <w:tcPr>
            <w:tcW w:w="56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w:t>
              </w:r>
            </w:hyperlink>
          </w:p>
        </w:tc>
        <w:tc>
          <w:tcPr>
            <w:tcW w:w="636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Notes to Consolidated Financial Statements</w:t>
              </w:r>
            </w:hyperlink>
          </w:p>
        </w:tc>
        <w:tc>
          <w:tcPr>
            <w:tcW w:w="60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7"/>
                <w:szCs w:val="17"/>
                <w:color w:val="auto"/>
              </w:rPr>
            </w:pPr>
          </w:p>
        </w:tc>
        <w:tc>
          <w:tcPr>
            <w:tcW w:w="10020" w:type="dxa"/>
            <w:vAlign w:val="bottom"/>
            <w:gridSpan w:val="1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20" w:type="dxa"/>
            <w:vAlign w:val="bottom"/>
            <w:tcBorders>
              <w:top w:val="single" w:sz="8" w:color="0000EE"/>
            </w:tcBorders>
            <w:gridSpan w:val="2"/>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Controls and Procedures</w:t>
              </w:r>
            </w:hyperlink>
          </w:p>
        </w:tc>
        <w:tc>
          <w:tcPr>
            <w:tcW w:w="826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880" w:type="dxa"/>
            <w:vAlign w:val="bottom"/>
            <w:gridSpan w:val="17"/>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20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02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914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Signatures</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rPr>
              <w:t>ENANTA PHARMACEUTICALS, INC.</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CFF0FC"/>
            </w:tcBorders>
          </w:tcPr>
          <w:p>
            <w:pPr>
              <w:spacing w:after="0"/>
              <w:rPr>
                <w:sz w:val="14"/>
                <w:szCs w:val="14"/>
                <w:color w:val="auto"/>
              </w:rPr>
            </w:pPr>
          </w:p>
        </w:tc>
        <w:tc>
          <w:tcPr>
            <w:tcW w:w="66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252,223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299,518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321,155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436,837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88"/>
              </w:rPr>
              <w:t>Restricted cash</w:t>
            </w:r>
          </w:p>
        </w:tc>
        <w:tc>
          <w:tcPr>
            <w:tcW w:w="6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450,436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5,895</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Common stock; $0.01 par value per share, 100,000 shares authorized; 20,211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20,077 shares issued and outstanding at June 30, 2021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September 30, 2020, respectively</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73,175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417,850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450,436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237"/>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73,499</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98,842</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100,070</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20,628</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55,471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41,505</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120,698</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(22,852)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(21,856)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(33,408)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(16,385)</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7,142</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w:t>
            </w:r>
          </w:p>
        </w:tc>
        <w:tc>
          <w:tcPr>
            <w:tcW w:w="120" w:type="dxa"/>
            <w:vAlign w:val="bottom"/>
            <w:shd w:val="clear" w:color="auto" w:fill="CFF0FC"/>
          </w:tcPr>
          <w:p>
            <w:pPr>
              <w:spacing w:after="0"/>
              <w:rPr>
                <w:sz w:val="19"/>
                <w:szCs w:val="19"/>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(24,024)</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w:t>
            </w:r>
          </w:p>
        </w:tc>
        <w:tc>
          <w:tcPr>
            <w:tcW w:w="3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120" w:type="dxa"/>
            <w:vAlign w:val="bottom"/>
            <w:tcBorders>
              <w:bottom w:val="single" w:sz="8" w:color="CFF0FC"/>
            </w:tcBorders>
          </w:tcPr>
          <w:p>
            <w:pPr>
              <w:spacing w:after="0"/>
              <w:rPr>
                <w:sz w:val="22"/>
                <w:szCs w:val="22"/>
                <w:color w:val="auto"/>
              </w:rPr>
            </w:pPr>
          </w:p>
        </w:tc>
      </w:tr>
      <w:tr>
        <w:trPr>
          <w:trHeight w:val="210"/>
        </w:trPr>
        <w:tc>
          <w:tcPr>
            <w:tcW w:w="5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Net loss per share: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(0.34)</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(0.71)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(0.34)</w:t>
            </w:r>
          </w:p>
        </w:tc>
      </w:tr>
      <w:tr>
        <w:trPr>
          <w:trHeight w:val="230"/>
        </w:trPr>
        <w:tc>
          <w:tcPr>
            <w:tcW w:w="5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19,897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4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(54,397)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(6,827)</w:t>
            </w: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Net unrealized gains (losses) on marketable securities, net of tax of $0,</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$271, $0 and $418</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(1,108)</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20"/>
                <w:szCs w:val="20"/>
                <w:color w:val="auto"/>
              </w:rPr>
            </w:pPr>
          </w:p>
        </w:tc>
      </w:tr>
      <w:tr>
        <w:trPr>
          <w:trHeight w:val="223"/>
        </w:trPr>
        <w:tc>
          <w:tcPr>
            <w:tcW w:w="5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 net of tax</w:t>
            </w: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(55,505)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2019</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19,703</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197</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298,409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163,740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462,492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(1,140)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2019</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19,810</w:t>
            </w:r>
          </w:p>
        </w:tc>
        <w:tc>
          <w:tcPr>
            <w:tcW w:w="960" w:type="dxa"/>
            <w:vAlign w:val="bottom"/>
            <w:gridSpan w:val="2"/>
            <w:shd w:val="clear" w:color="auto" w:fill="CFF0FC"/>
          </w:tcPr>
          <w:p>
            <w:pPr>
              <w:jc w:val="right"/>
              <w:ind w:right="586"/>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304,672</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177,183</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482,287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Exercise of stock options</w:t>
            </w:r>
          </w:p>
        </w:tc>
        <w:tc>
          <w:tcPr>
            <w:tcW w:w="2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(6,005)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(6,005)</w:t>
            </w:r>
          </w:p>
        </w:tc>
        <w:tc>
          <w:tcPr>
            <w:tcW w:w="0" w:type="dxa"/>
            <w:vAlign w:val="bottom"/>
          </w:tcPr>
          <w:p>
            <w:pPr>
              <w:spacing w:after="0"/>
              <w:rPr>
                <w:sz w:val="1"/>
                <w:szCs w:val="1"/>
                <w:color w:val="auto"/>
              </w:rPr>
            </w:pPr>
          </w:p>
        </w:tc>
      </w:tr>
      <w:tr>
        <w:trPr>
          <w:trHeight w:val="210"/>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March 31, 2020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19,986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314,005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171,178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485,991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(14,265)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(14,265)</w:t>
            </w:r>
          </w:p>
        </w:tc>
        <w:tc>
          <w:tcPr>
            <w:tcW w:w="0" w:type="dxa"/>
            <w:vAlign w:val="bottom"/>
          </w:tcPr>
          <w:p>
            <w:pPr>
              <w:spacing w:after="0"/>
              <w:rPr>
                <w:sz w:val="1"/>
                <w:szCs w:val="1"/>
                <w:color w:val="auto"/>
              </w:rPr>
            </w:pPr>
          </w:p>
        </w:tc>
      </w:tr>
      <w:tr>
        <w:trPr>
          <w:trHeight w:val="21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June 30, 2020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20,070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321,985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1,458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156,913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480,557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24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2020</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20,077</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201</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326,963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844</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127,572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455,580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(439)</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(8,328)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(8,328)</w:t>
            </w:r>
          </w:p>
        </w:tc>
        <w:tc>
          <w:tcPr>
            <w:tcW w:w="0" w:type="dxa"/>
            <w:vAlign w:val="bottom"/>
          </w:tcPr>
          <w:p>
            <w:pPr>
              <w:spacing w:after="0"/>
              <w:rPr>
                <w:sz w:val="1"/>
                <w:szCs w:val="1"/>
                <w:color w:val="auto"/>
              </w:rPr>
            </w:pPr>
          </w:p>
        </w:tc>
      </w:tr>
      <w:tr>
        <w:trPr>
          <w:trHeight w:val="210"/>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2020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20,142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332,145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119,244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451,995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(350)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(22,045)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(22,045)</w:t>
            </w:r>
          </w:p>
        </w:tc>
        <w:tc>
          <w:tcPr>
            <w:tcW w:w="0" w:type="dxa"/>
            <w:vAlign w:val="bottom"/>
          </w:tcPr>
          <w:p>
            <w:pPr>
              <w:spacing w:after="0"/>
              <w:rPr>
                <w:sz w:val="1"/>
                <w:szCs w:val="1"/>
                <w:color w:val="auto"/>
              </w:rPr>
            </w:pPr>
          </w:p>
        </w:tc>
      </w:tr>
      <w:tr>
        <w:trPr>
          <w:trHeight w:val="247"/>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Balances at March 31, 2021</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20,185</w:t>
            </w:r>
          </w:p>
        </w:tc>
        <w:tc>
          <w:tcPr>
            <w:tcW w:w="220" w:type="dxa"/>
            <w:vAlign w:val="bottom"/>
            <w:tcBorders>
              <w:bottom w:val="single" w:sz="8" w:color="CFF0FC"/>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202</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338,576</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97,199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436,032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(319)</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(24,024)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(24,024)</w:t>
            </w:r>
          </w:p>
        </w:tc>
        <w:tc>
          <w:tcPr>
            <w:tcW w:w="0" w:type="dxa"/>
            <w:vAlign w:val="bottom"/>
          </w:tcPr>
          <w:p>
            <w:pPr>
              <w:spacing w:after="0"/>
              <w:rPr>
                <w:sz w:val="1"/>
                <w:szCs w:val="1"/>
                <w:color w:val="auto"/>
              </w:rPr>
            </w:pPr>
          </w:p>
        </w:tc>
      </w:tr>
      <w:tr>
        <w:trPr>
          <w:trHeight w:val="210"/>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June 30, 2021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20,211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344,737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73,175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417,850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(54,397)</w:t>
            </w: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(6,827)</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15,638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2,528</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(4,366)</w:t>
            </w:r>
          </w:p>
        </w:tc>
        <w:tc>
          <w:tcPr>
            <w:tcW w:w="0" w:type="dxa"/>
            <w:vAlign w:val="bottom"/>
          </w:tcPr>
          <w:p>
            <w:pPr>
              <w:spacing w:after="0"/>
              <w:rPr>
                <w:sz w:val="1"/>
                <w:szCs w:val="1"/>
                <w:color w:val="auto"/>
              </w:rPr>
            </w:pPr>
          </w:p>
        </w:tc>
      </w:tr>
      <w:tr>
        <w:trPr>
          <w:trHeight w:val="231"/>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Premium paid on marketable securities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(3,427)</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(3,094)</w:t>
            </w:r>
          </w:p>
        </w:tc>
        <w:tc>
          <w:tcPr>
            <w:tcW w:w="0" w:type="dxa"/>
            <w:vAlign w:val="bottom"/>
          </w:tcPr>
          <w:p>
            <w:pPr>
              <w:spacing w:after="0"/>
              <w:rPr>
                <w:sz w:val="1"/>
                <w:szCs w:val="1"/>
                <w:color w:val="auto"/>
              </w:rPr>
            </w:pPr>
          </w:p>
        </w:tc>
      </w:tr>
      <w:tr>
        <w:trPr>
          <w:trHeight w:val="228"/>
        </w:trPr>
        <w:tc>
          <w:tcPr>
            <w:tcW w:w="7720" w:type="dxa"/>
            <w:vAlign w:val="bottom"/>
          </w:tcPr>
          <w:p>
            <w:pPr>
              <w:ind w:left="500"/>
              <w:spacing w:after="0"/>
              <w:rPr>
                <w:sz w:val="20"/>
                <w:szCs w:val="20"/>
                <w:color w:val="auto"/>
              </w:rPr>
            </w:pPr>
            <w:r>
              <w:rPr>
                <w:rFonts w:ascii="Arial" w:cs="Arial" w:eastAsia="Arial" w:hAnsi="Arial"/>
                <w:sz w:val="17"/>
                <w:szCs w:val="17"/>
                <w:color w:val="auto"/>
              </w:rPr>
              <w:t>(Accretion) amortization of (discount) premium on marketable securities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1,516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non-cash items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7"/>
        </w:trPr>
        <w:tc>
          <w:tcPr>
            <w:tcW w:w="7720" w:type="dxa"/>
            <w:vAlign w:val="bottom"/>
          </w:tcPr>
          <w:p>
            <w:pPr>
              <w:ind w:left="500"/>
              <w:spacing w:after="0"/>
              <w:rPr>
                <w:sz w:val="20"/>
                <w:szCs w:val="20"/>
                <w:color w:val="auto"/>
              </w:rPr>
            </w:pPr>
            <w:r>
              <w:rPr>
                <w:rFonts w:ascii="Arial" w:cs="Arial" w:eastAsia="Arial" w:hAnsi="Arial"/>
                <w:sz w:val="17"/>
                <w:szCs w:val="17"/>
                <w:color w:val="auto"/>
              </w:rPr>
              <w:t>Change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1,868</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1,518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(5,161)</w:t>
            </w:r>
          </w:p>
        </w:tc>
        <w:tc>
          <w:tcPr>
            <w:tcW w:w="0" w:type="dxa"/>
            <w:vAlign w:val="bottom"/>
          </w:tcPr>
          <w:p>
            <w:pPr>
              <w:spacing w:after="0"/>
              <w:rPr>
                <w:sz w:val="1"/>
                <w:szCs w:val="1"/>
                <w:color w:val="auto"/>
              </w:rPr>
            </w:pPr>
          </w:p>
        </w:tc>
      </w:tr>
      <w:tr>
        <w:trPr>
          <w:trHeight w:val="231"/>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Income tax receivable</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(17,529)</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(4,268)</w:t>
            </w:r>
          </w:p>
        </w:tc>
        <w:tc>
          <w:tcPr>
            <w:tcW w:w="0" w:type="dxa"/>
            <w:vAlign w:val="bottom"/>
          </w:tcPr>
          <w:p>
            <w:pPr>
              <w:spacing w:after="0"/>
              <w:rPr>
                <w:sz w:val="1"/>
                <w:szCs w:val="1"/>
                <w:color w:val="auto"/>
              </w:rPr>
            </w:pP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Operating lease, right-of-use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4,019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3,671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(1,936)</w:t>
            </w:r>
          </w:p>
        </w:tc>
        <w:tc>
          <w:tcPr>
            <w:tcW w:w="0" w:type="dxa"/>
            <w:vAlign w:val="bottom"/>
          </w:tcPr>
          <w:p>
            <w:pPr>
              <w:spacing w:after="0"/>
              <w:rPr>
                <w:sz w:val="1"/>
                <w:szCs w:val="1"/>
                <w:color w:val="auto"/>
              </w:rPr>
            </w:pPr>
          </w:p>
        </w:tc>
      </w:tr>
      <w:tr>
        <w:trPr>
          <w:trHeight w:val="231"/>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Operating lease liabilities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(4,343)</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Other long-term liabilities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(232)</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(942)</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 operating activities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(48,975)</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marketable securities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0"/>
              </w:rPr>
              <w:t>(307,949)</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(267,587)</w:t>
            </w:r>
          </w:p>
        </w:tc>
        <w:tc>
          <w:tcPr>
            <w:tcW w:w="0" w:type="dxa"/>
            <w:vAlign w:val="bottom"/>
          </w:tcPr>
          <w:p>
            <w:pPr>
              <w:spacing w:after="0"/>
              <w:rPr>
                <w:sz w:val="1"/>
                <w:szCs w:val="1"/>
                <w:color w:val="auto"/>
              </w:rPr>
            </w:pPr>
          </w:p>
        </w:tc>
      </w:tr>
      <w:tr>
        <w:trPr>
          <w:trHeight w:val="22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maturities and sale of marketable securities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272,974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(717)</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(1,115)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(35,692)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2,671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Payments for settlement of share-based awards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(534)</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(1,498)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2,137</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(82,530)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87,739</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5,209</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100,463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information:</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940" w:type="dxa"/>
            <w:vAlign w:val="bottom"/>
            <w:shd w:val="clear" w:color="auto" w:fill="CFF0FC"/>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3,057</w:t>
            </w:r>
          </w:p>
        </w:tc>
        <w:tc>
          <w:tcPr>
            <w:tcW w:w="280" w:type="dxa"/>
            <w:vAlign w:val="bottom"/>
          </w:tcPr>
          <w:p>
            <w:pPr>
              <w:spacing w:after="0"/>
              <w:rPr>
                <w:sz w:val="18"/>
                <w:szCs w:val="18"/>
                <w:color w:val="auto"/>
              </w:rPr>
            </w:pP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Enanta Pharmaceuticals, Inc. (the “Company”), incorporated in Delaware in 1995, is a biotechnology company that uses its robust, chemistry-driven approach and drug discovery capabilities to become a leader in the discovery and development of small molecule drugs for the treatment of viral infections and liver diseases. The Company discovered glecaprevir, the second of two protease inhibitors discovered and developed through its collaboration</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with AbbVie for the treatment of chronic hepatitis C virus, or HCV. Glecaprevir is co-formulated as part of AbbVie’s leading direct-acting antiviral, or DAA, combination treatment for HCV, which is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hepatitis B virus (“HBV”), SARS-CoV-2, human metapneumovirus (“hMPV”) and non-alcoholic steatohepatitis (“NASH”).</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2020, the World Health Organization declared COVID-19 a global pandemic and countries worldwide implemented various measures to contain the spread of the SARS-CoV-2 virus.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The extent of the impact on the Company’s business and clinical trials to date has largely been delays in the conduct of out-sourced preclinical testing and ongoing and future clinical trials, as well as reductions in the number of patients accessing AbbVie’s HCV regimens.</w:t>
      </w:r>
    </w:p>
    <w:p>
      <w:pPr>
        <w:spacing w:after="0" w:line="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full extent to which the COVID-19 pandemic will continue to directly or indirectly impact the Company’s business, results of operations and financial condition will depend on future developments that are highly uncertain and cannot be accurately predicted, including new information that may emerge concerning COVID-19 and its variants, public health actions taken to contain the pandemic and mitigate its economic effects and to roll out vaccinations worldwide, as well as the cumulative economic impact of all of these factors</w:t>
      </w:r>
      <w:r>
        <w:rPr>
          <w:rFonts w:ascii="Arial" w:cs="Arial" w:eastAsia="Arial" w:hAnsi="Arial"/>
          <w:sz w:val="18"/>
          <w:szCs w:val="18"/>
          <w:b w:val="1"/>
          <w:bCs w:val="1"/>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consolidated balance sheet at September 30, 2020 was derived from audited financial statements but does not include all disclosures required by accounting principles generally accepted in the United States of America (“GAAP”). The accompanying unaudited consolidated financial statements as of June 30, 2021 and for the three and nine months ended June 30, 2021 and 2020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2020.</w:t>
      </w:r>
    </w:p>
    <w:p>
      <w:pPr>
        <w:spacing w:after="0" w:line="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June 30, 2021 and results of operations for the three and nine months ended June 30, 2021 and 2020 and cash flows for the nine months ended June 30, 2021 and 2020, have been made. The results of operations for the three and nine months ended June 30, 2021 are not necessarily indicative of the results of operations that may be expected for subsequent quarters or the year ending September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200"/>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5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2020. Any reference in these notes to applicable guidance is meant to refer to the authoritative GAAP as found in the Accounting Standards Codification (“ASC”) and Accounting Standards Update (“ASU”) of the Financial Accounting Standards Board (“FASB”).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Series 1 nonconvertible preferred stock and stock-based awards; the accrual of research and development expenses, and the accounting for income taxes, including uncertain tax positions and the valuation of net deferred tax assets. Estimates are periodically reviewed in light of changes in circumstances and other facts. The future developments of the COVID-19 pandemic which may directly or indirectly impact the Company’s business include quarantines, border closures, increased border controls, travel restrictions, shelter-in-place orders and shutdowns, business closures, cancellations of public gatherings and other measures. The Company has made estimates of the impact of COVID-19 in the Company’s consolidated financial statements as of June 30, 2021. Actual results could differ from the Company’s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The Company adopted ASU 2016-13 as of October 1, 2020. For available-for-sale debt securities with unrealized losses, the Company measures credit losses in a manner similar to previous U.S. GAAP, except that losses will be recognized as allowances instead of reductions in the amortized cost of the debt securities. The adoption of ASU 2016-13 did not have a material impact on the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standard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amendment is effective for the Company in the fiscal year beginning October 1, 2021; however, early adoption is permitted. The Company is currently in the process of evaluating the impact that ASU 2019-12 may have on its consolidated financial statements.</w:t>
      </w:r>
    </w:p>
    <w:p>
      <w:pPr>
        <w:spacing w:after="0" w:line="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320"/>
        <w:spacing w:after="0" w:line="329"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June 30, 2021 and September 30, 2020, and indicate the fair value hierarchy of the valuation inputs utilized to determine such fair value:</w:t>
      </w: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Fair Value Measurements at June 30, 2021 Using:</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jc w:val="center"/>
              <w:ind w:left="57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101,221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153,191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113,517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102,908</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266,708</w:t>
            </w:r>
          </w:p>
        </w:tc>
        <w:tc>
          <w:tcPr>
            <w:tcW w:w="2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369,616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1"/>
          </w:tcPr>
          <w:p>
            <w:pPr>
              <w:jc w:val="center"/>
              <w:ind w:left="633"/>
              <w:spacing w:after="0"/>
              <w:rPr>
                <w:sz w:val="20"/>
                <w:szCs w:val="20"/>
                <w:color w:val="auto"/>
              </w:rPr>
            </w:pPr>
            <w:r>
              <w:rPr>
                <w:rFonts w:ascii="Arial" w:cs="Arial" w:eastAsia="Arial" w:hAnsi="Arial"/>
                <w:sz w:val="14"/>
                <w:szCs w:val="14"/>
                <w:b w:val="1"/>
                <w:bCs w:val="1"/>
                <w:color w:val="auto"/>
                <w:w w:val="92"/>
              </w:rPr>
              <w:t>Fair Value Measurements at September 30, 2020 Using:</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40" w:type="dxa"/>
            <w:vAlign w:val="bottom"/>
            <w:tcBorders>
              <w:bottom w:val="single" w:sz="8" w:color="CFF2FC"/>
            </w:tcBorders>
          </w:tcPr>
          <w:p>
            <w:pPr>
              <w:spacing w:after="0"/>
              <w:rPr>
                <w:sz w:val="13"/>
                <w:szCs w:val="13"/>
                <w:color w:val="auto"/>
              </w:rPr>
            </w:pPr>
          </w:p>
        </w:tc>
        <w:tc>
          <w:tcPr>
            <w:tcW w:w="120" w:type="dxa"/>
            <w:vAlign w:val="bottom"/>
            <w:tcBorders>
              <w:bottom w:val="single" w:sz="8" w:color="CFF2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2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shd w:val="clear" w:color="auto" w:fill="CFF2FC"/>
          </w:tcPr>
          <w:p>
            <w:pPr>
              <w:spacing w:after="0"/>
              <w:rPr>
                <w:sz w:val="13"/>
                <w:szCs w:val="13"/>
                <w:color w:val="auto"/>
              </w:rPr>
            </w:pPr>
          </w:p>
        </w:tc>
        <w:tc>
          <w:tcPr>
            <w:tcW w:w="120" w:type="dxa"/>
            <w:vAlign w:val="bottom"/>
            <w:shd w:val="clear" w:color="auto" w:fill="CFF2FC"/>
          </w:tcPr>
          <w:p>
            <w:pPr>
              <w:spacing w:after="0"/>
              <w:rPr>
                <w:sz w:val="13"/>
                <w:szCs w:val="13"/>
                <w:color w:val="auto"/>
              </w:rPr>
            </w:pPr>
          </w:p>
        </w:tc>
        <w:tc>
          <w:tcPr>
            <w:tcW w:w="240" w:type="dxa"/>
            <w:vAlign w:val="bottom"/>
            <w:shd w:val="clear" w:color="auto" w:fill="CFF2FC"/>
          </w:tcPr>
          <w:p>
            <w:pPr>
              <w:spacing w:after="0"/>
              <w:rPr>
                <w:sz w:val="13"/>
                <w:szCs w:val="13"/>
                <w:color w:val="auto"/>
              </w:rPr>
            </w:pPr>
          </w:p>
        </w:tc>
        <w:tc>
          <w:tcPr>
            <w:tcW w:w="1000" w:type="dxa"/>
            <w:vAlign w:val="bottom"/>
            <w:shd w:val="clear" w:color="auto" w:fill="CFF2FC"/>
          </w:tcPr>
          <w:p>
            <w:pPr>
              <w:spacing w:after="0"/>
              <w:rPr>
                <w:sz w:val="13"/>
                <w:szCs w:val="13"/>
                <w:color w:val="auto"/>
              </w:rPr>
            </w:pPr>
          </w:p>
        </w:tc>
        <w:tc>
          <w:tcPr>
            <w:tcW w:w="220" w:type="dxa"/>
            <w:vAlign w:val="bottom"/>
            <w:shd w:val="clear" w:color="auto" w:fill="CFF2FC"/>
          </w:tcPr>
          <w:p>
            <w:pPr>
              <w:spacing w:after="0"/>
              <w:rPr>
                <w:sz w:val="13"/>
                <w:szCs w:val="13"/>
                <w:color w:val="auto"/>
              </w:rPr>
            </w:pPr>
          </w:p>
        </w:tc>
        <w:tc>
          <w:tcPr>
            <w:tcW w:w="240" w:type="dxa"/>
            <w:vAlign w:val="bottom"/>
            <w:shd w:val="clear" w:color="auto" w:fill="CFF2FC"/>
          </w:tcPr>
          <w:p>
            <w:pPr>
              <w:spacing w:after="0"/>
              <w:rPr>
                <w:sz w:val="13"/>
                <w:szCs w:val="13"/>
                <w:color w:val="auto"/>
              </w:rPr>
            </w:pPr>
          </w:p>
        </w:tc>
        <w:tc>
          <w:tcPr>
            <w:tcW w:w="1580" w:type="dxa"/>
            <w:vAlign w:val="bottom"/>
            <w:gridSpan w:val="3"/>
            <w:shd w:val="clear" w:color="auto" w:fill="CFF2FC"/>
          </w:tcPr>
          <w:p>
            <w:pPr>
              <w:jc w:val="center"/>
              <w:ind w:left="57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shd w:val="clear" w:color="auto" w:fill="CFF2FC"/>
          </w:tcPr>
          <w:p>
            <w:pPr>
              <w:spacing w:after="0"/>
              <w:rPr>
                <w:sz w:val="13"/>
                <w:szCs w:val="13"/>
                <w:color w:val="auto"/>
              </w:rPr>
            </w:pPr>
          </w:p>
        </w:tc>
        <w:tc>
          <w:tcPr>
            <w:tcW w:w="100" w:type="dxa"/>
            <w:vAlign w:val="bottom"/>
            <w:shd w:val="clear" w:color="auto" w:fill="CFF2FC"/>
          </w:tcPr>
          <w:p>
            <w:pPr>
              <w:spacing w:after="0"/>
              <w:rPr>
                <w:sz w:val="13"/>
                <w:szCs w:val="13"/>
                <w:color w:val="auto"/>
              </w:rPr>
            </w:pPr>
          </w:p>
        </w:tc>
        <w:tc>
          <w:tcPr>
            <w:tcW w:w="140" w:type="dxa"/>
            <w:vAlign w:val="bottom"/>
            <w:shd w:val="clear" w:color="auto" w:fill="CFF2FC"/>
          </w:tcPr>
          <w:p>
            <w:pPr>
              <w:spacing w:after="0"/>
              <w:rPr>
                <w:sz w:val="13"/>
                <w:szCs w:val="13"/>
                <w:color w:val="auto"/>
              </w:rPr>
            </w:pPr>
          </w:p>
        </w:tc>
        <w:tc>
          <w:tcPr>
            <w:tcW w:w="20" w:type="dxa"/>
            <w:vAlign w:val="bottom"/>
            <w:shd w:val="clear" w:color="auto" w:fill="CFF2FC"/>
          </w:tcPr>
          <w:p>
            <w:pPr>
              <w:spacing w:after="0"/>
              <w:rPr>
                <w:sz w:val="13"/>
                <w:szCs w:val="13"/>
                <w:color w:val="auto"/>
              </w:rPr>
            </w:pPr>
          </w:p>
        </w:tc>
        <w:tc>
          <w:tcPr>
            <w:tcW w:w="260" w:type="dxa"/>
            <w:vAlign w:val="bottom"/>
            <w:shd w:val="clear" w:color="auto" w:fill="CFF2FC"/>
          </w:tcPr>
          <w:p>
            <w:pPr>
              <w:spacing w:after="0"/>
              <w:rPr>
                <w:sz w:val="13"/>
                <w:szCs w:val="13"/>
                <w:color w:val="auto"/>
              </w:rPr>
            </w:pPr>
          </w:p>
        </w:tc>
        <w:tc>
          <w:tcPr>
            <w:tcW w:w="960" w:type="dxa"/>
            <w:vAlign w:val="bottom"/>
            <w:shd w:val="clear" w:color="auto" w:fill="CFF2FC"/>
          </w:tcPr>
          <w:p>
            <w:pPr>
              <w:spacing w:after="0"/>
              <w:rPr>
                <w:sz w:val="13"/>
                <w:szCs w:val="13"/>
                <w:color w:val="auto"/>
              </w:rPr>
            </w:pPr>
          </w:p>
        </w:tc>
        <w:tc>
          <w:tcPr>
            <w:tcW w:w="100" w:type="dxa"/>
            <w:vAlign w:val="bottom"/>
            <w:shd w:val="clear" w:color="auto" w:fill="CFF2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88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c>
          <w:tcPr>
            <w:tcW w:w="14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96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81,502</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88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c>
          <w:tcPr>
            <w:tcW w:w="14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96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144,035</w:t>
            </w:r>
          </w:p>
        </w:tc>
        <w:tc>
          <w:tcPr>
            <w:tcW w:w="22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120" w:type="dxa"/>
            <w:vAlign w:val="bottom"/>
            <w:gridSpan w:val="3"/>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9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144,035</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93,909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2FC"/>
              <w:bottom w:val="single" w:sz="8" w:color="CFF2FC"/>
            </w:tcBorders>
            <w:shd w:val="clear" w:color="auto" w:fill="CFF2FC"/>
          </w:tcPr>
          <w:p>
            <w:pPr>
              <w:spacing w:after="0"/>
              <w:rPr>
                <w:sz w:val="19"/>
                <w:szCs w:val="19"/>
                <w:color w:val="auto"/>
              </w:rPr>
            </w:pPr>
          </w:p>
        </w:tc>
        <w:tc>
          <w:tcPr>
            <w:tcW w:w="12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175,710</w:t>
            </w:r>
          </w:p>
        </w:tc>
        <w:tc>
          <w:tcPr>
            <w:tcW w:w="22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237,944</w:t>
            </w:r>
          </w:p>
        </w:tc>
        <w:tc>
          <w:tcPr>
            <w:tcW w:w="220" w:type="dxa"/>
            <w:vAlign w:val="bottom"/>
            <w:tcBorders>
              <w:top w:val="single" w:sz="8" w:color="CFF2FC"/>
              <w:bottom w:val="single" w:sz="8" w:color="CFF2FC"/>
            </w:tcBorders>
            <w:shd w:val="clear" w:color="auto" w:fill="CFF2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2FC"/>
              <w:bottom w:val="single" w:sz="8" w:color="CFF2FC"/>
            </w:tcBorders>
            <w:shd w:val="clear" w:color="auto" w:fill="CFF2FC"/>
          </w:tcPr>
          <w:p>
            <w:pPr>
              <w:spacing w:after="0"/>
              <w:rPr>
                <w:sz w:val="19"/>
                <w:szCs w:val="19"/>
                <w:color w:val="auto"/>
              </w:rPr>
            </w:pPr>
          </w:p>
        </w:tc>
        <w:tc>
          <w:tcPr>
            <w:tcW w:w="20" w:type="dxa"/>
            <w:vAlign w:val="bottom"/>
            <w:tcBorders>
              <w:top w:val="single" w:sz="8" w:color="CFF2FC"/>
              <w:bottom w:val="single" w:sz="8" w:color="CFF2FC"/>
            </w:tcBorders>
            <w:shd w:val="clear" w:color="auto" w:fill="CFF2FC"/>
          </w:tcPr>
          <w:p>
            <w:pPr>
              <w:spacing w:after="0"/>
              <w:rPr>
                <w:sz w:val="19"/>
                <w:szCs w:val="19"/>
                <w:color w:val="auto"/>
              </w:rPr>
            </w:pPr>
          </w:p>
        </w:tc>
        <w:tc>
          <w:tcPr>
            <w:tcW w:w="260" w:type="dxa"/>
            <w:vAlign w:val="bottom"/>
            <w:tcBorders>
              <w:top w:val="single" w:sz="8" w:color="auto"/>
              <w:bottom w:val="single" w:sz="8" w:color="auto"/>
            </w:tcBorders>
            <w:shd w:val="clear" w:color="auto" w:fill="CFF2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413,654</w:t>
            </w:r>
          </w:p>
        </w:tc>
        <w:tc>
          <w:tcPr>
            <w:tcW w:w="100" w:type="dxa"/>
            <w:vAlign w:val="bottom"/>
            <w:tcBorders>
              <w:top w:val="single" w:sz="8" w:color="CFF2FC"/>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Series 1 nonconvertible preferred stock</w:t>
            </w:r>
          </w:p>
        </w:tc>
        <w:tc>
          <w:tcPr>
            <w:tcW w:w="360" w:type="dxa"/>
            <w:vAlign w:val="bottom"/>
            <w:gridSpan w:val="2"/>
            <w:shd w:val="clear" w:color="auto" w:fill="CFF2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2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2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FF2FC"/>
          </w:tcPr>
          <w:p>
            <w:pPr>
              <w:spacing w:after="0"/>
              <w:rPr>
                <w:sz w:val="19"/>
                <w:szCs w:val="19"/>
                <w:color w:val="auto"/>
              </w:rPr>
            </w:pPr>
          </w:p>
        </w:tc>
        <w:tc>
          <w:tcPr>
            <w:tcW w:w="14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9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June 30, 2021 and 2020, there were no transfers between Level 1, Level 2 and Level 3.</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Series 1 nonconvertible preferred stock are recognized in other income (expense), net in the consolidated statements of operations.</w:t>
      </w:r>
    </w:p>
    <w:p>
      <w:pPr>
        <w:spacing w:after="0" w:line="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Range</w:t>
            </w:r>
          </w:p>
        </w:tc>
        <w:tc>
          <w:tcPr>
            <w:tcW w:w="1120" w:type="dxa"/>
            <w:vAlign w:val="bottom"/>
          </w:tcPr>
          <w:p>
            <w:pPr>
              <w:spacing w:after="0"/>
              <w:rPr>
                <w:sz w:val="14"/>
                <w:szCs w:val="14"/>
                <w:color w:val="auto"/>
              </w:rPr>
            </w:pPr>
          </w:p>
        </w:tc>
      </w:tr>
      <w:tr>
        <w:trPr>
          <w:trHeight w:val="146"/>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ind w:left="780"/>
              <w:spacing w:after="0" w:line="147"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September 30,</w:t>
            </w:r>
          </w:p>
        </w:tc>
        <w:tc>
          <w:tcPr>
            <w:tcW w:w="1120" w:type="dxa"/>
            <w:vAlign w:val="bottom"/>
          </w:tcPr>
          <w:p>
            <w:pPr>
              <w:spacing w:after="0"/>
              <w:rPr>
                <w:sz w:val="12"/>
                <w:szCs w:val="12"/>
                <w:color w:val="auto"/>
              </w:rPr>
            </w:pPr>
          </w:p>
        </w:tc>
      </w:tr>
      <w:tr>
        <w:trPr>
          <w:trHeight w:val="171"/>
        </w:trPr>
        <w:tc>
          <w:tcPr>
            <w:tcW w:w="1140" w:type="dxa"/>
            <w:vAlign w:val="bottom"/>
          </w:tcPr>
          <w:p>
            <w:pPr>
              <w:spacing w:after="0"/>
              <w:rPr>
                <w:sz w:val="14"/>
                <w:szCs w:val="14"/>
                <w:color w:val="auto"/>
              </w:rPr>
            </w:pPr>
          </w:p>
        </w:tc>
        <w:tc>
          <w:tcPr>
            <w:tcW w:w="3660" w:type="dxa"/>
            <w:vAlign w:val="bottom"/>
          </w:tcPr>
          <w:p>
            <w:pPr>
              <w:ind w:left="1700"/>
              <w:spacing w:after="0"/>
              <w:rPr>
                <w:sz w:val="20"/>
                <w:szCs w:val="20"/>
                <w:color w:val="auto"/>
              </w:rPr>
            </w:pPr>
            <w:r>
              <w:rPr>
                <w:rFonts w:ascii="Arial" w:cs="Arial" w:eastAsia="Arial" w:hAnsi="Arial"/>
                <w:sz w:val="14"/>
                <w:szCs w:val="14"/>
                <w:b w:val="1"/>
                <w:bCs w:val="1"/>
                <w:color w:val="auto"/>
              </w:rPr>
              <w:t>Unobservable Input</w:t>
            </w:r>
          </w:p>
        </w:tc>
        <w:tc>
          <w:tcPr>
            <w:tcW w:w="2820" w:type="dxa"/>
            <w:vAlign w:val="bottom"/>
            <w:gridSpan w:val="3"/>
          </w:tcPr>
          <w:p>
            <w:pPr>
              <w:jc w:val="center"/>
              <w:ind w:left="1616"/>
              <w:spacing w:after="0"/>
              <w:rPr>
                <w:sz w:val="20"/>
                <w:szCs w:val="20"/>
                <w:color w:val="auto"/>
              </w:rPr>
            </w:pPr>
            <w:r>
              <w:rPr>
                <w:rFonts w:ascii="Arial" w:cs="Arial" w:eastAsia="Arial" w:hAnsi="Arial"/>
                <w:sz w:val="14"/>
                <w:szCs w:val="14"/>
                <w:b w:val="1"/>
                <w:bCs w:val="1"/>
                <w:color w:val="auto"/>
                <w:w w:val="89"/>
              </w:rPr>
              <w:t>2021</w:t>
            </w:r>
          </w:p>
        </w:tc>
        <w:tc>
          <w:tcPr>
            <w:tcW w:w="250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Probabilities of payout</w:t>
            </w: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ind w:left="399"/>
              <w:spacing w:after="0"/>
              <w:rPr>
                <w:sz w:val="20"/>
                <w:szCs w:val="20"/>
                <w:color w:val="auto"/>
              </w:rPr>
            </w:pPr>
            <w:r>
              <w:rPr>
                <w:rFonts w:ascii="Arial" w:cs="Arial" w:eastAsia="Arial" w:hAnsi="Arial"/>
                <w:sz w:val="18"/>
                <w:szCs w:val="18"/>
                <w:color w:val="auto"/>
                <w:w w:val="94"/>
              </w:rPr>
              <w:t>0%-60%</w:t>
            </w: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0%-60%</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Discount rate</w:t>
            </w:r>
          </w:p>
        </w:tc>
        <w:tc>
          <w:tcPr>
            <w:tcW w:w="2820" w:type="dxa"/>
            <w:vAlign w:val="bottom"/>
            <w:gridSpan w:val="3"/>
          </w:tcPr>
          <w:p>
            <w:pPr>
              <w:jc w:val="center"/>
              <w:ind w:left="1616"/>
              <w:spacing w:after="0"/>
              <w:rPr>
                <w:sz w:val="20"/>
                <w:szCs w:val="20"/>
                <w:color w:val="auto"/>
              </w:rPr>
            </w:pPr>
            <w:r>
              <w:rPr>
                <w:rFonts w:ascii="Arial" w:cs="Arial" w:eastAsia="Arial" w:hAnsi="Arial"/>
                <w:sz w:val="18"/>
                <w:szCs w:val="18"/>
                <w:color w:val="auto"/>
                <w:w w:val="93"/>
              </w:rPr>
              <w:t>4.25%</w:t>
            </w:r>
          </w:p>
        </w:tc>
        <w:tc>
          <w:tcPr>
            <w:tcW w:w="2500" w:type="dxa"/>
            <w:vAlign w:val="bottom"/>
            <w:gridSpan w:val="3"/>
          </w:tcPr>
          <w:p>
            <w:pPr>
              <w:jc w:val="center"/>
              <w:ind w:left="622"/>
              <w:spacing w:after="0"/>
              <w:rPr>
                <w:sz w:val="20"/>
                <w:szCs w:val="20"/>
                <w:color w:val="auto"/>
              </w:rPr>
            </w:pPr>
            <w:r>
              <w:rPr>
                <w:rFonts w:ascii="Arial" w:cs="Arial" w:eastAsia="Arial" w:hAnsi="Arial"/>
                <w:sz w:val="18"/>
                <w:szCs w:val="18"/>
                <w:color w:val="auto"/>
                <w:w w:val="93"/>
              </w:rPr>
              <w:t>4.25%</w:t>
            </w:r>
          </w:p>
        </w:tc>
        <w:tc>
          <w:tcPr>
            <w:tcW w:w="112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Series 1</w:t>
            </w:r>
          </w:p>
        </w:tc>
      </w:tr>
      <w:tr>
        <w:trPr>
          <w:trHeight w:val="148"/>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Nonconvertible</w:t>
            </w:r>
          </w:p>
        </w:tc>
      </w:tr>
      <w:tr>
        <w:trPr>
          <w:trHeight w:val="148"/>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Preferred</w:t>
            </w:r>
          </w:p>
        </w:tc>
      </w:tr>
      <w:tr>
        <w:trPr>
          <w:trHeight w:val="17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2020</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tcPr>
          <w:p>
            <w:pPr>
              <w:ind w:left="120"/>
              <w:spacing w:after="0"/>
              <w:rPr>
                <w:sz w:val="20"/>
                <w:szCs w:val="20"/>
                <w:color w:val="auto"/>
              </w:rPr>
            </w:pPr>
            <w:r>
              <w:rPr>
                <w:rFonts w:ascii="Arial" w:cs="Arial" w:eastAsia="Arial" w:hAnsi="Arial"/>
                <w:sz w:val="18"/>
                <w:szCs w:val="18"/>
                <w:color w:val="auto"/>
              </w:rPr>
              <w:t>Change in fair value of nonconvertible preferred stock</w:t>
            </w:r>
          </w:p>
        </w:tc>
        <w:tc>
          <w:tcPr>
            <w:tcW w:w="26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June 30, 2021</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September 30, 2020,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 2021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6"/>
              </w:rPr>
              <w:t>153,080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153,191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Commercial paper</w:t>
            </w: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w w:val="86"/>
              </w:rPr>
              <w:t>113,517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w w:val="86"/>
              </w:rPr>
              <w:t>113,517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6"/>
              </w:rPr>
              <w:t>101,211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101,221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367,808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268"/>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9"/>
              </w:rPr>
              <w:t>367,929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center"/>
              <w:ind w:right="248"/>
              <w:spacing w:after="0"/>
              <w:rPr>
                <w:sz w:val="20"/>
                <w:szCs w:val="20"/>
                <w:color w:val="auto"/>
              </w:rPr>
            </w:pPr>
            <w:r>
              <w:rPr>
                <w:rFonts w:ascii="Arial" w:cs="Arial" w:eastAsia="Arial" w:hAnsi="Arial"/>
                <w:sz w:val="14"/>
                <w:szCs w:val="14"/>
                <w:b w:val="1"/>
                <w:bCs w:val="1"/>
                <w:color w:val="auto"/>
                <w:w w:val="91"/>
              </w:rPr>
              <w:t>September 30, 2020</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1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89"/>
              </w:rPr>
              <w:t>143,274</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4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89"/>
              </w:rPr>
              <w:t>144,035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Commercial paper</w:t>
            </w: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w w:val="87"/>
              </w:rPr>
              <w:t>93,909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w w:val="87"/>
              </w:rPr>
              <w:t>93,909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w w:val="87"/>
              </w:rPr>
              <w:t>93,740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87"/>
              </w:rPr>
              <w:t>94,208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89"/>
              </w:rPr>
              <w:t>330,923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w w:val="89"/>
              </w:rPr>
              <w:t>332,152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of June 30, 2021 and September 30, 2020 marketable securities consisted of investments that mature within one year, with the exception of certain corporate bonds and U.S. Treasury notes, which have maturities between one and three years and an aggregate fair value of $115,706 and $32,634,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1" w:name="page12"/>
    <w:bookmarkEnd w:id="11"/>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June 30, 2021 and September 30, 2020:</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5"/>
          </w:tcPr>
          <w:p>
            <w:pPr>
              <w:jc w:val="right"/>
              <w:ind w:right="99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7,277</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pharmaceutical drug manufacturing</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17,695</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$1,096,000 through June 30, 2021. Since the Company satisfied all of its performance obligations under the AbbVie Agreement by the end of fiscal 2011, all milestone payments received since then have been recognized as revenue when the milestones were achieved by AbbVie.</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2021, 1,930 shares of Series 1 nonconvertible preferred stock were issued and outstanding. Since these shares qualify as a derivative, the outstanding shares are carried at fair value as a liability on the Company’s consolidated balance sheet.</w:t>
      </w:r>
    </w:p>
    <w:p>
      <w:pPr>
        <w:spacing w:after="0" w:line="27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The Company also has outstanding stock option awards under its 2012 Equity Incentive Plan (the “2012 Plan”) and its amended and restated 1995 Equity Incentive Plan (the “1995 Plan”), but is no longer granting awards under these plans.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stock option activity, including performance-based options, for the year-to-date period ending June 30,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Issuable</w:t>
            </w:r>
          </w:p>
        </w:tc>
        <w:tc>
          <w:tcPr>
            <w:tcW w:w="20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w:t>
            </w:r>
          </w:p>
        </w:tc>
        <w:tc>
          <w:tcPr>
            <w:tcW w:w="2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44.95</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67.27</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2021</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3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June 30,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48.75</w:t>
            </w:r>
          </w:p>
        </w:tc>
        <w:tc>
          <w:tcPr>
            <w:tcW w:w="240" w:type="dxa"/>
            <w:vAlign w:val="bottom"/>
            <w:tcBorders>
              <w:bottom w:val="single" w:sz="8" w:color="CFF0FC"/>
            </w:tcBorders>
          </w:tcPr>
          <w:p>
            <w:pPr>
              <w:spacing w:after="0"/>
              <w:rPr>
                <w:sz w:val="23"/>
                <w:szCs w:val="23"/>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17,654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June 30, 2021</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45.26</w:t>
            </w: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March 31, 2021:</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PSUs</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gridSpan w:val="5"/>
          </w:tcPr>
          <w:p>
            <w:pPr>
              <w:ind w:left="200"/>
              <w:spacing w:after="0"/>
              <w:rPr>
                <w:sz w:val="20"/>
                <w:szCs w:val="20"/>
                <w:color w:val="auto"/>
              </w:rPr>
            </w:pPr>
            <w:r>
              <w:rPr>
                <w:rFonts w:ascii="Arial" w:cs="Arial" w:eastAsia="Arial" w:hAnsi="Arial"/>
                <w:sz w:val="14"/>
                <w:szCs w:val="14"/>
                <w:b w:val="1"/>
                <w:bCs w:val="1"/>
                <w:color w:val="auto"/>
              </w:rPr>
              <w:t>rTSRUs</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4"/>
          </w:tcPr>
          <w:p>
            <w:pPr>
              <w:jc w:val="center"/>
              <w:ind w:right="104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4"/>
          </w:tcPr>
          <w:p>
            <w:pPr>
              <w:jc w:val="center"/>
              <w:ind w:right="102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left="343"/>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Arial" w:cs="Arial" w:eastAsia="Arial" w:hAnsi="Arial"/>
                <w:sz w:val="14"/>
                <w:szCs w:val="14"/>
                <w:b w:val="1"/>
                <w:bCs w:val="1"/>
                <w:color w:val="auto"/>
                <w:w w:val="98"/>
              </w:rPr>
              <w:t>Shares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gridSpan w:val="6"/>
          </w:tcPr>
          <w:p>
            <w:pPr>
              <w:jc w:val="right"/>
              <w:ind w:right="400"/>
              <w:spacing w:after="0" w:line="155" w:lineRule="exact"/>
              <w:rPr>
                <w:sz w:val="20"/>
                <w:szCs w:val="20"/>
                <w:color w:val="auto"/>
              </w:rPr>
            </w:pPr>
            <w:r>
              <w:rPr>
                <w:rFonts w:ascii="Arial" w:cs="Arial" w:eastAsia="Arial" w:hAnsi="Arial"/>
                <w:sz w:val="14"/>
                <w:szCs w:val="14"/>
                <w:b w:val="1"/>
                <w:bCs w:val="1"/>
                <w:color w:val="auto"/>
                <w:w w:val="96"/>
              </w:rPr>
              <w:t>(in thousands, except per share data)</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2020</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65.23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44.58</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Cancelled</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67.13</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June 30, 2021</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jc w:val="right"/>
              <w:ind w:right="62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49.31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During the three months ended December 31, 2016, the Company awarded restricted stock units to its employees, which vested 50% in December 2019 and 50% in December 2020, provided the employee remained employed with the Company at the time of vesting. The fair value per share of these awards was determined based on the intrinsic value of the stock on the date of grant and is being recognized as stock-based compensation expense over the requisite service period. In November 2020, the Company awarded additional restricted stock units to its employees, which vest in equal annual installments over four years, so long as the employee remains employed with the Company at the time of vesting. The fair value per share of these awards was determined based on the intrinsic value of the stock on the date of grant and is being recognized as stock-based compensation expense over the requisite service period. The following table summarizes the restricted stock unit activity for the year-to-date period ending June 30,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80" w:type="dxa"/>
            <w:vAlign w:val="bottom"/>
            <w:tcBorders>
              <w:top w:val="single" w:sz="8" w:color="auto"/>
            </w:tcBorders>
            <w:gridSpan w:val="4"/>
          </w:tcPr>
          <w:p>
            <w:pPr>
              <w:jc w:val="right"/>
              <w:ind w:right="338"/>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2020</w:t>
            </w:r>
          </w:p>
        </w:tc>
        <w:tc>
          <w:tcPr>
            <w:tcW w:w="3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Granted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3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314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June 30, 2021</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60" w:type="dxa"/>
            <w:vAlign w:val="bottom"/>
            <w:vMerge w:val="restart"/>
          </w:tcPr>
          <w:p>
            <w:pPr>
              <w:jc w:val="right"/>
              <w:ind w:right="590"/>
              <w:spacing w:after="0"/>
              <w:rPr>
                <w:sz w:val="20"/>
                <w:szCs w:val="20"/>
                <w:color w:val="auto"/>
              </w:rPr>
            </w:pPr>
            <w:r>
              <w:rPr>
                <w:rFonts w:ascii="Arial" w:cs="Arial" w:eastAsia="Arial" w:hAnsi="Arial"/>
                <w:sz w:val="18"/>
                <w:szCs w:val="18"/>
                <w:color w:val="auto"/>
              </w:rPr>
              <w:t>13</w:t>
            </w: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June 30, 2021 and 2020, the Company recognized the following stock-based compensation expense:</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7,678</w:t>
            </w:r>
          </w:p>
        </w:tc>
        <w:tc>
          <w:tcPr>
            <w:tcW w:w="80" w:type="dxa"/>
            <w:vAlign w:val="bottom"/>
            <w:shd w:val="clear" w:color="auto" w:fill="CFF0FC"/>
          </w:tcPr>
          <w:p>
            <w:pPr>
              <w:spacing w:after="0"/>
              <w:rPr>
                <w:sz w:val="19"/>
                <w:szCs w:val="19"/>
                <w:color w:val="auto"/>
              </w:rPr>
            </w:pPr>
          </w:p>
        </w:tc>
      </w:tr>
      <w:tr>
        <w:trPr>
          <w:trHeight w:val="229"/>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8,113</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8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0"/>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6"/>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13,114</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rTSRUs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9"/>
                <w:szCs w:val="19"/>
                <w:color w:val="auto"/>
              </w:rPr>
            </w:pPr>
          </w:p>
        </w:tc>
      </w:tr>
      <w:tr>
        <w:trPr>
          <w:trHeight w:val="229"/>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8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months ended December 31, 2019 and three months ended June 30, 2021, the Company recognized stock-based compensation expense for performance-based stock units for which vesting became probable upon achievement of performance-based targets that occurred during the performance period.</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2021, the Company had an aggregate of $49,337 of unrecognized stock-based compensation cost, which is expected to be recognized over a weighted average period of 2.3 years.</w:t>
      </w:r>
    </w:p>
    <w:p>
      <w:pPr>
        <w:spacing w:after="0" w:line="27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for the three and nine months ended June 30, 2021 and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tcPr>
          <w:p>
            <w:pPr>
              <w:jc w:val="right"/>
              <w:ind w:right="300"/>
              <w:spacing w:after="0" w:line="155" w:lineRule="exact"/>
              <w:rPr>
                <w:sz w:val="20"/>
                <w:szCs w:val="20"/>
                <w:color w:val="auto"/>
              </w:rPr>
            </w:pPr>
            <w:r>
              <w:rPr>
                <w:rFonts w:ascii="Arial" w:cs="Arial" w:eastAsia="Arial" w:hAnsi="Arial"/>
                <w:sz w:val="14"/>
                <w:szCs w:val="14"/>
                <w:b w:val="1"/>
                <w:bCs w:val="1"/>
                <w:color w:val="auto"/>
                <w:w w:val="90"/>
              </w:rPr>
              <w:t>(in thousands, except per share data)</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per share: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(24,024)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(14,265)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(54,397)</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20,201</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20,155</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vMerge w:val="restart"/>
          </w:tcPr>
          <w:p>
            <w:pPr>
              <w:ind w:left="240"/>
              <w:spacing w:after="0"/>
              <w:rPr>
                <w:sz w:val="20"/>
                <w:szCs w:val="20"/>
                <w:color w:val="auto"/>
              </w:rPr>
            </w:pPr>
            <w:r>
              <w:rPr>
                <w:rFonts w:ascii="Arial" w:cs="Arial" w:eastAsia="Arial" w:hAnsi="Arial"/>
                <w:sz w:val="18"/>
                <w:szCs w:val="18"/>
                <w:color w:val="auto"/>
              </w:rPr>
              <w:t>Net loss per share common share—basic</w:t>
            </w: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3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per share:</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(24,024)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(14,265)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(54,397)</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Dilutive effect of common stock equivalents</w:t>
            </w:r>
          </w:p>
        </w:tc>
        <w:tc>
          <w:tcPr>
            <w:tcW w:w="16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20,201</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20,155</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vMerge w:val="restart"/>
          </w:tcPr>
          <w:p>
            <w:pPr>
              <w:ind w:left="240"/>
              <w:spacing w:after="0"/>
              <w:rPr>
                <w:sz w:val="20"/>
                <w:szCs w:val="20"/>
                <w:color w:val="auto"/>
              </w:rPr>
            </w:pPr>
            <w:r>
              <w:rPr>
                <w:rFonts w:ascii="Arial" w:cs="Arial" w:eastAsia="Arial" w:hAnsi="Arial"/>
                <w:sz w:val="18"/>
                <w:szCs w:val="18"/>
                <w:color w:val="auto"/>
              </w:rPr>
              <w:t>Net loss per share common share—diluted</w:t>
            </w: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3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Anti-dilutive common stock equivalents excluded</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from above</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94"/>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4" w:name="page15"/>
    <w:bookmarkEnd w:id="14"/>
    <w:p>
      <w:pPr>
        <w:ind w:right="28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months ended June 30, 2021 and 2020, the Company recorded income tax benefits of $9,384 and $7,142, respectively, both of which were attributable to the Company’s domestic operations. The Company recorded an income tax benefit during the three and nine months ended June 30, 2021 due to the Company’s ability and intent to carryback its current year tax loss under the Coronavirus Aid, Relief and Economic Security Act (the “CARES Act”), which was signed into law in March 2020. As of June 30, 2021, the Company recorded an income tax receivable of $30,570 consisting of refunds due with respect to prior year tax payments as well as an estimated federal net operating loss carryback for fiscal 2021 for which the Company will request a refund in the future.</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and nine months ended June 30, 2020, the Company determined the use of the discrete method was more appropriate than the annual effective tax rate method due to the sensitivity of the Company’s tax rate in that period to small changes in projected pre-tax earnings, which resulted in significant variations in the customary relationship between income tax expense and pretax income.</w:t>
      </w:r>
    </w:p>
    <w:p>
      <w:pPr>
        <w:spacing w:after="0" w:line="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the statute for the year ended September 30, 2018 to the present. Earlier years may be examined to the extent that tax credit or net operating loss carryforwards are used in future or prior periods. The Company is not currently under examination by any jurisdiction for any tax year open under the statute.</w:t>
      </w:r>
    </w:p>
    <w:p>
      <w:pPr>
        <w:spacing w:after="0" w:line="6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had unrecognized tax benefits totaling $529 and $788 as of June 30, 2021, and September 30, 2020, respectively. Unrecognized tax benefits represent tax positions for which reserves have been established. The Company’s policy is to record interest and penalties related to uncertain tax positions as part of its income tax provision.</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CARES Act lifts certain deduction limitations originally imposed by the Tax Cuts and Jobs Act of 2017 (the “2017 Tax Act”). Under the CARES Act, the Company is permitted to carry back net operating losses originating beginning in fiscal 2018 through fiscal 2021 for up to five years. Net operating loss carrybacks were previously prohibited under the 2017 Tax Act. The CARES Act also eliminates the 80% of taxable income limitations by allowing corporate entities to fully utilize net operating losses to offset taxable income in those prior years. In addition, the CARES Act makes qualified improvement property eligible for 15-year cost-recovery and 100% bonus depreciation. The impact of the CARES Act has been incorporated into the consolidated financial statements during the nine months ended June 30, 2021 and 2020.</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2021, the Company recorded a valuation allowance against substantially all of its net deferred tax assets. The Company continues to believe it more likely that it will not have sufficient taxable income in the future that will allow it to realize all of its existing deferred tax assets. This is due to the fact the Company’s expenses are increasing as it continues to progress its wholly-owned research and development programs, while its royalty revenues from its Collaboration Agreement with AbbVie are not increasing.</w:t>
      </w:r>
    </w:p>
    <w:p>
      <w:pPr>
        <w:spacing w:after="0" w:line="33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June 30, 2021.</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49" w:right="57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2020 included in our Annual Report on Form 10-K for that fiscal year which is referred to as our 2020 Form 10-K. Please refer to our note regarding forward-looking statements on page 2 of this Form 10-Q, which is incorporated herein by this reference.</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70" w:lineRule="exact"/>
        <w:rPr>
          <w:sz w:val="20"/>
          <w:szCs w:val="20"/>
          <w:color w:val="auto"/>
        </w:rPr>
      </w:pPr>
    </w:p>
    <w:p>
      <w:pPr>
        <w:ind w:left="1000" w:right="160" w:hanging="493"/>
        <w:spacing w:after="0" w:line="31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Respiratory syncytial virus, or RSV,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40" w:lineRule="exact"/>
        <w:rPr>
          <w:rFonts w:ascii="Arial" w:cs="Arial" w:eastAsia="Arial" w:hAnsi="Arial"/>
          <w:sz w:val="16"/>
          <w:szCs w:val="16"/>
          <w:color w:val="auto"/>
        </w:rPr>
      </w:pPr>
    </w:p>
    <w:p>
      <w:pPr>
        <w:ind w:left="1000" w:right="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Hepatitis B virus, or HBV, the most prevalent chronic hepatitis, which is estimated by the World Health Organization to affect more than 250 million individuals worldwide;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SARS-CoV-2, the virus that causes COVID-19;</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Human metapneumovirus, or hMPV, a virus that causes respiratory infection with symptoms similar to RSV; and</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1.5% to 6.5% of the population in the developed world (which translates to approximately 5 to 20 million individuals in the U.S. alone).</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had $372.5 million in cash, cash equivalents and short-term and long-term marketable securities at June 30, 2021. In fiscal 2020, we earned $122.5 million in product royalties on AbbVie’s net sales of its HCV regimens. We expect cash flows from our continuing HCV royalties and our existing financial resources will allow us to continue to fund our wholly-owned research and development programs for at least the next two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wholly-owned research and development programs are in virology, namely RSV, HBV, SARS-CoV-2 and hMPV, and in NASH, a non-viral liver disease:</w:t>
      </w:r>
    </w:p>
    <w:p>
      <w:pPr>
        <w:spacing w:after="0" w:line="62"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a clinical stage program for RSV, for which the lead asset is EDP-938.</w:t>
      </w:r>
    </w:p>
    <w:p>
      <w:pPr>
        <w:spacing w:after="0" w:line="144" w:lineRule="exact"/>
        <w:rPr>
          <w:rFonts w:ascii="Arial" w:cs="Arial" w:eastAsia="Arial" w:hAnsi="Arial"/>
          <w:sz w:val="18"/>
          <w:szCs w:val="18"/>
          <w:color w:val="auto"/>
        </w:rPr>
      </w:pPr>
    </w:p>
    <w:p>
      <w:pPr>
        <w:ind w:left="1520" w:right="100" w:hanging="500"/>
        <w:spacing w:after="0" w:line="296"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 xml:space="preserve">In June 2019, we announced positive topline results from our Phase 2a human challenge study of EDP-938 in healthy adults infected with a specific strain of RSV. Data from this study demonstrated that EDP-938 achieved highly statistically significant reductions (p= &lt;0.001) in RSV viral load (by both qRT-PCR and plaque assays), total symptom scores and mucus weights compared to placebo. In addition, the study showed that mean trough levels of drug achieved in study subjects were 20-40x higher than the amount of EDP-938 that has been shown in previously reported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to reduce 90% of the viral RNA in RSV-infected human cells.</w:t>
      </w:r>
    </w:p>
    <w:p>
      <w:pPr>
        <w:spacing w:after="0" w:line="53" w:lineRule="exact"/>
        <w:rPr>
          <w:rFonts w:ascii="Arial" w:cs="Arial" w:eastAsia="Arial" w:hAnsi="Arial"/>
          <w:sz w:val="18"/>
          <w:szCs w:val="18"/>
          <w:color w:val="auto"/>
        </w:rPr>
      </w:pPr>
    </w:p>
    <w:p>
      <w:pPr>
        <w:ind w:left="1520" w:right="40" w:hanging="500"/>
        <w:spacing w:after="0" w:line="25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Based on the results of the challenge study, we now have three ongoing Phase 2 studies of EDP-938 in three different patient populations. The study with the most advanced enrollment is in adult outpatients with community-acquired RSV infection. This Phase 2b study, named RSVP, is designed to help us better understand the feasibility of this direct-acting antiviral therapy. The mitigation steps to manage the COVID-19 pandemic since March 2020 have suppressed the incidence of RSV and other respiratory illnesses globally (other than COVID-19). We have continued our preparedness efforts to ensure we are ready when RSV re-emerges, including establishing trial sites in North America, Europe, the Asia-Pacific and the Southern Hemisphere, and there have been reports of increased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1060" w:right="60"/>
        <w:spacing w:after="0" w:line="259" w:lineRule="auto"/>
        <w:rPr>
          <w:sz w:val="20"/>
          <w:szCs w:val="20"/>
          <w:color w:val="auto"/>
        </w:rPr>
      </w:pPr>
      <w:r>
        <w:rPr>
          <w:rFonts w:ascii="Arial" w:cs="Arial" w:eastAsia="Arial" w:hAnsi="Arial"/>
          <w:sz w:val="18"/>
          <w:szCs w:val="18"/>
          <w:color w:val="auto"/>
        </w:rPr>
        <w:t>interseasonal RSV in the United States and Australia. Given the recent re-emergence of RSV is not following any normal seasonal pattern, it is uncertain how significant or sustained the new incidence of RSV will be moving forward. We are hopeful that enrollment in the RSVP study will be complete during the Northern Hemisphere winter season if there are no renewed social distancing interventions. Assuming this enrollment occurs, we would expect data in the first half of 2022.</w:t>
      </w:r>
    </w:p>
    <w:p>
      <w:pPr>
        <w:spacing w:after="0" w:line="79" w:lineRule="exact"/>
        <w:rPr>
          <w:sz w:val="20"/>
          <w:szCs w:val="20"/>
          <w:color w:val="auto"/>
        </w:rPr>
      </w:pPr>
    </w:p>
    <w:p>
      <w:pPr>
        <w:ind w:left="1060" w:right="40" w:hanging="500"/>
        <w:spacing w:after="0" w:line="288" w:lineRule="auto"/>
        <w:tabs>
          <w:tab w:leader="none" w:pos="1060" w:val="left"/>
        </w:tabs>
        <w:numPr>
          <w:ilvl w:val="1"/>
          <w:numId w:val="16"/>
        </w:numPr>
        <w:rPr>
          <w:rFonts w:ascii="Courier New" w:cs="Courier New" w:eastAsia="Courier New" w:hAnsi="Courier New"/>
          <w:sz w:val="16"/>
          <w:szCs w:val="16"/>
          <w:color w:val="auto"/>
        </w:rPr>
      </w:pPr>
      <w:r>
        <w:rPr>
          <w:rFonts w:ascii="Arial" w:cs="Arial" w:eastAsia="Arial" w:hAnsi="Arial"/>
          <w:sz w:val="16"/>
          <w:szCs w:val="16"/>
          <w:color w:val="auto"/>
        </w:rPr>
        <w:t>Our two additional Phase 2 studies of EDP-938 include a Phase 2b study called RSVTx in adult hematopoietic cell transplant recipients with acute RSV infection and symptoms of upper respiratory tract infection, which we initiated in December 2020. We plan to enroll, within 72 hours of symptom onset, approximately 200 adult subjects 18 to 75 years of age, who will receive EDP-938 or placebo for 21 days. The primary endpoint is the incidence of lower respiratory tract complications within 28 days of enrollment, while secondary endpoints include change from baseline in RSV RNA viral load, safety and pharmacokinetics. In addition, we initiated a Phase 2 RSV study called RSVPEDs in pediatric patients in March 2021. We plan to enroll 90 RSV patients age 28 days to 24 months. The double-blind, placebo-controlled study will be conducted in hospitalized and non-hospitalized pediatric settings.</w:t>
      </w:r>
    </w:p>
    <w:p>
      <w:pPr>
        <w:spacing w:after="0" w:line="57" w:lineRule="exact"/>
        <w:rPr>
          <w:rFonts w:ascii="Courier New" w:cs="Courier New" w:eastAsia="Courier New" w:hAnsi="Courier New"/>
          <w:sz w:val="16"/>
          <w:szCs w:val="16"/>
          <w:color w:val="auto"/>
        </w:rPr>
      </w:pPr>
    </w:p>
    <w:p>
      <w:pPr>
        <w:jc w:val="both"/>
        <w:ind w:left="1060" w:right="40" w:hanging="500"/>
        <w:spacing w:after="0" w:line="254"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We also have initiated an RSV L-protein inhibitor discovery effort centered around potent nanomolar leads active against both RSV-A and RSV-B, for potential use alone or in combination with agents targeting other RSV mechanisms, such as our lead RSV asset, EDP-938.</w:t>
      </w:r>
    </w:p>
    <w:p>
      <w:pPr>
        <w:spacing w:after="0" w:line="81" w:lineRule="exact"/>
        <w:rPr>
          <w:rFonts w:ascii="Courier New" w:cs="Courier New" w:eastAsia="Courier New" w:hAnsi="Courier New"/>
          <w:sz w:val="18"/>
          <w:szCs w:val="18"/>
          <w:color w:val="auto"/>
        </w:rPr>
      </w:pPr>
    </w:p>
    <w:p>
      <w:pPr>
        <w:ind w:left="560" w:right="280" w:hanging="553"/>
        <w:spacing w:after="0" w:line="25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have two candidates for the treatment of chronic infection with hepatitis B virus, or HBV: EDP-514, a novel core inhibitor that displays potent anti-HBV activity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at multiple points in the HBV lifecycle, and EDP-721, our newest clinical candidate, which is a potent and selective oral HBV RNA destabilizer that is designed to reduce HBV surface antigen. Our goal is to develop a combination therapy approach, including existing approved treatments and these two mechanisms, that could lead to a functional cure for patients with chronic HBV infection.</w:t>
      </w:r>
    </w:p>
    <w:p>
      <w:pPr>
        <w:spacing w:after="0" w:line="79" w:lineRule="exact"/>
        <w:rPr>
          <w:rFonts w:ascii="Arial" w:cs="Arial" w:eastAsia="Arial" w:hAnsi="Arial"/>
          <w:sz w:val="18"/>
          <w:szCs w:val="18"/>
          <w:color w:val="auto"/>
        </w:rPr>
      </w:pPr>
    </w:p>
    <w:p>
      <w:pPr>
        <w:jc w:val="both"/>
        <w:ind w:left="1060" w:right="180" w:hanging="500"/>
        <w:spacing w:after="0" w:line="254"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Our initial study of EDP-514 was a randomized, double-blind, placebo-controlled Phase 1a/1b study designed in two parts. Part 1 of the study in healthy subjects demonstrated that EDP-514 is well-tolerated with a favorable safety profile and has a pharmacokinetic profile supportive of once-daily dosing.</w:t>
      </w:r>
    </w:p>
    <w:p>
      <w:pPr>
        <w:spacing w:after="0" w:line="81" w:lineRule="exact"/>
        <w:rPr>
          <w:rFonts w:ascii="Courier New" w:cs="Courier New" w:eastAsia="Courier New" w:hAnsi="Courier New"/>
          <w:sz w:val="18"/>
          <w:szCs w:val="18"/>
          <w:color w:val="auto"/>
        </w:rPr>
      </w:pPr>
    </w:p>
    <w:p>
      <w:pPr>
        <w:ind w:left="1060" w:right="140" w:hanging="500"/>
        <w:spacing w:after="0" w:line="294" w:lineRule="auto"/>
        <w:tabs>
          <w:tab w:leader="none" w:pos="1060" w:val="left"/>
        </w:tabs>
        <w:numPr>
          <w:ilvl w:val="1"/>
          <w:numId w:val="16"/>
        </w:numPr>
        <w:rPr>
          <w:rFonts w:ascii="Courier New" w:cs="Courier New" w:eastAsia="Courier New" w:hAnsi="Courier New"/>
          <w:sz w:val="16"/>
          <w:szCs w:val="16"/>
          <w:color w:val="auto"/>
        </w:rPr>
      </w:pPr>
      <w:r>
        <w:rPr>
          <w:rFonts w:ascii="Arial" w:cs="Arial" w:eastAsia="Arial" w:hAnsi="Arial"/>
          <w:sz w:val="16"/>
          <w:szCs w:val="16"/>
          <w:color w:val="auto"/>
        </w:rPr>
        <w:t>In Part 2 of the study, we are studying EDP-514 in chronic HBV patients already being treated with a marketed nucleoside reverse transcriptase inhibitor, which we refer to as NUC-suppressed patients. Preliminary data show that the 200mg and 400mg doses were safe and well tolerated, with pharmacokinetics supportive of once daily dosing, and antiviral activity as expected for this class in a short study. The 800mg cohort of this study is ongoing and the results will be shared in connection with a future medical conference.</w:t>
      </w:r>
    </w:p>
    <w:p>
      <w:pPr>
        <w:spacing w:after="0" w:line="53" w:lineRule="exact"/>
        <w:rPr>
          <w:rFonts w:ascii="Courier New" w:cs="Courier New" w:eastAsia="Courier New" w:hAnsi="Courier New"/>
          <w:sz w:val="16"/>
          <w:szCs w:val="16"/>
          <w:color w:val="auto"/>
        </w:rPr>
      </w:pPr>
    </w:p>
    <w:p>
      <w:pPr>
        <w:ind w:left="1060" w:hanging="500"/>
        <w:spacing w:after="0" w:line="269" w:lineRule="auto"/>
        <w:tabs>
          <w:tab w:leader="none" w:pos="1060" w:val="left"/>
        </w:tabs>
        <w:numPr>
          <w:ilvl w:val="1"/>
          <w:numId w:val="16"/>
        </w:numPr>
        <w:rPr>
          <w:rFonts w:ascii="Courier New" w:cs="Courier New" w:eastAsia="Courier New" w:hAnsi="Courier New"/>
          <w:sz w:val="17"/>
          <w:szCs w:val="17"/>
          <w:color w:val="auto"/>
        </w:rPr>
      </w:pPr>
      <w:r>
        <w:rPr>
          <w:rFonts w:ascii="Arial" w:cs="Arial" w:eastAsia="Arial" w:hAnsi="Arial"/>
          <w:sz w:val="17"/>
          <w:szCs w:val="17"/>
          <w:color w:val="auto"/>
        </w:rPr>
        <w:t>In addition, we have a second Phase 1b study, to evaluate EDP 514 in chronic HBV patients with high viral load not currently on treatment, which we refer to as viremic patients. In June 2021, we announced positive data from the first two dose cohorts of the study which demonstrated that EDP-514 was safe and well-tolerated through 28 days of treatment, displayed pharmacokinetics supportive of once-daily dosing, and resulted in mean HBV DNA reductions of 2.9 and 3.3 logs at 28 days for the 200 mg and 400 mg cohorts, respectively. HBV RNA was undetectable at Day 28 in 8 patients in the EDP-514 cohorts as compared to none on placebo. The 800 mg cohort is ongoing and the results will be shared in connection with a future medical conference.</w:t>
      </w:r>
    </w:p>
    <w:p>
      <w:pPr>
        <w:spacing w:after="0" w:line="73" w:lineRule="exact"/>
        <w:rPr>
          <w:sz w:val="20"/>
          <w:szCs w:val="20"/>
          <w:color w:val="auto"/>
        </w:rPr>
      </w:pPr>
    </w:p>
    <w:p>
      <w:pPr>
        <w:ind w:left="1040" w:hanging="466"/>
        <w:spacing w:after="0" w:line="268" w:lineRule="auto"/>
        <w:tabs>
          <w:tab w:leader="none" w:pos="1040" w:val="left"/>
        </w:tabs>
        <w:numPr>
          <w:ilvl w:val="2"/>
          <w:numId w:val="17"/>
        </w:numPr>
        <w:rPr>
          <w:rFonts w:ascii="Courier New" w:cs="Courier New" w:eastAsia="Courier New" w:hAnsi="Courier New"/>
          <w:sz w:val="17"/>
          <w:szCs w:val="17"/>
          <w:color w:val="auto"/>
        </w:rPr>
      </w:pPr>
      <w:r>
        <w:rPr>
          <w:rFonts w:ascii="Arial" w:cs="Arial" w:eastAsia="Arial" w:hAnsi="Arial"/>
          <w:sz w:val="17"/>
          <w:szCs w:val="17"/>
          <w:color w:val="auto"/>
        </w:rPr>
        <w:t>For our RNA destabilizer, we have initiated a Phase 1 clinical study of EDP-721 and are on track to dose our first subject in August 2021. EDP-721 has demonstrated a robust reduction of viral transcripts in preclinical models, leading to reduced production of multiple HBV proteins, including HBV surface antigen (HBsAg) and e-antigen (HBeAg) with pangenotypic HBV activity. EDP-721 is expected to reduce HBsAg derived from both integrated and covalently-closed circular DNA (cccDNA). Since high levels of HBsAg suppress immune responses through multiple mechanisms, a sustained reduction of HBsAg is regarded as a key component of combination therapy to provide a functional cure for chronic HBV infection. We plan to develop EDP-721 for use alone or in combination with other mechanisms, such as EDP-514, with the ultimate goal of achieving an all-oral, functional cure for chronic HBV infection. Data are expected in the first half of calendar 2022.</w:t>
      </w:r>
    </w:p>
    <w:p>
      <w:pPr>
        <w:spacing w:after="0" w:line="72" w:lineRule="exact"/>
        <w:rPr>
          <w:rFonts w:ascii="Courier New" w:cs="Courier New" w:eastAsia="Courier New" w:hAnsi="Courier New"/>
          <w:sz w:val="17"/>
          <w:szCs w:val="17"/>
          <w:color w:val="auto"/>
        </w:rPr>
      </w:pPr>
    </w:p>
    <w:p>
      <w:pPr>
        <w:jc w:val="both"/>
        <w:ind w:left="560" w:right="160" w:hanging="364"/>
        <w:spacing w:after="0" w:line="301" w:lineRule="auto"/>
        <w:tabs>
          <w:tab w:leader="none" w:pos="560"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COVID-19</w:t>
      </w:r>
      <w:r>
        <w:rPr>
          <w:rFonts w:ascii="Arial" w:cs="Arial" w:eastAsia="Arial" w:hAnsi="Arial"/>
          <w:sz w:val="16"/>
          <w:szCs w:val="16"/>
          <w:color w:val="auto"/>
        </w:rPr>
        <w:t>: Since we announced our newest discovery program – developing a direct-acting antiviral for the treatment of COVID-19 – we have been leveraging our expertise in protease inhibitors to discover new compounds specifically designed to target the SARS-CoV-2 virus and potentially other coronaviruses. We have advanced IND-enabling studies on our lead oral protease inhibitor to the point where we now have a clinical candidate, EDP-235, which we plan to begin testing in a first-in-human study in early calendar 2022.</w:t>
      </w:r>
    </w:p>
    <w:p>
      <w:pPr>
        <w:spacing w:after="0" w:line="49" w:lineRule="exact"/>
        <w:rPr>
          <w:rFonts w:ascii="Arial" w:cs="Arial" w:eastAsia="Arial" w:hAnsi="Arial"/>
          <w:sz w:val="16"/>
          <w:szCs w:val="16"/>
          <w:color w:val="auto"/>
        </w:rPr>
      </w:pPr>
    </w:p>
    <w:p>
      <w:pPr>
        <w:ind w:left="540" w:right="360" w:hanging="493"/>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hMPV</w:t>
      </w:r>
      <w:r>
        <w:rPr>
          <w:rFonts w:ascii="Arial" w:cs="Arial" w:eastAsia="Arial" w:hAnsi="Arial"/>
          <w:sz w:val="18"/>
          <w:szCs w:val="18"/>
          <w:color w:val="auto"/>
        </w:rPr>
        <w:t>: Since announcing our new drug discovery effort for hMPV in January 2020, we have been optimizing nanomolar inhibitor leads against this virus and are working toward identifying our first clinical candidate for this indication.</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80" w:top="449" w:right="359" w:bottom="1440" w:gutter="0" w:footer="0" w:header="0"/>
        </w:sectPr>
      </w:pPr>
    </w:p>
    <w:bookmarkStart w:id="18" w:name="page19"/>
    <w:bookmarkEnd w:id="18"/>
    <w:p>
      <w:pPr>
        <w:ind w:left="1000" w:right="22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NASH:</w:t>
      </w:r>
      <w:r>
        <w:rPr>
          <w:rFonts w:ascii="Arial" w:cs="Arial" w:eastAsia="Arial" w:hAnsi="Arial"/>
          <w:sz w:val="18"/>
          <w:szCs w:val="18"/>
          <w:color w:val="auto"/>
        </w:rPr>
        <w:t xml:space="preserve"> We currently have two compounds in clinical development for NASH: EDP-305 and EDP-297, referred to as FXR agonists. These compounds, which selectively bind to and activate the Farnesoid X receptor, or FXR, represent a class of FXR agonists designed to take advantage of increased binding interactions with this receptor.</w:t>
      </w:r>
    </w:p>
    <w:p>
      <w:pPr>
        <w:spacing w:after="0" w:line="75" w:lineRule="exact"/>
        <w:rPr>
          <w:rFonts w:ascii="Arial" w:cs="Arial" w:eastAsia="Arial" w:hAnsi="Arial"/>
          <w:sz w:val="18"/>
          <w:szCs w:val="18"/>
          <w:color w:val="auto"/>
        </w:rPr>
      </w:pPr>
    </w:p>
    <w:p>
      <w:pPr>
        <w:ind w:left="1520" w:right="80" w:hanging="500"/>
        <w:spacing w:after="0" w:line="286"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In July 2020 we initiated ARGON-2, a 72-week, Phase 2b, randomized, double-blind, placebo-controlled study, with histological endpoints, including fibrosis in 340 biopsy-confirmed NASH patients treated with EDP-305 or placebo. We are using EDP-305 doses of 1.5 mg and 2.0 mg, which we believe will favorably balance strong, efficacious target engagement with tolerability.</w:t>
      </w:r>
    </w:p>
    <w:p>
      <w:pPr>
        <w:spacing w:after="0" w:line="57" w:lineRule="exact"/>
        <w:rPr>
          <w:rFonts w:ascii="Arial" w:cs="Arial" w:eastAsia="Arial" w:hAnsi="Arial"/>
          <w:sz w:val="18"/>
          <w:szCs w:val="18"/>
          <w:color w:val="auto"/>
        </w:rPr>
      </w:pPr>
    </w:p>
    <w:p>
      <w:pPr>
        <w:ind w:left="1520" w:right="40" w:hanging="500"/>
        <w:spacing w:after="0" w:line="301"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In September 2020, we initiated a Phase 1 clinical study of EDP-297, a highly potent and targeted follow-on FXR agonist, being developed for the treatment of NASH. The Phase 1, randomized, double-blind, placebo-controlled, first-in-human study is designed to assess the safety, tolerability, and pharmacokinetics, including the effect of food intake, of orally administered EDP-297 in approximately 74 healthy adult subjects. We expect to have preliminary data from this study in the third calendar quarter of 2021.</w:t>
      </w:r>
    </w:p>
    <w:p>
      <w:pPr>
        <w:spacing w:after="0" w:line="49" w:lineRule="exact"/>
        <w:rPr>
          <w:rFonts w:ascii="Arial" w:cs="Arial" w:eastAsia="Arial" w:hAnsi="Arial"/>
          <w:sz w:val="18"/>
          <w:szCs w:val="18"/>
          <w:color w:val="auto"/>
        </w:rPr>
      </w:pPr>
    </w:p>
    <w:p>
      <w:pPr>
        <w:ind w:left="1520" w:right="620" w:hanging="500"/>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We also expect that in the third calendar quarter of 2021 ARGON-2 will provide us an internal interim analysis at 12 weeks of treatment in a subset of patients.</w:t>
      </w:r>
    </w:p>
    <w:p>
      <w:pPr>
        <w:spacing w:after="0" w:line="62" w:lineRule="exact"/>
        <w:rPr>
          <w:rFonts w:ascii="Arial" w:cs="Arial" w:eastAsia="Arial" w:hAnsi="Arial"/>
          <w:sz w:val="18"/>
          <w:szCs w:val="18"/>
          <w:color w:val="auto"/>
        </w:rPr>
      </w:pPr>
    </w:p>
    <w:p>
      <w:pPr>
        <w:ind w:left="1520" w:right="240" w:hanging="500"/>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Once we have data from these two studies, we expect to be positioned to prioritize our NASH clinical assets and define our optimal go-forward strategy.</w:t>
      </w:r>
    </w:p>
    <w:p>
      <w:pPr>
        <w:spacing w:after="0" w:line="62" w:lineRule="exact"/>
        <w:rPr>
          <w:sz w:val="20"/>
          <w:szCs w:val="20"/>
          <w:color w:val="auto"/>
        </w:rPr>
      </w:pPr>
    </w:p>
    <w:p>
      <w:pPr>
        <w:ind w:left="1520" w:right="60" w:hanging="500"/>
        <w:spacing w:after="0" w:line="259" w:lineRule="auto"/>
        <w:tabs>
          <w:tab w:leader="none" w:pos="152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In addition, we have been pursuing research in another mechanism that may provide therapeutic benefit in NASH and which might be used in combination with an FXR agonist or other therapies for NASH.</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420485" cy="2991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2048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Royalty Revenue Collaboration</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15"/>
          <w:szCs w:val="15"/>
          <w:color w:val="auto"/>
        </w:rPr>
        <w:t>®</w:t>
      </w:r>
      <w:r>
        <w:rPr>
          <w:rFonts w:ascii="Arial" w:cs="Arial" w:eastAsia="Arial" w:hAnsi="Arial"/>
          <w:sz w:val="18"/>
          <w:szCs w:val="18"/>
          <w:color w:val="auto"/>
        </w:rPr>
        <w:t xml:space="preserve"> (U.S.) and MAVIRET</w:t>
      </w:r>
      <w:r>
        <w:rPr>
          <w:rFonts w:ascii="Arial" w:cs="Arial" w:eastAsia="Arial" w:hAnsi="Arial"/>
          <w:sz w:val="15"/>
          <w:szCs w:val="15"/>
          <w:color w:val="auto"/>
        </w:rPr>
        <w:t>®</w:t>
      </w:r>
      <w:r>
        <w:rPr>
          <w:rFonts w:ascii="Arial" w:cs="Arial" w:eastAsia="Arial" w:hAnsi="Arial"/>
          <w:sz w:val="18"/>
          <w:szCs w:val="18"/>
          <w:color w:val="auto"/>
        </w:rPr>
        <w:t xml:space="preserve"> (ex-U.S.), is referred to in this report as MAVYRET/MAVIRET. Since August 2017, substantially all of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80"/>
        <w:spacing w:after="0" w:line="263" w:lineRule="auto"/>
        <w:rPr>
          <w:sz w:val="20"/>
          <w:szCs w:val="20"/>
          <w:color w:val="auto"/>
        </w:rPr>
      </w:pPr>
      <w:r>
        <w:rPr>
          <w:rFonts w:ascii="Arial" w:cs="Arial" w:eastAsia="Arial" w:hAnsi="Arial"/>
          <w:sz w:val="18"/>
          <w:szCs w:val="18"/>
          <w:color w:val="auto"/>
        </w:rPr>
        <w:t>royalty revenue has been derived from AbbVie’s net sales of MAVYRET/MAVIRET. Our ongoing royalty revenues from this regimen consists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current COVID-19 pandemic has presented substantial challenges for public health and economies around the world, and it is affecting our clinical trials, our royalty revenues received from AbbVie, and our business operations.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public health actions taken to contain it and roll out vaccinations worldwide, as well as the cumulative economic impact of all of these factors. Additionally, as new, more infectious variants emerge, such as the delta variant, it is possible that the impact of the pandemic on our business may continue or change.</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continuing to assess and manage the potential impact of the COVID-19 pandemic on our business and operations, including our expenses, clinical trials and royalty revenue. The majority of our employees were working from home since March 2020, while scientific personnel were working in our laboratories, on a shift basis, since May 2020. Recently our scientific personnel have resumed a full-time, one-shift schedule and our other employees have begun a phase-in of returning back to working on site.</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third-party contract manufacturing partners continue to operate at or near normal levels producing drug substance and drug product for our research and clinical development programs, so we currently do not anticipate any material interruptions in our supply chain, but it is possible that may change. We paused enrollment in two of our ongoing clinical trials, ARGON-2 and our HBV nuc-suppressed study, in March 2020 and resumed recruiting in these studies in July 2020. Also, the mitigation steps to manage the COVID-19 pandemic in the past year have suppressed the global incidence of RSV and respiratory illnesses other than COVID-19, which has adversely affected enrollment in our RSVP study. It is currently uncertain when RSV will re-emerge and become prevalent across a substantial portion of these regions covered by our trial sites in North America, Europe, the Asia-Pacific and the Southern Hemisphere. We also continue to experience a variety of more minor interruptions and complications in our other clinical trials, such as limitations in clinical trial supplies other than drug product, as well as local changes in COVID-19 impacts at individual trial sites. Due to these interruptions, particularly in North America and Europe, we expect to have the internal interim analysis of the ARGON-2 study, together with data from the Phase 1 EDP-297 study, in the third calendar quarter of 2021. While our ongoing trials are proceeding, it is unclear what further impact, if any, the COVID-19 pandemic may have on the timeline for enrollment and/or completion of all or any of our clinical trials.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our royalty revenue, we have continued to report lower royalty revenue during our fiscal 2021 as compared to periods ending before March 2020 due to the worldwide impact of the COVID-19 pandemic. The pandemic resulted in a decline in patient volumes, HCV diagnoses, HCV prescriptions and sales of MAVYRET/MAVIRET, though AbbVie’s net sales in the three months ended June 30, 2021 were higher than at the start of the pandemic in the comparable period in 2020.</w:t>
      </w:r>
    </w:p>
    <w:p>
      <w:pPr>
        <w:spacing w:after="0" w:line="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While the evolving impact of COVID-19 will likely continue to affect aspects of our business, including those described above, we remain capable of funding our research and development programs for at least the next two years with the current level of royalty revenue and our existing cash and short-term and long-term investments, which totaled $372.5 million at June 30, 2021.</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Please see Item 1A “Risk Factors” in this quarterly report for additional discussion of risks and potential risks of the COVID-19 pandemic on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currently funding all research and development for our wholly-owned programs, which are targeted toward the discovery and development of novel compounds for the treatment of viral infections and liver diseases. We have four Phase 2 studies ongoing for our wholly-owned programs in RSV and NASH and four Phase 1 studies in our HBV and NASH programs. In addition, we are also progressing EDP-235 toward a first-in-human study in early 2022 and we have other compounds in preclinical development with the goal of having another new clinical candidate identified by the end of calendar 2021 from of our respiratory virology discovery efforts.</w:t>
      </w:r>
    </w:p>
    <w:p>
      <w:pPr>
        <w:spacing w:after="0" w:line="8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2021, we experienced disruptions in our business due to the spread of COVID-19. Specifically, the rate of RSV infection in both the Northern and Southern Hemispheres has been suppressed due to COVID-19 mitigation measures. In order to offset this as the RSV season swings back to the Northern Hemisphere, we reactivated sites in North America for RSVP and are establishing sites in several countries in Europe, the Asia-Pacific and the Southern Hemisphere for our three RSV trials in preparation for the re-emergence of RSV.</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ind w:right="240"/>
        <w:spacing w:after="0" w:line="286" w:lineRule="auto"/>
        <w:rPr>
          <w:sz w:val="20"/>
          <w:szCs w:val="20"/>
          <w:color w:val="auto"/>
        </w:rPr>
      </w:pPr>
      <w:r>
        <w:rPr>
          <w:rFonts w:ascii="Arial" w:cs="Arial" w:eastAsia="Arial" w:hAnsi="Arial"/>
          <w:sz w:val="17"/>
          <w:szCs w:val="17"/>
          <w:color w:val="auto"/>
        </w:rPr>
        <w:t>As a result of our clinical development programs, as well as efforts to advance other compounds into preclinical development, we expect to incur greater expenses in fiscal 2021 than in 2020 as we continue to advance our RSV, HBV, NASH, SARS CoV-2 and hMPV programs. However, if the COVID-19 pandemic slows down our research and development programs, it will reduce our spending in those areas in the near term.</w:t>
      </w:r>
    </w:p>
    <w:p>
      <w:pPr>
        <w:spacing w:after="0" w:line="5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During 2020 and into 2021, royalty revenues declined as compared to the prior year due primarily to the worldwide impact of COVID-19 on treated patient volumes as well as competitive pricing pressures in select markets. Given the uncertainty regarding the level of AbbVie’s future MAVYRET/MAVIRET sales that will generate our royalty revenue as well as increases in our future expenditures for the advancement of our internally developed compounds, we expect our expenses will exceed our revenues in fiscal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nine months ended June 30, 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4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125,165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100,070</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20,628</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41,505</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149,345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6" w:lineRule="exact"/>
        <w:rPr>
          <w:sz w:val="20"/>
          <w:szCs w:val="20"/>
          <w:color w:val="auto"/>
        </w:rPr>
      </w:pPr>
    </w:p>
    <w:p>
      <w:pPr>
        <w:ind w:left="1000" w:right="7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personnel costs, including salaries, related benefits and stock-based compensation for employees engaged in scientific research and development functions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220"/>
        <w:spacing w:after="0" w:line="308" w:lineRule="auto"/>
        <w:rPr>
          <w:sz w:val="20"/>
          <w:szCs w:val="20"/>
          <w:color w:val="auto"/>
        </w:rPr>
      </w:pPr>
      <w:r>
        <w:rPr>
          <w:rFonts w:ascii="Arial" w:cs="Arial" w:eastAsia="Arial" w:hAnsi="Arial"/>
          <w:sz w:val="17"/>
          <w:szCs w:val="17"/>
          <w:color w:val="auto"/>
        </w:rPr>
        <w:t>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Other income (expense), net consists of interest income, interest expense and the change in fair value of our outstanding Series 1 nonconvertible preferred stock. Interest income consists of interest earned on our cash equivalents and short-term and long-term marketable securities balances as well as interest earned for any refunds received from tax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Income tax benefit is based on our best estimate of applicable income tax rates, net research and development tax credits, net operating loss carryforwards and deferred income taxes, for the entire fiscal year applied to pre-tax profit or loss reported for the year-to-date period, except when a reliable estimate of the annual effective tax rate cannot be made and we instead use the year-to-date effective tax 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78"/>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left="37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21,624</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18,653</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46,994</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34,682</w:t>
            </w:r>
          </w:p>
        </w:tc>
        <w:tc>
          <w:tcPr>
            <w:tcW w:w="8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660" w:type="dxa"/>
            <w:vAlign w:val="bottom"/>
            <w:shd w:val="clear" w:color="auto" w:fill="CFF0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9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9,384</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w:t>
            </w:r>
          </w:p>
        </w:tc>
        <w:tc>
          <w:tcPr>
            <w:tcW w:w="8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recognized royalty revenue of $21.6 million during the three months ended June 30, 2021 as compared to $18.7 million during the three months ended June 30, 2020. The $3.0 million increase in royalty revenue was due to AbbVie’s higher reported HCV sales as compared to the comparable period in 2020 when the COVID-19 pandemic began. HCV patient volumes continue to remain below pre-COVID-19 levels.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tbl>
      <w:tblPr>
        <w:tblLayout w:type="fixed"/>
        <w:tblInd w:w="170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center"/>
              <w:ind w:left="37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Virology</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34,947</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21,182</w:t>
            </w:r>
          </w:p>
        </w:tc>
        <w:tc>
          <w:tcPr>
            <w:tcW w:w="80" w:type="dxa"/>
            <w:vAlign w:val="bottom"/>
          </w:tcPr>
          <w:p>
            <w:pPr>
              <w:spacing w:after="0"/>
              <w:rPr>
                <w:sz w:val="19"/>
                <w:szCs w:val="19"/>
                <w:color w:val="auto"/>
              </w:rPr>
            </w:pP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11,442</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10,758</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level of research and development expenses for the three months ended June 30, 2021 increased by $12.3 million compared to the same period in 2020. The increase was primarily driven by the timing of our clinical studies in our virology programs and liver disease program. For our virology program, we had two Phase 1b studies of EDP-514 in chronic HBV. In addition, we had three ongoing Phase 2 studies of EDP-938 in RSV during the three months ended June 30, 2021. In the prior year, we had our clinical study of EDP-514 in a Phase 1a study and our ongoing Phase 2 RSVP study of EDP-938. For our liver disease program during the three months ended June 30, 2021 we had our Phase 2 ongoing study (ARGON-2) of EDP-305 and our Phase 1 study of our FXR follow-on candidate, EDP-297, whereas in 2020 we had our ARGON-2 study ongoing and were in process of completing our ARGON-1 study.</w:t>
      </w:r>
    </w:p>
    <w:p>
      <w:pPr>
        <w:spacing w:after="0" w:line="164"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In the near term, our clinical trial expenses could fluctuate if the impact of the COVID-19 pandemic continues through calendar 2021 and negatively impacts patient recruitment and monitoring. In the coming years, we expect our research and development expenses to increase as our wholly-owned programs advance, subject to any long-term impact of the COVID-19 pandemic.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General and administrative expenses increased by $1.7 million for the three months ended June 30, 2021 compared to the prior year due to increases in headcount and related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Other income (expense), net, decreased $1.0 million for the three months ended June 30, 2021 as compared to the same period in 2020 due to a net decrease in investment income driven by lower interest rates year-over-year and purchases of marketable securities at a premium.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three months ended June 30, 2021 and 2020, we recorded an income tax benefit of $9.4 million and $7.1 million, respectively. The income tax benefit for the three months ended June 30, 2021 was driven primarily by our pre-tax loss and a federal net operating loss carryback under the CARES Act. We continue to record a valuation allowance against substantially all of our deferred tax assets as it is more likely than not that those tax benefits will not be realized in the future. The income tax benefit for the three months ended June 30, 2020 was driven by our pre-tax loss and federal research and development tax credits.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June 30, 2021 and 2020</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73,499</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98,842</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125,165</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100,070</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24,180</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20,628</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5,471</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19,788</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9,558</w:t>
            </w:r>
          </w:p>
        </w:tc>
        <w:tc>
          <w:tcPr>
            <w:tcW w:w="8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3" w:name="page24"/>
    <w:bookmarkEnd w:id="23"/>
    <w:p>
      <w:pPr>
        <w:ind w:right="100"/>
        <w:spacing w:after="0" w:line="279" w:lineRule="auto"/>
        <w:rPr>
          <w:sz w:val="20"/>
          <w:szCs w:val="20"/>
          <w:color w:val="auto"/>
        </w:rPr>
      </w:pPr>
      <w:r>
        <w:rPr>
          <w:rFonts w:ascii="Arial" w:cs="Arial" w:eastAsia="Arial" w:hAnsi="Arial"/>
          <w:sz w:val="17"/>
          <w:szCs w:val="17"/>
          <w:color w:val="auto"/>
        </w:rPr>
        <w:t>We recognized royalty revenue of $73.5 million during the nine months ended June 30, 2021 as compared to $98.8 million during the nine months ended June 30, 2020. Royalty revenue for the nine months ended June 30, 2021 decreased $25.3 million compared to the comparable period in 2020, because the COVID-19 pandemic only emerged at the end of the second fiscal quarter of 2020. Since then, AbbVie’s sales of MAVYRET/MAVIRET have been lower as a result of treated HCV patient volumes continuing to remain below pre-pandemic levels.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2"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223"/>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89"/>
              </w:rPr>
              <w:t>(in thousands)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89,416</w:t>
            </w:r>
          </w:p>
        </w:tc>
        <w:tc>
          <w:tcPr>
            <w:tcW w:w="1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60,063</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36,840</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125,165</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level of research and development expenses for the nine months ended June 30, 2021 increased by $25.1 million compared to the same period in 2020. The increase was primarily driven by timing of our clinical studies in our virology programs and offset by a decrease in clinical trial expenses in our liver disease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General and administrative expenses increased by $3.6 million for the nine months ended June 30, 2021 compared to the prior year due to increases in headcount and related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income (expense), net, decreased $3.8 million for the nine months ended June 30, 2021 as compared to the same period in 2020 due to a net decrease in investment income primarily driven by lower interest rates year-over-year.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nine months ended June 30, 2021 and 2020 we recorded an income tax benefit of $19.8 million and $9.6 million, respectively. The income tax benefit for the nine months ended June 30, 2021 was driven primarily by our pre-tax loss and a federal net operating loss carryback under the CARES Act. An income tax benefit was recorded during the nine months ended June 30, 2020 due to our lower pre-tax loss, federal research and development tax credits, release of an uncertain tax liability and stock award-related activity.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June 30, 2021, our principal sources of liquidity were cash, cash equivalents and short-term and long-term marketable securities totaling $372.5 million. We believe, despite the ongoing global impact of COVID-19, that our principal sources of liquidity will be sufficient to meet our anticipated cash requirements for at least the next two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nine months ended June 30,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Operating activities</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(48,975)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22,549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(35,692)</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0"/>
              </w:rPr>
              <w:t>Net increase (decrease) in cash, cash equivalents and restricted</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(82,530)</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48,625</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Borders>
              <w:top w:val="single" w:sz="8" w:color="CFF0FC"/>
              <w:bottom w:val="single" w:sz="8" w:color="CFF0FC"/>
            </w:tcBorders>
            <w:vMerge w:val="restart"/>
          </w:tcPr>
          <w:p>
            <w:pPr>
              <w:ind w:left="384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increase in cash used in operating activities of $71.5 million for the nine months ended June 30, 2021 as compared to the same period in 2020 was primarily driven by an increase in our net loss year-over-year and net cash used by changes in our operating assets and liabilities of $10.8 million in the nine months ended June 30, 2021 as compared to net cash provided by changes in our operating assets and liabilities of $19.4 million for the same period in 2020. Changes in our operating assets and liabilities year-over-year was generally due to a decrease in payments received under our collaboration with AbbVie, the advancement of our research programs and the timing of vendor invoicing and payments.</w:t>
      </w:r>
    </w:p>
    <w:p>
      <w:pPr>
        <w:spacing w:after="0" w:line="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as of June 30, 2021, we had a $17.5 million increase in our income tax receivable, primarily consisting of an estimated federal net operating loss carryback for fiscal 2021 for which we will request a refund in the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of $53.0 million in cash provided by investing activities for the nine months ended June 30, 2021 as compared to the same period in 2020 was the result of the timing of purchases, sales and maturities of marketable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decrease of $6.6 million in net cash provided by financing activities for the nine months ended June 30, 2021 as compared to the same period in 2020 was driven by a decrease in proceeds from exercises of stock options of $7.6 million and offset by a decrease in withholding tax payments for the settlement of share-based awards of $1.0 million driven by a decline in our stock price year-over-year at the time of vesting of certain share-based awards.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$372.5 million in cash, cash equivalents and short-term and long-term marketable securities.</w:t>
      </w:r>
    </w:p>
    <w:p>
      <w:pPr>
        <w:spacing w:after="0" w:line="117" w:lineRule="exact"/>
        <w:rPr>
          <w:sz w:val="20"/>
          <w:szCs w:val="20"/>
          <w:color w:val="auto"/>
        </w:rPr>
      </w:pPr>
    </w:p>
    <w:p>
      <w:pPr>
        <w:ind w:right="760"/>
        <w:spacing w:after="0" w:line="286" w:lineRule="auto"/>
        <w:rPr>
          <w:sz w:val="20"/>
          <w:szCs w:val="20"/>
          <w:color w:val="auto"/>
        </w:rPr>
      </w:pPr>
      <w:r>
        <w:rPr>
          <w:rFonts w:ascii="Arial" w:cs="Arial" w:eastAsia="Arial" w:hAnsi="Arial"/>
          <w:sz w:val="17"/>
          <w:szCs w:val="17"/>
          <w:color w:val="auto"/>
        </w:rPr>
        <w:t>We believe that our existing cash, cash equivalents and marketable securities as of June 30, 2021 will be sufficient to meet our anticipated cash requirements for at least the next two years. However, our forecast of the period for which our financial resources will be adequate to support our operations is a forward-looking statement that involves risks and uncertainties, and actual results could vary materially.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44"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58"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5" w:name="page26"/>
    <w:bookmarkEnd w:id="25"/>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the timing of receipt of tax refunds due from the U</w:t>
      </w:r>
      <w:r>
        <w:rPr>
          <w:rFonts w:ascii="Arial" w:cs="Arial" w:eastAsia="Arial" w:hAnsi="Arial"/>
          <w:sz w:val="18"/>
          <w:szCs w:val="18"/>
          <w:color w:val="000000"/>
        </w:rPr>
        <w:t>.S. government for net operating loss carrybacks;</w:t>
      </w:r>
    </w:p>
    <w:p>
      <w:pPr>
        <w:spacing w:after="0" w:line="144"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our 2020 Form 10-K Part II, Item 7, Management’s Discussion and Analysis of Financial Conditions and Results of Operations, under the heading “Contractual Obligations and Commitments”, we have described our commitments and contingencies. There were no material changes to our total contractual commitments and obligations during the nine months ended June 30,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2020 (referred to as our 2020 Form 10-K) for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$372.5 million at June 30, 2021 consisting of cash, money market funds,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we continue to progress our wholly-owned programs into clinical development we will conduct clinical trials outside of the U.S. and thus will face exposure to movements in foreign currency exchange rates, primarily the British Pound and Euro, against the U.S. Dollar, arising from our accounts payable and accrued expenses. During the nine months ended June 30, 2021,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95"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three months ended June 30, 2021 that has materially affected, or is reasonably likely to materially affect, our internal control over financial reporting.</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220"/>
          </w:cols>
          <w:pgMar w:left="320" w:top="337"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780"/>
          </w:cols>
          <w:pgMar w:left="320" w:top="337" w:right="359" w:bottom="1440" w:gutter="0" w:footer="0" w:header="0"/>
          <w:type w:val="continuous"/>
        </w:sectPr>
      </w:pPr>
    </w:p>
    <w:p>
      <w:pPr>
        <w:ind w:right="160"/>
        <w:spacing w:after="0" w:line="275" w:lineRule="auto"/>
        <w:rPr>
          <w:sz w:val="20"/>
          <w:szCs w:val="20"/>
          <w:color w:val="auto"/>
        </w:rPr>
      </w:pPr>
      <w:r>
        <w:rPr>
          <w:rFonts w:ascii="Arial" w:cs="Arial" w:eastAsia="Arial" w:hAnsi="Arial"/>
          <w:sz w:val="17"/>
          <w:szCs w:val="17"/>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continue to experience lower sales volume in future quarters due to a reduction in diagnoses and treatment of HCV, which could adversely affect our business.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rely on AbbVie to commercialize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68" w:lineRule="exact"/>
        <w:rPr>
          <w:sz w:val="20"/>
          <w:szCs w:val="20"/>
          <w:color w:val="auto"/>
        </w:rPr>
      </w:pPr>
    </w:p>
    <w:p>
      <w:pPr>
        <w:ind w:left="1000" w:right="2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obtain all commercially necessary reimbursement approvals;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unilaterally terminate our collaboration agreement on specified prior notice without any reason and without any further commitment.</w:t>
      </w:r>
    </w:p>
    <w:p>
      <w:pPr>
        <w:spacing w:after="0" w:line="1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do not have access to all information regarding AbbVie’s MAVYRET/MAVIRET, including certain information about spontaneous safety reports for any marketed product, regulatory affairs, process development, manufacturing, marketing, sales and other areas known by AbbVie. Thus, our ability to keep our stockholders informed about the status of the marketed products licensed under our collaboration is limited by the degree to which AbbVie keeps us informed. If AbbVie does not perform in the manner we expect or fulfill its responsibilities in a timely manner, or at all, the global commercialization of MAVYRET/MAVIRET could be terminated in selected jurisdictions or be commercially unsuccessful. 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business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8" w:name="page29"/>
    <w:bookmarkEnd w:id="28"/>
    <w:p>
      <w:pPr>
        <w:ind w:right="140"/>
        <w:spacing w:after="0" w:line="277"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its MAVYRET/MAVIRET regimen for HCV. If AbbVie is unable to maintain sales of this regimen at or above current levels of sales, our royalty revenues will be adversely affected.</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negotiated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HCV regimen branded as Epclusa</w:t>
      </w:r>
      <w:r>
        <w:rPr>
          <w:rFonts w:ascii="Arial" w:cs="Arial" w:eastAsia="Arial" w:hAnsi="Arial"/>
          <w:sz w:val="13"/>
          <w:szCs w:val="13"/>
          <w:color w:val="auto"/>
        </w:rPr>
        <w:t>®</w:t>
      </w:r>
      <w:r>
        <w:rPr>
          <w:rFonts w:ascii="Arial" w:cs="Arial" w:eastAsia="Arial" w:hAnsi="Arial"/>
          <w:sz w:val="16"/>
          <w:szCs w:val="16"/>
          <w:color w:val="auto"/>
        </w:rPr>
        <w:t>.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we expect that the COVID-19 pandemic will continue to adversely affect AbbVie’s sales of MAVYRET/MAVIRET in the United States and the rest of the world if healthcare systems continue to experience varying levels of shut-down and diagnoses and treatment rates of HCV infections remain at below-normal levels. At this point in time we do not know the extent and duration of this adverse effect. We note, however, that the HCV patient pool will continue to carry the viral infection until treated.</w:t>
      </w:r>
    </w:p>
    <w:p>
      <w:pPr>
        <w:spacing w:after="0" w:line="2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RSV, HBV, NASH, hMPV and SARS-CoV-2, which may result in others discovering, developing or commercializing products before we do or doing so more successfully than we do.</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HBV, NASH, hMPV and SARS-CoV-2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6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expect AbbVie’s MAVYRET/MAVIRET to continue to face intense competition due to existing approved products in the HCV market. AbbVie’s MAVYRET/MAVIRET regimen currently faces competition in various world markets and subpopulations of HCV from Gilead’s Epclusa</w:t>
      </w:r>
      <w:r>
        <w:rPr>
          <w:rFonts w:ascii="Arial" w:cs="Arial" w:eastAsia="Arial" w:hAnsi="Arial"/>
          <w:sz w:val="14"/>
          <w:szCs w:val="14"/>
          <w:color w:val="auto"/>
        </w:rPr>
        <w:t>®</w:t>
      </w:r>
      <w:r>
        <w:rPr>
          <w:rFonts w:ascii="Arial" w:cs="Arial" w:eastAsia="Arial" w:hAnsi="Arial"/>
          <w:sz w:val="17"/>
          <w:szCs w:val="17"/>
          <w:color w:val="auto"/>
        </w:rPr>
        <w:t xml:space="preserve"> (a fixed dose combination of sofosbuvir and velpatasvir), Vosevi</w:t>
      </w:r>
      <w:r>
        <w:rPr>
          <w:rFonts w:ascii="Arial" w:cs="Arial" w:eastAsia="Arial" w:hAnsi="Arial"/>
          <w:sz w:val="14"/>
          <w:szCs w:val="14"/>
          <w:color w:val="auto"/>
        </w:rPr>
        <w:t>®</w:t>
      </w:r>
      <w:r>
        <w:rPr>
          <w:rFonts w:ascii="Arial" w:cs="Arial" w:eastAsia="Arial" w:hAnsi="Arial"/>
          <w:sz w:val="17"/>
          <w:szCs w:val="17"/>
          <w:color w:val="auto"/>
        </w:rPr>
        <w:t xml:space="preserve"> (a triple combination therapy of sofosbuvir, velpatasvir and voxilaprevir approved by the FDA for specified sofosbuvir -treatment failures and NS5A-inhibitor treatment failures) and Harvoni</w:t>
      </w:r>
      <w:r>
        <w:rPr>
          <w:rFonts w:ascii="Arial" w:cs="Arial" w:eastAsia="Arial" w:hAnsi="Arial"/>
          <w:sz w:val="14"/>
          <w:szCs w:val="14"/>
          <w:color w:val="auto"/>
        </w:rPr>
        <w:t>®</w:t>
      </w:r>
      <w:r>
        <w:rPr>
          <w:rFonts w:ascii="Arial" w:cs="Arial" w:eastAsia="Arial" w:hAnsi="Arial"/>
          <w:sz w:val="17"/>
          <w:szCs w:val="17"/>
          <w:color w:val="auto"/>
        </w:rPr>
        <w:t xml:space="preserve"> (a fixed-dose combination of sofosbuvir and ledipasvir); and to a lesser extent - Merck’s Zepatier</w:t>
      </w:r>
      <w:r>
        <w:rPr>
          <w:rFonts w:ascii="Arial" w:cs="Arial" w:eastAsia="Arial" w:hAnsi="Arial"/>
          <w:sz w:val="14"/>
          <w:szCs w:val="14"/>
          <w:color w:val="auto"/>
        </w:rPr>
        <w:t>®</w:t>
      </w:r>
      <w:r>
        <w:rPr>
          <w:rFonts w:ascii="Arial" w:cs="Arial" w:eastAsia="Arial" w:hAnsi="Arial"/>
          <w:sz w:val="17"/>
          <w:szCs w:val="17"/>
          <w:color w:val="auto"/>
        </w:rPr>
        <w:t xml:space="preserve">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 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We also expect our other product candidates to face intense and increasing competition. RSV and HBV represent competitive therapeutic areas.</w:t>
      </w:r>
    </w:p>
    <w:p>
      <w:pPr>
        <w:spacing w:after="0" w:line="1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there are effective antiviral medications prescribed for HBV, they generally have low true cure rates. Many companies are seeking to develop new HBV drugs that alone or in combination with other mechanisms could lead to a functional cure of HBV. Altimmune, Antios, Arbutus, Ascletis, Assembly, GIGB, Gilead, Green Cross, GSK/Ionis, HEC Pharma, Johnson &amp; Johnson/Janssen, Replicor, Roche, Vaccitech, VBI Vaccines and Vir Biotechnology have Phase 2 programs in progress, with many of these companies conducting earlier stage programs as well. In addition, a number of companies have Phase 1 or earlier stage HBV programs, including AiCuris, Aligos, ENYO, Fujian Cosunter, Ichor, Immunocore, Jiangsu Hengrui, Protheragen, Qilu, Sichuan Kelon, Venatorx, and Zhimeng Biopharma.</w:t>
      </w:r>
    </w:p>
    <w:p>
      <w:pPr>
        <w:spacing w:after="0" w:line="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Though there is currently no approved treatment for NASH, we expect significant competition from other companies in the development of new treatments for NASH and related conditions. In February 2019, Intercept Pharmaceuticals announced positive Phase 3 trial results for OCA (brand name Ocaliva®) in NASH and submitted U.S. and European regulatory filings in the second half of calendar 2019 for approvals in this indication. In June 2020 Intercept received a complete response letter from the FDA and has announced that it is currently in ongoing discussions with the FDA and expects to refile an NDA for OCA in 2021 with additional safety and efficacy data. In addition to Intercept, we are aware of several other companies with NASH programs that are significantly more advanced than ours, including companies with compounds in late stage (Ph2b/3) in NASH, namely Akero, BMS, Cirius, Galectin, Galmed, Gilead, Inventiva, Madrigal, NGM Bio, NorthSea, Novartis, Novo Nordisk Theratechnologies and Viking. In addition, a number of other companies have NASH or related programs with compounds in Phase 2 clinical trials. These companies include 89bio, Afimmune, Ascletis, AstraZeneca, Corcept, CymaBay, CytoDyn, Eli Lilly, ENYO, GRI Bio, Hanmi Pharma, Hepion, HighTide, Immuron, LifeMax. Lipocine, MediciNova, Metacrine, NuSirt, Oramed, Pfizer, Poxel, Roche, Sagimet, Second Genome, Terns, Zealan and Zydus Cadila. A significant number of other companies are conducting earlier stage clinical trials that may be applicable in NASH. There are also additional companies conducting preclinical studies in these disease areas.</w:t>
      </w:r>
    </w:p>
    <w:p>
      <w:pPr>
        <w:spacing w:after="0" w:line="6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Many companies are testing vaccines, antibodies, and therapeutics for COVID-19. There are some companies developing specific, novel antivirals for SARS-CoV-2 that are currently in Phase 3 studies including Atea/Roche, Merck/Ridgeback, and Toyama or Phase 1/2 studies including Biocryst, Pfizer, Todos, and Selva.</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ongoing COVID-19 pandemic has had an impact on our business operations and clinical trials and could continue, directly or indirectly, to adversely affect our business, results of operations and financial condition and our stock price.</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COVID-19 pandemic has had an impact on our business operations and we continue to monitor applicable government recommendations. We had to make modifications to our normal operations because of the COVID-19 pandemic, including allowing certain of our employees to work remotely and conducting our laboratory operations at reduced capacity. Now that almost all of our employees are vaccinated and levels of COVID-19 infection in Eastern Massachusetts have declined substantially, we have our laboratory operations back at full capacity and other operations have started to return to more on-site activity. Notwithstanding these recent trends, the COVID-19 pandemic, including insufficient vaccination of the general population and the emergence of new SARS-CoV-2 variants, including the delta variant, could affect the health and availability of our workforce as well as those of the third parties whom we are relying on to take similar measures. As a result, we may experience new disruptions to our business operations and our business could be materially adversely affected further, directly or indirectly, by the ongoing COVID-19 pandemic, which has spread to the countries in which we, our contract manufacturers, our preclinical and clinical research contractors and our collaborators in clinical research do business.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Organizations and individuals may continue to take additional steps to avoid or reduce infection, including limiting travel and staying home from work. These measures may continue to disrupt normal business operations both inside and outside of affected areas and have had significant negative impacts on healthcare and other businesses worldwide.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80"/>
        <w:spacing w:after="0" w:line="270" w:lineRule="auto"/>
        <w:rPr>
          <w:sz w:val="20"/>
          <w:szCs w:val="20"/>
          <w:color w:val="auto"/>
        </w:rPr>
      </w:pPr>
      <w:r>
        <w:rPr>
          <w:rFonts w:ascii="Arial" w:cs="Arial" w:eastAsia="Arial" w:hAnsi="Arial"/>
          <w:sz w:val="17"/>
          <w:szCs w:val="17"/>
          <w:color w:val="auto"/>
        </w:rPr>
        <w:t>The extent and severity of the impact on our business and clinical trials will be determined largely by the extent of disruptions in the supply chains for our research and clinical trial materials, delays in the conduct and recruitment of current and future clinical trials and reductions in the number of patients accessing AbbVie’s HCV regimens. For example, we paused recruitment for our Phase 2b ARGON-2 study of EDP-305 in NASH patients and Part 2 of our Phase 1a/1b study of EDP-514 in nuc-suppressed HBV patients in March 2020, but we were able to resume recruitment of these studies in July 2020. In addition, the public health response to the COVID-19 pandemic, including lock-downs, mask mandates, social distancing and other mitigation steps to manage the COVID-19 pandemic have significantly reduced the incidence of RSV and other respiratory illnesses worldwide. We have made extensive efforts to expand our clinical sites beyond North America, including sites across Europe, the Asia-Pacific and the Southern Hemisphere, to be ready when RSV infection re-emerges, but we cannot predict when that may occur. These impacts of COVID-19 could continue to affect the future course of our RSV studies and our other ongoing clinical trials and delay their timelines.</w:t>
      </w:r>
    </w:p>
    <w:p>
      <w:pPr>
        <w:spacing w:after="0" w:line="7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2020 and 2021, COVID-19 has also impacted new HCV patient starts in both the United States and the rest of the world, resulting in a decline in sales of HCV treatments. While new HCV infections are continuing, at this time it is uncertain when and the extent to which treatment of new HCV patients and revenues will return to pre-COVID-19 levels.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 impact of the COVID-19 pandemic on the operations of the FDA and other health authorities may delay potential approvals of our clinical trial protocols.</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Although it is not possible at this time to estimate the entirety of the impact that the COVID-19 pandemic will have on our business, operations and employees, our contract manufacturers, our preclinical and clinical research contractors, and our collaborators in clinical research, any continued spread of COVID-19, measures taken by governments, actions taken to protect employees from this disease, and the broad impact of the pandemic on all business activities, may materially and adversely affect our business, results of operations and financial condition and our stock price. Additionally, as new, more infectious variants emerge, it is possible that the impact of the pandemic on our business may increase or lengthen in duration.</w:t>
      </w:r>
    </w:p>
    <w:p>
      <w:pPr>
        <w:spacing w:after="0" w:line="2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the development of our independent RSV, NASH, and HBV programs, we will need to successfully:</w:t>
      </w:r>
    </w:p>
    <w:p>
      <w:pPr>
        <w:spacing w:after="0" w:line="79" w:lineRule="exact"/>
        <w:rPr>
          <w:sz w:val="20"/>
          <w:szCs w:val="20"/>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payors and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1" w:name="page32"/>
    <w:bookmarkEnd w:id="31"/>
    <w:p>
      <w:pPr>
        <w:ind w:right="780"/>
        <w:spacing w:after="0" w:line="277" w:lineRule="auto"/>
        <w:rPr>
          <w:sz w:val="20"/>
          <w:szCs w:val="20"/>
          <w:color w:val="auto"/>
        </w:rPr>
      </w:pPr>
      <w:r>
        <w:rPr>
          <w:rFonts w:ascii="Arial" w:cs="Arial" w:eastAsia="Arial" w:hAnsi="Arial"/>
          <w:sz w:val="18"/>
          <w:szCs w:val="18"/>
          <w:b w:val="1"/>
          <w:bCs w:val="1"/>
          <w:i w:val="1"/>
          <w:iCs w:val="1"/>
          <w:color w:val="auto"/>
        </w:rPr>
        <w:t>If we are not successful in developing EDP-938, EDP-514, EDP-721, EDP-235, EDP-305, and/or EDP-297 or in discovering further product candidates, our ability to expand our business and achieve our strategic objectives will be impaired.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44" w:lineRule="exact"/>
        <w:rPr>
          <w:rFonts w:ascii="Arial" w:cs="Arial" w:eastAsia="Arial" w:hAnsi="Arial"/>
          <w:sz w:val="18"/>
          <w:szCs w:val="18"/>
          <w:color w:val="auto"/>
        </w:rPr>
      </w:pPr>
    </w:p>
    <w:p>
      <w:pPr>
        <w:ind w:left="1000" w:right="540" w:hanging="493"/>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i w:val="1"/>
          <w:iCs w:val="1"/>
          <w:color w:val="auto"/>
        </w:rPr>
        <w:t>We reported a net loss for the fiscal year ended September 30, 2020 and the nine months ended June 30, 2021 primarily due to the impact of COVID-19 on our royalty revenues. Continued changes in royalty revenue earned under our AbbVie agreement or changes in the level of expenses associated with development of our product candidates, or both, may cause our results of operations to fluctuate from period to period. Any continuation of the recent trend of reducing royalty revenue, combined with increasing research and development expenses in support of our advancing programs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will result in continued operating losses in the coming year and in future periods unless we develop other sources of revenue.</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AbbVie’s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COVID-19 has had, and is likely to continue to have, an adverse effect on the ability of our CROs to conduct preclinical and clinical studies. At this point in time we do not know to what extent these studies will be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If combined with any continuation of the recent trend of reduced royalty revenue, such a trend would likely result in operating losses in the coming year and in future periods, unless we develop other sources of revenue.</w:t>
      </w:r>
    </w:p>
    <w:p>
      <w:pPr>
        <w:spacing w:after="0" w:line="2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as well as other employees and consultants. For example, Nathalie Adda, M.D., our Senior Vice President and Chief Medical Officer, has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t>recently announced that she will be retiring in February 2022, and she has agreed to be available on a consulting basis for a brief period thereafter. While we have initiated a search for her replacement, it is uncertain when we will recruit that person. Although neither Dr. Luly nor Dr. Or has informed us to date that they expect to retire or resign in the near future, the loss of the services of either of these individuals or one or more of our other members of senior management could delay or prevent the successful development of our product candidates.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obtain these capabilities.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4" w:lineRule="exact"/>
        <w:rPr>
          <w:sz w:val="20"/>
          <w:szCs w:val="20"/>
          <w:color w:val="auto"/>
        </w:rPr>
      </w:pPr>
    </w:p>
    <w:p>
      <w:pPr>
        <w:jc w:val="both"/>
        <w:ind w:right="200"/>
        <w:spacing w:after="0" w:line="375"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44"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glecaprevir, which was clinically developed by AbbVie, has yet to advance beyond completion of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00" w:right="28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44" w:lineRule="exact"/>
        <w:rPr>
          <w:rFonts w:ascii="Arial" w:cs="Arial" w:eastAsia="Arial" w:hAnsi="Arial"/>
          <w:sz w:val="18"/>
          <w:szCs w:val="18"/>
          <w:color w:val="auto"/>
        </w:rPr>
      </w:pPr>
    </w:p>
    <w:p>
      <w:pPr>
        <w:ind w:left="1000" w:right="54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broader impact of the COVID-19 pandemic on the incidence of other viruses (e.g., RSV and hMPV), the economic challenges for clinical trial sites and the political and socio-economic stability affecting their operations generally;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seasonality and variations in incidence of infection year to year (e.g. RSV) affecting enrollment in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to add new clinical trial sites;</w:t>
      </w:r>
    </w:p>
    <w:p>
      <w:pPr>
        <w:spacing w:after="0" w:line="14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HBV, COVID-19 or hMPV infection or NASH;</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44" w:lineRule="exact"/>
        <w:rPr>
          <w:rFonts w:ascii="Arial" w:cs="Arial" w:eastAsia="Arial" w:hAnsi="Arial"/>
          <w:sz w:val="18"/>
          <w:szCs w:val="18"/>
          <w:color w:val="auto"/>
        </w:rPr>
      </w:pPr>
    </w:p>
    <w:p>
      <w:pPr>
        <w:ind w:left="1000" w:right="14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7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that the further development of successful therapies in our principal disease areas of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30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EDP-938, EDP-514, EDP-721, EDP-235, EDP-305, EDP-297 or any other product candidate emerging from our current RSV, HBV, hMPV, SARS-Cov-2 and NASH programs may have undesirable side effects which may delay or prevent marketing approval, or, if approval is received, require our product candidate to be taken off the market, require us to include safety warnings or otherwise limit sales.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the principal target populations in RSV, namely infants, the elderly, and the immunocompromised, represent sensitive patient populations that could be more prone to adverse effects of therapy.</w:t>
      </w:r>
    </w:p>
    <w:p>
      <w:pPr>
        <w:spacing w:after="0" w:line="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12121"/>
        </w:rPr>
        <w:t>In our HBV program, we are developing modulators of capsid assembly, also known as core inhibitors, as well as RNA destabilizers. These are newer mechanisms of action for potential HBV treatment, and no capsid assembly modulators or HBV RNA destabilizers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6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our NASH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 approved in May 2016 for PBC, and an older drug not commonly used but approved to treat cholesterol gallstones (by dissolving them) and a rare lipid storage disease. In the case of Ocaliva, which is also in development for NASH, the FDA issued a Complete Response Letter, or CRL, in June 2020, due at least in part to some still undisclosed safety signal identified by the FDA.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our drug candidates for NASH are being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ind w:right="20"/>
        <w:spacing w:after="0" w:line="263" w:lineRule="auto"/>
        <w:rPr>
          <w:sz w:val="20"/>
          <w:szCs w:val="20"/>
          <w:color w:val="auto"/>
        </w:rPr>
      </w:pPr>
      <w:r>
        <w:rPr>
          <w:rFonts w:ascii="Arial" w:cs="Arial" w:eastAsia="Arial" w:hAnsi="Arial"/>
          <w:sz w:val="18"/>
          <w:szCs w:val="18"/>
          <w:color w:val="auto"/>
        </w:rPr>
        <w:t xml:space="preserve">events. It may be difficult to discern whether certain events or symptoms observed during our trials were due to our drug candidates or placebo, resulting in our company and our </w:t>
      </w:r>
      <w:r>
        <w:rPr>
          <w:rFonts w:ascii="Arial" w:cs="Arial" w:eastAsia="Arial" w:hAnsi="Arial"/>
          <w:sz w:val="18"/>
          <w:szCs w:val="18"/>
          <w:color w:val="212121"/>
        </w:rPr>
        <w:t>development programs being negatively affected even if such events or symptoms are ultimately determined to be unlikely related to</w:t>
      </w:r>
      <w:r>
        <w:rPr>
          <w:rFonts w:ascii="Arial" w:cs="Arial" w:eastAsia="Arial" w:hAnsi="Arial"/>
          <w:sz w:val="18"/>
          <w:szCs w:val="18"/>
          <w:color w:val="auto"/>
        </w:rPr>
        <w:t xml:space="preserve"> </w:t>
      </w:r>
      <w:r>
        <w:rPr>
          <w:rFonts w:ascii="Arial" w:cs="Arial" w:eastAsia="Arial" w:hAnsi="Arial"/>
          <w:sz w:val="18"/>
          <w:szCs w:val="18"/>
          <w:color w:val="212121"/>
        </w:rPr>
        <w:t>our drug candidates.</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212121"/>
        </w:rPr>
        <w:t>If any of our product candidates receives marketing approval and we or others later identify undesirable or unacceptable side effects caused by such products:</w:t>
      </w:r>
    </w:p>
    <w:p>
      <w:pPr>
        <w:spacing w:after="0" w:line="62" w:lineRule="exact"/>
        <w:rPr>
          <w:sz w:val="20"/>
          <w:szCs w:val="20"/>
          <w:color w:val="auto"/>
        </w:rPr>
      </w:pPr>
    </w:p>
    <w:p>
      <w:pPr>
        <w:ind w:left="1000" w:right="2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44"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67" w:lineRule="exact"/>
        <w:rPr>
          <w:rFonts w:ascii="Arial" w:cs="Arial" w:eastAsia="Arial" w:hAnsi="Arial"/>
          <w:sz w:val="16"/>
          <w:szCs w:val="16"/>
          <w:color w:val="auto"/>
        </w:rPr>
      </w:pPr>
    </w:p>
    <w:p>
      <w:pPr>
        <w:ind w:left="1000" w:right="2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8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00" w:right="96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62"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ind w:right="28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00" w:right="1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14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certain sections of the ACA, including 14 that have rejected the expansion of Medicaid eligibility for low income citizens. While the United States Supreme Court recently rejected the latest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5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160"/>
        <w:spacing w:after="0" w:line="269" w:lineRule="auto"/>
        <w:rPr>
          <w:sz w:val="20"/>
          <w:szCs w:val="20"/>
          <w:color w:val="auto"/>
        </w:rPr>
      </w:pPr>
      <w:r>
        <w:rPr>
          <w:rFonts w:ascii="Arial" w:cs="Arial" w:eastAsia="Arial" w:hAnsi="Arial"/>
          <w:sz w:val="17"/>
          <w:szCs w:val="17"/>
          <w:color w:val="auto"/>
        </w:rPr>
        <w:t>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6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440"/>
        <w:spacing w:after="0" w:line="277" w:lineRule="auto"/>
        <w:rPr>
          <w:sz w:val="20"/>
          <w:szCs w:val="20"/>
          <w:color w:val="auto"/>
        </w:rPr>
      </w:pPr>
      <w:r>
        <w:rPr>
          <w:rFonts w:ascii="Arial" w:cs="Arial" w:eastAsia="Arial" w:hAnsi="Arial"/>
          <w:sz w:val="18"/>
          <w:szCs w:val="18"/>
          <w:color w:val="auto"/>
        </w:rPr>
        <w:t>be approved. For product candidates for which we decide to perform sales, marketing and distribution functions ourselves, we could face a number of additional risks, including:</w:t>
      </w:r>
    </w:p>
    <w:p>
      <w:pPr>
        <w:spacing w:after="0" w:line="62"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55" w:lineRule="exact"/>
        <w:rPr>
          <w:rFonts w:ascii="Arial" w:cs="Arial" w:eastAsia="Arial" w:hAnsi="Arial"/>
          <w:sz w:val="17"/>
          <w:szCs w:val="17"/>
          <w:color w:val="auto"/>
        </w:rPr>
      </w:pPr>
    </w:p>
    <w:p>
      <w:pPr>
        <w:ind w:left="1000" w:right="18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MAVYRET/MAVIRET, as well as EDP-938, EDP-514, EDP-721, EDP-235, EDP-305, EDP-297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79" w:lineRule="exact"/>
        <w:rPr>
          <w:sz w:val="20"/>
          <w:szCs w:val="20"/>
          <w:color w:val="auto"/>
        </w:rPr>
      </w:pPr>
    </w:p>
    <w:p>
      <w:pPr>
        <w:ind w:left="1000" w:right="240" w:hanging="493"/>
        <w:spacing w:after="0" w:line="30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44"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44" w:lineRule="exact"/>
        <w:rPr>
          <w:rFonts w:ascii="Arial" w:cs="Arial" w:eastAsia="Arial" w:hAnsi="Arial"/>
          <w:sz w:val="18"/>
          <w:szCs w:val="18"/>
          <w:color w:val="auto"/>
        </w:rPr>
      </w:pPr>
    </w:p>
    <w:p>
      <w:pPr>
        <w:jc w:val="both"/>
        <w:ind w:left="1000" w:right="260" w:hanging="493"/>
        <w:spacing w:after="0" w:line="286"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continued longevity of any market for which we develop a drug;</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treatment of any disease for which we develop a drug;</w:t>
      </w:r>
    </w:p>
    <w:p>
      <w:pPr>
        <w:spacing w:after="0" w:line="144"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00" w:right="78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jc w:val="both"/>
        <w:ind w:right="180"/>
        <w:spacing w:after="0" w:line="263"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62"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44"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cash expenditures related to the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6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as a result of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1" w:name="page42"/>
    <w:bookmarkEnd w:id="41"/>
    <w:p>
      <w:pPr>
        <w:ind w:right="2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7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7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ongoing studies, we paused recruitment and dosing of the ARGON-2 Phase 2b NASH study and Part 2 of our Phase 1a/1b study of EDP-514 in nuc-suppressed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2" w:name="page43"/>
    <w:bookmarkEnd w:id="42"/>
    <w:p>
      <w:pPr>
        <w:ind w:right="80"/>
        <w:spacing w:after="0" w:line="271" w:lineRule="auto"/>
        <w:rPr>
          <w:sz w:val="20"/>
          <w:szCs w:val="20"/>
          <w:color w:val="auto"/>
        </w:rPr>
      </w:pPr>
      <w:r>
        <w:rPr>
          <w:rFonts w:ascii="Arial" w:cs="Arial" w:eastAsia="Arial" w:hAnsi="Arial"/>
          <w:sz w:val="17"/>
          <w:szCs w:val="17"/>
          <w:color w:val="auto"/>
        </w:rPr>
        <w:t>HBV patients as a result of the COVID-19 pandemic in March 2020, but we were able to resume these studies in July 2020. The pause in these studies is expected to delay their completion, and it is uncertain whether they or any of our other ongoing studies may be subject to further disruptions due to the ongoing pandemic.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8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20"/>
        <w:spacing w:after="0" w:line="301" w:lineRule="auto"/>
        <w:rPr>
          <w:sz w:val="20"/>
          <w:szCs w:val="20"/>
          <w:color w:val="auto"/>
        </w:rPr>
      </w:pPr>
      <w:r>
        <w:rPr>
          <w:rFonts w:ascii="Arial" w:cs="Arial" w:eastAsia="Arial" w:hAnsi="Arial"/>
          <w:sz w:val="16"/>
          <w:szCs w:val="16"/>
          <w:color w:val="auto"/>
        </w:rPr>
        <w:t>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6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6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patents, we rely on trade secrets, technical know-how and proprietary information concerning our business strategy and product candidates in order to protect our competitive position in the field of each of our antivirals and our NASH product candidates. In the course of our research and development activities and our business activities, we often rely on confidentiality agreements to protect our proprietary information. Such confidentiality agreements are used, for example, when we talk to vendors of laboratory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line="291" w:lineRule="auto"/>
        <w:rPr>
          <w:sz w:val="20"/>
          <w:szCs w:val="20"/>
          <w:color w:val="auto"/>
        </w:rPr>
      </w:pPr>
      <w:r>
        <w:rPr>
          <w:rFonts w:ascii="Arial" w:cs="Arial" w:eastAsia="Arial" w:hAnsi="Arial"/>
          <w:sz w:val="16"/>
          <w:szCs w:val="16"/>
          <w:color w:val="auto"/>
        </w:rPr>
        <w:t>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5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60"/>
        <w:spacing w:after="0" w:line="277" w:lineRule="auto"/>
        <w:rPr>
          <w:sz w:val="20"/>
          <w:szCs w:val="20"/>
          <w:color w:val="auto"/>
        </w:rPr>
      </w:pPr>
      <w:r>
        <w:rPr>
          <w:rFonts w:ascii="Arial" w:cs="Arial" w:eastAsia="Arial" w:hAnsi="Arial"/>
          <w:sz w:val="18"/>
          <w:szCs w:val="18"/>
          <w:color w:val="auto"/>
        </w:rPr>
        <w:t>settlement that exceed our coverage limitations or that are not covered by our insurance, and we may not have, or be able to obtain, sufficient capital to pay such amounts.</w:t>
      </w:r>
    </w:p>
    <w:p>
      <w:pPr>
        <w:spacing w:after="0" w:line="2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2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00" w:hanging="493"/>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00" w:right="320" w:hanging="493"/>
        <w:spacing w:after="0" w:line="28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00" w:right="300" w:hanging="493"/>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00" w:right="44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00" w:right="4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1000" w:right="100" w:hanging="493"/>
        <w:spacing w:after="0" w:line="275"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8" w:lineRule="exact"/>
        <w:rPr>
          <w:rFonts w:ascii="Arial" w:cs="Arial" w:eastAsia="Arial" w:hAnsi="Arial"/>
          <w:sz w:val="17"/>
          <w:szCs w:val="17"/>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June 30, 2016 through June 30, 2021,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which in some cases has been exacerbated by the COVID-19 pandemic. As a result of this volatility, you may not be able to sell your holdings of our common stock at or above your purchase price, if at all. The market price for our common stock may be influenced by many factors, including:</w:t>
      </w:r>
    </w:p>
    <w:p>
      <w:pPr>
        <w:spacing w:after="0" w:line="56" w:lineRule="exact"/>
        <w:rPr>
          <w:sz w:val="20"/>
          <w:szCs w:val="20"/>
          <w:color w:val="auto"/>
        </w:rPr>
      </w:pPr>
    </w:p>
    <w:p>
      <w:pPr>
        <w:ind w:left="1000" w:right="5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00" w:right="9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including announcements regarding regulatory or commercial developments;</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44"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left="1000" w:right="2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3"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00" w:right="480" w:hanging="493"/>
        <w:spacing w:after="0" w:line="286"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00" w:right="4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0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executive officers are parties to employment agreements that provide for aggregate cash payments of up to approximately $5.5 million for severance and other non-equity-based benefits in the event of a termination of employment in connection with a change of control of our company. In addition, based on the closing price of our common stock of $44.01 per common share as of June 30, 2021, the aggregate intrinsic value of unvested stock options and other equity awards subject to accelerated vesting upon these events was $12.5 million. The accelerated vesting of awards options could result in dilution to our stockholders and harm the market price of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8" w:name="page49"/>
    <w:bookmarkEnd w:id="48"/>
    <w:p>
      <w:pPr>
        <w:ind w:right="220"/>
        <w:spacing w:after="0" w:line="277" w:lineRule="auto"/>
        <w:rPr>
          <w:sz w:val="20"/>
          <w:szCs w:val="20"/>
          <w:color w:val="auto"/>
        </w:rPr>
      </w:pPr>
      <w:r>
        <w:rPr>
          <w:rFonts w:ascii="Arial" w:cs="Arial" w:eastAsia="Arial" w:hAnsi="Arial"/>
          <w:sz w:val="18"/>
          <w:szCs w:val="18"/>
          <w:color w:val="auto"/>
        </w:rPr>
        <w:t>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2021 we had 20.2 million shares of common stock outstanding. In addition, as of June 30, 2021, we had 3.9 million and 0.3 million shares of common stock that are subject to outstanding options or restricted stock unit awards, respectively, under our outstanding equity plans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2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00" w:right="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1000" w:right="100" w:hanging="493"/>
        <w:spacing w:after="0" w:line="259"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00" w:right="740" w:hanging="493"/>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1000" w:right="80" w:hanging="493"/>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280"/>
        <w:spacing w:after="0" w:line="263" w:lineRule="auto"/>
        <w:rPr>
          <w:sz w:val="20"/>
          <w:szCs w:val="20"/>
          <w:color w:val="auto"/>
        </w:rPr>
      </w:pPr>
      <w:r>
        <w:rPr>
          <w:rFonts w:ascii="Arial" w:cs="Arial" w:eastAsia="Arial" w:hAnsi="Arial"/>
          <w:sz w:val="18"/>
          <w:szCs w:val="18"/>
          <w:color w:val="auto"/>
        </w:rPr>
        <w:t>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2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320" w:type="dxa"/>
            <w:vAlign w:val="bottom"/>
            <w:gridSpan w:val="12"/>
          </w:tcPr>
          <w:p>
            <w:pPr>
              <w:ind w:left="160"/>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000" w:type="dxa"/>
            <w:vAlign w:val="bottom"/>
            <w:gridSpan w:val="2"/>
            <w:vMerge w:val="continue"/>
          </w:tcPr>
          <w:p>
            <w:pPr>
              <w:spacing w:after="0"/>
              <w:rPr>
                <w:sz w:val="10"/>
                <w:szCs w:val="10"/>
                <w:color w:val="auto"/>
              </w:rPr>
            </w:pPr>
          </w:p>
        </w:tc>
        <w:tc>
          <w:tcPr>
            <w:tcW w:w="5220" w:type="dxa"/>
            <w:vAlign w:val="bottom"/>
            <w:gridSpan w:val="11"/>
            <w:vMerge w:val="restart"/>
          </w:tcPr>
          <w:p>
            <w:pPr>
              <w:ind w:left="20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0"/>
                <w:szCs w:val="10"/>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5220" w:type="dxa"/>
            <w:vAlign w:val="bottom"/>
            <w:tcBorders>
              <w:bottom w:val="single" w:sz="8" w:color="auto"/>
            </w:tcBorders>
            <w:gridSpan w:val="11"/>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980" w:type="dxa"/>
            <w:vAlign w:val="bottom"/>
            <w:tcBorders>
              <w:bottom w:val="single" w:sz="8" w:color="0000EE"/>
            </w:tcBorders>
            <w:gridSpan w:val="6"/>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Restated Certificate of Incorporation of Enanta Pharmaceuticals, Inc.</w:t>
              </w:r>
            </w:hyperlink>
          </w:p>
        </w:tc>
        <w:tc>
          <w:tcPr>
            <w:tcW w:w="340" w:type="dxa"/>
            <w:vAlign w:val="bottom"/>
            <w:gridSpan w:val="6"/>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03/28/2013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0000EE"/>
                <w:w w:val="98"/>
              </w:rPr>
            </w:pPr>
            <w:hyperlink r:id="rId77">
              <w:r>
                <w:rPr>
                  <w:rFonts w:ascii="Arial" w:cs="Arial" w:eastAsia="Arial" w:hAnsi="Arial"/>
                  <w:sz w:val="18"/>
                  <w:szCs w:val="18"/>
                  <w:color w:val="0000EE"/>
                  <w:w w:val="98"/>
                </w:rPr>
                <w:t>Amended and Restated Bylaws of Enanta Pharmaceuticals, Inc. (as</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amended and restated in August 2015)</w:t>
              </w:r>
            </w:hyperlink>
          </w:p>
        </w:tc>
        <w:tc>
          <w:tcPr>
            <w:tcW w:w="48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Certification of the Chief Executive Officer pursuant to Rule 13a-14(a)</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or 15d-14(a) of the Securities Exchange Act of 1934.</w:t>
              </w:r>
            </w:hyperlink>
          </w:p>
        </w:tc>
        <w:tc>
          <w:tcPr>
            <w:tcW w:w="2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Certification of Chief Financial Officer pursuant to Rule 13a-14(a) or</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15d-14(a) of the Securities Exchange Act of 1934.</w:t>
              </w:r>
            </w:hyperlink>
          </w:p>
        </w:tc>
        <w:tc>
          <w:tcPr>
            <w:tcW w:w="1360" w:type="dxa"/>
            <w:vAlign w:val="bottom"/>
            <w:tcBorders>
              <w:top w:val="single" w:sz="8" w:color="0000EE"/>
            </w:tcBorders>
            <w:gridSpan w:val="4"/>
          </w:tcPr>
          <w:p>
            <w:pPr>
              <w:spacing w:after="0"/>
              <w:rPr>
                <w:sz w:val="17"/>
                <w:szCs w:val="17"/>
                <w:color w:val="auto"/>
              </w:rPr>
            </w:pPr>
          </w:p>
        </w:tc>
        <w:tc>
          <w:tcPr>
            <w:tcW w:w="32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Certification of the Chief Executive Officer and Chief Financial Officer</w:t>
              </w:r>
            </w:hyperlink>
          </w:p>
        </w:tc>
        <w:tc>
          <w:tcPr>
            <w:tcW w:w="140" w:type="dxa"/>
            <w:vAlign w:val="bottom"/>
            <w:gridSpan w:val="2"/>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pursuant to 18 U.S.C. Section 1350, as adopted pursuant to Section 906</w:t>
              </w:r>
            </w:hyperlink>
          </w:p>
        </w:tc>
        <w:tc>
          <w:tcPr>
            <w:tcW w:w="1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1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of the Sarbanes-Oxley Act of 2002.</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w w:val="94"/>
              </w:rPr>
              <w:t>The following financial statements from the Quarterly Report of Enanta</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w w:val="98"/>
              </w:rPr>
              <w:t>Pharmaceuticals, Inc. on Form 10-Q for the quarter ended 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w w:val="97"/>
              </w:rPr>
              <w:t>2021, formatted in Inline XBRL: (i) Consolidated Balance Sheets, (ii)</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w w:val="92"/>
              </w:rPr>
              <w:t>Consolidated Statements of Operations, (iii) Consolidated Statements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w w:val="93"/>
              </w:rPr>
              <w:t>Comprehensive Income, (iv) Consolidated Statements of Stockholders’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w w:val="96"/>
              </w:rPr>
              <w:t>Equity, (v) Consolidated Statements of Cash Flows, (vi) and Notes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rPr>
              <w:t>Consolidated Financial Statements, tagged as blocks of text and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rPr>
              <w:t>including detailed tags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212529"/>
              </w:rPr>
              <w:t>Cover Page Interactive Data File (formatted as Inline XBRL and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212529"/>
              </w:rPr>
              <w:t>contained in Exhibit 101).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40" w:firstLine="8"/>
        <w:spacing w:after="0" w:line="277" w:lineRule="auto"/>
        <w:tabs>
          <w:tab w:leader="none" w:pos="1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Company has determined that such omitted information is (i) not material and (ii) would likely cause competitive harm to the Company if publicly disclosed.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553"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2021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Dated: August 9, 2021</w:t>
            </w:r>
          </w:p>
        </w:tc>
        <w:tc>
          <w:tcPr>
            <w:tcW w:w="3000" w:type="dxa"/>
            <w:vAlign w:val="bottom"/>
          </w:tcPr>
          <w:p>
            <w:pPr>
              <w:ind w:left="256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2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Dated: August 9, 2021</w:t>
            </w:r>
          </w:p>
        </w:tc>
        <w:tc>
          <w:tcPr>
            <w:tcW w:w="3000" w:type="dxa"/>
            <w:vAlign w:val="bottom"/>
          </w:tcPr>
          <w:p>
            <w:pPr>
              <w:ind w:left="256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2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o"/>
      <w:numFmt w:val="bullet"/>
      <w:start w:val="1"/>
    </w:lvl>
  </w:abstractNum>
  <w:abstractNum w:abstractNumId="16">
    <w:nsid w:val="22221A70"/>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o"/>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2"/>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6" Type="http://schemas.openxmlformats.org/officeDocument/2006/relationships/hyperlink" Target="http://www.sec.gov/Archives/edgar/data/1177648/000119312513132679/d511662dex31.htm" TargetMode="External"/><Relationship Id="rId77"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2021-08-09T16:04:04Z</dcterms:created>
  <dcterms:modified xsi:type="dcterms:W3CDTF">2021-08-09T16:04:04Z</dcterms:modified>
</cp:coreProperties>
</file>