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414655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jc w:val="center"/>
        <w:spacing w:after="0" w:line="233" w:lineRule="auto"/>
        <w:rPr>
          <w:sz w:val="20"/>
          <w:szCs w:val="20"/>
          <w:color w:val="auto"/>
        </w:rPr>
      </w:pPr>
      <w:r>
        <w:rPr>
          <w:rFonts w:ascii="Arial" w:cs="Arial" w:eastAsia="Arial" w:hAnsi="Arial"/>
          <w:sz w:val="32"/>
          <w:szCs w:val="32"/>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115570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144145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47" w:lineRule="exact"/>
        <w:rPr>
          <w:sz w:val="24"/>
          <w:szCs w:val="24"/>
          <w:color w:val="auto"/>
        </w:rPr>
      </w:pPr>
    </w:p>
    <w:p>
      <w:pPr>
        <w:ind w:left="580" w:right="160" w:hanging="559"/>
        <w:spacing w:after="0" w:line="229" w:lineRule="auto"/>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2022</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40" w:lineRule="exact"/>
        <w:rPr>
          <w:sz w:val="24"/>
          <w:szCs w:val="24"/>
          <w:color w:val="auto"/>
        </w:rPr>
      </w:pPr>
    </w:p>
    <w:p>
      <w:pPr>
        <w:ind w:left="580" w:right="140" w:hanging="559"/>
        <w:spacing w:after="0" w:line="229" w:lineRule="auto"/>
        <w:tabs>
          <w:tab w:leader="none" w:pos="58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001-35839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137160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ENANTA PHARMACEUTICALS, INC.</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124460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52" w:lineRule="exact"/>
        <w:rPr>
          <w:sz w:val="24"/>
          <w:szCs w:val="24"/>
          <w:color w:val="auto"/>
        </w:rPr>
      </w:pPr>
    </w:p>
    <w:tbl>
      <w:tblPr>
        <w:tblLayout w:type="fixed"/>
        <w:tblInd w:w="10" w:type="dxa"/>
        <w:tblCellMar>
          <w:top w:w="0" w:type="dxa"/>
          <w:left w:w="0" w:type="dxa"/>
          <w:bottom w:w="0" w:type="dxa"/>
          <w:right w:w="0" w:type="dxa"/>
        </w:tblCellMar>
      </w:tblPr>
      <w:tr>
        <w:trPr>
          <w:trHeight w:val="207"/>
        </w:trPr>
        <w:tc>
          <w:tcPr>
            <w:tcW w:w="4800" w:type="dxa"/>
            <w:vAlign w:val="bottom"/>
            <w:gridSpan w:val="3"/>
          </w:tcPr>
          <w:p>
            <w:pPr>
              <w:jc w:val="center"/>
              <w:ind w:right="1060"/>
              <w:spacing w:after="0"/>
              <w:rPr>
                <w:sz w:val="20"/>
                <w:szCs w:val="20"/>
                <w:color w:val="auto"/>
              </w:rPr>
            </w:pPr>
            <w:r>
              <w:rPr>
                <w:rFonts w:ascii="Arial" w:cs="Arial" w:eastAsia="Arial" w:hAnsi="Arial"/>
                <w:sz w:val="18"/>
                <w:szCs w:val="18"/>
                <w:b w:val="1"/>
                <w:bCs w:val="1"/>
                <w:color w:val="auto"/>
                <w:w w:val="98"/>
              </w:rPr>
              <w:t>DELAWARE</w:t>
            </w:r>
          </w:p>
        </w:tc>
        <w:tc>
          <w:tcPr>
            <w:tcW w:w="1940" w:type="dxa"/>
            <w:vAlign w:val="bottom"/>
          </w:tcPr>
          <w:p>
            <w:pPr>
              <w:spacing w:after="0"/>
              <w:rPr>
                <w:sz w:val="17"/>
                <w:szCs w:val="17"/>
                <w:color w:val="auto"/>
              </w:rPr>
            </w:pPr>
          </w:p>
        </w:tc>
        <w:tc>
          <w:tcPr>
            <w:tcW w:w="4500" w:type="dxa"/>
            <w:vAlign w:val="bottom"/>
            <w:gridSpan w:val="2"/>
          </w:tcPr>
          <w:p>
            <w:pPr>
              <w:jc w:val="right"/>
              <w:ind w:right="1344"/>
              <w:spacing w:after="0"/>
              <w:rPr>
                <w:sz w:val="20"/>
                <w:szCs w:val="20"/>
                <w:color w:val="auto"/>
              </w:rPr>
            </w:pPr>
            <w:r>
              <w:rPr>
                <w:rFonts w:ascii="Arial" w:cs="Arial" w:eastAsia="Arial" w:hAnsi="Arial"/>
                <w:sz w:val="18"/>
                <w:szCs w:val="18"/>
                <w:b w:val="1"/>
                <w:bCs w:val="1"/>
                <w:color w:val="auto"/>
              </w:rPr>
              <w:t>04-3205099</w:t>
            </w:r>
          </w:p>
        </w:tc>
        <w:tc>
          <w:tcPr>
            <w:tcW w:w="0" w:type="dxa"/>
            <w:vAlign w:val="bottom"/>
          </w:tcPr>
          <w:p>
            <w:pPr>
              <w:spacing w:after="0"/>
              <w:rPr>
                <w:sz w:val="1"/>
                <w:szCs w:val="1"/>
                <w:color w:val="auto"/>
              </w:rPr>
            </w:pPr>
          </w:p>
        </w:tc>
      </w:tr>
      <w:tr>
        <w:trPr>
          <w:trHeight w:val="144"/>
        </w:trPr>
        <w:tc>
          <w:tcPr>
            <w:tcW w:w="4800" w:type="dxa"/>
            <w:vAlign w:val="bottom"/>
            <w:gridSpan w:val="3"/>
          </w:tcPr>
          <w:p>
            <w:pPr>
              <w:jc w:val="center"/>
              <w:ind w:right="1080"/>
              <w:spacing w:after="0" w:line="145" w:lineRule="exact"/>
              <w:rPr>
                <w:sz w:val="20"/>
                <w:szCs w:val="20"/>
                <w:color w:val="auto"/>
              </w:rPr>
            </w:pPr>
            <w:r>
              <w:rPr>
                <w:rFonts w:ascii="Arial" w:cs="Arial" w:eastAsia="Arial" w:hAnsi="Arial"/>
                <w:sz w:val="14"/>
                <w:szCs w:val="14"/>
                <w:b w:val="1"/>
                <w:bCs w:val="1"/>
                <w:color w:val="auto"/>
                <w:w w:val="93"/>
              </w:rPr>
              <w:t>(State or other jurisdiction of</w:t>
            </w:r>
          </w:p>
        </w:tc>
        <w:tc>
          <w:tcPr>
            <w:tcW w:w="1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0" w:type="dxa"/>
            <w:vAlign w:val="bottom"/>
          </w:tcPr>
          <w:p>
            <w:pPr>
              <w:jc w:val="center"/>
              <w:ind w:left="244"/>
              <w:spacing w:after="0" w:line="145"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4800" w:type="dxa"/>
            <w:vAlign w:val="bottom"/>
            <w:gridSpan w:val="3"/>
          </w:tcPr>
          <w:p>
            <w:pPr>
              <w:jc w:val="center"/>
              <w:ind w:right="1080"/>
              <w:spacing w:after="0"/>
              <w:rPr>
                <w:sz w:val="20"/>
                <w:szCs w:val="20"/>
                <w:color w:val="auto"/>
              </w:rPr>
            </w:pPr>
            <w:r>
              <w:rPr>
                <w:rFonts w:ascii="Arial" w:cs="Arial" w:eastAsia="Arial" w:hAnsi="Arial"/>
                <w:sz w:val="14"/>
                <w:szCs w:val="14"/>
                <w:b w:val="1"/>
                <w:bCs w:val="1"/>
                <w:color w:val="auto"/>
                <w:w w:val="94"/>
              </w:rPr>
              <w:t>incorporation or organization)</w:t>
            </w:r>
          </w:p>
        </w:tc>
        <w:tc>
          <w:tcPr>
            <w:tcW w:w="19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0" w:type="dxa"/>
            <w:vAlign w:val="bottom"/>
          </w:tcPr>
          <w:p>
            <w:pPr>
              <w:jc w:val="center"/>
              <w:ind w:left="224"/>
              <w:spacing w:after="0"/>
              <w:rPr>
                <w:sz w:val="20"/>
                <w:szCs w:val="20"/>
                <w:color w:val="auto"/>
              </w:rPr>
            </w:pPr>
            <w:r>
              <w:rPr>
                <w:rFonts w:ascii="Arial" w:cs="Arial" w:eastAsia="Arial" w:hAnsi="Arial"/>
                <w:sz w:val="14"/>
                <w:szCs w:val="14"/>
                <w:b w:val="1"/>
                <w:bCs w:val="1"/>
                <w:color w:val="auto"/>
                <w:w w:val="95"/>
              </w:rPr>
              <w:t>Identification Number)</w:t>
            </w:r>
          </w:p>
        </w:tc>
        <w:tc>
          <w:tcPr>
            <w:tcW w:w="0" w:type="dxa"/>
            <w:vAlign w:val="bottom"/>
          </w:tcPr>
          <w:p>
            <w:pPr>
              <w:spacing w:after="0"/>
              <w:rPr>
                <w:sz w:val="1"/>
                <w:szCs w:val="1"/>
                <w:color w:val="auto"/>
              </w:rPr>
            </w:pPr>
          </w:p>
        </w:tc>
      </w:tr>
      <w:tr>
        <w:trPr>
          <w:trHeight w:val="556"/>
        </w:trPr>
        <w:tc>
          <w:tcPr>
            <w:tcW w:w="4800" w:type="dxa"/>
            <w:vAlign w:val="bottom"/>
            <w:gridSpan w:val="3"/>
          </w:tcPr>
          <w:p>
            <w:pPr>
              <w:jc w:val="center"/>
              <w:ind w:right="1060"/>
              <w:spacing w:after="0"/>
              <w:rPr>
                <w:sz w:val="20"/>
                <w:szCs w:val="20"/>
                <w:color w:val="auto"/>
              </w:rPr>
            </w:pPr>
            <w:r>
              <w:rPr>
                <w:rFonts w:ascii="Arial" w:cs="Arial" w:eastAsia="Arial" w:hAnsi="Arial"/>
                <w:sz w:val="18"/>
                <w:szCs w:val="18"/>
                <w:b w:val="1"/>
                <w:bCs w:val="1"/>
                <w:color w:val="auto"/>
                <w:w w:val="90"/>
              </w:rPr>
              <w:t>500 Arsenal Street</w:t>
            </w:r>
          </w:p>
        </w:tc>
        <w:tc>
          <w:tcPr>
            <w:tcW w:w="1940" w:type="dxa"/>
            <w:vAlign w:val="bottom"/>
          </w:tcPr>
          <w:p>
            <w:pPr>
              <w:spacing w:after="0"/>
              <w:rPr>
                <w:sz w:val="24"/>
                <w:szCs w:val="24"/>
                <w:color w:val="auto"/>
              </w:rPr>
            </w:pPr>
          </w:p>
        </w:tc>
        <w:tc>
          <w:tcPr>
            <w:tcW w:w="4500" w:type="dxa"/>
            <w:vAlign w:val="bottom"/>
            <w:gridSpan w:val="2"/>
            <w:vMerge w:val="restart"/>
          </w:tcPr>
          <w:p>
            <w:pPr>
              <w:jc w:val="right"/>
              <w:ind w:right="1544"/>
              <w:spacing w:after="0"/>
              <w:rPr>
                <w:sz w:val="20"/>
                <w:szCs w:val="20"/>
                <w:color w:val="auto"/>
              </w:rPr>
            </w:pPr>
            <w:r>
              <w:rPr>
                <w:rFonts w:ascii="Arial" w:cs="Arial" w:eastAsia="Arial" w:hAnsi="Arial"/>
                <w:sz w:val="18"/>
                <w:szCs w:val="18"/>
                <w:b w:val="1"/>
                <w:bCs w:val="1"/>
                <w:color w:val="auto"/>
              </w:rPr>
              <w:t>02472</w:t>
            </w:r>
          </w:p>
        </w:tc>
        <w:tc>
          <w:tcPr>
            <w:tcW w:w="0" w:type="dxa"/>
            <w:vAlign w:val="bottom"/>
          </w:tcPr>
          <w:p>
            <w:pPr>
              <w:spacing w:after="0"/>
              <w:rPr>
                <w:sz w:val="1"/>
                <w:szCs w:val="1"/>
                <w:color w:val="auto"/>
              </w:rPr>
            </w:pPr>
          </w:p>
        </w:tc>
      </w:tr>
      <w:tr>
        <w:trPr>
          <w:trHeight w:val="193"/>
        </w:trPr>
        <w:tc>
          <w:tcPr>
            <w:tcW w:w="4800" w:type="dxa"/>
            <w:vAlign w:val="bottom"/>
            <w:gridSpan w:val="3"/>
          </w:tcPr>
          <w:p>
            <w:pPr>
              <w:ind w:left="820"/>
              <w:spacing w:after="0" w:line="194" w:lineRule="exact"/>
              <w:rPr>
                <w:sz w:val="20"/>
                <w:szCs w:val="20"/>
                <w:color w:val="auto"/>
              </w:rPr>
            </w:pPr>
            <w:r>
              <w:rPr>
                <w:rFonts w:ascii="Arial" w:cs="Arial" w:eastAsia="Arial" w:hAnsi="Arial"/>
                <w:sz w:val="18"/>
                <w:szCs w:val="18"/>
                <w:b w:val="1"/>
                <w:bCs w:val="1"/>
                <w:color w:val="auto"/>
              </w:rPr>
              <w:t>Watertown, Massachusetts</w:t>
            </w:r>
          </w:p>
        </w:tc>
        <w:tc>
          <w:tcPr>
            <w:tcW w:w="1940" w:type="dxa"/>
            <w:vAlign w:val="bottom"/>
          </w:tcPr>
          <w:p>
            <w:pPr>
              <w:spacing w:after="0"/>
              <w:rPr>
                <w:sz w:val="16"/>
                <w:szCs w:val="16"/>
                <w:color w:val="auto"/>
              </w:rPr>
            </w:pPr>
          </w:p>
        </w:tc>
        <w:tc>
          <w:tcPr>
            <w:tcW w:w="45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800" w:type="dxa"/>
            <w:vAlign w:val="bottom"/>
            <w:gridSpan w:val="3"/>
          </w:tcPr>
          <w:p>
            <w:pPr>
              <w:jc w:val="center"/>
              <w:ind w:right="106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9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0" w:type="dxa"/>
            <w:vAlign w:val="bottom"/>
          </w:tcPr>
          <w:p>
            <w:pPr>
              <w:jc w:val="center"/>
              <w:ind w:left="224"/>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390"/>
        </w:trPr>
        <w:tc>
          <w:tcPr>
            <w:tcW w:w="11240" w:type="dxa"/>
            <w:vAlign w:val="bottom"/>
            <w:gridSpan w:val="6"/>
          </w:tcPr>
          <w:p>
            <w:pPr>
              <w:ind w:left="3000"/>
              <w:spacing w:after="0"/>
              <w:rPr>
                <w:sz w:val="20"/>
                <w:szCs w:val="20"/>
                <w:color w:val="auto"/>
              </w:rPr>
            </w:pPr>
            <w:r>
              <w:rPr>
                <w:rFonts w:ascii="Arial" w:cs="Arial" w:eastAsia="Arial" w:hAnsi="Arial"/>
                <w:sz w:val="18"/>
                <w:szCs w:val="18"/>
                <w:b w:val="1"/>
                <w:bCs w:val="1"/>
                <w:color w:val="auto"/>
              </w:rPr>
              <w:t>(Registrants telephone number, including area code:) (617) 607-0800</w:t>
            </w:r>
          </w:p>
        </w:tc>
        <w:tc>
          <w:tcPr>
            <w:tcW w:w="0" w:type="dxa"/>
            <w:vAlign w:val="bottom"/>
          </w:tcPr>
          <w:p>
            <w:pPr>
              <w:spacing w:after="0"/>
              <w:rPr>
                <w:sz w:val="1"/>
                <w:szCs w:val="1"/>
                <w:color w:val="auto"/>
              </w:rPr>
            </w:pPr>
          </w:p>
        </w:tc>
      </w:tr>
      <w:tr>
        <w:trPr>
          <w:trHeight w:val="189"/>
        </w:trPr>
        <w:tc>
          <w:tcPr>
            <w:tcW w:w="38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4800" w:type="dxa"/>
            <w:vAlign w:val="bottom"/>
            <w:tcBorders>
              <w:bottom w:val="single" w:sz="8" w:color="auto"/>
            </w:tcBorders>
            <w:gridSpan w:val="3"/>
          </w:tcPr>
          <w:p>
            <w:pPr>
              <w:ind w:left="520"/>
              <w:spacing w:after="0"/>
              <w:rPr>
                <w:sz w:val="20"/>
                <w:szCs w:val="20"/>
                <w:color w:val="auto"/>
              </w:rPr>
            </w:pPr>
            <w:r>
              <w:rPr>
                <w:rFonts w:ascii="Arial" w:cs="Arial" w:eastAsia="Arial" w:hAnsi="Arial"/>
                <w:sz w:val="18"/>
                <w:szCs w:val="18"/>
                <w:color w:val="auto"/>
                <w:w w:val="93"/>
              </w:rPr>
              <w:t>Securities registered pursuant to Section 12(b) of the Act:</w:t>
            </w:r>
          </w:p>
        </w:tc>
        <w:tc>
          <w:tcPr>
            <w:tcW w:w="194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40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8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980" w:type="dxa"/>
            <w:vAlign w:val="bottom"/>
            <w:tcBorders>
              <w:bottom w:val="single" w:sz="8" w:color="auto"/>
            </w:tcBorders>
            <w:gridSpan w:val="2"/>
          </w:tcPr>
          <w:p>
            <w:pPr>
              <w:spacing w:after="0"/>
              <w:rPr>
                <w:sz w:val="18"/>
                <w:szCs w:val="18"/>
                <w:color w:val="auto"/>
              </w:rPr>
            </w:pPr>
          </w:p>
        </w:tc>
        <w:tc>
          <w:tcPr>
            <w:tcW w:w="1940" w:type="dxa"/>
            <w:vAlign w:val="bottom"/>
            <w:tcBorders>
              <w:bottom w:val="single" w:sz="8" w:color="auto"/>
            </w:tcBorders>
          </w:tcPr>
          <w:p>
            <w:pPr>
              <w:jc w:val="center"/>
              <w:ind w:right="459"/>
              <w:spacing w:after="0"/>
              <w:rPr>
                <w:sz w:val="20"/>
                <w:szCs w:val="20"/>
                <w:color w:val="auto"/>
              </w:rPr>
            </w:pPr>
            <w:r>
              <w:rPr>
                <w:rFonts w:ascii="Arial" w:cs="Arial" w:eastAsia="Arial" w:hAnsi="Arial"/>
                <w:sz w:val="14"/>
                <w:szCs w:val="14"/>
                <w:b w:val="1"/>
                <w:bCs w:val="1"/>
                <w:color w:val="auto"/>
                <w:w w:val="94"/>
              </w:rPr>
              <w:t>Trading Symbol(s)</w:t>
            </w:r>
          </w:p>
        </w:tc>
        <w:tc>
          <w:tcPr>
            <w:tcW w:w="500" w:type="dxa"/>
            <w:vAlign w:val="bottom"/>
            <w:tcBorders>
              <w:bottom w:val="single" w:sz="8" w:color="auto"/>
              <w:right w:val="single" w:sz="8" w:color="auto"/>
            </w:tcBorders>
          </w:tcPr>
          <w:p>
            <w:pPr>
              <w:spacing w:after="0"/>
              <w:rPr>
                <w:sz w:val="18"/>
                <w:szCs w:val="18"/>
                <w:color w:val="auto"/>
              </w:rPr>
            </w:pPr>
          </w:p>
        </w:tc>
        <w:tc>
          <w:tcPr>
            <w:tcW w:w="4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260"/>
        </w:trPr>
        <w:tc>
          <w:tcPr>
            <w:tcW w:w="38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980" w:type="dxa"/>
            <w:vAlign w:val="bottom"/>
            <w:tcBorders>
              <w:bottom w:val="single" w:sz="8" w:color="auto"/>
            </w:tcBorders>
            <w:gridSpan w:val="2"/>
          </w:tcPr>
          <w:p>
            <w:pPr>
              <w:spacing w:after="0"/>
              <w:rPr>
                <w:sz w:val="22"/>
                <w:szCs w:val="22"/>
                <w:color w:val="auto"/>
              </w:rPr>
            </w:pPr>
          </w:p>
        </w:tc>
        <w:tc>
          <w:tcPr>
            <w:tcW w:w="1940" w:type="dxa"/>
            <w:vAlign w:val="bottom"/>
            <w:tcBorders>
              <w:bottom w:val="single" w:sz="8" w:color="auto"/>
            </w:tcBorders>
          </w:tcPr>
          <w:p>
            <w:pPr>
              <w:jc w:val="center"/>
              <w:ind w:right="459"/>
              <w:spacing w:after="0"/>
              <w:rPr>
                <w:sz w:val="20"/>
                <w:szCs w:val="20"/>
                <w:color w:val="auto"/>
              </w:rPr>
            </w:pPr>
            <w:r>
              <w:rPr>
                <w:rFonts w:ascii="Arial" w:cs="Arial" w:eastAsia="Arial" w:hAnsi="Arial"/>
                <w:sz w:val="18"/>
                <w:szCs w:val="18"/>
                <w:color w:val="auto"/>
                <w:w w:val="99"/>
              </w:rPr>
              <w:t>ENTA</w:t>
            </w:r>
          </w:p>
        </w:tc>
        <w:tc>
          <w:tcPr>
            <w:tcW w:w="500" w:type="dxa"/>
            <w:vAlign w:val="bottom"/>
            <w:tcBorders>
              <w:bottom w:val="single" w:sz="8" w:color="auto"/>
              <w:right w:val="single" w:sz="8" w:color="auto"/>
            </w:tcBorders>
          </w:tcPr>
          <w:p>
            <w:pPr>
              <w:spacing w:after="0"/>
              <w:rPr>
                <w:sz w:val="22"/>
                <w:szCs w:val="22"/>
                <w:color w:val="auto"/>
              </w:rPr>
            </w:pPr>
          </w:p>
        </w:tc>
        <w:tc>
          <w:tcPr>
            <w:tcW w:w="4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NASDAQ</w:t>
            </w:r>
          </w:p>
        </w:tc>
        <w:tc>
          <w:tcPr>
            <w:tcW w:w="0" w:type="dxa"/>
            <w:vAlign w:val="bottom"/>
          </w:tcPr>
          <w:p>
            <w:pPr>
              <w:spacing w:after="0"/>
              <w:rPr>
                <w:sz w:val="1"/>
                <w:szCs w:val="1"/>
                <w:color w:val="auto"/>
              </w:rPr>
            </w:pPr>
          </w:p>
        </w:tc>
      </w:tr>
    </w:tbl>
    <w:p>
      <w:pPr>
        <w:spacing w:after="0" w:line="80" w:lineRule="exact"/>
        <w:rPr>
          <w:sz w:val="24"/>
          <w:szCs w:val="24"/>
          <w:color w:val="auto"/>
        </w:rPr>
      </w:pPr>
    </w:p>
    <w:p>
      <w:pPr>
        <w:ind w:right="60" w:firstLine="509"/>
        <w:spacing w:after="0" w:line="209"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ind w:right="40" w:firstLine="509"/>
        <w:spacing w:after="0" w:line="209"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ind w:right="20" w:firstLine="509"/>
        <w:spacing w:after="0" w:line="23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9" w:lineRule="exact"/>
        <w:rPr>
          <w:sz w:val="24"/>
          <w:szCs w:val="24"/>
          <w:color w:val="auto"/>
        </w:rPr>
      </w:pPr>
    </w:p>
    <w:tbl>
      <w:tblPr>
        <w:tblLayout w:type="fixed"/>
        <w:tblInd w:w="20" w:type="dxa"/>
        <w:tblCellMar>
          <w:top w:w="0" w:type="dxa"/>
          <w:left w:w="0" w:type="dxa"/>
          <w:bottom w:w="0" w:type="dxa"/>
          <w:right w:w="0" w:type="dxa"/>
        </w:tblCellMar>
      </w:tblPr>
      <w:tr>
        <w:trPr>
          <w:trHeight w:val="209"/>
        </w:trPr>
        <w:tc>
          <w:tcPr>
            <w:tcW w:w="24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12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4820" w:type="dxa"/>
            <w:vAlign w:val="bottom"/>
          </w:tcPr>
          <w:p>
            <w:pPr>
              <w:ind w:left="2480"/>
              <w:spacing w:after="0"/>
              <w:rPr>
                <w:sz w:val="20"/>
                <w:szCs w:val="20"/>
                <w:color w:val="auto"/>
              </w:rPr>
            </w:pPr>
            <w:r>
              <w:rPr>
                <w:rFonts w:ascii="Arial" w:cs="Arial" w:eastAsia="Arial" w:hAnsi="Arial"/>
                <w:sz w:val="18"/>
                <w:szCs w:val="18"/>
                <w:color w:val="auto"/>
              </w:rPr>
              <w:t>Accelerated filer</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03"/>
        </w:trPr>
        <w:tc>
          <w:tcPr>
            <w:tcW w:w="2420" w:type="dxa"/>
            <w:vAlign w:val="bottom"/>
          </w:tcPr>
          <w:p>
            <w:pPr>
              <w:spacing w:after="0" w:line="202" w:lineRule="exact"/>
              <w:rPr>
                <w:sz w:val="20"/>
                <w:szCs w:val="20"/>
                <w:color w:val="auto"/>
              </w:rPr>
            </w:pPr>
            <w:r>
              <w:rPr>
                <w:rFonts w:ascii="Arial" w:cs="Arial" w:eastAsia="Arial" w:hAnsi="Arial"/>
                <w:sz w:val="18"/>
                <w:szCs w:val="18"/>
                <w:color w:val="auto"/>
              </w:rPr>
              <w:t>Non-accelerated filer</w:t>
            </w:r>
          </w:p>
        </w:tc>
        <w:tc>
          <w:tcPr>
            <w:tcW w:w="312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4820" w:type="dxa"/>
            <w:vAlign w:val="bottom"/>
          </w:tcPr>
          <w:p>
            <w:pPr>
              <w:ind w:left="2480"/>
              <w:spacing w:after="0" w:line="202" w:lineRule="exact"/>
              <w:rPr>
                <w:sz w:val="20"/>
                <w:szCs w:val="20"/>
                <w:color w:val="auto"/>
              </w:rPr>
            </w:pPr>
            <w:r>
              <w:rPr>
                <w:rFonts w:ascii="Arial" w:cs="Arial" w:eastAsia="Arial" w:hAnsi="Arial"/>
                <w:sz w:val="18"/>
                <w:szCs w:val="18"/>
                <w:color w:val="auto"/>
              </w:rPr>
              <w:t>Smaller reporting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42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12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482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pacing w:after="0" w:line="40" w:lineRule="exact"/>
        <w:rPr>
          <w:sz w:val="24"/>
          <w:szCs w:val="24"/>
          <w:color w:val="auto"/>
        </w:rPr>
      </w:pPr>
    </w:p>
    <w:p>
      <w:pPr>
        <w:ind w:firstLine="509"/>
        <w:spacing w:after="0" w:line="22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 w:lineRule="exact"/>
        <w:rPr>
          <w:sz w:val="24"/>
          <w:szCs w:val="24"/>
          <w:color w:val="auto"/>
        </w:rPr>
      </w:pPr>
    </w:p>
    <w:p>
      <w:pPr>
        <w:ind w:left="520" w:right="1200"/>
        <w:spacing w:after="0" w:line="280"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August 2, 2022, the registrant had 20,724,868 shares of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137795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588010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 w:name="page2"/>
    <w:bookmarkEnd w:id="1"/>
    <w:tbl>
      <w:tblPr>
        <w:tblLayout w:type="fixed"/>
        <w:tblInd w:w="2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760" w:type="dxa"/>
            <w:vAlign w:val="bottom"/>
            <w:gridSpan w:val="5"/>
          </w:tcPr>
          <w:p>
            <w:pPr>
              <w:ind w:left="24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1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9300" w:type="dxa"/>
            <w:vAlign w:val="bottom"/>
            <w:gridSpan w:val="19"/>
            <w:vMerge w:val="restart"/>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UNAUDITED FINANCIAL INFORMATION</w:t>
              </w:r>
            </w:hyperlink>
          </w:p>
        </w:tc>
        <w:tc>
          <w:tcPr>
            <w:tcW w:w="7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5"/>
        </w:trPr>
        <w:tc>
          <w:tcPr>
            <w:tcW w:w="1140" w:type="dxa"/>
            <w:vAlign w:val="bottom"/>
            <w:gridSpan w:val="2"/>
            <w:vMerge w:val="continue"/>
          </w:tcPr>
          <w:p>
            <w:pPr>
              <w:spacing w:after="0"/>
              <w:rPr>
                <w:sz w:val="13"/>
                <w:szCs w:val="13"/>
                <w:color w:val="auto"/>
              </w:rPr>
            </w:pPr>
          </w:p>
        </w:tc>
        <w:tc>
          <w:tcPr>
            <w:tcW w:w="9300" w:type="dxa"/>
            <w:vAlign w:val="bottom"/>
            <w:gridSpan w:val="19"/>
            <w:vMerge w:val="continue"/>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40" w:type="dxa"/>
            <w:vAlign w:val="bottom"/>
            <w:gridSpan w:val="2"/>
          </w:tcPr>
          <w:p>
            <w:pPr>
              <w:spacing w:after="0" w:line="169" w:lineRule="exact"/>
              <w:rPr>
                <w:sz w:val="20"/>
                <w:szCs w:val="20"/>
                <w:color w:val="auto"/>
              </w:rPr>
            </w:pPr>
            <w:r>
              <w:rPr>
                <w:rFonts w:ascii="Arial" w:cs="Arial" w:eastAsia="Arial" w:hAnsi="Arial"/>
                <w:sz w:val="18"/>
                <w:szCs w:val="18"/>
                <w:color w:val="auto"/>
              </w:rPr>
              <w:t>Item 1.</w:t>
            </w:r>
          </w:p>
        </w:tc>
        <w:tc>
          <w:tcPr>
            <w:tcW w:w="3360" w:type="dxa"/>
            <w:vAlign w:val="bottom"/>
            <w:tcBorders>
              <w:top w:val="single" w:sz="8" w:color="0000FF"/>
            </w:tcBorders>
            <w:gridSpan w:val="12"/>
          </w:tcPr>
          <w:p>
            <w:pPr>
              <w:spacing w:after="0" w:line="169" w:lineRule="exact"/>
              <w:rPr>
                <w:rFonts w:ascii="Arial" w:cs="Arial" w:eastAsia="Arial" w:hAnsi="Arial"/>
                <w:sz w:val="18"/>
                <w:szCs w:val="18"/>
                <w:color w:val="0000FF"/>
              </w:rPr>
            </w:pPr>
            <w:hyperlink w:anchor="page3">
              <w:r>
                <w:rPr>
                  <w:rFonts w:ascii="Arial" w:cs="Arial" w:eastAsia="Arial" w:hAnsi="Arial"/>
                  <w:sz w:val="18"/>
                  <w:szCs w:val="18"/>
                  <w:color w:val="0000FF"/>
                </w:rPr>
                <w:t>Consolidated Financial Statements</w:t>
              </w:r>
            </w:hyperlink>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69"/>
        </w:trPr>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100" w:type="dxa"/>
            <w:vAlign w:val="bottom"/>
            <w:tcBorders>
              <w:top w:val="single" w:sz="8" w:color="0000FF"/>
              <w:bottom w:val="single" w:sz="8" w:color="0000FF"/>
            </w:tcBorders>
            <w:gridSpan w:val="6"/>
          </w:tcPr>
          <w:p>
            <w:pPr>
              <w:spacing w:after="0" w:line="169" w:lineRule="exact"/>
              <w:rPr>
                <w:rFonts w:ascii="Arial" w:cs="Arial" w:eastAsia="Arial" w:hAnsi="Arial"/>
                <w:sz w:val="18"/>
                <w:szCs w:val="18"/>
                <w:color w:val="0000FF"/>
                <w:w w:val="88"/>
              </w:rPr>
            </w:pPr>
            <w:hyperlink w:anchor="page3">
              <w:r>
                <w:rPr>
                  <w:rFonts w:ascii="Arial" w:cs="Arial" w:eastAsia="Arial" w:hAnsi="Arial"/>
                  <w:sz w:val="18"/>
                  <w:szCs w:val="18"/>
                  <w:color w:val="0000FF"/>
                  <w:w w:val="88"/>
                </w:rPr>
                <w:t>Consolidated Balance Sheets</w:t>
              </w:r>
            </w:hyperlink>
          </w:p>
        </w:tc>
        <w:tc>
          <w:tcPr>
            <w:tcW w:w="20" w:type="dxa"/>
            <w:vAlign w:val="bottom"/>
            <w:tcBorders>
              <w:top w:val="single" w:sz="8" w:color="0000FF"/>
              <w:bottom w:val="single" w:sz="8" w:color="0000EE"/>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69"/>
        </w:trPr>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120" w:type="dxa"/>
            <w:vAlign w:val="bottom"/>
            <w:gridSpan w:val="7"/>
          </w:tcPr>
          <w:p>
            <w:pPr>
              <w:spacing w:after="0" w:line="169" w:lineRule="exact"/>
              <w:rPr>
                <w:rFonts w:ascii="Arial" w:cs="Arial" w:eastAsia="Arial" w:hAnsi="Arial"/>
                <w:sz w:val="18"/>
                <w:szCs w:val="18"/>
                <w:color w:val="0000FF"/>
                <w:w w:val="94"/>
              </w:rPr>
            </w:pPr>
            <w:hyperlink w:anchor="page4">
              <w:r>
                <w:rPr>
                  <w:rFonts w:ascii="Arial" w:cs="Arial" w:eastAsia="Arial" w:hAnsi="Arial"/>
                  <w:sz w:val="18"/>
                  <w:szCs w:val="18"/>
                  <w:color w:val="0000FF"/>
                  <w:w w:val="94"/>
                </w:rPr>
                <w:t>Consolidated Statements of</w:t>
              </w:r>
            </w:hyperlink>
          </w:p>
        </w:tc>
        <w:tc>
          <w:tcPr>
            <w:tcW w:w="7180" w:type="dxa"/>
            <w:vAlign w:val="bottom"/>
            <w:gridSpan w:val="12"/>
          </w:tcPr>
          <w:p>
            <w:pPr>
              <w:spacing w:after="0" w:line="169" w:lineRule="exact"/>
              <w:rPr>
                <w:rFonts w:ascii="Arial" w:cs="Arial" w:eastAsia="Arial" w:hAnsi="Arial"/>
                <w:sz w:val="18"/>
                <w:szCs w:val="18"/>
                <w:color w:val="0000FF"/>
              </w:rPr>
            </w:pPr>
            <w:hyperlink w:anchor="page4">
              <w:r>
                <w:rPr>
                  <w:rFonts w:ascii="Arial" w:cs="Arial" w:eastAsia="Arial" w:hAnsi="Arial"/>
                  <w:sz w:val="18"/>
                  <w:szCs w:val="18"/>
                  <w:color w:val="0000FF"/>
                </w:rPr>
                <w:t>Operations</w:t>
              </w:r>
            </w:hyperlink>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5</w:t>
            </w:r>
          </w:p>
        </w:tc>
        <w:tc>
          <w:tcPr>
            <w:tcW w:w="0" w:type="dxa"/>
            <w:vAlign w:val="bottom"/>
          </w:tcPr>
          <w:p>
            <w:pPr>
              <w:spacing w:after="0" w:line="20" w:lineRule="exact"/>
              <w:rPr>
                <w:sz w:val="1"/>
                <w:szCs w:val="1"/>
                <w:color w:val="auto"/>
              </w:rPr>
            </w:pPr>
          </w:p>
        </w:tc>
      </w:tr>
      <w:tr>
        <w:trPr>
          <w:trHeight w:val="169"/>
        </w:trPr>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300" w:type="dxa"/>
            <w:vAlign w:val="bottom"/>
            <w:gridSpan w:val="19"/>
          </w:tcPr>
          <w:p>
            <w:pPr>
              <w:spacing w:after="0" w:line="169" w:lineRule="exact"/>
              <w:rPr>
                <w:rFonts w:ascii="Arial" w:cs="Arial" w:eastAsia="Arial" w:hAnsi="Arial"/>
                <w:sz w:val="18"/>
                <w:szCs w:val="18"/>
                <w:color w:val="0000FF"/>
              </w:rPr>
            </w:pPr>
            <w:hyperlink w:anchor="page5">
              <w:r>
                <w:rPr>
                  <w:rFonts w:ascii="Arial" w:cs="Arial" w:eastAsia="Arial" w:hAnsi="Arial"/>
                  <w:sz w:val="18"/>
                  <w:szCs w:val="18"/>
                  <w:color w:val="0000FF"/>
                </w:rPr>
                <w:t>Consolidated Statements of Comprehensive Loss</w:t>
              </w:r>
            </w:hyperlink>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540" w:type="dxa"/>
            <w:vAlign w:val="bottom"/>
            <w:tcBorders>
              <w:top w:val="single" w:sz="8" w:color="0000FF"/>
            </w:tcBorders>
            <w:gridSpan w:val="14"/>
          </w:tcPr>
          <w:p>
            <w:pPr>
              <w:spacing w:after="0" w:line="169" w:lineRule="exact"/>
              <w:rPr>
                <w:rFonts w:ascii="Arial" w:cs="Arial" w:eastAsia="Arial" w:hAnsi="Arial"/>
                <w:sz w:val="18"/>
                <w:szCs w:val="18"/>
                <w:color w:val="0000FF"/>
                <w:w w:val="90"/>
              </w:rPr>
            </w:pPr>
            <w:hyperlink w:anchor="page6">
              <w:r>
                <w:rPr>
                  <w:rFonts w:ascii="Arial" w:cs="Arial" w:eastAsia="Arial" w:hAnsi="Arial"/>
                  <w:sz w:val="18"/>
                  <w:szCs w:val="18"/>
                  <w:color w:val="0000FF"/>
                  <w:w w:val="90"/>
                </w:rPr>
                <w:t>Consolidated Statements of Stockholders' Equity</w:t>
              </w:r>
            </w:hyperlink>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69"/>
        </w:trPr>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80" w:type="dxa"/>
            <w:vAlign w:val="bottom"/>
            <w:tcBorders>
              <w:top w:val="single" w:sz="8" w:color="0000FF"/>
              <w:bottom w:val="single" w:sz="8" w:color="0000FF"/>
            </w:tcBorders>
            <w:gridSpan w:val="10"/>
          </w:tcPr>
          <w:p>
            <w:pPr>
              <w:spacing w:after="0" w:line="169" w:lineRule="exact"/>
              <w:rPr>
                <w:rFonts w:ascii="Arial" w:cs="Arial" w:eastAsia="Arial" w:hAnsi="Arial"/>
                <w:sz w:val="18"/>
                <w:szCs w:val="18"/>
                <w:color w:val="0000FF"/>
                <w:w w:val="89"/>
              </w:rPr>
            </w:pPr>
            <w:hyperlink w:anchor="page7">
              <w:r>
                <w:rPr>
                  <w:rFonts w:ascii="Arial" w:cs="Arial" w:eastAsia="Arial" w:hAnsi="Arial"/>
                  <w:sz w:val="18"/>
                  <w:szCs w:val="18"/>
                  <w:color w:val="0000FF"/>
                  <w:w w:val="89"/>
                </w:rPr>
                <w:t>Consolidated Statements of Cash Flows</w:t>
              </w:r>
            </w:hyperlink>
          </w:p>
        </w:tc>
        <w:tc>
          <w:tcPr>
            <w:tcW w:w="20" w:type="dxa"/>
            <w:vAlign w:val="bottom"/>
            <w:tcBorders>
              <w:top w:val="single" w:sz="8" w:color="0000FF"/>
              <w:bottom w:val="single" w:sz="8" w:color="0000EE"/>
            </w:tcBorders>
          </w:tcPr>
          <w:p>
            <w:pPr>
              <w:spacing w:after="0"/>
              <w:rPr>
                <w:sz w:val="14"/>
                <w:szCs w:val="14"/>
                <w:color w:val="auto"/>
              </w:rPr>
            </w:pPr>
          </w:p>
        </w:tc>
        <w:tc>
          <w:tcPr>
            <w:tcW w:w="620" w:type="dxa"/>
            <w:vAlign w:val="bottom"/>
            <w:tcBorders>
              <w:top w:val="single" w:sz="8" w:color="0000FF"/>
            </w:tcBorders>
            <w:gridSpan w:val="2"/>
          </w:tcPr>
          <w:p>
            <w:pPr>
              <w:spacing w:after="0"/>
              <w:rPr>
                <w:sz w:val="14"/>
                <w:szCs w:val="14"/>
                <w:color w:val="auto"/>
              </w:rPr>
            </w:pPr>
          </w:p>
        </w:tc>
        <w:tc>
          <w:tcPr>
            <w:tcW w:w="5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69"/>
        </w:trPr>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40" w:type="dxa"/>
            <w:vAlign w:val="bottom"/>
            <w:tcBorders>
              <w:bottom w:val="single" w:sz="8" w:color="0000FF"/>
            </w:tcBorders>
            <w:gridSpan w:val="15"/>
          </w:tcPr>
          <w:p>
            <w:pPr>
              <w:spacing w:after="0" w:line="169" w:lineRule="exact"/>
              <w:rPr>
                <w:rFonts w:ascii="Arial" w:cs="Arial" w:eastAsia="Arial" w:hAnsi="Arial"/>
                <w:sz w:val="18"/>
                <w:szCs w:val="18"/>
                <w:color w:val="0000FF"/>
                <w:w w:val="90"/>
              </w:rPr>
            </w:pPr>
            <w:hyperlink w:anchor="page8">
              <w:r>
                <w:rPr>
                  <w:rFonts w:ascii="Arial" w:cs="Arial" w:eastAsia="Arial" w:hAnsi="Arial"/>
                  <w:sz w:val="18"/>
                  <w:szCs w:val="18"/>
                  <w:color w:val="0000FF"/>
                  <w:w w:val="90"/>
                </w:rPr>
                <w:t>Notes to Consolidated Financial Statements (unaudited)</w:t>
              </w:r>
            </w:hyperlink>
          </w:p>
        </w:tc>
        <w:tc>
          <w:tcPr>
            <w:tcW w:w="20" w:type="dxa"/>
            <w:vAlign w:val="bottom"/>
            <w:tcBorders>
              <w:bottom w:val="single" w:sz="8" w:color="0000EE"/>
            </w:tcBorders>
          </w:tcPr>
          <w:p>
            <w:pPr>
              <w:spacing w:after="0"/>
              <w:rPr>
                <w:sz w:val="14"/>
                <w:szCs w:val="14"/>
                <w:color w:val="auto"/>
              </w:rPr>
            </w:pPr>
          </w:p>
        </w:tc>
        <w:tc>
          <w:tcPr>
            <w:tcW w:w="5240" w:type="dxa"/>
            <w:vAlign w:val="bottom"/>
            <w:gridSpan w:val="3"/>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69"/>
        </w:trPr>
        <w:tc>
          <w:tcPr>
            <w:tcW w:w="1140" w:type="dxa"/>
            <w:vAlign w:val="bottom"/>
            <w:gridSpan w:val="2"/>
          </w:tcPr>
          <w:p>
            <w:pPr>
              <w:spacing w:after="0" w:line="169" w:lineRule="exact"/>
              <w:rPr>
                <w:sz w:val="20"/>
                <w:szCs w:val="20"/>
                <w:color w:val="auto"/>
              </w:rPr>
            </w:pPr>
            <w:r>
              <w:rPr>
                <w:rFonts w:ascii="Arial" w:cs="Arial" w:eastAsia="Arial" w:hAnsi="Arial"/>
                <w:sz w:val="18"/>
                <w:szCs w:val="18"/>
                <w:color w:val="auto"/>
              </w:rPr>
              <w:t>Item 2.</w:t>
            </w:r>
          </w:p>
        </w:tc>
        <w:tc>
          <w:tcPr>
            <w:tcW w:w="9300" w:type="dxa"/>
            <w:vAlign w:val="bottom"/>
            <w:gridSpan w:val="19"/>
          </w:tcPr>
          <w:p>
            <w:pPr>
              <w:spacing w:after="0" w:line="169" w:lineRule="exact"/>
              <w:rPr>
                <w:rFonts w:ascii="Arial" w:cs="Arial" w:eastAsia="Arial" w:hAnsi="Arial"/>
                <w:sz w:val="18"/>
                <w:szCs w:val="18"/>
                <w:color w:val="0000FF"/>
              </w:rPr>
            </w:pPr>
            <w:hyperlink w:anchor="page16">
              <w:r>
                <w:rPr>
                  <w:rFonts w:ascii="Arial" w:cs="Arial" w:eastAsia="Arial" w:hAnsi="Arial"/>
                  <w:sz w:val="18"/>
                  <w:szCs w:val="18"/>
                  <w:color w:val="0000FF"/>
                </w:rPr>
                <w:t>Management’s Discussion and Analysis of Financial Condition and Results of Operations</w:t>
              </w:r>
            </w:hyperlink>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69"/>
        </w:trPr>
        <w:tc>
          <w:tcPr>
            <w:tcW w:w="1140" w:type="dxa"/>
            <w:vAlign w:val="bottom"/>
            <w:gridSpan w:val="2"/>
          </w:tcPr>
          <w:p>
            <w:pPr>
              <w:spacing w:after="0" w:line="169" w:lineRule="exact"/>
              <w:rPr>
                <w:sz w:val="20"/>
                <w:szCs w:val="20"/>
                <w:color w:val="auto"/>
              </w:rPr>
            </w:pPr>
            <w:r>
              <w:rPr>
                <w:rFonts w:ascii="Arial" w:cs="Arial" w:eastAsia="Arial" w:hAnsi="Arial"/>
                <w:sz w:val="18"/>
                <w:szCs w:val="18"/>
                <w:color w:val="auto"/>
              </w:rPr>
              <w:t>Item 3.</w:t>
            </w:r>
          </w:p>
        </w:tc>
        <w:tc>
          <w:tcPr>
            <w:tcW w:w="6460" w:type="dxa"/>
            <w:vAlign w:val="bottom"/>
            <w:tcBorders>
              <w:top w:val="single" w:sz="8" w:color="0000FF"/>
            </w:tcBorders>
            <w:gridSpan w:val="18"/>
          </w:tcPr>
          <w:p>
            <w:pPr>
              <w:spacing w:after="0" w:line="169" w:lineRule="exact"/>
              <w:rPr>
                <w:rFonts w:ascii="Arial" w:cs="Arial" w:eastAsia="Arial" w:hAnsi="Arial"/>
                <w:sz w:val="18"/>
                <w:szCs w:val="18"/>
                <w:color w:val="0000FF"/>
              </w:rPr>
            </w:pPr>
            <w:hyperlink w:anchor="page25">
              <w:r>
                <w:rPr>
                  <w:rFonts w:ascii="Arial" w:cs="Arial" w:eastAsia="Arial" w:hAnsi="Arial"/>
                  <w:sz w:val="18"/>
                  <w:szCs w:val="18"/>
                  <w:color w:val="0000FF"/>
                </w:rPr>
                <w:t>Quantitative and Qualitative Disclosures About Market Risk</w:t>
              </w:r>
            </w:hyperlink>
          </w:p>
        </w:tc>
        <w:tc>
          <w:tcPr>
            <w:tcW w:w="2840" w:type="dxa"/>
            <w:vAlign w:val="bottom"/>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69"/>
        </w:trPr>
        <w:tc>
          <w:tcPr>
            <w:tcW w:w="1140" w:type="dxa"/>
            <w:vAlign w:val="bottom"/>
            <w:gridSpan w:val="2"/>
          </w:tcPr>
          <w:p>
            <w:pPr>
              <w:spacing w:after="0" w:line="169" w:lineRule="exact"/>
              <w:rPr>
                <w:sz w:val="20"/>
                <w:szCs w:val="20"/>
                <w:color w:val="auto"/>
              </w:rPr>
            </w:pPr>
            <w:r>
              <w:rPr>
                <w:rFonts w:ascii="Arial" w:cs="Arial" w:eastAsia="Arial" w:hAnsi="Arial"/>
                <w:sz w:val="18"/>
                <w:szCs w:val="18"/>
                <w:color w:val="auto"/>
              </w:rPr>
              <w:t>Item 4.</w:t>
            </w:r>
          </w:p>
        </w:tc>
        <w:tc>
          <w:tcPr>
            <w:tcW w:w="1780" w:type="dxa"/>
            <w:vAlign w:val="bottom"/>
            <w:tcBorders>
              <w:top w:val="single" w:sz="8" w:color="0000FF"/>
              <w:bottom w:val="single" w:sz="8" w:color="0000FF"/>
            </w:tcBorders>
            <w:gridSpan w:val="3"/>
          </w:tcPr>
          <w:p>
            <w:pPr>
              <w:spacing w:after="0" w:line="169" w:lineRule="exact"/>
              <w:rPr>
                <w:rFonts w:ascii="Arial" w:cs="Arial" w:eastAsia="Arial" w:hAnsi="Arial"/>
                <w:sz w:val="18"/>
                <w:szCs w:val="18"/>
                <w:color w:val="0000FF"/>
                <w:w w:val="88"/>
              </w:rPr>
            </w:pPr>
            <w:hyperlink w:anchor="page26">
              <w:r>
                <w:rPr>
                  <w:rFonts w:ascii="Arial" w:cs="Arial" w:eastAsia="Arial" w:hAnsi="Arial"/>
                  <w:sz w:val="18"/>
                  <w:szCs w:val="18"/>
                  <w:color w:val="0000FF"/>
                  <w:w w:val="88"/>
                </w:rPr>
                <w:t>Controls and Procedures</w:t>
              </w:r>
            </w:hyperlink>
          </w:p>
        </w:tc>
        <w:tc>
          <w:tcPr>
            <w:tcW w:w="20" w:type="dxa"/>
            <w:vAlign w:val="bottom"/>
            <w:tcBorders>
              <w:top w:val="single" w:sz="8" w:color="0000FF"/>
              <w:bottom w:val="single" w:sz="8" w:color="0000EE"/>
            </w:tcBorders>
          </w:tcPr>
          <w:p>
            <w:pPr>
              <w:spacing w:after="0"/>
              <w:rPr>
                <w:sz w:val="14"/>
                <w:szCs w:val="14"/>
                <w:color w:val="auto"/>
              </w:rPr>
            </w:pPr>
          </w:p>
        </w:tc>
        <w:tc>
          <w:tcPr>
            <w:tcW w:w="2560" w:type="dxa"/>
            <w:vAlign w:val="bottom"/>
            <w:tcBorders>
              <w:top w:val="single" w:sz="8" w:color="0000FF"/>
            </w:tcBorders>
            <w:gridSpan w:val="13"/>
          </w:tcPr>
          <w:p>
            <w:pPr>
              <w:spacing w:after="0"/>
              <w:rPr>
                <w:sz w:val="14"/>
                <w:szCs w:val="14"/>
                <w:color w:val="auto"/>
              </w:rPr>
            </w:pPr>
          </w:p>
        </w:tc>
        <w:tc>
          <w:tcPr>
            <w:tcW w:w="4940" w:type="dxa"/>
            <w:vAlign w:val="bottom"/>
            <w:gridSpan w:val="2"/>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69"/>
        </w:trPr>
        <w:tc>
          <w:tcPr>
            <w:tcW w:w="1140" w:type="dxa"/>
            <w:vAlign w:val="bottom"/>
            <w:gridSpan w:val="2"/>
          </w:tcPr>
          <w:p>
            <w:pPr>
              <w:spacing w:after="0" w:line="169" w:lineRule="exact"/>
              <w:rPr>
                <w:sz w:val="20"/>
                <w:szCs w:val="20"/>
                <w:color w:val="auto"/>
              </w:rPr>
            </w:pPr>
            <w:r>
              <w:rPr>
                <w:rFonts w:ascii="Arial" w:cs="Arial" w:eastAsia="Arial" w:hAnsi="Arial"/>
                <w:sz w:val="18"/>
                <w:szCs w:val="18"/>
                <w:b w:val="1"/>
                <w:bCs w:val="1"/>
                <w:color w:val="auto"/>
              </w:rPr>
              <w:t>PART II.</w:t>
            </w:r>
          </w:p>
        </w:tc>
        <w:tc>
          <w:tcPr>
            <w:tcW w:w="1800" w:type="dxa"/>
            <w:vAlign w:val="bottom"/>
            <w:tcBorders>
              <w:bottom w:val="single" w:sz="8" w:color="0000FF"/>
            </w:tcBorders>
            <w:gridSpan w:val="4"/>
          </w:tcPr>
          <w:p>
            <w:pPr>
              <w:spacing w:after="0" w:line="169" w:lineRule="exact"/>
              <w:rPr>
                <w:rFonts w:ascii="Arial" w:cs="Arial" w:eastAsia="Arial" w:hAnsi="Arial"/>
                <w:sz w:val="18"/>
                <w:szCs w:val="18"/>
                <w:color w:val="0000FF"/>
                <w:w w:val="91"/>
              </w:rPr>
            </w:pPr>
            <w:hyperlink w:anchor="page27">
              <w:r>
                <w:rPr>
                  <w:rFonts w:ascii="Arial" w:cs="Arial" w:eastAsia="Arial" w:hAnsi="Arial"/>
                  <w:sz w:val="18"/>
                  <w:szCs w:val="18"/>
                  <w:color w:val="0000FF"/>
                  <w:w w:val="91"/>
                </w:rPr>
                <w:t>OTHER INFORMATION</w:t>
              </w:r>
            </w:hyperlink>
          </w:p>
        </w:tc>
        <w:tc>
          <w:tcPr>
            <w:tcW w:w="100" w:type="dxa"/>
            <w:vAlign w:val="bottom"/>
            <w:tcBorders>
              <w:bottom w:val="single" w:sz="8" w:color="0000FF"/>
            </w:tcBorders>
          </w:tcPr>
          <w:p>
            <w:pPr>
              <w:spacing w:after="0"/>
              <w:rPr>
                <w:sz w:val="14"/>
                <w:szCs w:val="14"/>
                <w:color w:val="auto"/>
              </w:rPr>
            </w:pPr>
          </w:p>
        </w:tc>
        <w:tc>
          <w:tcPr>
            <w:tcW w:w="7400" w:type="dxa"/>
            <w:vAlign w:val="bottom"/>
            <w:gridSpan w:val="14"/>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40" w:type="dxa"/>
            <w:vAlign w:val="bottom"/>
            <w:gridSpan w:val="2"/>
          </w:tcPr>
          <w:p>
            <w:pPr>
              <w:spacing w:after="0" w:line="169" w:lineRule="exact"/>
              <w:rPr>
                <w:sz w:val="20"/>
                <w:szCs w:val="20"/>
                <w:color w:val="auto"/>
              </w:rPr>
            </w:pPr>
            <w:r>
              <w:rPr>
                <w:rFonts w:ascii="Arial" w:cs="Arial" w:eastAsia="Arial" w:hAnsi="Arial"/>
                <w:sz w:val="18"/>
                <w:szCs w:val="18"/>
                <w:color w:val="auto"/>
              </w:rPr>
              <w:t>Item 1A.</w:t>
            </w:r>
          </w:p>
        </w:tc>
        <w:tc>
          <w:tcPr>
            <w:tcW w:w="1900" w:type="dxa"/>
            <w:vAlign w:val="bottom"/>
            <w:gridSpan w:val="5"/>
          </w:tcPr>
          <w:p>
            <w:pPr>
              <w:spacing w:after="0" w:line="169" w:lineRule="exact"/>
              <w:rPr>
                <w:rFonts w:ascii="Arial" w:cs="Arial" w:eastAsia="Arial" w:hAnsi="Arial"/>
                <w:sz w:val="18"/>
                <w:szCs w:val="18"/>
                <w:color w:val="0000FF"/>
              </w:rPr>
            </w:pPr>
            <w:hyperlink w:anchor="page27">
              <w:r>
                <w:rPr>
                  <w:rFonts w:ascii="Arial" w:cs="Arial" w:eastAsia="Arial" w:hAnsi="Arial"/>
                  <w:sz w:val="18"/>
                  <w:szCs w:val="18"/>
                  <w:color w:val="0000FF"/>
                </w:rPr>
                <w:t>Risk Factors</w:t>
              </w:r>
            </w:hyperlink>
          </w:p>
        </w:tc>
        <w:tc>
          <w:tcPr>
            <w:tcW w:w="7400" w:type="dxa"/>
            <w:vAlign w:val="bottom"/>
            <w:gridSpan w:val="14"/>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69"/>
        </w:trPr>
        <w:tc>
          <w:tcPr>
            <w:tcW w:w="1140" w:type="dxa"/>
            <w:vAlign w:val="bottom"/>
            <w:gridSpan w:val="2"/>
          </w:tcPr>
          <w:p>
            <w:pPr>
              <w:spacing w:after="0" w:line="169" w:lineRule="exact"/>
              <w:rPr>
                <w:sz w:val="20"/>
                <w:szCs w:val="20"/>
                <w:color w:val="auto"/>
              </w:rPr>
            </w:pPr>
            <w:r>
              <w:rPr>
                <w:rFonts w:ascii="Arial" w:cs="Arial" w:eastAsia="Arial" w:hAnsi="Arial"/>
                <w:sz w:val="18"/>
                <w:szCs w:val="18"/>
                <w:color w:val="auto"/>
              </w:rPr>
              <w:t>Item 6.</w:t>
            </w:r>
          </w:p>
        </w:tc>
        <w:tc>
          <w:tcPr>
            <w:tcW w:w="920" w:type="dxa"/>
            <w:vAlign w:val="bottom"/>
            <w:tcBorders>
              <w:top w:val="single" w:sz="8" w:color="0000FF"/>
            </w:tcBorders>
            <w:gridSpan w:val="2"/>
          </w:tcPr>
          <w:p>
            <w:pPr>
              <w:spacing w:after="0" w:line="169" w:lineRule="exact"/>
              <w:rPr>
                <w:rFonts w:ascii="Arial" w:cs="Arial" w:eastAsia="Arial" w:hAnsi="Arial"/>
                <w:sz w:val="18"/>
                <w:szCs w:val="18"/>
                <w:color w:val="0000FF"/>
              </w:rPr>
            </w:pPr>
            <w:hyperlink w:anchor="page54">
              <w:r>
                <w:rPr>
                  <w:rFonts w:ascii="Arial" w:cs="Arial" w:eastAsia="Arial" w:hAnsi="Arial"/>
                  <w:sz w:val="18"/>
                  <w:szCs w:val="18"/>
                  <w:color w:val="0000FF"/>
                </w:rPr>
                <w:t>Exhibits</w:t>
              </w:r>
            </w:hyperlink>
          </w:p>
        </w:tc>
        <w:tc>
          <w:tcPr>
            <w:tcW w:w="8380" w:type="dxa"/>
            <w:vAlign w:val="bottom"/>
            <w:gridSpan w:val="17"/>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69"/>
        </w:trPr>
        <w:tc>
          <w:tcPr>
            <w:tcW w:w="1140" w:type="dxa"/>
            <w:vAlign w:val="bottom"/>
            <w:gridSpan w:val="2"/>
          </w:tcPr>
          <w:p>
            <w:pPr>
              <w:spacing w:after="0" w:line="169" w:lineRule="exact"/>
              <w:rPr>
                <w:rFonts w:ascii="Arial" w:cs="Arial" w:eastAsia="Arial" w:hAnsi="Arial"/>
                <w:sz w:val="18"/>
                <w:szCs w:val="18"/>
                <w:color w:val="0000FF"/>
              </w:rPr>
            </w:pPr>
            <w:hyperlink w:anchor="page55">
              <w:r>
                <w:rPr>
                  <w:rFonts w:ascii="Arial" w:cs="Arial" w:eastAsia="Arial" w:hAnsi="Arial"/>
                  <w:sz w:val="18"/>
                  <w:szCs w:val="18"/>
                  <w:color w:val="0000FF"/>
                </w:rPr>
                <w:t>Signatures</w:t>
              </w:r>
            </w:hyperlink>
          </w:p>
        </w:tc>
        <w:tc>
          <w:tcPr>
            <w:tcW w:w="600" w:type="dxa"/>
            <w:vAlign w:val="bottom"/>
            <w:tcBorders>
              <w:top w:val="single" w:sz="8" w:color="0000FF"/>
            </w:tcBorders>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FORWARD-LOOKING STATEMENTS</w:t>
      </w:r>
    </w:p>
    <w:p>
      <w:pPr>
        <w:spacing w:after="0" w:line="108"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i w:val="1"/>
          <w:iCs w:val="1"/>
          <w:color w:val="auto"/>
        </w:rPr>
        <w:t>This Quarterly Report on Form 10-Q ("Quarterly Report") contains forward-looking statements within the meaning of Section 27A of the Securities Act of 1933, as amended (the “Securities Act”) and Section 21E of the Securities Exchange Act of 1934, as amended (the “Exchange Act”) about us and our industry that involve substantial risks and uncertainties. All statements other than statements of historical facts contained in this Quarterly Report, including statements regarding our future results of operations and financial condition, business strategy and plans and objectives of management for future operations, are forward-looking statements. For example, statements in this Quarterly Report regarding the potential future impact of the COVID-19 pandemic on our business and results of operations are forward-looking statements. In some cases, forward-looking statements may be identified by words such as “anticipate,” “believe,” “continue,” “could,” “design,” “estimate,” “expect,” “intend,” “may,” “plan,” “potentially,” “predict,” “project,” “should,” “will” or the negative of these terms or other similar expressions. We caution you that the foregoing list may not encompass all of the forward-looking statements made in this Quarterly Report.</w:t>
      </w:r>
    </w:p>
    <w:p>
      <w:pPr>
        <w:spacing w:after="0" w:line="76" w:lineRule="exact"/>
        <w:rPr>
          <w:sz w:val="20"/>
          <w:szCs w:val="20"/>
          <w:color w:val="auto"/>
        </w:rPr>
      </w:pPr>
    </w:p>
    <w:p>
      <w:pPr>
        <w:jc w:val="both"/>
        <w:ind w:right="520"/>
        <w:spacing w:after="0" w:line="248" w:lineRule="auto"/>
        <w:rPr>
          <w:sz w:val="20"/>
          <w:szCs w:val="20"/>
          <w:color w:val="auto"/>
        </w:rPr>
      </w:pPr>
      <w:r>
        <w:rPr>
          <w:rFonts w:ascii="Arial" w:cs="Arial" w:eastAsia="Arial" w:hAnsi="Arial"/>
          <w:sz w:val="18"/>
          <w:szCs w:val="18"/>
          <w:i w:val="1"/>
          <w:iCs w:val="1"/>
          <w:color w:val="auto"/>
        </w:rPr>
        <w:t>Forward-looking statements are based on our management’s beliefs and assumptions and on information currently available. These forward-looking statements are subject to a number of known and unknown risks, uncertainties and assumptions, including risks described in the section titled “Risk Factors” and elsewhere in this Quarterly Report.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I—UNAUDITED FINANCIAL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ENANTA PHARMACEUTICALS,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4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5"/>
                <w:szCs w:val="15"/>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85"/>
        </w:trPr>
        <w:tc>
          <w:tcPr>
            <w:tcW w:w="76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99"/>
              </w:rPr>
              <w:t>$</w:t>
            </w: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28,367</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57,206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Short-term marketable securities</w:t>
            </w:r>
          </w:p>
        </w:tc>
        <w:tc>
          <w:tcPr>
            <w:tcW w:w="34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224,921</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186,796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Accounts receivable</w:t>
            </w:r>
          </w:p>
        </w:tc>
        <w:tc>
          <w:tcPr>
            <w:tcW w:w="34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19,479</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23,576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34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11,540</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14,188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Income tax receivable</w:t>
            </w:r>
          </w:p>
        </w:tc>
        <w:tc>
          <w:tcPr>
            <w:tcW w:w="34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28,728</w:t>
            </w:r>
          </w:p>
        </w:tc>
        <w:tc>
          <w:tcPr>
            <w:tcW w:w="2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37,255</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tcPr>
          <w:p>
            <w:pPr>
              <w:ind w:left="380"/>
              <w:spacing w:after="0" w:line="196" w:lineRule="exact"/>
              <w:rPr>
                <w:sz w:val="20"/>
                <w:szCs w:val="20"/>
                <w:color w:val="auto"/>
              </w:rPr>
            </w:pPr>
            <w:r>
              <w:rPr>
                <w:rFonts w:ascii="Arial" w:cs="Arial" w:eastAsia="Arial" w:hAnsi="Arial"/>
                <w:sz w:val="18"/>
                <w:szCs w:val="18"/>
                <w:color w:val="auto"/>
              </w:rPr>
              <w:t>Total current assets</w:t>
            </w:r>
          </w:p>
        </w:tc>
        <w:tc>
          <w:tcPr>
            <w:tcW w:w="340" w:type="dxa"/>
            <w:vAlign w:val="bottom"/>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313,035</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319,021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Long-term marketable securities</w:t>
            </w:r>
          </w:p>
        </w:tc>
        <w:tc>
          <w:tcPr>
            <w:tcW w:w="34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39,427</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108,416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Property and equipment, net</w:t>
            </w:r>
          </w:p>
        </w:tc>
        <w:tc>
          <w:tcPr>
            <w:tcW w:w="34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4,588</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5,943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Operating lease, right-of-use assets</w:t>
            </w:r>
          </w:p>
        </w:tc>
        <w:tc>
          <w:tcPr>
            <w:tcW w:w="34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23,493</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4,711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Restricted cash</w:t>
            </w:r>
          </w:p>
        </w:tc>
        <w:tc>
          <w:tcPr>
            <w:tcW w:w="34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3,968</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608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 long-term assets</w:t>
            </w:r>
          </w:p>
        </w:tc>
        <w:tc>
          <w:tcPr>
            <w:tcW w:w="34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703</w:t>
            </w:r>
          </w:p>
        </w:tc>
        <w:tc>
          <w:tcPr>
            <w:tcW w:w="2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92</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tcPr>
          <w:p>
            <w:pPr>
              <w:ind w:left="380"/>
              <w:spacing w:after="0" w:line="196" w:lineRule="exact"/>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385,214</w:t>
            </w:r>
          </w:p>
        </w:tc>
        <w:tc>
          <w:tcPr>
            <w:tcW w:w="28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438,791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8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b w:val="1"/>
                <w:bCs w:val="1"/>
                <w:color w:val="auto"/>
              </w:rPr>
              <w:t>Liabilities and Stockholders' Equity</w:t>
            </w:r>
          </w:p>
        </w:tc>
        <w:tc>
          <w:tcPr>
            <w:tcW w:w="34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Current liabilities:</w:t>
            </w: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Accounts payable</w:t>
            </w:r>
          </w:p>
        </w:tc>
        <w:tc>
          <w:tcPr>
            <w:tcW w:w="34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99"/>
              </w:rPr>
              <w:t>$</w:t>
            </w: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1,245</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9,540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34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19,191</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22,429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Operating lease liabilities</w:t>
            </w:r>
          </w:p>
        </w:tc>
        <w:tc>
          <w:tcPr>
            <w:tcW w:w="34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2,599</w:t>
            </w:r>
          </w:p>
        </w:tc>
        <w:tc>
          <w:tcPr>
            <w:tcW w:w="2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4,203</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tcPr>
          <w:p>
            <w:pPr>
              <w:ind w:left="380"/>
              <w:spacing w:after="0" w:line="196" w:lineRule="exact"/>
              <w:rPr>
                <w:sz w:val="20"/>
                <w:szCs w:val="20"/>
                <w:color w:val="auto"/>
              </w:rPr>
            </w:pPr>
            <w:r>
              <w:rPr>
                <w:rFonts w:ascii="Arial" w:cs="Arial" w:eastAsia="Arial" w:hAnsi="Arial"/>
                <w:sz w:val="18"/>
                <w:szCs w:val="18"/>
                <w:color w:val="auto"/>
              </w:rPr>
              <w:t>Total current liabilities</w:t>
            </w:r>
          </w:p>
        </w:tc>
        <w:tc>
          <w:tcPr>
            <w:tcW w:w="340" w:type="dxa"/>
            <w:vAlign w:val="bottom"/>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23,035</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36,172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Operating lease liabilities, net of current portion</w:t>
            </w:r>
          </w:p>
        </w:tc>
        <w:tc>
          <w:tcPr>
            <w:tcW w:w="34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22,209</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1,126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Series 1 nonconvertible preferred stock</w:t>
            </w:r>
          </w:p>
        </w:tc>
        <w:tc>
          <w:tcPr>
            <w:tcW w:w="34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1,506</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1,506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 long-term liabilities</w:t>
            </w:r>
          </w:p>
        </w:tc>
        <w:tc>
          <w:tcPr>
            <w:tcW w:w="34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441</w:t>
            </w:r>
          </w:p>
        </w:tc>
        <w:tc>
          <w:tcPr>
            <w:tcW w:w="2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558</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tcPr>
          <w:p>
            <w:pPr>
              <w:ind w:left="380"/>
              <w:spacing w:after="0" w:line="196" w:lineRule="exact"/>
              <w:rPr>
                <w:sz w:val="20"/>
                <w:szCs w:val="20"/>
                <w:color w:val="auto"/>
              </w:rPr>
            </w:pPr>
            <w:r>
              <w:rPr>
                <w:rFonts w:ascii="Arial" w:cs="Arial" w:eastAsia="Arial" w:hAnsi="Arial"/>
                <w:sz w:val="18"/>
                <w:szCs w:val="18"/>
                <w:color w:val="auto"/>
              </w:rPr>
              <w:t>Total liabilities</w:t>
            </w:r>
          </w:p>
        </w:tc>
        <w:tc>
          <w:tcPr>
            <w:tcW w:w="340" w:type="dxa"/>
            <w:vAlign w:val="bottom"/>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47,191</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39,362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Commitments and contingencies (Note 11)</w:t>
            </w:r>
          </w:p>
        </w:tc>
        <w:tc>
          <w:tcPr>
            <w:tcW w:w="34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Stockholders' equity:</w:t>
            </w: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680" w:type="dxa"/>
            <w:vAlign w:val="bottom"/>
            <w:shd w:val="clear" w:color="auto" w:fill="CFF0FC"/>
          </w:tcPr>
          <w:p>
            <w:pPr>
              <w:ind w:left="200"/>
              <w:spacing w:after="0" w:line="162" w:lineRule="exact"/>
              <w:rPr>
                <w:sz w:val="20"/>
                <w:szCs w:val="20"/>
                <w:color w:val="auto"/>
              </w:rPr>
            </w:pPr>
            <w:r>
              <w:rPr>
                <w:rFonts w:ascii="Arial" w:cs="Arial" w:eastAsia="Arial" w:hAnsi="Arial"/>
                <w:sz w:val="18"/>
                <w:szCs w:val="18"/>
                <w:color w:val="auto"/>
              </w:rPr>
              <w:t>Common stock; $0.01 par value per share, 100,000 shares authorized; 20,720 and</w:t>
            </w:r>
          </w:p>
        </w:tc>
        <w:tc>
          <w:tcPr>
            <w:tcW w:w="34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680" w:type="dxa"/>
            <w:vAlign w:val="bottom"/>
            <w:shd w:val="clear" w:color="auto" w:fill="CFF0FC"/>
          </w:tcPr>
          <w:p>
            <w:pPr>
              <w:ind w:left="340"/>
              <w:spacing w:after="0" w:line="176" w:lineRule="exact"/>
              <w:rPr>
                <w:sz w:val="20"/>
                <w:szCs w:val="20"/>
                <w:color w:val="auto"/>
              </w:rPr>
            </w:pPr>
            <w:r>
              <w:rPr>
                <w:rFonts w:ascii="Arial" w:cs="Arial" w:eastAsia="Arial" w:hAnsi="Arial"/>
                <w:sz w:val="18"/>
                <w:szCs w:val="18"/>
                <w:color w:val="auto"/>
              </w:rPr>
              <w:t>20,238 shares issued and outstanding at June 30, 2022 and</w:t>
            </w:r>
          </w:p>
        </w:tc>
        <w:tc>
          <w:tcPr>
            <w:tcW w:w="340" w:type="dxa"/>
            <w:vAlign w:val="bottom"/>
            <w:shd w:val="clear" w:color="auto" w:fill="CFF0FC"/>
          </w:tcPr>
          <w:p>
            <w:pPr>
              <w:spacing w:after="0"/>
              <w:rPr>
                <w:sz w:val="15"/>
                <w:szCs w:val="15"/>
                <w:color w:val="auto"/>
              </w:rPr>
            </w:pPr>
          </w:p>
        </w:tc>
        <w:tc>
          <w:tcPr>
            <w:tcW w:w="12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207</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340"/>
              <w:spacing w:after="0"/>
              <w:rPr>
                <w:sz w:val="20"/>
                <w:szCs w:val="20"/>
                <w:color w:val="auto"/>
              </w:rPr>
            </w:pPr>
            <w:r>
              <w:rPr>
                <w:rFonts w:ascii="Arial" w:cs="Arial" w:eastAsia="Arial" w:hAnsi="Arial"/>
                <w:sz w:val="18"/>
                <w:szCs w:val="18"/>
                <w:color w:val="auto"/>
              </w:rPr>
              <w:t>September 30, 2021, respectively</w:t>
            </w:r>
          </w:p>
        </w:tc>
        <w:tc>
          <w:tcPr>
            <w:tcW w:w="340" w:type="dxa"/>
            <w:vAlign w:val="bottom"/>
            <w:shd w:val="clear" w:color="auto" w:fill="CFF0FC"/>
          </w:tcPr>
          <w:p>
            <w:pPr>
              <w:spacing w:after="0"/>
              <w:rPr>
                <w:sz w:val="18"/>
                <w:szCs w:val="18"/>
                <w:color w:val="auto"/>
              </w:rPr>
            </w:pPr>
          </w:p>
        </w:tc>
        <w:tc>
          <w:tcPr>
            <w:tcW w:w="1260" w:type="dxa"/>
            <w:vAlign w:val="bottom"/>
            <w:vMerge w:val="continue"/>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Additional paid-in capital</w:t>
            </w:r>
          </w:p>
        </w:tc>
        <w:tc>
          <w:tcPr>
            <w:tcW w:w="34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388,267</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351,033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Accumulated other comprehensive loss</w:t>
            </w:r>
          </w:p>
        </w:tc>
        <w:tc>
          <w:tcPr>
            <w:tcW w:w="34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(3,620 )</w:t>
            </w:r>
          </w:p>
        </w:tc>
        <w:tc>
          <w:tcPr>
            <w:tcW w:w="22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(382 )</w:t>
            </w: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(Accumulated deficit) retained earnings</w:t>
            </w:r>
          </w:p>
        </w:tc>
        <w:tc>
          <w:tcPr>
            <w:tcW w:w="340" w:type="dxa"/>
            <w:vAlign w:val="bottom"/>
          </w:tcPr>
          <w:p>
            <w:pPr>
              <w:spacing w:after="0"/>
              <w:rPr>
                <w:sz w:val="17"/>
                <w:szCs w:val="17"/>
                <w:color w:val="auto"/>
              </w:rPr>
            </w:pPr>
          </w:p>
        </w:tc>
        <w:tc>
          <w:tcPr>
            <w:tcW w:w="15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(46,831 )</w:t>
            </w:r>
          </w:p>
        </w:tc>
        <w:tc>
          <w:tcPr>
            <w:tcW w:w="2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48,576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tcBorders>
              <w:bottom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stockholders' equity</w:t>
            </w:r>
          </w:p>
        </w:tc>
        <w:tc>
          <w:tcPr>
            <w:tcW w:w="340" w:type="dxa"/>
            <w:vAlign w:val="bottom"/>
            <w:tcBorders>
              <w:top w:val="single" w:sz="8" w:color="auto"/>
              <w:bottom w:val="single" w:sz="8" w:color="auto"/>
            </w:tcBorders>
            <w:shd w:val="clear" w:color="auto" w:fill="CFF0FC"/>
          </w:tcPr>
          <w:p>
            <w:pPr>
              <w:spacing w:after="0"/>
              <w:rPr>
                <w:sz w:val="17"/>
                <w:szCs w:val="17"/>
                <w:color w:val="auto"/>
              </w:rPr>
            </w:pPr>
          </w:p>
        </w:tc>
        <w:tc>
          <w:tcPr>
            <w:tcW w:w="12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338,023</w:t>
            </w:r>
          </w:p>
        </w:tc>
        <w:tc>
          <w:tcPr>
            <w:tcW w:w="2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spacing w:after="0"/>
              <w:rPr>
                <w:sz w:val="17"/>
                <w:szCs w:val="17"/>
                <w:color w:val="auto"/>
              </w:rPr>
            </w:pPr>
          </w:p>
        </w:tc>
        <w:tc>
          <w:tcPr>
            <w:tcW w:w="13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399,429</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tcPr>
          <w:p>
            <w:pPr>
              <w:ind w:left="380"/>
              <w:spacing w:after="0" w:line="196" w:lineRule="exact"/>
              <w:rPr>
                <w:sz w:val="20"/>
                <w:szCs w:val="20"/>
                <w:color w:val="auto"/>
              </w:rPr>
            </w:pPr>
            <w:r>
              <w:rPr>
                <w:rFonts w:ascii="Arial" w:cs="Arial" w:eastAsia="Arial" w:hAnsi="Arial"/>
                <w:sz w:val="18"/>
                <w:szCs w:val="18"/>
                <w:color w:val="auto"/>
              </w:rPr>
              <w:t>Total liabilities and stockholders' equity</w:t>
            </w:r>
          </w:p>
        </w:tc>
        <w:tc>
          <w:tcPr>
            <w:tcW w:w="34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385,214</w:t>
            </w:r>
          </w:p>
        </w:tc>
        <w:tc>
          <w:tcPr>
            <w:tcW w:w="28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438,791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-3536950</wp:posOffset>
            </wp:positionV>
            <wp:extent cx="6858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-3536950</wp:posOffset>
            </wp:positionV>
            <wp:extent cx="6858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-2756535</wp:posOffset>
            </wp:positionV>
            <wp:extent cx="6858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-2756535</wp:posOffset>
            </wp:positionV>
            <wp:extent cx="6858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-1950720</wp:posOffset>
            </wp:positionV>
            <wp:extent cx="6858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-1950720</wp:posOffset>
            </wp:positionV>
            <wp:extent cx="6858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-1428115</wp:posOffset>
            </wp:positionV>
            <wp:extent cx="6858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-1428115</wp:posOffset>
            </wp:positionV>
            <wp:extent cx="6858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-159385</wp:posOffset>
            </wp:positionV>
            <wp:extent cx="6858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ENANTA PHARMACEUTICALS,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8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5"/>
                <w:szCs w:val="15"/>
                <w:color w:val="auto"/>
              </w:rPr>
            </w:pPr>
          </w:p>
        </w:tc>
        <w:tc>
          <w:tcPr>
            <w:tcW w:w="246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55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5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23"/>
        </w:trPr>
        <w:tc>
          <w:tcPr>
            <w:tcW w:w="5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3"/>
        </w:trPr>
        <w:tc>
          <w:tcPr>
            <w:tcW w:w="55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Royalty revenue</w:t>
            </w:r>
          </w:p>
        </w:tc>
        <w:tc>
          <w:tcPr>
            <w:tcW w:w="260" w:type="dxa"/>
            <w:vAlign w:val="bottom"/>
            <w:tcBorders>
              <w:bottom w:val="single" w:sz="8" w:color="auto"/>
            </w:tcBorders>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19,479</w:t>
            </w:r>
          </w:p>
        </w:tc>
        <w:tc>
          <w:tcPr>
            <w:tcW w:w="32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21,624</w:t>
            </w:r>
          </w:p>
        </w:tc>
        <w:tc>
          <w:tcPr>
            <w:tcW w:w="3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65,843</w:t>
            </w:r>
          </w:p>
        </w:tc>
        <w:tc>
          <w:tcPr>
            <w:tcW w:w="30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73,499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580" w:type="dxa"/>
            <w:vAlign w:val="bottom"/>
          </w:tcPr>
          <w:p>
            <w:pPr>
              <w:ind w:left="20"/>
              <w:spacing w:after="0" w:line="196" w:lineRule="exact"/>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5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39,090</w:t>
            </w:r>
          </w:p>
        </w:tc>
        <w:tc>
          <w:tcPr>
            <w:tcW w:w="3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46,994</w:t>
            </w: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129,726</w:t>
            </w:r>
          </w:p>
        </w:tc>
        <w:tc>
          <w:tcPr>
            <w:tcW w:w="3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125,165</w:t>
            </w:r>
          </w:p>
        </w:tc>
        <w:tc>
          <w:tcPr>
            <w:tcW w:w="100" w:type="dxa"/>
            <w:vAlign w:val="bottom"/>
            <w:shd w:val="clear" w:color="auto" w:fill="CFF0FC"/>
          </w:tcPr>
          <w:p>
            <w:pPr>
              <w:spacing w:after="0"/>
              <w:rPr>
                <w:sz w:val="17"/>
                <w:szCs w:val="17"/>
                <w:color w:val="auto"/>
              </w:rPr>
            </w:pPr>
          </w:p>
        </w:tc>
      </w:tr>
      <w:tr>
        <w:trPr>
          <w:trHeight w:val="203"/>
        </w:trPr>
        <w:tc>
          <w:tcPr>
            <w:tcW w:w="5580" w:type="dxa"/>
            <w:vAlign w:val="bottom"/>
          </w:tcPr>
          <w:p>
            <w:pPr>
              <w:ind w:left="200"/>
              <w:spacing w:after="0" w:line="202" w:lineRule="exact"/>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12,929</w:t>
            </w:r>
          </w:p>
        </w:tc>
        <w:tc>
          <w:tcPr>
            <w:tcW w:w="3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8,477</w:t>
            </w:r>
          </w:p>
        </w:tc>
        <w:tc>
          <w:tcPr>
            <w:tcW w:w="3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32,913</w:t>
            </w:r>
          </w:p>
        </w:tc>
        <w:tc>
          <w:tcPr>
            <w:tcW w:w="3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24,180</w:t>
            </w:r>
          </w:p>
        </w:tc>
        <w:tc>
          <w:tcPr>
            <w:tcW w:w="100" w:type="dxa"/>
            <w:vAlign w:val="bottom"/>
          </w:tcPr>
          <w:p>
            <w:pPr>
              <w:spacing w:after="0"/>
              <w:rPr>
                <w:sz w:val="17"/>
                <w:szCs w:val="17"/>
                <w:color w:val="auto"/>
              </w:rPr>
            </w:pPr>
          </w:p>
        </w:tc>
      </w:tr>
      <w:tr>
        <w:trPr>
          <w:trHeight w:val="196"/>
        </w:trPr>
        <w:tc>
          <w:tcPr>
            <w:tcW w:w="5580" w:type="dxa"/>
            <w:vAlign w:val="bottom"/>
            <w:tcBorders>
              <w:bottom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52,019</w:t>
            </w:r>
          </w:p>
        </w:tc>
        <w:tc>
          <w:tcPr>
            <w:tcW w:w="32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55,471</w:t>
            </w:r>
          </w:p>
        </w:tc>
        <w:tc>
          <w:tcPr>
            <w:tcW w:w="3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162,639</w:t>
            </w:r>
          </w:p>
        </w:tc>
        <w:tc>
          <w:tcPr>
            <w:tcW w:w="30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149,345</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580" w:type="dxa"/>
            <w:vAlign w:val="bottom"/>
          </w:tcPr>
          <w:p>
            <w:pPr>
              <w:ind w:left="20"/>
              <w:spacing w:after="0" w:line="196" w:lineRule="exact"/>
              <w:rPr>
                <w:sz w:val="20"/>
                <w:szCs w:val="20"/>
                <w:color w:val="auto"/>
              </w:rPr>
            </w:pPr>
            <w:r>
              <w:rPr>
                <w:rFonts w:ascii="Arial" w:cs="Arial" w:eastAsia="Arial" w:hAnsi="Arial"/>
                <w:sz w:val="18"/>
                <w:szCs w:val="18"/>
                <w:color w:val="auto"/>
              </w:rPr>
              <w:t>Loss from operations</w:t>
            </w:r>
          </w:p>
        </w:tc>
        <w:tc>
          <w:tcPr>
            <w:tcW w:w="260" w:type="dxa"/>
            <w:vAlign w:val="bottom"/>
          </w:tcPr>
          <w:p>
            <w:pPr>
              <w:spacing w:after="0"/>
              <w:rPr>
                <w:sz w:val="17"/>
                <w:szCs w:val="17"/>
                <w:color w:val="auto"/>
              </w:rPr>
            </w:pPr>
          </w:p>
        </w:tc>
        <w:tc>
          <w:tcPr>
            <w:tcW w:w="116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(32,540 )</w:t>
            </w:r>
          </w:p>
        </w:tc>
        <w:tc>
          <w:tcPr>
            <w:tcW w:w="320" w:type="dxa"/>
            <w:vAlign w:val="bottom"/>
          </w:tcPr>
          <w:p>
            <w:pPr>
              <w:spacing w:after="0"/>
              <w:rPr>
                <w:sz w:val="17"/>
                <w:szCs w:val="17"/>
                <w:color w:val="auto"/>
              </w:rPr>
            </w:pPr>
          </w:p>
        </w:tc>
        <w:tc>
          <w:tcPr>
            <w:tcW w:w="120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(33,847 )</w:t>
            </w:r>
          </w:p>
        </w:tc>
        <w:tc>
          <w:tcPr>
            <w:tcW w:w="260" w:type="dxa"/>
            <w:vAlign w:val="bottom"/>
          </w:tcPr>
          <w:p>
            <w:pPr>
              <w:spacing w:after="0"/>
              <w:rPr>
                <w:sz w:val="17"/>
                <w:szCs w:val="17"/>
                <w:color w:val="auto"/>
              </w:rPr>
            </w:pPr>
          </w:p>
        </w:tc>
        <w:tc>
          <w:tcPr>
            <w:tcW w:w="112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(96,796 )</w:t>
            </w:r>
          </w:p>
        </w:tc>
        <w:tc>
          <w:tcPr>
            <w:tcW w:w="320" w:type="dxa"/>
            <w:vAlign w:val="bottom"/>
          </w:tcPr>
          <w:p>
            <w:pPr>
              <w:spacing w:after="0"/>
              <w:rPr>
                <w:sz w:val="17"/>
                <w:szCs w:val="17"/>
                <w:color w:val="auto"/>
              </w:rPr>
            </w:pPr>
          </w:p>
        </w:tc>
        <w:tc>
          <w:tcPr>
            <w:tcW w:w="10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(75,846 )</w:t>
            </w:r>
          </w:p>
        </w:tc>
      </w:tr>
      <w:tr>
        <w:trPr>
          <w:trHeight w:val="203"/>
        </w:trPr>
        <w:tc>
          <w:tcPr>
            <w:tcW w:w="55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Other income:</w:t>
            </w: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580" w:type="dxa"/>
            <w:vAlign w:val="bottom"/>
          </w:tcPr>
          <w:p>
            <w:pPr>
              <w:ind w:left="200"/>
              <w:spacing w:after="0" w:line="202" w:lineRule="exact"/>
              <w:rPr>
                <w:sz w:val="20"/>
                <w:szCs w:val="20"/>
                <w:color w:val="auto"/>
              </w:rPr>
            </w:pPr>
            <w:r>
              <w:rPr>
                <w:rFonts w:ascii="Arial" w:cs="Arial" w:eastAsia="Arial" w:hAnsi="Arial"/>
                <w:sz w:val="18"/>
                <w:szCs w:val="18"/>
                <w:color w:val="auto"/>
              </w:rPr>
              <w:t>Other income, net</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393</w:t>
            </w:r>
          </w:p>
        </w:tc>
        <w:tc>
          <w:tcPr>
            <w:tcW w:w="3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439</w:t>
            </w:r>
          </w:p>
        </w:tc>
        <w:tc>
          <w:tcPr>
            <w:tcW w:w="3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942</w:t>
            </w:r>
          </w:p>
        </w:tc>
        <w:tc>
          <w:tcPr>
            <w:tcW w:w="3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1,661</w:t>
            </w:r>
          </w:p>
        </w:tc>
        <w:tc>
          <w:tcPr>
            <w:tcW w:w="100" w:type="dxa"/>
            <w:vAlign w:val="bottom"/>
          </w:tcPr>
          <w:p>
            <w:pPr>
              <w:spacing w:after="0"/>
              <w:rPr>
                <w:sz w:val="17"/>
                <w:szCs w:val="17"/>
                <w:color w:val="auto"/>
              </w:rPr>
            </w:pPr>
          </w:p>
        </w:tc>
      </w:tr>
      <w:tr>
        <w:trPr>
          <w:trHeight w:val="196"/>
        </w:trPr>
        <w:tc>
          <w:tcPr>
            <w:tcW w:w="5580" w:type="dxa"/>
            <w:vAlign w:val="bottom"/>
            <w:tcBorders>
              <w:bottom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other income, net</w:t>
            </w:r>
          </w:p>
        </w:tc>
        <w:tc>
          <w:tcPr>
            <w:tcW w:w="26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393</w:t>
            </w:r>
          </w:p>
        </w:tc>
        <w:tc>
          <w:tcPr>
            <w:tcW w:w="32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439</w:t>
            </w:r>
          </w:p>
        </w:tc>
        <w:tc>
          <w:tcPr>
            <w:tcW w:w="3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942</w:t>
            </w:r>
          </w:p>
        </w:tc>
        <w:tc>
          <w:tcPr>
            <w:tcW w:w="30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1,661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580" w:type="dxa"/>
            <w:vAlign w:val="bottom"/>
          </w:tcPr>
          <w:p>
            <w:pPr>
              <w:ind w:left="20"/>
              <w:spacing w:after="0" w:line="196" w:lineRule="exact"/>
              <w:rPr>
                <w:sz w:val="20"/>
                <w:szCs w:val="20"/>
                <w:color w:val="auto"/>
              </w:rPr>
            </w:pPr>
            <w:r>
              <w:rPr>
                <w:rFonts w:ascii="Arial" w:cs="Arial" w:eastAsia="Arial" w:hAnsi="Arial"/>
                <w:sz w:val="18"/>
                <w:szCs w:val="18"/>
                <w:color w:val="auto"/>
              </w:rPr>
              <w:t>Loss before income taxes</w:t>
            </w:r>
          </w:p>
        </w:tc>
        <w:tc>
          <w:tcPr>
            <w:tcW w:w="260" w:type="dxa"/>
            <w:vAlign w:val="bottom"/>
          </w:tcPr>
          <w:p>
            <w:pPr>
              <w:spacing w:after="0"/>
              <w:rPr>
                <w:sz w:val="17"/>
                <w:szCs w:val="17"/>
                <w:color w:val="auto"/>
              </w:rPr>
            </w:pPr>
          </w:p>
        </w:tc>
        <w:tc>
          <w:tcPr>
            <w:tcW w:w="116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(32,147 )</w:t>
            </w:r>
          </w:p>
        </w:tc>
        <w:tc>
          <w:tcPr>
            <w:tcW w:w="320" w:type="dxa"/>
            <w:vAlign w:val="bottom"/>
          </w:tcPr>
          <w:p>
            <w:pPr>
              <w:spacing w:after="0"/>
              <w:rPr>
                <w:sz w:val="17"/>
                <w:szCs w:val="17"/>
                <w:color w:val="auto"/>
              </w:rPr>
            </w:pPr>
          </w:p>
        </w:tc>
        <w:tc>
          <w:tcPr>
            <w:tcW w:w="120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(33,408 )</w:t>
            </w:r>
          </w:p>
        </w:tc>
        <w:tc>
          <w:tcPr>
            <w:tcW w:w="260" w:type="dxa"/>
            <w:vAlign w:val="bottom"/>
          </w:tcPr>
          <w:p>
            <w:pPr>
              <w:spacing w:after="0"/>
              <w:rPr>
                <w:sz w:val="17"/>
                <w:szCs w:val="17"/>
                <w:color w:val="auto"/>
              </w:rPr>
            </w:pPr>
          </w:p>
        </w:tc>
        <w:tc>
          <w:tcPr>
            <w:tcW w:w="112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(95,854 )</w:t>
            </w:r>
          </w:p>
        </w:tc>
        <w:tc>
          <w:tcPr>
            <w:tcW w:w="320" w:type="dxa"/>
            <w:vAlign w:val="bottom"/>
          </w:tcPr>
          <w:p>
            <w:pPr>
              <w:spacing w:after="0"/>
              <w:rPr>
                <w:sz w:val="17"/>
                <w:szCs w:val="17"/>
                <w:color w:val="auto"/>
              </w:rPr>
            </w:pPr>
          </w:p>
        </w:tc>
        <w:tc>
          <w:tcPr>
            <w:tcW w:w="10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(74,185 )</w:t>
            </w:r>
          </w:p>
        </w:tc>
      </w:tr>
      <w:tr>
        <w:trPr>
          <w:trHeight w:val="203"/>
        </w:trPr>
        <w:tc>
          <w:tcPr>
            <w:tcW w:w="558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Income tax benefit</w:t>
            </w:r>
          </w:p>
        </w:tc>
        <w:tc>
          <w:tcPr>
            <w:tcW w:w="26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447</w:t>
            </w:r>
          </w:p>
        </w:tc>
        <w:tc>
          <w:tcPr>
            <w:tcW w:w="32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9,384</w:t>
            </w:r>
          </w:p>
        </w:tc>
        <w:tc>
          <w:tcPr>
            <w:tcW w:w="3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447</w:t>
            </w:r>
          </w:p>
        </w:tc>
        <w:tc>
          <w:tcPr>
            <w:tcW w:w="30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19,788</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580" w:type="dxa"/>
            <w:vAlign w:val="bottom"/>
          </w:tcPr>
          <w:p>
            <w:pPr>
              <w:ind w:left="20"/>
              <w:spacing w:after="0" w:line="182" w:lineRule="exact"/>
              <w:rPr>
                <w:sz w:val="20"/>
                <w:szCs w:val="20"/>
                <w:color w:val="auto"/>
              </w:rPr>
            </w:pPr>
            <w:r>
              <w:rPr>
                <w:rFonts w:ascii="Arial" w:cs="Arial" w:eastAsia="Arial" w:hAnsi="Arial"/>
                <w:sz w:val="18"/>
                <w:szCs w:val="18"/>
                <w:color w:val="auto"/>
              </w:rPr>
              <w:t>Net loss</w:t>
            </w:r>
          </w:p>
        </w:tc>
        <w:tc>
          <w:tcPr>
            <w:tcW w:w="260" w:type="dxa"/>
            <w:vAlign w:val="bottom"/>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40"/>
              <w:spacing w:after="0" w:line="182" w:lineRule="exact"/>
              <w:rPr>
                <w:sz w:val="20"/>
                <w:szCs w:val="20"/>
                <w:color w:val="auto"/>
              </w:rPr>
            </w:pPr>
            <w:r>
              <w:rPr>
                <w:rFonts w:ascii="Arial" w:cs="Arial" w:eastAsia="Arial" w:hAnsi="Arial"/>
                <w:sz w:val="18"/>
                <w:szCs w:val="18"/>
                <w:color w:val="auto"/>
              </w:rPr>
              <w:t>(31,700 )</w:t>
            </w:r>
          </w:p>
        </w:tc>
        <w:tc>
          <w:tcPr>
            <w:tcW w:w="320" w:type="dxa"/>
            <w:vAlign w:val="bottom"/>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40"/>
              <w:spacing w:after="0" w:line="182" w:lineRule="exact"/>
              <w:rPr>
                <w:sz w:val="20"/>
                <w:szCs w:val="20"/>
                <w:color w:val="auto"/>
              </w:rPr>
            </w:pPr>
            <w:r>
              <w:rPr>
                <w:rFonts w:ascii="Arial" w:cs="Arial" w:eastAsia="Arial" w:hAnsi="Arial"/>
                <w:sz w:val="18"/>
                <w:szCs w:val="18"/>
                <w:color w:val="auto"/>
              </w:rPr>
              <w:t>(24,024 )</w:t>
            </w:r>
          </w:p>
        </w:tc>
        <w:tc>
          <w:tcPr>
            <w:tcW w:w="260" w:type="dxa"/>
            <w:vAlign w:val="bottom"/>
          </w:tcPr>
          <w:p>
            <w:pPr>
              <w:jc w:val="right"/>
              <w:ind w:right="50"/>
              <w:spacing w:after="0" w:line="182" w:lineRule="exact"/>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40"/>
              <w:spacing w:after="0" w:line="182" w:lineRule="exact"/>
              <w:rPr>
                <w:sz w:val="20"/>
                <w:szCs w:val="20"/>
                <w:color w:val="auto"/>
              </w:rPr>
            </w:pPr>
            <w:r>
              <w:rPr>
                <w:rFonts w:ascii="Arial" w:cs="Arial" w:eastAsia="Arial" w:hAnsi="Arial"/>
                <w:sz w:val="18"/>
                <w:szCs w:val="18"/>
                <w:color w:val="auto"/>
              </w:rPr>
              <w:t>(95,407 )</w:t>
            </w:r>
          </w:p>
        </w:tc>
        <w:tc>
          <w:tcPr>
            <w:tcW w:w="320" w:type="dxa"/>
            <w:vAlign w:val="bottom"/>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line="182" w:lineRule="exact"/>
              <w:rPr>
                <w:sz w:val="20"/>
                <w:szCs w:val="20"/>
                <w:color w:val="auto"/>
              </w:rPr>
            </w:pPr>
            <w:r>
              <w:rPr>
                <w:rFonts w:ascii="Arial" w:cs="Arial" w:eastAsia="Arial" w:hAnsi="Arial"/>
                <w:sz w:val="18"/>
                <w:szCs w:val="18"/>
                <w:color w:val="auto"/>
              </w:rPr>
              <w:t>(54,397 )</w:t>
            </w:r>
          </w:p>
        </w:tc>
      </w:tr>
      <w:tr>
        <w:trPr>
          <w:trHeight w:val="20"/>
        </w:trPr>
        <w:tc>
          <w:tcPr>
            <w:tcW w:w="55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55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5580" w:type="dxa"/>
            <w:vAlign w:val="bottom"/>
          </w:tcPr>
          <w:p>
            <w:pPr>
              <w:ind w:left="20"/>
              <w:spacing w:after="0" w:line="202" w:lineRule="exact"/>
              <w:rPr>
                <w:sz w:val="20"/>
                <w:szCs w:val="20"/>
                <w:color w:val="auto"/>
              </w:rPr>
            </w:pPr>
            <w:r>
              <w:rPr>
                <w:rFonts w:ascii="Arial" w:cs="Arial" w:eastAsia="Arial" w:hAnsi="Arial"/>
                <w:sz w:val="18"/>
                <w:szCs w:val="18"/>
                <w:color w:val="auto"/>
              </w:rPr>
              <w:t>Net loss per share:</w:t>
            </w: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58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Basic</w:t>
            </w:r>
          </w:p>
        </w:tc>
        <w:tc>
          <w:tcPr>
            <w:tcW w:w="26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(1.53 )</w:t>
            </w:r>
          </w:p>
        </w:tc>
        <w:tc>
          <w:tcPr>
            <w:tcW w:w="32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(1.19 )</w:t>
            </w:r>
          </w:p>
        </w:tc>
        <w:tc>
          <w:tcPr>
            <w:tcW w:w="26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(4.64 )</w:t>
            </w:r>
          </w:p>
        </w:tc>
        <w:tc>
          <w:tcPr>
            <w:tcW w:w="32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(2.70 )</w:t>
            </w:r>
          </w:p>
        </w:tc>
      </w:tr>
      <w:tr>
        <w:trPr>
          <w:trHeight w:val="203"/>
        </w:trPr>
        <w:tc>
          <w:tcPr>
            <w:tcW w:w="5580" w:type="dxa"/>
            <w:vAlign w:val="bottom"/>
          </w:tcPr>
          <w:p>
            <w:pPr>
              <w:ind w:left="380"/>
              <w:spacing w:after="0" w:line="202" w:lineRule="exact"/>
              <w:rPr>
                <w:sz w:val="20"/>
                <w:szCs w:val="20"/>
                <w:color w:val="auto"/>
              </w:rPr>
            </w:pPr>
            <w:r>
              <w:rPr>
                <w:rFonts w:ascii="Arial" w:cs="Arial" w:eastAsia="Arial" w:hAnsi="Arial"/>
                <w:sz w:val="18"/>
                <w:szCs w:val="18"/>
                <w:color w:val="auto"/>
              </w:rPr>
              <w:t>Diluted</w:t>
            </w: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(1.53 )</w:t>
            </w: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(1.19 )</w:t>
            </w:r>
          </w:p>
        </w:tc>
        <w:tc>
          <w:tcPr>
            <w:tcW w:w="260" w:type="dxa"/>
            <w:vAlign w:val="bottom"/>
          </w:tcPr>
          <w:p>
            <w:pPr>
              <w:jc w:val="right"/>
              <w:ind w:right="50"/>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(4.64 )</w:t>
            </w: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(2.70 )</w:t>
            </w:r>
          </w:p>
        </w:tc>
      </w:tr>
      <w:tr>
        <w:trPr>
          <w:trHeight w:val="203"/>
        </w:trPr>
        <w:tc>
          <w:tcPr>
            <w:tcW w:w="55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580" w:type="dxa"/>
            <w:vAlign w:val="bottom"/>
          </w:tcPr>
          <w:p>
            <w:pPr>
              <w:ind w:left="20"/>
              <w:spacing w:after="0" w:line="202" w:lineRule="exact"/>
              <w:rPr>
                <w:sz w:val="20"/>
                <w:szCs w:val="20"/>
                <w:color w:val="auto"/>
              </w:rPr>
            </w:pPr>
            <w:r>
              <w:rPr>
                <w:rFonts w:ascii="Arial" w:cs="Arial" w:eastAsia="Arial" w:hAnsi="Arial"/>
                <w:sz w:val="18"/>
                <w:szCs w:val="18"/>
                <w:color w:val="auto"/>
              </w:rPr>
              <w:t>Weighted average shares outstanding:</w:t>
            </w: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58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Basic</w:t>
            </w: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20,710</w:t>
            </w:r>
          </w:p>
        </w:tc>
        <w:tc>
          <w:tcPr>
            <w:tcW w:w="3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20,201</w:t>
            </w: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20,552</w:t>
            </w:r>
          </w:p>
        </w:tc>
        <w:tc>
          <w:tcPr>
            <w:tcW w:w="3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20,155</w:t>
            </w:r>
          </w:p>
        </w:tc>
        <w:tc>
          <w:tcPr>
            <w:tcW w:w="100" w:type="dxa"/>
            <w:vAlign w:val="bottom"/>
            <w:shd w:val="clear" w:color="auto" w:fill="CFF0FC"/>
          </w:tcPr>
          <w:p>
            <w:pPr>
              <w:spacing w:after="0"/>
              <w:rPr>
                <w:sz w:val="17"/>
                <w:szCs w:val="17"/>
                <w:color w:val="auto"/>
              </w:rPr>
            </w:pPr>
          </w:p>
        </w:tc>
      </w:tr>
      <w:tr>
        <w:trPr>
          <w:trHeight w:val="230"/>
        </w:trPr>
        <w:tc>
          <w:tcPr>
            <w:tcW w:w="5580" w:type="dxa"/>
            <w:vAlign w:val="bottom"/>
          </w:tcPr>
          <w:p>
            <w:pPr>
              <w:ind w:left="380"/>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20,710</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20,201</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20,552</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20,155</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-2534285</wp:posOffset>
            </wp:positionV>
            <wp:extent cx="76835"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-2534285</wp:posOffset>
            </wp:positionV>
            <wp:extent cx="6858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-2534285</wp:posOffset>
            </wp:positionV>
            <wp:extent cx="68580"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-2534285</wp:posOffset>
            </wp:positionV>
            <wp:extent cx="68580"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-2002790</wp:posOffset>
            </wp:positionV>
            <wp:extent cx="76835"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-2002790</wp:posOffset>
            </wp:positionV>
            <wp:extent cx="68580"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-2002790</wp:posOffset>
            </wp:positionV>
            <wp:extent cx="68580"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-2002790</wp:posOffset>
            </wp:positionV>
            <wp:extent cx="68580"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-1471295</wp:posOffset>
            </wp:positionV>
            <wp:extent cx="76835"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-1471295</wp:posOffset>
            </wp:positionV>
            <wp:extent cx="68580"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-1471295</wp:posOffset>
            </wp:positionV>
            <wp:extent cx="68580"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-1471295</wp:posOffset>
            </wp:positionV>
            <wp:extent cx="68580"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-1205865</wp:posOffset>
            </wp:positionV>
            <wp:extent cx="76835"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-1205865</wp:posOffset>
            </wp:positionV>
            <wp:extent cx="68580"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-1205865</wp:posOffset>
            </wp:positionV>
            <wp:extent cx="68580"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-1205865</wp:posOffset>
            </wp:positionV>
            <wp:extent cx="68580"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ENANTA PHARMACEUTICALS,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80" w:type="dxa"/>
            <w:vAlign w:val="bottom"/>
            <w:gridSpan w:val="5"/>
          </w:tcPr>
          <w:p>
            <w:pPr>
              <w:jc w:val="right"/>
              <w:ind w:right="941"/>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5"/>
                <w:szCs w:val="15"/>
                <w:color w:val="auto"/>
              </w:rPr>
            </w:pPr>
          </w:p>
        </w:tc>
        <w:tc>
          <w:tcPr>
            <w:tcW w:w="2600" w:type="dxa"/>
            <w:vAlign w:val="bottom"/>
            <w:gridSpan w:val="5"/>
          </w:tcPr>
          <w:p>
            <w:pPr>
              <w:jc w:val="right"/>
              <w:ind w:right="781"/>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53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3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96"/>
        </w:trPr>
        <w:tc>
          <w:tcPr>
            <w:tcW w:w="53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loss</w:t>
            </w:r>
          </w:p>
        </w:tc>
        <w:tc>
          <w:tcPr>
            <w:tcW w:w="28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(31,700</w:t>
            </w:r>
          </w:p>
        </w:tc>
        <w:tc>
          <w:tcPr>
            <w:tcW w:w="260" w:type="dxa"/>
            <w:vAlign w:val="bottom"/>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36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(24,024</w:t>
            </w:r>
          </w:p>
        </w:tc>
        <w:tc>
          <w:tcPr>
            <w:tcW w:w="280" w:type="dxa"/>
            <w:vAlign w:val="bottom"/>
            <w:shd w:val="clear" w:color="auto" w:fill="CFF0FC"/>
          </w:tcPr>
          <w:p>
            <w:pPr>
              <w:jc w:val="right"/>
              <w:ind w:right="141"/>
              <w:spacing w:after="0"/>
              <w:rPr>
                <w:sz w:val="20"/>
                <w:szCs w:val="20"/>
                <w:color w:val="auto"/>
              </w:rPr>
            </w:pPr>
            <w:r>
              <w:rPr>
                <w:rFonts w:ascii="Arial" w:cs="Arial" w:eastAsia="Arial" w:hAnsi="Arial"/>
                <w:sz w:val="16"/>
                <w:szCs w:val="16"/>
                <w:color w:val="auto"/>
                <w:w w:val="74"/>
              </w:rPr>
              <w:t>)</w:t>
            </w: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(95,407</w:t>
            </w:r>
          </w:p>
        </w:tc>
        <w:tc>
          <w:tcPr>
            <w:tcW w:w="26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36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(54,397</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03"/>
        </w:trPr>
        <w:tc>
          <w:tcPr>
            <w:tcW w:w="5320" w:type="dxa"/>
            <w:vAlign w:val="bottom"/>
          </w:tcPr>
          <w:p>
            <w:pPr>
              <w:ind w:left="20"/>
              <w:spacing w:after="0" w:line="202" w:lineRule="exact"/>
              <w:rPr>
                <w:sz w:val="20"/>
                <w:szCs w:val="20"/>
                <w:color w:val="auto"/>
              </w:rPr>
            </w:pPr>
            <w:r>
              <w:rPr>
                <w:rFonts w:ascii="Arial" w:cs="Arial" w:eastAsia="Arial" w:hAnsi="Arial"/>
                <w:sz w:val="18"/>
                <w:szCs w:val="18"/>
                <w:color w:val="auto"/>
              </w:rPr>
              <w:t>Other comprehensive loss:</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3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Net unrealized losses on marketable securities</w:t>
            </w:r>
          </w:p>
        </w:tc>
        <w:tc>
          <w:tcPr>
            <w:tcW w:w="28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21"/>
              <w:spacing w:after="0" w:line="202" w:lineRule="exact"/>
              <w:rPr>
                <w:sz w:val="20"/>
                <w:szCs w:val="20"/>
                <w:color w:val="auto"/>
              </w:rPr>
            </w:pPr>
            <w:r>
              <w:rPr>
                <w:rFonts w:ascii="Arial" w:cs="Arial" w:eastAsia="Arial" w:hAnsi="Arial"/>
                <w:sz w:val="18"/>
                <w:szCs w:val="18"/>
                <w:color w:val="auto"/>
              </w:rPr>
              <w:t>(583 )</w:t>
            </w:r>
          </w:p>
        </w:tc>
        <w:tc>
          <w:tcPr>
            <w:tcW w:w="36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41"/>
              <w:spacing w:after="0" w:line="202" w:lineRule="exact"/>
              <w:rPr>
                <w:sz w:val="20"/>
                <w:szCs w:val="20"/>
                <w:color w:val="auto"/>
              </w:rPr>
            </w:pPr>
            <w:r>
              <w:rPr>
                <w:rFonts w:ascii="Arial" w:cs="Arial" w:eastAsia="Arial" w:hAnsi="Arial"/>
                <w:sz w:val="18"/>
                <w:szCs w:val="18"/>
                <w:color w:val="auto"/>
              </w:rPr>
              <w:t>(319 )</w:t>
            </w:r>
          </w:p>
        </w:tc>
        <w:tc>
          <w:tcPr>
            <w:tcW w:w="26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(3,238 )</w:t>
            </w:r>
          </w:p>
        </w:tc>
        <w:tc>
          <w:tcPr>
            <w:tcW w:w="36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(1,108 )</w:t>
            </w:r>
          </w:p>
        </w:tc>
      </w:tr>
      <w:tr>
        <w:trPr>
          <w:trHeight w:val="20"/>
        </w:trPr>
        <w:tc>
          <w:tcPr>
            <w:tcW w:w="53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5320" w:type="dxa"/>
            <w:vAlign w:val="bottom"/>
          </w:tcPr>
          <w:p>
            <w:pPr>
              <w:ind w:left="380"/>
              <w:spacing w:after="0" w:line="196" w:lineRule="exact"/>
              <w:rPr>
                <w:sz w:val="20"/>
                <w:szCs w:val="20"/>
                <w:color w:val="auto"/>
              </w:rPr>
            </w:pPr>
            <w:r>
              <w:rPr>
                <w:rFonts w:ascii="Arial" w:cs="Arial" w:eastAsia="Arial" w:hAnsi="Arial"/>
                <w:sz w:val="18"/>
                <w:szCs w:val="18"/>
                <w:color w:val="auto"/>
              </w:rPr>
              <w:t>Total other comprehensive loss</w:t>
            </w:r>
          </w:p>
        </w:tc>
        <w:tc>
          <w:tcPr>
            <w:tcW w:w="280" w:type="dxa"/>
            <w:vAlign w:val="bottom"/>
          </w:tcPr>
          <w:p>
            <w:pPr>
              <w:spacing w:after="0"/>
              <w:rPr>
                <w:sz w:val="17"/>
                <w:szCs w:val="17"/>
                <w:color w:val="auto"/>
              </w:rPr>
            </w:pPr>
          </w:p>
        </w:tc>
        <w:tc>
          <w:tcPr>
            <w:tcW w:w="1180" w:type="dxa"/>
            <w:vAlign w:val="bottom"/>
            <w:gridSpan w:val="2"/>
          </w:tcPr>
          <w:p>
            <w:pPr>
              <w:jc w:val="right"/>
              <w:ind w:right="121"/>
              <w:spacing w:after="0" w:line="196" w:lineRule="exact"/>
              <w:rPr>
                <w:sz w:val="20"/>
                <w:szCs w:val="20"/>
                <w:color w:val="auto"/>
              </w:rPr>
            </w:pPr>
            <w:r>
              <w:rPr>
                <w:rFonts w:ascii="Arial" w:cs="Arial" w:eastAsia="Arial" w:hAnsi="Arial"/>
                <w:sz w:val="18"/>
                <w:szCs w:val="18"/>
                <w:color w:val="auto"/>
              </w:rPr>
              <w:t>(583 )</w:t>
            </w:r>
          </w:p>
        </w:tc>
        <w:tc>
          <w:tcPr>
            <w:tcW w:w="360" w:type="dxa"/>
            <w:vAlign w:val="bottom"/>
          </w:tcPr>
          <w:p>
            <w:pPr>
              <w:spacing w:after="0"/>
              <w:rPr>
                <w:sz w:val="17"/>
                <w:szCs w:val="17"/>
                <w:color w:val="auto"/>
              </w:rPr>
            </w:pPr>
          </w:p>
        </w:tc>
        <w:tc>
          <w:tcPr>
            <w:tcW w:w="1240" w:type="dxa"/>
            <w:vAlign w:val="bottom"/>
            <w:gridSpan w:val="2"/>
          </w:tcPr>
          <w:p>
            <w:pPr>
              <w:jc w:val="right"/>
              <w:ind w:right="141"/>
              <w:spacing w:after="0" w:line="196" w:lineRule="exact"/>
              <w:rPr>
                <w:sz w:val="20"/>
                <w:szCs w:val="20"/>
                <w:color w:val="auto"/>
              </w:rPr>
            </w:pPr>
            <w:r>
              <w:rPr>
                <w:rFonts w:ascii="Arial" w:cs="Arial" w:eastAsia="Arial" w:hAnsi="Arial"/>
                <w:sz w:val="18"/>
                <w:szCs w:val="18"/>
                <w:color w:val="auto"/>
              </w:rPr>
              <w:t>(319 )</w:t>
            </w:r>
          </w:p>
        </w:tc>
        <w:tc>
          <w:tcPr>
            <w:tcW w:w="260" w:type="dxa"/>
            <w:vAlign w:val="bottom"/>
          </w:tcPr>
          <w:p>
            <w:pPr>
              <w:spacing w:after="0"/>
              <w:rPr>
                <w:sz w:val="17"/>
                <w:szCs w:val="17"/>
                <w:color w:val="auto"/>
              </w:rPr>
            </w:pPr>
          </w:p>
        </w:tc>
        <w:tc>
          <w:tcPr>
            <w:tcW w:w="1160" w:type="dxa"/>
            <w:vAlign w:val="bottom"/>
            <w:gridSpan w:val="2"/>
          </w:tcPr>
          <w:p>
            <w:pPr>
              <w:jc w:val="right"/>
              <w:ind w:right="90"/>
              <w:spacing w:after="0" w:line="196" w:lineRule="exact"/>
              <w:rPr>
                <w:sz w:val="20"/>
                <w:szCs w:val="20"/>
                <w:color w:val="auto"/>
              </w:rPr>
            </w:pPr>
            <w:r>
              <w:rPr>
                <w:rFonts w:ascii="Arial" w:cs="Arial" w:eastAsia="Arial" w:hAnsi="Arial"/>
                <w:sz w:val="18"/>
                <w:szCs w:val="18"/>
                <w:color w:val="auto"/>
              </w:rPr>
              <w:t>(3,238 )</w:t>
            </w:r>
          </w:p>
        </w:tc>
        <w:tc>
          <w:tcPr>
            <w:tcW w:w="360" w:type="dxa"/>
            <w:vAlign w:val="bottom"/>
          </w:tcPr>
          <w:p>
            <w:pPr>
              <w:spacing w:after="0"/>
              <w:rPr>
                <w:sz w:val="17"/>
                <w:szCs w:val="17"/>
                <w:color w:val="auto"/>
              </w:rPr>
            </w:pPr>
          </w:p>
        </w:tc>
        <w:tc>
          <w:tcPr>
            <w:tcW w:w="10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(1,108 )</w:t>
            </w:r>
          </w:p>
        </w:tc>
      </w:tr>
      <w:tr>
        <w:trPr>
          <w:trHeight w:val="236"/>
        </w:trPr>
        <w:tc>
          <w:tcPr>
            <w:tcW w:w="532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Comprehensive loss</w:t>
            </w:r>
          </w:p>
        </w:tc>
        <w:tc>
          <w:tcPr>
            <w:tcW w:w="280" w:type="dxa"/>
            <w:vAlign w:val="bottom"/>
            <w:tcBorders>
              <w:top w:val="single" w:sz="8" w:color="auto"/>
              <w:bottom w:val="single" w:sz="8" w:color="auto"/>
            </w:tcBorders>
            <w:shd w:val="clear" w:color="auto" w:fill="CFF0FC"/>
          </w:tcPr>
          <w:p>
            <w:pPr>
              <w:jc w:val="right"/>
              <w:ind w:right="70"/>
              <w:spacing w:after="0" w:line="182" w:lineRule="exact"/>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(32,283</w:t>
            </w:r>
          </w:p>
        </w:tc>
        <w:tc>
          <w:tcPr>
            <w:tcW w:w="260" w:type="dxa"/>
            <w:vAlign w:val="bottom"/>
            <w:tcBorders>
              <w:bottom w:val="single" w:sz="8" w:color="CFF0FC"/>
            </w:tcBorders>
            <w:shd w:val="clear" w:color="auto" w:fill="CFF0FC"/>
          </w:tcPr>
          <w:p>
            <w:pPr>
              <w:jc w:val="right"/>
              <w:ind w:right="121"/>
              <w:spacing w:after="0" w:line="183" w:lineRule="exact"/>
              <w:rPr>
                <w:sz w:val="20"/>
                <w:szCs w:val="20"/>
                <w:color w:val="auto"/>
              </w:rPr>
            </w:pPr>
            <w:r>
              <w:rPr>
                <w:rFonts w:ascii="Arial" w:cs="Arial" w:eastAsia="Arial" w:hAnsi="Arial"/>
                <w:sz w:val="16"/>
                <w:szCs w:val="16"/>
                <w:color w:val="auto"/>
                <w:w w:val="74"/>
              </w:rPr>
              <w:t>)</w:t>
            </w:r>
          </w:p>
        </w:tc>
        <w:tc>
          <w:tcPr>
            <w:tcW w:w="360" w:type="dxa"/>
            <w:vAlign w:val="bottom"/>
            <w:tcBorders>
              <w:top w:val="single" w:sz="8" w:color="auto"/>
              <w:bottom w:val="single" w:sz="8" w:color="auto"/>
            </w:tcBorders>
            <w:shd w:val="clear" w:color="auto" w:fill="CFF0FC"/>
          </w:tcPr>
          <w:p>
            <w:pPr>
              <w:jc w:val="right"/>
              <w:ind w:right="170"/>
              <w:spacing w:after="0" w:line="182"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(24,343</w:t>
            </w:r>
          </w:p>
        </w:tc>
        <w:tc>
          <w:tcPr>
            <w:tcW w:w="280" w:type="dxa"/>
            <w:vAlign w:val="bottom"/>
            <w:tcBorders>
              <w:bottom w:val="single" w:sz="8" w:color="CFF0FC"/>
            </w:tcBorders>
            <w:shd w:val="clear" w:color="auto" w:fill="CFF0FC"/>
          </w:tcPr>
          <w:p>
            <w:pPr>
              <w:jc w:val="right"/>
              <w:ind w:right="141"/>
              <w:spacing w:after="0" w:line="183" w:lineRule="exact"/>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shd w:val="clear" w:color="auto" w:fill="CFF0FC"/>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(98,645</w:t>
            </w:r>
          </w:p>
        </w:tc>
        <w:tc>
          <w:tcPr>
            <w:tcW w:w="260" w:type="dxa"/>
            <w:vAlign w:val="bottom"/>
            <w:tcBorders>
              <w:bottom w:val="single" w:sz="8" w:color="CFF0FC"/>
            </w:tcBorders>
            <w:shd w:val="clear" w:color="auto" w:fill="CFF0FC"/>
          </w:tcPr>
          <w:p>
            <w:pPr>
              <w:jc w:val="right"/>
              <w:ind w:right="90"/>
              <w:spacing w:after="0" w:line="182" w:lineRule="exact"/>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shd w:val="clear" w:color="auto" w:fill="CFF0FC"/>
          </w:tcPr>
          <w:p>
            <w:pPr>
              <w:jc w:val="right"/>
              <w:ind w:right="150"/>
              <w:spacing w:after="0" w:line="182" w:lineRule="exact"/>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(55,505</w:t>
            </w:r>
          </w:p>
        </w:tc>
        <w:tc>
          <w:tcPr>
            <w:tcW w:w="100" w:type="dxa"/>
            <w:vAlign w:val="bottom"/>
            <w:tcBorders>
              <w:bottom w:val="single" w:sz="8" w:color="CFF0FC"/>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-296545</wp:posOffset>
            </wp:positionV>
            <wp:extent cx="76835"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-296545</wp:posOffset>
            </wp:positionV>
            <wp:extent cx="68580"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-296545</wp:posOffset>
            </wp:positionV>
            <wp:extent cx="68580"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-296545</wp:posOffset>
            </wp:positionV>
            <wp:extent cx="68580"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-24765</wp:posOffset>
            </wp:positionV>
            <wp:extent cx="768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-7620</wp:posOffset>
            </wp:positionV>
            <wp:extent cx="768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-24765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-7620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-24765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ENANTA PHARMACEUTICALS,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7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3"/>
          </w:tcPr>
          <w:p>
            <w:pPr>
              <w:jc w:val="center"/>
              <w:ind w:right="159"/>
              <w:spacing w:after="0"/>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700" w:type="dxa"/>
            <w:vAlign w:val="bottom"/>
          </w:tcPr>
          <w:p>
            <w:pPr>
              <w:spacing w:after="0"/>
              <w:rPr>
                <w:sz w:val="16"/>
                <w:szCs w:val="16"/>
                <w:color w:val="auto"/>
              </w:rPr>
            </w:pPr>
          </w:p>
        </w:tc>
        <w:tc>
          <w:tcPr>
            <w:tcW w:w="2040" w:type="dxa"/>
            <w:vAlign w:val="bottom"/>
            <w:gridSpan w:val="3"/>
            <w:vMerge w:val="restart"/>
          </w:tcPr>
          <w:p>
            <w:pPr>
              <w:jc w:val="right"/>
              <w:ind w:right="362"/>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6"/>
                <w:szCs w:val="16"/>
                <w:color w:val="auto"/>
              </w:rPr>
            </w:pPr>
          </w:p>
        </w:tc>
        <w:tc>
          <w:tcPr>
            <w:tcW w:w="1200" w:type="dxa"/>
            <w:vAlign w:val="bottom"/>
            <w:gridSpan w:val="3"/>
          </w:tcPr>
          <w:p>
            <w:pPr>
              <w:jc w:val="center"/>
              <w:ind w:right="159"/>
              <w:spacing w:after="0"/>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4"/>
        </w:trPr>
        <w:tc>
          <w:tcPr>
            <w:tcW w:w="3700" w:type="dxa"/>
            <w:vAlign w:val="bottom"/>
          </w:tcPr>
          <w:p>
            <w:pPr>
              <w:spacing w:after="0"/>
              <w:rPr>
                <w:sz w:val="15"/>
                <w:szCs w:val="15"/>
                <w:color w:val="auto"/>
              </w:rPr>
            </w:pPr>
          </w:p>
        </w:tc>
        <w:tc>
          <w:tcPr>
            <w:tcW w:w="2040" w:type="dxa"/>
            <w:vAlign w:val="bottom"/>
            <w:tcBorders>
              <w:bottom w:val="single" w:sz="8" w:color="auto"/>
            </w:tcBorders>
            <w:gridSpan w:val="3"/>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5"/>
                <w:szCs w:val="15"/>
                <w:color w:val="auto"/>
              </w:rPr>
            </w:pPr>
          </w:p>
        </w:tc>
        <w:tc>
          <w:tcPr>
            <w:tcW w:w="1200" w:type="dxa"/>
            <w:vAlign w:val="bottom"/>
            <w:gridSpan w:val="3"/>
          </w:tcPr>
          <w:p>
            <w:pPr>
              <w:jc w:val="center"/>
              <w:ind w:right="159"/>
              <w:spacing w:after="0"/>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69"/>
        </w:trPr>
        <w:tc>
          <w:tcPr>
            <w:tcW w:w="3700" w:type="dxa"/>
            <w:vAlign w:val="bottom"/>
          </w:tcPr>
          <w:p>
            <w:pPr>
              <w:spacing w:after="0"/>
              <w:rPr>
                <w:sz w:val="14"/>
                <w:szCs w:val="14"/>
                <w:color w:val="auto"/>
              </w:rPr>
            </w:pPr>
          </w:p>
        </w:tc>
        <w:tc>
          <w:tcPr>
            <w:tcW w:w="1220" w:type="dxa"/>
            <w:vAlign w:val="bottom"/>
            <w:gridSpan w:val="2"/>
          </w:tcPr>
          <w:p>
            <w:pPr>
              <w:ind w:left="260"/>
              <w:spacing w:after="0"/>
              <w:rPr>
                <w:sz w:val="20"/>
                <w:szCs w:val="20"/>
                <w:color w:val="auto"/>
              </w:rPr>
            </w:pPr>
            <w:r>
              <w:rPr>
                <w:rFonts w:ascii="Arial" w:cs="Arial" w:eastAsia="Arial" w:hAnsi="Arial"/>
                <w:sz w:val="14"/>
                <w:szCs w:val="14"/>
                <w:b w:val="1"/>
                <w:bCs w:val="1"/>
                <w:color w:val="auto"/>
              </w:rPr>
              <w:t>Shares</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4"/>
                <w:szCs w:val="14"/>
                <w:color w:val="auto"/>
              </w:rPr>
            </w:pPr>
          </w:p>
        </w:tc>
        <w:tc>
          <w:tcPr>
            <w:tcW w:w="1200" w:type="dxa"/>
            <w:vAlign w:val="bottom"/>
            <w:gridSpan w:val="3"/>
          </w:tcPr>
          <w:p>
            <w:pPr>
              <w:jc w:val="center"/>
              <w:ind w:right="159"/>
              <w:spacing w:after="0"/>
              <w:rPr>
                <w:sz w:val="20"/>
                <w:szCs w:val="20"/>
                <w:color w:val="auto"/>
              </w:rPr>
            </w:pPr>
            <w:r>
              <w:rPr>
                <w:rFonts w:ascii="Arial" w:cs="Arial" w:eastAsia="Arial" w:hAnsi="Arial"/>
                <w:sz w:val="14"/>
                <w:szCs w:val="14"/>
                <w:b w:val="1"/>
                <w:bCs w:val="1"/>
                <w:color w:val="auto"/>
                <w:w w:val="92"/>
              </w:rPr>
              <w:t>Income (Loss)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83"/>
        </w:trPr>
        <w:tc>
          <w:tcPr>
            <w:tcW w:w="370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Balances at September 30, 2020</w:t>
            </w:r>
          </w:p>
        </w:tc>
        <w:tc>
          <w:tcPr>
            <w:tcW w:w="980" w:type="dxa"/>
            <w:vAlign w:val="bottom"/>
            <w:tcBorders>
              <w:top w:val="single" w:sz="8" w:color="auto"/>
              <w:right w:val="single" w:sz="8" w:color="CFF0FC"/>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20,077</w:t>
            </w:r>
          </w:p>
        </w:tc>
        <w:tc>
          <w:tcPr>
            <w:tcW w:w="240" w:type="dxa"/>
            <w:vAlign w:val="bottom"/>
            <w:tcBorders>
              <w:right w:val="single" w:sz="8" w:color="CFF0FC"/>
            </w:tcBorders>
            <w:shd w:val="clear" w:color="auto" w:fill="CFF0FC"/>
          </w:tcPr>
          <w:p>
            <w:pPr>
              <w:spacing w:after="0"/>
              <w:rPr>
                <w:sz w:val="15"/>
                <w:szCs w:val="15"/>
                <w:color w:val="auto"/>
              </w:rPr>
            </w:pPr>
          </w:p>
        </w:tc>
        <w:tc>
          <w:tcPr>
            <w:tcW w:w="820" w:type="dxa"/>
            <w:vAlign w:val="bottom"/>
            <w:tcBorders>
              <w:top w:val="single" w:sz="8" w:color="auto"/>
            </w:tcBorders>
            <w:shd w:val="clear" w:color="auto" w:fill="CFF0FC"/>
          </w:tcPr>
          <w:p>
            <w:pPr>
              <w:spacing w:after="0"/>
              <w:rPr>
                <w:sz w:val="15"/>
                <w:szCs w:val="15"/>
                <w:color w:val="auto"/>
              </w:rPr>
            </w:pPr>
          </w:p>
        </w:tc>
        <w:tc>
          <w:tcPr>
            <w:tcW w:w="28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w w:val="89"/>
              </w:rPr>
              <w:t>201</w:t>
            </w:r>
          </w:p>
        </w:tc>
        <w:tc>
          <w:tcPr>
            <w:tcW w:w="240" w:type="dxa"/>
            <w:vAlign w:val="bottom"/>
            <w:tcBorders>
              <w:right w:val="single" w:sz="8" w:color="CFF0FC"/>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900" w:type="dxa"/>
            <w:vAlign w:val="bottom"/>
            <w:tcBorders>
              <w:top w:val="single" w:sz="8" w:color="auto"/>
              <w:right w:val="single" w:sz="8" w:color="CFF0FC"/>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326,963</w:t>
            </w:r>
          </w:p>
        </w:tc>
        <w:tc>
          <w:tcPr>
            <w:tcW w:w="200" w:type="dxa"/>
            <w:vAlign w:val="bottom"/>
            <w:tcBorders>
              <w:right w:val="single" w:sz="8" w:color="CFF0FC"/>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1080" w:type="dxa"/>
            <w:vAlign w:val="bottom"/>
            <w:tcBorders>
              <w:top w:val="single" w:sz="8" w:color="auto"/>
            </w:tcBorders>
            <w:gridSpan w:val="2"/>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844</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w:t>
            </w:r>
          </w:p>
        </w:tc>
        <w:tc>
          <w:tcPr>
            <w:tcW w:w="84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127,572</w:t>
            </w:r>
          </w:p>
        </w:tc>
        <w:tc>
          <w:tcPr>
            <w:tcW w:w="22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96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455,580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700" w:type="dxa"/>
            <w:vAlign w:val="bottom"/>
          </w:tcPr>
          <w:p>
            <w:pPr>
              <w:ind w:left="20"/>
              <w:spacing w:after="0"/>
              <w:rPr>
                <w:sz w:val="20"/>
                <w:szCs w:val="20"/>
                <w:color w:val="auto"/>
              </w:rPr>
            </w:pPr>
            <w:r>
              <w:rPr>
                <w:rFonts w:ascii="Arial" w:cs="Arial" w:eastAsia="Arial" w:hAnsi="Arial"/>
                <w:sz w:val="16"/>
                <w:szCs w:val="16"/>
                <w:color w:val="auto"/>
              </w:rPr>
              <w:t>Exercise of stock options</w:t>
            </w:r>
          </w:p>
        </w:tc>
        <w:tc>
          <w:tcPr>
            <w:tcW w:w="980" w:type="dxa"/>
            <w:vAlign w:val="bottom"/>
          </w:tcPr>
          <w:p>
            <w:pPr>
              <w:jc w:val="right"/>
              <w:spacing w:after="0"/>
              <w:rPr>
                <w:sz w:val="20"/>
                <w:szCs w:val="20"/>
                <w:color w:val="auto"/>
              </w:rPr>
            </w:pPr>
            <w:r>
              <w:rPr>
                <w:rFonts w:ascii="Arial" w:cs="Arial" w:eastAsia="Arial" w:hAnsi="Arial"/>
                <w:sz w:val="16"/>
                <w:szCs w:val="16"/>
                <w:color w:val="auto"/>
              </w:rPr>
              <w:t>33</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833</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3"/>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833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Vesting of restricted stock units, net of withholding</w:t>
            </w:r>
          </w:p>
        </w:tc>
        <w:tc>
          <w:tcPr>
            <w:tcW w:w="9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32</w:t>
            </w:r>
          </w:p>
        </w:tc>
        <w:tc>
          <w:tcPr>
            <w:tcW w:w="240" w:type="dxa"/>
            <w:vAlign w:val="bottom"/>
            <w:tcBorders>
              <w:right w:val="single" w:sz="8" w:color="CFF0FC"/>
            </w:tcBorders>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(534 )</w:t>
            </w:r>
          </w:p>
        </w:tc>
        <w:tc>
          <w:tcPr>
            <w:tcW w:w="120" w:type="dxa"/>
            <w:vAlign w:val="bottom"/>
            <w:shd w:val="clear" w:color="auto" w:fill="CFF0FC"/>
          </w:tcPr>
          <w:p>
            <w:pPr>
              <w:spacing w:after="0"/>
              <w:rPr>
                <w:sz w:val="16"/>
                <w:szCs w:val="16"/>
                <w:color w:val="auto"/>
              </w:rPr>
            </w:pPr>
          </w:p>
        </w:tc>
        <w:tc>
          <w:tcPr>
            <w:tcW w:w="1200" w:type="dxa"/>
            <w:vAlign w:val="bottom"/>
            <w:gridSpan w:val="3"/>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(534 )</w:t>
            </w:r>
          </w:p>
        </w:tc>
        <w:tc>
          <w:tcPr>
            <w:tcW w:w="0" w:type="dxa"/>
            <w:vAlign w:val="bottom"/>
          </w:tcPr>
          <w:p>
            <w:pPr>
              <w:spacing w:after="0"/>
              <w:rPr>
                <w:sz w:val="1"/>
                <w:szCs w:val="1"/>
                <w:color w:val="auto"/>
              </w:rPr>
            </w:pPr>
          </w:p>
        </w:tc>
      </w:tr>
      <w:tr>
        <w:trPr>
          <w:trHeight w:val="189"/>
        </w:trPr>
        <w:tc>
          <w:tcPr>
            <w:tcW w:w="370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12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4,883</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3"/>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4,883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comprehensive loss</w:t>
            </w:r>
          </w:p>
        </w:tc>
        <w:tc>
          <w:tcPr>
            <w:tcW w:w="1220" w:type="dxa"/>
            <w:vAlign w:val="bottom"/>
            <w:tcBorders>
              <w:right w:val="single" w:sz="8" w:color="CFF0FC"/>
            </w:tcBorders>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spacing w:after="0"/>
              <w:rPr>
                <w:sz w:val="16"/>
                <w:szCs w:val="16"/>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0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120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(439 )</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(439 )</w:t>
            </w:r>
          </w:p>
        </w:tc>
        <w:tc>
          <w:tcPr>
            <w:tcW w:w="0" w:type="dxa"/>
            <w:vAlign w:val="bottom"/>
          </w:tcPr>
          <w:p>
            <w:pPr>
              <w:spacing w:after="0"/>
              <w:rPr>
                <w:sz w:val="1"/>
                <w:szCs w:val="1"/>
                <w:color w:val="auto"/>
              </w:rPr>
            </w:pPr>
          </w:p>
        </w:tc>
      </w:tr>
      <w:tr>
        <w:trPr>
          <w:trHeight w:val="189"/>
        </w:trPr>
        <w:tc>
          <w:tcPr>
            <w:tcW w:w="3700" w:type="dxa"/>
            <w:vAlign w:val="bottom"/>
          </w:tcPr>
          <w:p>
            <w:pPr>
              <w:ind w:left="20"/>
              <w:spacing w:after="0"/>
              <w:rPr>
                <w:sz w:val="20"/>
                <w:szCs w:val="20"/>
                <w:color w:val="auto"/>
              </w:rPr>
            </w:pPr>
            <w:r>
              <w:rPr>
                <w:rFonts w:ascii="Arial" w:cs="Arial" w:eastAsia="Arial" w:hAnsi="Arial"/>
                <w:sz w:val="16"/>
                <w:szCs w:val="16"/>
                <w:color w:val="auto"/>
              </w:rPr>
              <w:t>Net loss</w:t>
            </w:r>
          </w:p>
        </w:tc>
        <w:tc>
          <w:tcPr>
            <w:tcW w:w="12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200" w:type="dxa"/>
            <w:vAlign w:val="bottom"/>
            <w:gridSpan w:val="3"/>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right"/>
              <w:ind w:right="59"/>
              <w:spacing w:after="0"/>
              <w:rPr>
                <w:sz w:val="20"/>
                <w:szCs w:val="20"/>
                <w:color w:val="auto"/>
              </w:rPr>
            </w:pPr>
            <w:r>
              <w:rPr>
                <w:rFonts w:ascii="Arial" w:cs="Arial" w:eastAsia="Arial" w:hAnsi="Arial"/>
                <w:sz w:val="16"/>
                <w:szCs w:val="16"/>
                <w:color w:val="auto"/>
              </w:rPr>
              <w:t>(8,328 )</w:t>
            </w:r>
          </w:p>
        </w:tc>
        <w:tc>
          <w:tcPr>
            <w:tcW w:w="100" w:type="dxa"/>
            <w:vAlign w:val="bottom"/>
          </w:tcPr>
          <w:p>
            <w:pPr>
              <w:spacing w:after="0"/>
              <w:rPr>
                <w:sz w:val="16"/>
                <w:szCs w:val="16"/>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6"/>
                <w:szCs w:val="16"/>
                <w:color w:val="auto"/>
              </w:rPr>
              <w:t>(8,328 )</w:t>
            </w:r>
          </w:p>
        </w:tc>
        <w:tc>
          <w:tcPr>
            <w:tcW w:w="0" w:type="dxa"/>
            <w:vAlign w:val="bottom"/>
          </w:tcPr>
          <w:p>
            <w:pPr>
              <w:spacing w:after="0"/>
              <w:rPr>
                <w:sz w:val="1"/>
                <w:szCs w:val="1"/>
                <w:color w:val="auto"/>
              </w:rPr>
            </w:pPr>
          </w:p>
        </w:tc>
      </w:tr>
      <w:tr>
        <w:trPr>
          <w:trHeight w:val="183"/>
        </w:trPr>
        <w:tc>
          <w:tcPr>
            <w:tcW w:w="370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Balances at December 31, 2020</w:t>
            </w:r>
          </w:p>
        </w:tc>
        <w:tc>
          <w:tcPr>
            <w:tcW w:w="980" w:type="dxa"/>
            <w:vAlign w:val="bottom"/>
            <w:tcBorders>
              <w:top w:val="single" w:sz="8" w:color="auto"/>
              <w:bottom w:val="single" w:sz="8" w:color="auto"/>
              <w:right w:val="single" w:sz="8" w:color="CFF0FC"/>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20,142</w:t>
            </w:r>
          </w:p>
        </w:tc>
        <w:tc>
          <w:tcPr>
            <w:tcW w:w="240" w:type="dxa"/>
            <w:vAlign w:val="bottom"/>
            <w:tcBorders>
              <w:bottom w:val="single" w:sz="8" w:color="CFF0FC"/>
              <w:right w:val="single" w:sz="8" w:color="CFF0FC"/>
            </w:tcBorders>
            <w:shd w:val="clear" w:color="auto" w:fill="CFF0FC"/>
          </w:tcPr>
          <w:p>
            <w:pPr>
              <w:spacing w:after="0"/>
              <w:rPr>
                <w:sz w:val="15"/>
                <w:szCs w:val="15"/>
                <w:color w:val="auto"/>
              </w:rPr>
            </w:pPr>
          </w:p>
        </w:tc>
        <w:tc>
          <w:tcPr>
            <w:tcW w:w="820" w:type="dxa"/>
            <w:vAlign w:val="bottom"/>
            <w:tcBorders>
              <w:top w:val="single" w:sz="8" w:color="auto"/>
              <w:bottom w:val="single" w:sz="8" w:color="auto"/>
            </w:tcBorders>
            <w:shd w:val="clear" w:color="auto" w:fill="CFF0FC"/>
          </w:tcPr>
          <w:p>
            <w:pPr>
              <w:jc w:val="right"/>
              <w:ind w:right="722"/>
              <w:spacing w:after="0"/>
              <w:rPr>
                <w:sz w:val="20"/>
                <w:szCs w:val="20"/>
                <w:color w:val="auto"/>
              </w:rPr>
            </w:pPr>
            <w:r>
              <w:rPr>
                <w:rFonts w:ascii="Arial" w:cs="Arial" w:eastAsia="Arial" w:hAnsi="Arial"/>
                <w:sz w:val="5"/>
                <w:szCs w:val="5"/>
                <w:b w:val="1"/>
                <w:bCs w:val="1"/>
                <w:color w:val="auto"/>
                <w:w w:val="70"/>
              </w:rPr>
              <w:t>$</w:t>
            </w:r>
          </w:p>
        </w:tc>
        <w:tc>
          <w:tcPr>
            <w:tcW w:w="28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w w:val="89"/>
              </w:rPr>
              <w:t>201</w:t>
            </w:r>
          </w:p>
        </w:tc>
        <w:tc>
          <w:tcPr>
            <w:tcW w:w="240" w:type="dxa"/>
            <w:vAlign w:val="bottom"/>
            <w:tcBorders>
              <w:bottom w:val="single" w:sz="8" w:color="CFF0FC"/>
              <w:right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900" w:type="dxa"/>
            <w:vAlign w:val="bottom"/>
            <w:tcBorders>
              <w:top w:val="single" w:sz="8" w:color="auto"/>
              <w:bottom w:val="single" w:sz="8" w:color="auto"/>
              <w:right w:val="single" w:sz="8" w:color="CFF0FC"/>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332,145</w:t>
            </w:r>
          </w:p>
        </w:tc>
        <w:tc>
          <w:tcPr>
            <w:tcW w:w="200" w:type="dxa"/>
            <w:vAlign w:val="bottom"/>
            <w:tcBorders>
              <w:bottom w:val="single" w:sz="8" w:color="CFF0FC"/>
              <w:right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1080" w:type="dxa"/>
            <w:vAlign w:val="bottom"/>
            <w:tcBorders>
              <w:top w:val="single" w:sz="8" w:color="auto"/>
              <w:bottom w:val="single" w:sz="8" w:color="auto"/>
            </w:tcBorders>
            <w:gridSpan w:val="2"/>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405</w:t>
            </w:r>
          </w:p>
        </w:tc>
        <w:tc>
          <w:tcPr>
            <w:tcW w:w="1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w:t>
            </w:r>
          </w:p>
        </w:tc>
        <w:tc>
          <w:tcPr>
            <w:tcW w:w="84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119,244</w:t>
            </w:r>
          </w:p>
        </w:tc>
        <w:tc>
          <w:tcPr>
            <w:tcW w:w="2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96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451,995</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700" w:type="dxa"/>
            <w:vAlign w:val="bottom"/>
          </w:tcPr>
          <w:p>
            <w:pPr>
              <w:ind w:left="20"/>
              <w:spacing w:after="0" w:line="183" w:lineRule="exact"/>
              <w:rPr>
                <w:sz w:val="20"/>
                <w:szCs w:val="20"/>
                <w:color w:val="auto"/>
              </w:rPr>
            </w:pPr>
            <w:r>
              <w:rPr>
                <w:rFonts w:ascii="Arial" w:cs="Arial" w:eastAsia="Arial" w:hAnsi="Arial"/>
                <w:sz w:val="16"/>
                <w:szCs w:val="16"/>
                <w:color w:val="auto"/>
              </w:rPr>
              <w:t>Exercise of stock options</w:t>
            </w:r>
          </w:p>
        </w:tc>
        <w:tc>
          <w:tcPr>
            <w:tcW w:w="980" w:type="dxa"/>
            <w:vAlign w:val="bottom"/>
          </w:tcPr>
          <w:p>
            <w:pPr>
              <w:jc w:val="right"/>
              <w:spacing w:after="0" w:line="183" w:lineRule="exact"/>
              <w:rPr>
                <w:sz w:val="20"/>
                <w:szCs w:val="20"/>
                <w:color w:val="auto"/>
              </w:rPr>
            </w:pPr>
            <w:r>
              <w:rPr>
                <w:rFonts w:ascii="Arial" w:cs="Arial" w:eastAsia="Arial" w:hAnsi="Arial"/>
                <w:sz w:val="16"/>
                <w:szCs w:val="16"/>
                <w:color w:val="auto"/>
              </w:rPr>
              <w:t>43</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jc w:val="right"/>
              <w:spacing w:after="0" w:line="183" w:lineRule="exact"/>
              <w:rPr>
                <w:sz w:val="20"/>
                <w:szCs w:val="20"/>
                <w:color w:val="auto"/>
              </w:rPr>
            </w:pPr>
            <w:r>
              <w:rPr>
                <w:rFonts w:ascii="Arial" w:cs="Arial" w:eastAsia="Arial" w:hAnsi="Arial"/>
                <w:sz w:val="16"/>
                <w:szCs w:val="16"/>
                <w:color w:val="auto"/>
              </w:rPr>
              <w:t>1</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line="183" w:lineRule="exact"/>
              <w:rPr>
                <w:sz w:val="20"/>
                <w:szCs w:val="20"/>
                <w:color w:val="auto"/>
              </w:rPr>
            </w:pPr>
            <w:r>
              <w:rPr>
                <w:rFonts w:ascii="Arial" w:cs="Arial" w:eastAsia="Arial" w:hAnsi="Arial"/>
                <w:sz w:val="16"/>
                <w:szCs w:val="16"/>
                <w:color w:val="auto"/>
              </w:rPr>
              <w:t>1,151</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3"/>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159"/>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960" w:type="dxa"/>
            <w:vAlign w:val="bottom"/>
          </w:tcPr>
          <w:p>
            <w:pPr>
              <w:jc w:val="right"/>
              <w:spacing w:after="0" w:line="183" w:lineRule="exact"/>
              <w:rPr>
                <w:sz w:val="20"/>
                <w:szCs w:val="20"/>
                <w:color w:val="auto"/>
              </w:rPr>
            </w:pPr>
            <w:r>
              <w:rPr>
                <w:rFonts w:ascii="Arial" w:cs="Arial" w:eastAsia="Arial" w:hAnsi="Arial"/>
                <w:sz w:val="16"/>
                <w:szCs w:val="16"/>
                <w:color w:val="auto"/>
              </w:rPr>
              <w:t>1,152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Stock-based compensation expense</w:t>
            </w:r>
          </w:p>
        </w:tc>
        <w:tc>
          <w:tcPr>
            <w:tcW w:w="1220" w:type="dxa"/>
            <w:vAlign w:val="bottom"/>
            <w:tcBorders>
              <w:right w:val="single" w:sz="8" w:color="CFF0FC"/>
            </w:tcBorders>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spacing w:after="0"/>
              <w:rPr>
                <w:sz w:val="16"/>
                <w:szCs w:val="16"/>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5,280</w:t>
            </w:r>
          </w:p>
        </w:tc>
        <w:tc>
          <w:tcPr>
            <w:tcW w:w="20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0" w:type="dxa"/>
            <w:vAlign w:val="bottom"/>
            <w:gridSpan w:val="3"/>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5,280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00" w:type="dxa"/>
            <w:vAlign w:val="bottom"/>
          </w:tcPr>
          <w:p>
            <w:pPr>
              <w:ind w:left="20"/>
              <w:spacing w:after="0"/>
              <w:rPr>
                <w:sz w:val="20"/>
                <w:szCs w:val="20"/>
                <w:color w:val="auto"/>
              </w:rPr>
            </w:pPr>
            <w:r>
              <w:rPr>
                <w:rFonts w:ascii="Arial" w:cs="Arial" w:eastAsia="Arial" w:hAnsi="Arial"/>
                <w:sz w:val="16"/>
                <w:szCs w:val="16"/>
                <w:color w:val="auto"/>
              </w:rPr>
              <w:t>Other comprehensive loss</w:t>
            </w:r>
          </w:p>
        </w:tc>
        <w:tc>
          <w:tcPr>
            <w:tcW w:w="12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200" w:type="dxa"/>
            <w:vAlign w:val="bottom"/>
            <w:gridSpan w:val="3"/>
          </w:tcPr>
          <w:p>
            <w:pPr>
              <w:jc w:val="right"/>
              <w:spacing w:after="0"/>
              <w:rPr>
                <w:sz w:val="20"/>
                <w:szCs w:val="20"/>
                <w:color w:val="auto"/>
              </w:rPr>
            </w:pPr>
            <w:r>
              <w:rPr>
                <w:rFonts w:ascii="Arial" w:cs="Arial" w:eastAsia="Arial" w:hAnsi="Arial"/>
                <w:sz w:val="16"/>
                <w:szCs w:val="16"/>
                <w:color w:val="auto"/>
              </w:rPr>
              <w:t>(350 )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6"/>
                <w:szCs w:val="16"/>
                <w:color w:val="auto"/>
              </w:rPr>
              <w:t>(350 )</w:t>
            </w:r>
          </w:p>
        </w:tc>
        <w:tc>
          <w:tcPr>
            <w:tcW w:w="0" w:type="dxa"/>
            <w:vAlign w:val="bottom"/>
          </w:tcPr>
          <w:p>
            <w:pPr>
              <w:spacing w:after="0"/>
              <w:rPr>
                <w:sz w:val="1"/>
                <w:szCs w:val="1"/>
                <w:color w:val="auto"/>
              </w:rPr>
            </w:pPr>
          </w:p>
        </w:tc>
      </w:tr>
      <w:tr>
        <w:trPr>
          <w:trHeight w:val="189"/>
        </w:trPr>
        <w:tc>
          <w:tcPr>
            <w:tcW w:w="3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loss</w:t>
            </w:r>
          </w:p>
        </w:tc>
        <w:tc>
          <w:tcPr>
            <w:tcW w:w="9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right w:val="single" w:sz="8" w:color="CFF0FC"/>
            </w:tcBorders>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59"/>
              <w:spacing w:after="0"/>
              <w:rPr>
                <w:sz w:val="20"/>
                <w:szCs w:val="20"/>
                <w:color w:val="auto"/>
              </w:rPr>
            </w:pPr>
            <w:r>
              <w:rPr>
                <w:rFonts w:ascii="Arial" w:cs="Arial" w:eastAsia="Arial" w:hAnsi="Arial"/>
                <w:sz w:val="16"/>
                <w:szCs w:val="16"/>
                <w:color w:val="auto"/>
              </w:rPr>
              <w:t>(22,045 )</w:t>
            </w:r>
          </w:p>
        </w:tc>
        <w:tc>
          <w:tcPr>
            <w:tcW w:w="10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(22,045 )</w:t>
            </w:r>
          </w:p>
        </w:tc>
        <w:tc>
          <w:tcPr>
            <w:tcW w:w="0" w:type="dxa"/>
            <w:vAlign w:val="bottom"/>
          </w:tcPr>
          <w:p>
            <w:pPr>
              <w:spacing w:after="0"/>
              <w:rPr>
                <w:sz w:val="1"/>
                <w:szCs w:val="1"/>
                <w:color w:val="auto"/>
              </w:rPr>
            </w:pPr>
          </w:p>
        </w:tc>
      </w:tr>
      <w:tr>
        <w:trPr>
          <w:trHeight w:val="183"/>
        </w:trPr>
        <w:tc>
          <w:tcPr>
            <w:tcW w:w="3700" w:type="dxa"/>
            <w:vAlign w:val="bottom"/>
            <w:tcBorders>
              <w:top w:val="single" w:sz="8" w:color="CFF0FC"/>
            </w:tcBorders>
          </w:tcPr>
          <w:p>
            <w:pPr>
              <w:ind w:left="20"/>
              <w:spacing w:after="0" w:line="183" w:lineRule="exact"/>
              <w:rPr>
                <w:sz w:val="20"/>
                <w:szCs w:val="20"/>
                <w:color w:val="auto"/>
              </w:rPr>
            </w:pPr>
            <w:r>
              <w:rPr>
                <w:rFonts w:ascii="Arial" w:cs="Arial" w:eastAsia="Arial" w:hAnsi="Arial"/>
                <w:sz w:val="16"/>
                <w:szCs w:val="16"/>
                <w:b w:val="1"/>
                <w:bCs w:val="1"/>
                <w:color w:val="auto"/>
              </w:rPr>
              <w:t>Balances at March 31, 2021</w:t>
            </w:r>
          </w:p>
        </w:tc>
        <w:tc>
          <w:tcPr>
            <w:tcW w:w="9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20,185</w:t>
            </w:r>
          </w:p>
        </w:tc>
        <w:tc>
          <w:tcPr>
            <w:tcW w:w="240" w:type="dxa"/>
            <w:vAlign w:val="bottom"/>
            <w:tcBorders>
              <w:top w:val="single" w:sz="8" w:color="CFF0FC"/>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722"/>
              <w:spacing w:after="0"/>
              <w:rPr>
                <w:sz w:val="20"/>
                <w:szCs w:val="20"/>
                <w:color w:val="auto"/>
              </w:rPr>
            </w:pPr>
            <w:r>
              <w:rPr>
                <w:rFonts w:ascii="Arial" w:cs="Arial" w:eastAsia="Arial" w:hAnsi="Arial"/>
                <w:sz w:val="5"/>
                <w:szCs w:val="5"/>
                <w:b w:val="1"/>
                <w:bCs w:val="1"/>
                <w:color w:val="auto"/>
                <w:w w:val="70"/>
              </w:rPr>
              <w:t>$</w:t>
            </w:r>
          </w:p>
        </w:tc>
        <w:tc>
          <w:tcPr>
            <w:tcW w:w="2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w w:val="89"/>
              </w:rPr>
              <w:t>202</w:t>
            </w:r>
          </w:p>
        </w:tc>
        <w:tc>
          <w:tcPr>
            <w:tcW w:w="240" w:type="dxa"/>
            <w:vAlign w:val="bottom"/>
            <w:tcBorders>
              <w:top w:val="single" w:sz="8" w:color="CFF0FC"/>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9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338,576</w:t>
            </w:r>
          </w:p>
        </w:tc>
        <w:tc>
          <w:tcPr>
            <w:tcW w:w="200" w:type="dxa"/>
            <w:vAlign w:val="bottom"/>
            <w:tcBorders>
              <w:top w:val="single" w:sz="8" w:color="CFF0FC"/>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1080" w:type="dxa"/>
            <w:vAlign w:val="bottom"/>
            <w:tcBorders>
              <w:top w:val="single" w:sz="8" w:color="auto"/>
              <w:bottom w:val="single" w:sz="8" w:color="auto"/>
            </w:tcBorders>
            <w:gridSpan w:val="2"/>
          </w:tcPr>
          <w:p>
            <w:pPr>
              <w:jc w:val="right"/>
              <w:spacing w:after="0" w:line="183" w:lineRule="exact"/>
              <w:rPr>
                <w:sz w:val="20"/>
                <w:szCs w:val="20"/>
                <w:color w:val="auto"/>
              </w:rPr>
            </w:pPr>
            <w:r>
              <w:rPr>
                <w:rFonts w:ascii="Arial" w:cs="Arial" w:eastAsia="Arial" w:hAnsi="Arial"/>
                <w:sz w:val="16"/>
                <w:szCs w:val="16"/>
                <w:b w:val="1"/>
                <w:bCs w:val="1"/>
                <w:color w:val="auto"/>
              </w:rPr>
              <w:t>55</w:t>
            </w:r>
          </w:p>
        </w:tc>
        <w:tc>
          <w:tcPr>
            <w:tcW w:w="12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120" w:type="dxa"/>
            <w:vAlign w:val="bottom"/>
            <w:tcBorders>
              <w:top w:val="single" w:sz="8" w:color="auto"/>
              <w:bottom w:val="single" w:sz="8" w:color="auto"/>
            </w:tcBorders>
          </w:tcPr>
          <w:p>
            <w:pPr>
              <w:spacing w:after="0" w:line="183" w:lineRule="exact"/>
              <w:rPr>
                <w:sz w:val="20"/>
                <w:szCs w:val="20"/>
                <w:color w:val="auto"/>
              </w:rPr>
            </w:pPr>
            <w:r>
              <w:rPr>
                <w:rFonts w:ascii="Arial" w:cs="Arial" w:eastAsia="Arial" w:hAnsi="Arial"/>
                <w:sz w:val="16"/>
                <w:szCs w:val="16"/>
                <w:b w:val="1"/>
                <w:bCs w:val="1"/>
                <w:color w:val="auto"/>
              </w:rPr>
              <w:t>$</w:t>
            </w:r>
          </w:p>
        </w:tc>
        <w:tc>
          <w:tcPr>
            <w:tcW w:w="8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97,199</w:t>
            </w:r>
          </w:p>
        </w:tc>
        <w:tc>
          <w:tcPr>
            <w:tcW w:w="220" w:type="dxa"/>
            <w:vAlign w:val="bottom"/>
            <w:tcBorders>
              <w:top w:val="single" w:sz="8" w:color="CFF0FC"/>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9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436,032</w:t>
            </w: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70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Exercise of stock options</w:t>
            </w:r>
          </w:p>
        </w:tc>
        <w:tc>
          <w:tcPr>
            <w:tcW w:w="980" w:type="dxa"/>
            <w:vAlign w:val="bottom"/>
            <w:tcBorders>
              <w:right w:val="single" w:sz="8" w:color="CFF0FC"/>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26</w:t>
            </w:r>
          </w:p>
        </w:tc>
        <w:tc>
          <w:tcPr>
            <w:tcW w:w="240" w:type="dxa"/>
            <w:vAlign w:val="bottom"/>
            <w:tcBorders>
              <w:right w:val="single" w:sz="8" w:color="CFF0FC"/>
            </w:tcBorders>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24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tcBorders>
              <w:right w:val="single" w:sz="8" w:color="CFF0FC"/>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686</w:t>
            </w:r>
          </w:p>
        </w:tc>
        <w:tc>
          <w:tcPr>
            <w:tcW w:w="20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686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70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12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5,475</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3"/>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5,475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comprehensive loss</w:t>
            </w:r>
          </w:p>
        </w:tc>
        <w:tc>
          <w:tcPr>
            <w:tcW w:w="1220" w:type="dxa"/>
            <w:vAlign w:val="bottom"/>
            <w:tcBorders>
              <w:right w:val="single" w:sz="8" w:color="CFF0FC"/>
            </w:tcBorders>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spacing w:after="0"/>
              <w:rPr>
                <w:sz w:val="16"/>
                <w:szCs w:val="16"/>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0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120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(319 )</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(319 )</w:t>
            </w:r>
          </w:p>
        </w:tc>
        <w:tc>
          <w:tcPr>
            <w:tcW w:w="0" w:type="dxa"/>
            <w:vAlign w:val="bottom"/>
          </w:tcPr>
          <w:p>
            <w:pPr>
              <w:spacing w:after="0"/>
              <w:rPr>
                <w:sz w:val="1"/>
                <w:szCs w:val="1"/>
                <w:color w:val="auto"/>
              </w:rPr>
            </w:pPr>
          </w:p>
        </w:tc>
      </w:tr>
      <w:tr>
        <w:trPr>
          <w:trHeight w:val="189"/>
        </w:trPr>
        <w:tc>
          <w:tcPr>
            <w:tcW w:w="3700" w:type="dxa"/>
            <w:vAlign w:val="bottom"/>
          </w:tcPr>
          <w:p>
            <w:pPr>
              <w:ind w:left="20"/>
              <w:spacing w:after="0"/>
              <w:rPr>
                <w:sz w:val="20"/>
                <w:szCs w:val="20"/>
                <w:color w:val="auto"/>
              </w:rPr>
            </w:pPr>
            <w:r>
              <w:rPr>
                <w:rFonts w:ascii="Arial" w:cs="Arial" w:eastAsia="Arial" w:hAnsi="Arial"/>
                <w:sz w:val="16"/>
                <w:szCs w:val="16"/>
                <w:color w:val="auto"/>
              </w:rPr>
              <w:t>Net loss</w:t>
            </w:r>
          </w:p>
        </w:tc>
        <w:tc>
          <w:tcPr>
            <w:tcW w:w="12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200" w:type="dxa"/>
            <w:vAlign w:val="bottom"/>
            <w:gridSpan w:val="3"/>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right"/>
              <w:ind w:right="59"/>
              <w:spacing w:after="0"/>
              <w:rPr>
                <w:sz w:val="20"/>
                <w:szCs w:val="20"/>
                <w:color w:val="auto"/>
              </w:rPr>
            </w:pPr>
            <w:r>
              <w:rPr>
                <w:rFonts w:ascii="Arial" w:cs="Arial" w:eastAsia="Arial" w:hAnsi="Arial"/>
                <w:sz w:val="16"/>
                <w:szCs w:val="16"/>
                <w:color w:val="auto"/>
              </w:rPr>
              <w:t>(24,024 )</w:t>
            </w:r>
          </w:p>
        </w:tc>
        <w:tc>
          <w:tcPr>
            <w:tcW w:w="100" w:type="dxa"/>
            <w:vAlign w:val="bottom"/>
          </w:tcPr>
          <w:p>
            <w:pPr>
              <w:spacing w:after="0"/>
              <w:rPr>
                <w:sz w:val="16"/>
                <w:szCs w:val="16"/>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6"/>
                <w:szCs w:val="16"/>
                <w:color w:val="auto"/>
              </w:rPr>
              <w:t>(24,024 )</w:t>
            </w:r>
          </w:p>
        </w:tc>
        <w:tc>
          <w:tcPr>
            <w:tcW w:w="0" w:type="dxa"/>
            <w:vAlign w:val="bottom"/>
          </w:tcPr>
          <w:p>
            <w:pPr>
              <w:spacing w:after="0"/>
              <w:rPr>
                <w:sz w:val="1"/>
                <w:szCs w:val="1"/>
                <w:color w:val="auto"/>
              </w:rPr>
            </w:pPr>
          </w:p>
        </w:tc>
      </w:tr>
      <w:tr>
        <w:trPr>
          <w:trHeight w:val="223"/>
        </w:trPr>
        <w:tc>
          <w:tcPr>
            <w:tcW w:w="370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Balances at June 30, 2021</w:t>
            </w:r>
          </w:p>
        </w:tc>
        <w:tc>
          <w:tcPr>
            <w:tcW w:w="980" w:type="dxa"/>
            <w:vAlign w:val="bottom"/>
            <w:tcBorders>
              <w:top w:val="single" w:sz="8" w:color="auto"/>
              <w:bottom w:val="single" w:sz="8" w:color="auto"/>
              <w:right w:val="single" w:sz="8" w:color="CFF0FC"/>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20,211</w:t>
            </w:r>
          </w:p>
        </w:tc>
        <w:tc>
          <w:tcPr>
            <w:tcW w:w="240" w:type="dxa"/>
            <w:vAlign w:val="bottom"/>
            <w:tcBorders>
              <w:bottom w:val="single" w:sz="8" w:color="CFF0FC"/>
              <w:right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ind w:right="722"/>
              <w:spacing w:after="0"/>
              <w:rPr>
                <w:sz w:val="20"/>
                <w:szCs w:val="20"/>
                <w:color w:val="auto"/>
              </w:rPr>
            </w:pPr>
            <w:r>
              <w:rPr>
                <w:rFonts w:ascii="Arial" w:cs="Arial" w:eastAsia="Arial" w:hAnsi="Arial"/>
                <w:sz w:val="5"/>
                <w:szCs w:val="5"/>
                <w:b w:val="1"/>
                <w:bCs w:val="1"/>
                <w:color w:val="auto"/>
                <w:w w:val="70"/>
              </w:rPr>
              <w:t>$</w:t>
            </w:r>
          </w:p>
        </w:tc>
        <w:tc>
          <w:tcPr>
            <w:tcW w:w="28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w w:val="89"/>
              </w:rPr>
              <w:t>202</w:t>
            </w:r>
          </w:p>
        </w:tc>
        <w:tc>
          <w:tcPr>
            <w:tcW w:w="240" w:type="dxa"/>
            <w:vAlign w:val="bottom"/>
            <w:tcBorders>
              <w:bottom w:val="single" w:sz="8" w:color="CFF0FC"/>
              <w:right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900" w:type="dxa"/>
            <w:vAlign w:val="bottom"/>
            <w:tcBorders>
              <w:top w:val="single" w:sz="8" w:color="auto"/>
              <w:bottom w:val="single" w:sz="8" w:color="auto"/>
              <w:right w:val="single" w:sz="8" w:color="CFF0FC"/>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344,737</w:t>
            </w:r>
          </w:p>
        </w:tc>
        <w:tc>
          <w:tcPr>
            <w:tcW w:w="200" w:type="dxa"/>
            <w:vAlign w:val="bottom"/>
            <w:tcBorders>
              <w:bottom w:val="single" w:sz="8" w:color="CFF0FC"/>
              <w:right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1080" w:type="dxa"/>
            <w:vAlign w:val="bottom"/>
            <w:tcBorders>
              <w:top w:val="single" w:sz="8" w:color="auto"/>
              <w:bottom w:val="single" w:sz="8" w:color="auto"/>
            </w:tcBorders>
            <w:gridSpan w:val="2"/>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(264</w:t>
            </w:r>
          </w:p>
        </w:tc>
        <w:tc>
          <w:tcPr>
            <w:tcW w:w="120" w:type="dxa"/>
            <w:vAlign w:val="bottom"/>
            <w:tcBorders>
              <w:bottom w:val="single" w:sz="8" w:color="CFF0FC"/>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w w:val="74"/>
              </w:rPr>
              <w:t>)</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w:t>
            </w:r>
          </w:p>
        </w:tc>
        <w:tc>
          <w:tcPr>
            <w:tcW w:w="84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73,175</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96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417,850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619"/>
        </w:trPr>
        <w:tc>
          <w:tcPr>
            <w:tcW w:w="37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3"/>
          </w:tcPr>
          <w:p>
            <w:pPr>
              <w:jc w:val="center"/>
              <w:ind w:right="279"/>
              <w:spacing w:after="0"/>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24"/>
                <w:szCs w:val="2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700" w:type="dxa"/>
            <w:vAlign w:val="bottom"/>
          </w:tcPr>
          <w:p>
            <w:pPr>
              <w:spacing w:after="0"/>
              <w:rPr>
                <w:sz w:val="16"/>
                <w:szCs w:val="16"/>
                <w:color w:val="auto"/>
              </w:rPr>
            </w:pPr>
          </w:p>
        </w:tc>
        <w:tc>
          <w:tcPr>
            <w:tcW w:w="2040" w:type="dxa"/>
            <w:vAlign w:val="bottom"/>
            <w:gridSpan w:val="3"/>
            <w:vMerge w:val="restart"/>
          </w:tcPr>
          <w:p>
            <w:pPr>
              <w:jc w:val="right"/>
              <w:ind w:right="362"/>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6"/>
                <w:szCs w:val="16"/>
                <w:color w:val="auto"/>
              </w:rPr>
            </w:pPr>
          </w:p>
        </w:tc>
        <w:tc>
          <w:tcPr>
            <w:tcW w:w="1200" w:type="dxa"/>
            <w:vAlign w:val="bottom"/>
            <w:gridSpan w:val="3"/>
          </w:tcPr>
          <w:p>
            <w:pPr>
              <w:jc w:val="center"/>
              <w:ind w:right="279"/>
              <w:spacing w:after="0"/>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6"/>
                <w:szCs w:val="16"/>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4"/>
        </w:trPr>
        <w:tc>
          <w:tcPr>
            <w:tcW w:w="3700" w:type="dxa"/>
            <w:vAlign w:val="bottom"/>
          </w:tcPr>
          <w:p>
            <w:pPr>
              <w:spacing w:after="0"/>
              <w:rPr>
                <w:sz w:val="15"/>
                <w:szCs w:val="15"/>
                <w:color w:val="auto"/>
              </w:rPr>
            </w:pPr>
          </w:p>
        </w:tc>
        <w:tc>
          <w:tcPr>
            <w:tcW w:w="2040" w:type="dxa"/>
            <w:vAlign w:val="bottom"/>
            <w:tcBorders>
              <w:bottom w:val="single" w:sz="8" w:color="auto"/>
            </w:tcBorders>
            <w:gridSpan w:val="3"/>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Paid-In</w:t>
            </w:r>
          </w:p>
        </w:tc>
        <w:tc>
          <w:tcPr>
            <w:tcW w:w="1320" w:type="dxa"/>
            <w:vAlign w:val="bottom"/>
            <w:gridSpan w:val="4"/>
          </w:tcPr>
          <w:p>
            <w:pPr>
              <w:jc w:val="center"/>
              <w:ind w:right="159"/>
              <w:spacing w:after="0"/>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399"/>
              <w:spacing w:after="0"/>
              <w:rPr>
                <w:sz w:val="20"/>
                <w:szCs w:val="20"/>
                <w:color w:val="auto"/>
              </w:rPr>
            </w:pPr>
            <w:r>
              <w:rPr>
                <w:rFonts w:ascii="Arial" w:cs="Arial" w:eastAsia="Arial" w:hAnsi="Arial"/>
                <w:sz w:val="14"/>
                <w:szCs w:val="14"/>
                <w:b w:val="1"/>
                <w:bCs w:val="1"/>
                <w:color w:val="auto"/>
                <w:w w:val="94"/>
              </w:rPr>
              <w:t>Retained</w:t>
            </w:r>
          </w:p>
        </w:tc>
        <w:tc>
          <w:tcPr>
            <w:tcW w:w="10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69"/>
        </w:trPr>
        <w:tc>
          <w:tcPr>
            <w:tcW w:w="3700" w:type="dxa"/>
            <w:vAlign w:val="bottom"/>
          </w:tcPr>
          <w:p>
            <w:pPr>
              <w:spacing w:after="0"/>
              <w:rPr>
                <w:sz w:val="14"/>
                <w:szCs w:val="14"/>
                <w:color w:val="auto"/>
              </w:rPr>
            </w:pPr>
          </w:p>
        </w:tc>
        <w:tc>
          <w:tcPr>
            <w:tcW w:w="1220" w:type="dxa"/>
            <w:vAlign w:val="bottom"/>
            <w:gridSpan w:val="2"/>
          </w:tcPr>
          <w:p>
            <w:pPr>
              <w:ind w:left="280"/>
              <w:spacing w:after="0"/>
              <w:rPr>
                <w:sz w:val="20"/>
                <w:szCs w:val="20"/>
                <w:color w:val="auto"/>
              </w:rPr>
            </w:pPr>
            <w:r>
              <w:rPr>
                <w:rFonts w:ascii="Arial" w:cs="Arial" w:eastAsia="Arial" w:hAnsi="Arial"/>
                <w:sz w:val="14"/>
                <w:szCs w:val="14"/>
                <w:b w:val="1"/>
                <w:bCs w:val="1"/>
                <w:color w:val="auto"/>
              </w:rPr>
              <w:t>Shares</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4"/>
                <w:szCs w:val="14"/>
                <w:color w:val="auto"/>
              </w:rPr>
            </w:pPr>
          </w:p>
        </w:tc>
        <w:tc>
          <w:tcPr>
            <w:tcW w:w="1200" w:type="dxa"/>
            <w:vAlign w:val="bottom"/>
            <w:gridSpan w:val="3"/>
          </w:tcPr>
          <w:p>
            <w:pPr>
              <w:jc w:val="center"/>
              <w:ind w:right="279"/>
              <w:spacing w:after="0"/>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399"/>
              <w:spacing w:after="0"/>
              <w:rPr>
                <w:sz w:val="20"/>
                <w:szCs w:val="20"/>
                <w:color w:val="auto"/>
              </w:rPr>
            </w:pPr>
            <w:r>
              <w:rPr>
                <w:rFonts w:ascii="Arial" w:cs="Arial" w:eastAsia="Arial" w:hAnsi="Arial"/>
                <w:sz w:val="14"/>
                <w:szCs w:val="14"/>
                <w:b w:val="1"/>
                <w:bCs w:val="1"/>
                <w:color w:val="auto"/>
                <w:w w:val="93"/>
              </w:rPr>
              <w:t>Earnings</w:t>
            </w:r>
          </w:p>
        </w:tc>
        <w:tc>
          <w:tcPr>
            <w:tcW w:w="10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83"/>
        </w:trPr>
        <w:tc>
          <w:tcPr>
            <w:tcW w:w="370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Balances at September 30, 2021</w:t>
            </w:r>
          </w:p>
        </w:tc>
        <w:tc>
          <w:tcPr>
            <w:tcW w:w="980" w:type="dxa"/>
            <w:vAlign w:val="bottom"/>
            <w:tcBorders>
              <w:top w:val="single" w:sz="8" w:color="auto"/>
              <w:right w:val="single" w:sz="8" w:color="CFF0FC"/>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20,238</w:t>
            </w:r>
          </w:p>
        </w:tc>
        <w:tc>
          <w:tcPr>
            <w:tcW w:w="240" w:type="dxa"/>
            <w:vAlign w:val="bottom"/>
            <w:tcBorders>
              <w:right w:val="single" w:sz="8" w:color="CFF0FC"/>
            </w:tcBorders>
            <w:shd w:val="clear" w:color="auto" w:fill="CFF0FC"/>
          </w:tcPr>
          <w:p>
            <w:pPr>
              <w:spacing w:after="0"/>
              <w:rPr>
                <w:sz w:val="15"/>
                <w:szCs w:val="15"/>
                <w:color w:val="auto"/>
              </w:rPr>
            </w:pPr>
          </w:p>
        </w:tc>
        <w:tc>
          <w:tcPr>
            <w:tcW w:w="820" w:type="dxa"/>
            <w:vAlign w:val="bottom"/>
            <w:tcBorders>
              <w:top w:val="single" w:sz="8" w:color="auto"/>
            </w:tcBorders>
            <w:shd w:val="clear" w:color="auto" w:fill="CFF0FC"/>
          </w:tcPr>
          <w:p>
            <w:pPr>
              <w:spacing w:after="0"/>
              <w:rPr>
                <w:sz w:val="15"/>
                <w:szCs w:val="15"/>
                <w:color w:val="auto"/>
              </w:rPr>
            </w:pPr>
          </w:p>
        </w:tc>
        <w:tc>
          <w:tcPr>
            <w:tcW w:w="28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w w:val="89"/>
              </w:rPr>
              <w:t>202</w:t>
            </w:r>
          </w:p>
        </w:tc>
        <w:tc>
          <w:tcPr>
            <w:tcW w:w="240" w:type="dxa"/>
            <w:vAlign w:val="bottom"/>
            <w:tcBorders>
              <w:right w:val="single" w:sz="8" w:color="CFF0FC"/>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top w:val="single" w:sz="8" w:color="auto"/>
              <w:right w:val="single" w:sz="8" w:color="CFF0FC"/>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351,033</w:t>
            </w:r>
          </w:p>
        </w:tc>
        <w:tc>
          <w:tcPr>
            <w:tcW w:w="200" w:type="dxa"/>
            <w:vAlign w:val="bottom"/>
            <w:tcBorders>
              <w:right w:val="single" w:sz="8" w:color="CFF0FC"/>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(382</w:t>
            </w:r>
          </w:p>
        </w:tc>
        <w:tc>
          <w:tcPr>
            <w:tcW w:w="1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w w:val="74"/>
              </w:rPr>
              <w:t>)</w:t>
            </w:r>
          </w:p>
        </w:tc>
        <w:tc>
          <w:tcPr>
            <w:tcW w:w="12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120" w:type="dxa"/>
            <w:vAlign w:val="bottom"/>
            <w:tcBorders>
              <w:top w:val="single" w:sz="8" w:color="auto"/>
            </w:tcBorders>
            <w:shd w:val="clear" w:color="auto" w:fill="CFF0FC"/>
          </w:tcPr>
          <w:p>
            <w:pPr>
              <w:spacing w:after="0"/>
              <w:rPr>
                <w:sz w:val="15"/>
                <w:szCs w:val="15"/>
                <w:color w:val="auto"/>
              </w:rPr>
            </w:pPr>
          </w:p>
        </w:tc>
        <w:tc>
          <w:tcPr>
            <w:tcW w:w="84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48,576</w:t>
            </w:r>
          </w:p>
        </w:tc>
        <w:tc>
          <w:tcPr>
            <w:tcW w:w="22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96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399,429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700" w:type="dxa"/>
            <w:vAlign w:val="bottom"/>
          </w:tcPr>
          <w:p>
            <w:pPr>
              <w:ind w:left="20"/>
              <w:spacing w:after="0"/>
              <w:rPr>
                <w:sz w:val="20"/>
                <w:szCs w:val="20"/>
                <w:color w:val="auto"/>
              </w:rPr>
            </w:pPr>
            <w:r>
              <w:rPr>
                <w:rFonts w:ascii="Arial" w:cs="Arial" w:eastAsia="Arial" w:hAnsi="Arial"/>
                <w:sz w:val="16"/>
                <w:szCs w:val="16"/>
                <w:color w:val="auto"/>
              </w:rPr>
              <w:t>Exercise of stock options</w:t>
            </w:r>
          </w:p>
        </w:tc>
        <w:tc>
          <w:tcPr>
            <w:tcW w:w="980" w:type="dxa"/>
            <w:vAlign w:val="bottom"/>
          </w:tcPr>
          <w:p>
            <w:pPr>
              <w:jc w:val="right"/>
              <w:spacing w:after="0"/>
              <w:rPr>
                <w:sz w:val="20"/>
                <w:szCs w:val="20"/>
                <w:color w:val="auto"/>
              </w:rPr>
            </w:pPr>
            <w:r>
              <w:rPr>
                <w:rFonts w:ascii="Arial" w:cs="Arial" w:eastAsia="Arial" w:hAnsi="Arial"/>
                <w:sz w:val="16"/>
                <w:szCs w:val="16"/>
                <w:color w:val="auto"/>
              </w:rPr>
              <w:t>248</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2</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10,407</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3"/>
          </w:tcPr>
          <w:p>
            <w:pPr>
              <w:jc w:val="right"/>
              <w:ind w:right="15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10,409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Vesting of restricted stock units, net of withholding</w:t>
            </w:r>
          </w:p>
        </w:tc>
        <w:tc>
          <w:tcPr>
            <w:tcW w:w="9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20</w:t>
            </w:r>
          </w:p>
        </w:tc>
        <w:tc>
          <w:tcPr>
            <w:tcW w:w="240" w:type="dxa"/>
            <w:vAlign w:val="bottom"/>
            <w:tcBorders>
              <w:right w:val="single" w:sz="8" w:color="CFF0FC"/>
            </w:tcBorders>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4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0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(778 )</w:t>
            </w:r>
          </w:p>
        </w:tc>
        <w:tc>
          <w:tcPr>
            <w:tcW w:w="120" w:type="dxa"/>
            <w:vAlign w:val="bottom"/>
            <w:shd w:val="clear" w:color="auto" w:fill="CFF0FC"/>
          </w:tcPr>
          <w:p>
            <w:pPr>
              <w:spacing w:after="0"/>
              <w:rPr>
                <w:sz w:val="16"/>
                <w:szCs w:val="16"/>
                <w:color w:val="auto"/>
              </w:rPr>
            </w:pPr>
          </w:p>
        </w:tc>
        <w:tc>
          <w:tcPr>
            <w:tcW w:w="1200" w:type="dxa"/>
            <w:vAlign w:val="bottom"/>
            <w:gridSpan w:val="3"/>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(777 )</w:t>
            </w:r>
          </w:p>
        </w:tc>
        <w:tc>
          <w:tcPr>
            <w:tcW w:w="0" w:type="dxa"/>
            <w:vAlign w:val="bottom"/>
          </w:tcPr>
          <w:p>
            <w:pPr>
              <w:spacing w:after="0"/>
              <w:rPr>
                <w:sz w:val="1"/>
                <w:szCs w:val="1"/>
                <w:color w:val="auto"/>
              </w:rPr>
            </w:pPr>
          </w:p>
        </w:tc>
      </w:tr>
      <w:tr>
        <w:trPr>
          <w:trHeight w:val="189"/>
        </w:trPr>
        <w:tc>
          <w:tcPr>
            <w:tcW w:w="370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12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6,062</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3"/>
          </w:tcPr>
          <w:p>
            <w:pPr>
              <w:jc w:val="right"/>
              <w:ind w:right="15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6,062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comprehensive loss</w:t>
            </w:r>
          </w:p>
        </w:tc>
        <w:tc>
          <w:tcPr>
            <w:tcW w:w="122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spacing w:after="0"/>
              <w:rPr>
                <w:sz w:val="16"/>
                <w:szCs w:val="16"/>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0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(624 )</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(624 )</w:t>
            </w:r>
          </w:p>
        </w:tc>
        <w:tc>
          <w:tcPr>
            <w:tcW w:w="0" w:type="dxa"/>
            <w:vAlign w:val="bottom"/>
          </w:tcPr>
          <w:p>
            <w:pPr>
              <w:spacing w:after="0"/>
              <w:rPr>
                <w:sz w:val="1"/>
                <w:szCs w:val="1"/>
                <w:color w:val="auto"/>
              </w:rPr>
            </w:pPr>
          </w:p>
        </w:tc>
      </w:tr>
      <w:tr>
        <w:trPr>
          <w:trHeight w:val="189"/>
        </w:trPr>
        <w:tc>
          <w:tcPr>
            <w:tcW w:w="3700" w:type="dxa"/>
            <w:vAlign w:val="bottom"/>
          </w:tcPr>
          <w:p>
            <w:pPr>
              <w:ind w:left="20"/>
              <w:spacing w:after="0"/>
              <w:rPr>
                <w:sz w:val="20"/>
                <w:szCs w:val="20"/>
                <w:color w:val="auto"/>
              </w:rPr>
            </w:pPr>
            <w:r>
              <w:rPr>
                <w:rFonts w:ascii="Arial" w:cs="Arial" w:eastAsia="Arial" w:hAnsi="Arial"/>
                <w:sz w:val="16"/>
                <w:szCs w:val="16"/>
                <w:color w:val="auto"/>
              </w:rPr>
              <w:t>Net loss</w:t>
            </w:r>
          </w:p>
        </w:tc>
        <w:tc>
          <w:tcPr>
            <w:tcW w:w="12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200" w:type="dxa"/>
            <w:vAlign w:val="bottom"/>
            <w:gridSpan w:val="3"/>
          </w:tcPr>
          <w:p>
            <w:pPr>
              <w:jc w:val="right"/>
              <w:ind w:right="15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right"/>
              <w:ind w:right="59"/>
              <w:spacing w:after="0"/>
              <w:rPr>
                <w:sz w:val="20"/>
                <w:szCs w:val="20"/>
                <w:color w:val="auto"/>
              </w:rPr>
            </w:pPr>
            <w:r>
              <w:rPr>
                <w:rFonts w:ascii="Arial" w:cs="Arial" w:eastAsia="Arial" w:hAnsi="Arial"/>
                <w:sz w:val="16"/>
                <w:szCs w:val="16"/>
                <w:color w:val="auto"/>
              </w:rPr>
              <w:t>(30,115 )</w:t>
            </w:r>
          </w:p>
        </w:tc>
        <w:tc>
          <w:tcPr>
            <w:tcW w:w="100" w:type="dxa"/>
            <w:vAlign w:val="bottom"/>
          </w:tcPr>
          <w:p>
            <w:pPr>
              <w:spacing w:after="0"/>
              <w:rPr>
                <w:sz w:val="16"/>
                <w:szCs w:val="16"/>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6"/>
                <w:szCs w:val="16"/>
                <w:color w:val="auto"/>
              </w:rPr>
              <w:t>(30,115 )</w:t>
            </w:r>
          </w:p>
        </w:tc>
        <w:tc>
          <w:tcPr>
            <w:tcW w:w="0" w:type="dxa"/>
            <w:vAlign w:val="bottom"/>
          </w:tcPr>
          <w:p>
            <w:pPr>
              <w:spacing w:after="0"/>
              <w:rPr>
                <w:sz w:val="1"/>
                <w:szCs w:val="1"/>
                <w:color w:val="auto"/>
              </w:rPr>
            </w:pPr>
          </w:p>
        </w:tc>
      </w:tr>
      <w:tr>
        <w:trPr>
          <w:trHeight w:val="183"/>
        </w:trPr>
        <w:tc>
          <w:tcPr>
            <w:tcW w:w="370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Balances at December 31, 2021</w:t>
            </w:r>
          </w:p>
        </w:tc>
        <w:tc>
          <w:tcPr>
            <w:tcW w:w="980" w:type="dxa"/>
            <w:vAlign w:val="bottom"/>
            <w:tcBorders>
              <w:top w:val="single" w:sz="8" w:color="auto"/>
              <w:bottom w:val="single" w:sz="8" w:color="auto"/>
              <w:right w:val="single" w:sz="8" w:color="CFF0FC"/>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20,506</w:t>
            </w:r>
          </w:p>
        </w:tc>
        <w:tc>
          <w:tcPr>
            <w:tcW w:w="240" w:type="dxa"/>
            <w:vAlign w:val="bottom"/>
            <w:tcBorders>
              <w:bottom w:val="single" w:sz="8" w:color="CFF0FC"/>
              <w:right w:val="single" w:sz="8" w:color="CFF0FC"/>
            </w:tcBorders>
            <w:shd w:val="clear" w:color="auto" w:fill="CFF0FC"/>
          </w:tcPr>
          <w:p>
            <w:pPr>
              <w:spacing w:after="0"/>
              <w:rPr>
                <w:sz w:val="15"/>
                <w:szCs w:val="15"/>
                <w:color w:val="auto"/>
              </w:rPr>
            </w:pPr>
          </w:p>
        </w:tc>
        <w:tc>
          <w:tcPr>
            <w:tcW w:w="820" w:type="dxa"/>
            <w:vAlign w:val="bottom"/>
            <w:tcBorders>
              <w:top w:val="single" w:sz="8" w:color="auto"/>
              <w:bottom w:val="single" w:sz="8" w:color="auto"/>
            </w:tcBorders>
            <w:shd w:val="clear" w:color="auto" w:fill="CFF0FC"/>
          </w:tcPr>
          <w:p>
            <w:pPr>
              <w:jc w:val="right"/>
              <w:ind w:right="662"/>
              <w:spacing w:after="0" w:line="183" w:lineRule="exact"/>
              <w:rPr>
                <w:sz w:val="20"/>
                <w:szCs w:val="20"/>
                <w:color w:val="auto"/>
              </w:rPr>
            </w:pPr>
            <w:r>
              <w:rPr>
                <w:rFonts w:ascii="Arial" w:cs="Arial" w:eastAsia="Arial" w:hAnsi="Arial"/>
                <w:sz w:val="16"/>
                <w:szCs w:val="16"/>
                <w:b w:val="1"/>
                <w:bCs w:val="1"/>
                <w:color w:val="auto"/>
                <w:w w:val="89"/>
              </w:rPr>
              <w:t>$</w:t>
            </w:r>
          </w:p>
        </w:tc>
        <w:tc>
          <w:tcPr>
            <w:tcW w:w="28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w w:val="89"/>
              </w:rPr>
              <w:t>205</w:t>
            </w:r>
          </w:p>
        </w:tc>
        <w:tc>
          <w:tcPr>
            <w:tcW w:w="240" w:type="dxa"/>
            <w:vAlign w:val="bottom"/>
            <w:tcBorders>
              <w:bottom w:val="single" w:sz="8" w:color="CFF0FC"/>
              <w:right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top w:val="single" w:sz="8" w:color="auto"/>
              <w:bottom w:val="single" w:sz="8" w:color="auto"/>
              <w:right w:val="single" w:sz="8" w:color="CFF0FC"/>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366,724</w:t>
            </w:r>
          </w:p>
        </w:tc>
        <w:tc>
          <w:tcPr>
            <w:tcW w:w="200" w:type="dxa"/>
            <w:vAlign w:val="bottom"/>
            <w:tcBorders>
              <w:bottom w:val="single" w:sz="8" w:color="CFF0FC"/>
              <w:right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(1,006</w:t>
            </w:r>
          </w:p>
        </w:tc>
        <w:tc>
          <w:tcPr>
            <w:tcW w:w="100" w:type="dxa"/>
            <w:vAlign w:val="bottom"/>
            <w:tcBorders>
              <w:bottom w:val="single" w:sz="8" w:color="CFF0FC"/>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w w:val="74"/>
              </w:rPr>
              <w:t>)</w:t>
            </w:r>
          </w:p>
        </w:tc>
        <w:tc>
          <w:tcPr>
            <w:tcW w:w="1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120" w:type="dxa"/>
            <w:vAlign w:val="bottom"/>
            <w:tcBorders>
              <w:top w:val="single" w:sz="8" w:color="auto"/>
              <w:bottom w:val="single" w:sz="8" w:color="auto"/>
            </w:tcBorders>
            <w:shd w:val="clear" w:color="auto" w:fill="CFF0FC"/>
          </w:tcPr>
          <w:p>
            <w:pPr>
              <w:spacing w:after="0"/>
              <w:rPr>
                <w:sz w:val="15"/>
                <w:szCs w:val="15"/>
                <w:color w:val="auto"/>
              </w:rPr>
            </w:pPr>
          </w:p>
        </w:tc>
        <w:tc>
          <w:tcPr>
            <w:tcW w:w="84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18,461</w:t>
            </w:r>
          </w:p>
        </w:tc>
        <w:tc>
          <w:tcPr>
            <w:tcW w:w="2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96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384,384</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700" w:type="dxa"/>
            <w:vAlign w:val="bottom"/>
          </w:tcPr>
          <w:p>
            <w:pPr>
              <w:ind w:left="20"/>
              <w:spacing w:after="0" w:line="183" w:lineRule="exact"/>
              <w:rPr>
                <w:sz w:val="20"/>
                <w:szCs w:val="20"/>
                <w:color w:val="auto"/>
              </w:rPr>
            </w:pPr>
            <w:r>
              <w:rPr>
                <w:rFonts w:ascii="Arial" w:cs="Arial" w:eastAsia="Arial" w:hAnsi="Arial"/>
                <w:sz w:val="16"/>
                <w:szCs w:val="16"/>
                <w:color w:val="auto"/>
              </w:rPr>
              <w:t>Exercise of stock options</w:t>
            </w:r>
          </w:p>
        </w:tc>
        <w:tc>
          <w:tcPr>
            <w:tcW w:w="980" w:type="dxa"/>
            <w:vAlign w:val="bottom"/>
          </w:tcPr>
          <w:p>
            <w:pPr>
              <w:jc w:val="right"/>
              <w:spacing w:after="0" w:line="183" w:lineRule="exact"/>
              <w:rPr>
                <w:sz w:val="20"/>
                <w:szCs w:val="20"/>
                <w:color w:val="auto"/>
              </w:rPr>
            </w:pPr>
            <w:r>
              <w:rPr>
                <w:rFonts w:ascii="Arial" w:cs="Arial" w:eastAsia="Arial" w:hAnsi="Arial"/>
                <w:sz w:val="16"/>
                <w:szCs w:val="16"/>
                <w:color w:val="auto"/>
              </w:rPr>
              <w:t>97</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jc w:val="right"/>
              <w:spacing w:after="0" w:line="183" w:lineRule="exact"/>
              <w:rPr>
                <w:sz w:val="20"/>
                <w:szCs w:val="20"/>
                <w:color w:val="auto"/>
              </w:rPr>
            </w:pPr>
            <w:r>
              <w:rPr>
                <w:rFonts w:ascii="Arial" w:cs="Arial" w:eastAsia="Arial" w:hAnsi="Arial"/>
                <w:sz w:val="16"/>
                <w:szCs w:val="16"/>
                <w:color w:val="auto"/>
              </w:rPr>
              <w:t>1</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line="183" w:lineRule="exact"/>
              <w:rPr>
                <w:sz w:val="20"/>
                <w:szCs w:val="20"/>
                <w:color w:val="auto"/>
              </w:rPr>
            </w:pPr>
            <w:r>
              <w:rPr>
                <w:rFonts w:ascii="Arial" w:cs="Arial" w:eastAsia="Arial" w:hAnsi="Arial"/>
                <w:sz w:val="16"/>
                <w:szCs w:val="16"/>
                <w:color w:val="auto"/>
              </w:rPr>
              <w:t>3,801</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3"/>
          </w:tcPr>
          <w:p>
            <w:pPr>
              <w:jc w:val="right"/>
              <w:ind w:right="159"/>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159"/>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960" w:type="dxa"/>
            <w:vAlign w:val="bottom"/>
          </w:tcPr>
          <w:p>
            <w:pPr>
              <w:jc w:val="right"/>
              <w:spacing w:after="0" w:line="183" w:lineRule="exact"/>
              <w:rPr>
                <w:sz w:val="20"/>
                <w:szCs w:val="20"/>
                <w:color w:val="auto"/>
              </w:rPr>
            </w:pPr>
            <w:r>
              <w:rPr>
                <w:rFonts w:ascii="Arial" w:cs="Arial" w:eastAsia="Arial" w:hAnsi="Arial"/>
                <w:sz w:val="16"/>
                <w:szCs w:val="16"/>
                <w:color w:val="auto"/>
              </w:rPr>
              <w:t>3,802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Vesting of restricted stock units, net of withholding</w:t>
            </w:r>
          </w:p>
        </w:tc>
        <w:tc>
          <w:tcPr>
            <w:tcW w:w="9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15</w:t>
            </w:r>
          </w:p>
        </w:tc>
        <w:tc>
          <w:tcPr>
            <w:tcW w:w="240" w:type="dxa"/>
            <w:vAlign w:val="bottom"/>
            <w:tcBorders>
              <w:right w:val="single" w:sz="8" w:color="CFF0FC"/>
            </w:tcBorders>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0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(451 )</w:t>
            </w:r>
          </w:p>
        </w:tc>
        <w:tc>
          <w:tcPr>
            <w:tcW w:w="120" w:type="dxa"/>
            <w:vAlign w:val="bottom"/>
            <w:shd w:val="clear" w:color="auto" w:fill="CFF0FC"/>
          </w:tcPr>
          <w:p>
            <w:pPr>
              <w:spacing w:after="0"/>
              <w:rPr>
                <w:sz w:val="16"/>
                <w:szCs w:val="16"/>
                <w:color w:val="auto"/>
              </w:rPr>
            </w:pPr>
          </w:p>
        </w:tc>
        <w:tc>
          <w:tcPr>
            <w:tcW w:w="1200" w:type="dxa"/>
            <w:vAlign w:val="bottom"/>
            <w:gridSpan w:val="3"/>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(451 )</w:t>
            </w:r>
          </w:p>
        </w:tc>
        <w:tc>
          <w:tcPr>
            <w:tcW w:w="0" w:type="dxa"/>
            <w:vAlign w:val="bottom"/>
          </w:tcPr>
          <w:p>
            <w:pPr>
              <w:spacing w:after="0"/>
              <w:rPr>
                <w:sz w:val="1"/>
                <w:szCs w:val="1"/>
                <w:color w:val="auto"/>
              </w:rPr>
            </w:pPr>
          </w:p>
        </w:tc>
      </w:tr>
      <w:tr>
        <w:trPr>
          <w:trHeight w:val="189"/>
        </w:trPr>
        <w:tc>
          <w:tcPr>
            <w:tcW w:w="370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12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6,471</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3"/>
          </w:tcPr>
          <w:p>
            <w:pPr>
              <w:jc w:val="right"/>
              <w:ind w:right="15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6,471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comprehensive loss</w:t>
            </w:r>
          </w:p>
        </w:tc>
        <w:tc>
          <w:tcPr>
            <w:tcW w:w="122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spacing w:after="0"/>
              <w:rPr>
                <w:sz w:val="16"/>
                <w:szCs w:val="16"/>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0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(2,031 )</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(2,031 )</w:t>
            </w:r>
          </w:p>
        </w:tc>
        <w:tc>
          <w:tcPr>
            <w:tcW w:w="0" w:type="dxa"/>
            <w:vAlign w:val="bottom"/>
          </w:tcPr>
          <w:p>
            <w:pPr>
              <w:spacing w:after="0"/>
              <w:rPr>
                <w:sz w:val="1"/>
                <w:szCs w:val="1"/>
                <w:color w:val="auto"/>
              </w:rPr>
            </w:pPr>
          </w:p>
        </w:tc>
      </w:tr>
      <w:tr>
        <w:trPr>
          <w:trHeight w:val="189"/>
        </w:trPr>
        <w:tc>
          <w:tcPr>
            <w:tcW w:w="3700" w:type="dxa"/>
            <w:vAlign w:val="bottom"/>
          </w:tcPr>
          <w:p>
            <w:pPr>
              <w:ind w:left="20"/>
              <w:spacing w:after="0"/>
              <w:rPr>
                <w:sz w:val="20"/>
                <w:szCs w:val="20"/>
                <w:color w:val="auto"/>
              </w:rPr>
            </w:pPr>
            <w:r>
              <w:rPr>
                <w:rFonts w:ascii="Arial" w:cs="Arial" w:eastAsia="Arial" w:hAnsi="Arial"/>
                <w:sz w:val="16"/>
                <w:szCs w:val="16"/>
                <w:color w:val="auto"/>
              </w:rPr>
              <w:t>Net loss</w:t>
            </w:r>
          </w:p>
        </w:tc>
        <w:tc>
          <w:tcPr>
            <w:tcW w:w="12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200" w:type="dxa"/>
            <w:vAlign w:val="bottom"/>
            <w:gridSpan w:val="3"/>
          </w:tcPr>
          <w:p>
            <w:pPr>
              <w:jc w:val="right"/>
              <w:ind w:right="15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right"/>
              <w:ind w:right="59"/>
              <w:spacing w:after="0"/>
              <w:rPr>
                <w:sz w:val="20"/>
                <w:szCs w:val="20"/>
                <w:color w:val="auto"/>
              </w:rPr>
            </w:pPr>
            <w:r>
              <w:rPr>
                <w:rFonts w:ascii="Arial" w:cs="Arial" w:eastAsia="Arial" w:hAnsi="Arial"/>
                <w:sz w:val="16"/>
                <w:szCs w:val="16"/>
                <w:color w:val="auto"/>
              </w:rPr>
              <w:t>(33,592 )</w:t>
            </w:r>
          </w:p>
        </w:tc>
        <w:tc>
          <w:tcPr>
            <w:tcW w:w="100" w:type="dxa"/>
            <w:vAlign w:val="bottom"/>
          </w:tcPr>
          <w:p>
            <w:pPr>
              <w:spacing w:after="0"/>
              <w:rPr>
                <w:sz w:val="16"/>
                <w:szCs w:val="16"/>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6"/>
                <w:szCs w:val="16"/>
                <w:color w:val="auto"/>
              </w:rPr>
              <w:t>(33,592 )</w:t>
            </w:r>
          </w:p>
        </w:tc>
        <w:tc>
          <w:tcPr>
            <w:tcW w:w="0" w:type="dxa"/>
            <w:vAlign w:val="bottom"/>
          </w:tcPr>
          <w:p>
            <w:pPr>
              <w:spacing w:after="0"/>
              <w:rPr>
                <w:sz w:val="1"/>
                <w:szCs w:val="1"/>
                <w:color w:val="auto"/>
              </w:rPr>
            </w:pPr>
          </w:p>
        </w:tc>
      </w:tr>
      <w:tr>
        <w:trPr>
          <w:trHeight w:val="183"/>
        </w:trPr>
        <w:tc>
          <w:tcPr>
            <w:tcW w:w="370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Balances at March 31, 2022</w:t>
            </w:r>
          </w:p>
        </w:tc>
        <w:tc>
          <w:tcPr>
            <w:tcW w:w="980" w:type="dxa"/>
            <w:vAlign w:val="bottom"/>
            <w:tcBorders>
              <w:top w:val="single" w:sz="8" w:color="auto"/>
              <w:bottom w:val="single" w:sz="8" w:color="auto"/>
              <w:right w:val="single" w:sz="8" w:color="CFF0FC"/>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20,618</w:t>
            </w:r>
          </w:p>
        </w:tc>
        <w:tc>
          <w:tcPr>
            <w:tcW w:w="240" w:type="dxa"/>
            <w:vAlign w:val="bottom"/>
            <w:tcBorders>
              <w:bottom w:val="single" w:sz="8" w:color="CFF0FC"/>
              <w:right w:val="single" w:sz="8" w:color="CFF0FC"/>
            </w:tcBorders>
            <w:shd w:val="clear" w:color="auto" w:fill="CFF0FC"/>
          </w:tcPr>
          <w:p>
            <w:pPr>
              <w:spacing w:after="0"/>
              <w:rPr>
                <w:sz w:val="15"/>
                <w:szCs w:val="15"/>
                <w:color w:val="auto"/>
              </w:rPr>
            </w:pPr>
          </w:p>
        </w:tc>
        <w:tc>
          <w:tcPr>
            <w:tcW w:w="820" w:type="dxa"/>
            <w:vAlign w:val="bottom"/>
            <w:tcBorders>
              <w:top w:val="single" w:sz="8" w:color="auto"/>
              <w:bottom w:val="single" w:sz="8" w:color="auto"/>
            </w:tcBorders>
            <w:shd w:val="clear" w:color="auto" w:fill="CFF0FC"/>
          </w:tcPr>
          <w:p>
            <w:pPr>
              <w:jc w:val="right"/>
              <w:ind w:right="662"/>
              <w:spacing w:after="0" w:line="183" w:lineRule="exact"/>
              <w:rPr>
                <w:sz w:val="20"/>
                <w:szCs w:val="20"/>
                <w:color w:val="auto"/>
              </w:rPr>
            </w:pPr>
            <w:r>
              <w:rPr>
                <w:rFonts w:ascii="Arial" w:cs="Arial" w:eastAsia="Arial" w:hAnsi="Arial"/>
                <w:sz w:val="16"/>
                <w:szCs w:val="16"/>
                <w:b w:val="1"/>
                <w:bCs w:val="1"/>
                <w:color w:val="auto"/>
                <w:w w:val="89"/>
              </w:rPr>
              <w:t>$</w:t>
            </w:r>
          </w:p>
        </w:tc>
        <w:tc>
          <w:tcPr>
            <w:tcW w:w="28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w w:val="89"/>
              </w:rPr>
              <w:t>206</w:t>
            </w:r>
          </w:p>
        </w:tc>
        <w:tc>
          <w:tcPr>
            <w:tcW w:w="240" w:type="dxa"/>
            <w:vAlign w:val="bottom"/>
            <w:tcBorders>
              <w:bottom w:val="single" w:sz="8" w:color="CFF0FC"/>
              <w:right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top w:val="single" w:sz="8" w:color="auto"/>
              <w:bottom w:val="single" w:sz="8" w:color="auto"/>
              <w:right w:val="single" w:sz="8" w:color="CFF0FC"/>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376,545</w:t>
            </w:r>
          </w:p>
        </w:tc>
        <w:tc>
          <w:tcPr>
            <w:tcW w:w="200" w:type="dxa"/>
            <w:vAlign w:val="bottom"/>
            <w:tcBorders>
              <w:bottom w:val="single" w:sz="8" w:color="CFF0FC"/>
              <w:right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(3,037</w:t>
            </w:r>
          </w:p>
        </w:tc>
        <w:tc>
          <w:tcPr>
            <w:tcW w:w="100" w:type="dxa"/>
            <w:vAlign w:val="bottom"/>
            <w:tcBorders>
              <w:bottom w:val="single" w:sz="8" w:color="CFF0FC"/>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w w:val="74"/>
              </w:rPr>
              <w:t>)</w:t>
            </w:r>
          </w:p>
        </w:tc>
        <w:tc>
          <w:tcPr>
            <w:tcW w:w="1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120" w:type="dxa"/>
            <w:vAlign w:val="bottom"/>
            <w:tcBorders>
              <w:top w:val="single" w:sz="8" w:color="auto"/>
              <w:bottom w:val="single" w:sz="8" w:color="auto"/>
            </w:tcBorders>
            <w:shd w:val="clear" w:color="auto" w:fill="CFF0FC"/>
          </w:tcPr>
          <w:p>
            <w:pPr>
              <w:spacing w:after="0"/>
              <w:rPr>
                <w:sz w:val="15"/>
                <w:szCs w:val="15"/>
                <w:color w:val="auto"/>
              </w:rPr>
            </w:pPr>
          </w:p>
        </w:tc>
        <w:tc>
          <w:tcPr>
            <w:tcW w:w="84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(15,131</w:t>
            </w:r>
          </w:p>
        </w:tc>
        <w:tc>
          <w:tcPr>
            <w:tcW w:w="220" w:type="dxa"/>
            <w:vAlign w:val="bottom"/>
            <w:tcBorders>
              <w:bottom w:val="single" w:sz="8" w:color="CFF0FC"/>
            </w:tcBorders>
            <w:shd w:val="clear" w:color="auto" w:fill="CFF0FC"/>
          </w:tcPr>
          <w:p>
            <w:pPr>
              <w:jc w:val="right"/>
              <w:ind w:right="59"/>
              <w:spacing w:after="0" w:line="183" w:lineRule="exact"/>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96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358,583</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700" w:type="dxa"/>
            <w:vAlign w:val="bottom"/>
          </w:tcPr>
          <w:p>
            <w:pPr>
              <w:ind w:left="20"/>
              <w:spacing w:after="0" w:line="183" w:lineRule="exact"/>
              <w:rPr>
                <w:sz w:val="20"/>
                <w:szCs w:val="20"/>
                <w:color w:val="auto"/>
              </w:rPr>
            </w:pPr>
            <w:r>
              <w:rPr>
                <w:rFonts w:ascii="Arial" w:cs="Arial" w:eastAsia="Arial" w:hAnsi="Arial"/>
                <w:sz w:val="16"/>
                <w:szCs w:val="16"/>
                <w:color w:val="auto"/>
              </w:rPr>
              <w:t>Exercise of stock options</w:t>
            </w:r>
          </w:p>
        </w:tc>
        <w:tc>
          <w:tcPr>
            <w:tcW w:w="980" w:type="dxa"/>
            <w:vAlign w:val="bottom"/>
          </w:tcPr>
          <w:p>
            <w:pPr>
              <w:jc w:val="right"/>
              <w:spacing w:after="0" w:line="183" w:lineRule="exact"/>
              <w:rPr>
                <w:sz w:val="20"/>
                <w:szCs w:val="20"/>
                <w:color w:val="auto"/>
              </w:rPr>
            </w:pPr>
            <w:r>
              <w:rPr>
                <w:rFonts w:ascii="Arial" w:cs="Arial" w:eastAsia="Arial" w:hAnsi="Arial"/>
                <w:sz w:val="16"/>
                <w:szCs w:val="16"/>
                <w:color w:val="auto"/>
              </w:rPr>
              <w:t>102</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jc w:val="right"/>
              <w:spacing w:after="0" w:line="183" w:lineRule="exact"/>
              <w:rPr>
                <w:sz w:val="20"/>
                <w:szCs w:val="20"/>
                <w:color w:val="auto"/>
              </w:rPr>
            </w:pPr>
            <w:r>
              <w:rPr>
                <w:rFonts w:ascii="Arial" w:cs="Arial" w:eastAsia="Arial" w:hAnsi="Arial"/>
                <w:sz w:val="16"/>
                <w:szCs w:val="16"/>
                <w:color w:val="auto"/>
              </w:rPr>
              <w:t>1</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line="183" w:lineRule="exact"/>
              <w:rPr>
                <w:sz w:val="20"/>
                <w:szCs w:val="20"/>
                <w:color w:val="auto"/>
              </w:rPr>
            </w:pPr>
            <w:r>
              <w:rPr>
                <w:rFonts w:ascii="Arial" w:cs="Arial" w:eastAsia="Arial" w:hAnsi="Arial"/>
                <w:sz w:val="16"/>
                <w:szCs w:val="16"/>
                <w:color w:val="auto"/>
              </w:rPr>
              <w:t>4,119</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3"/>
          </w:tcPr>
          <w:p>
            <w:pPr>
              <w:jc w:val="right"/>
              <w:ind w:right="159"/>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159"/>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960" w:type="dxa"/>
            <w:vAlign w:val="bottom"/>
          </w:tcPr>
          <w:p>
            <w:pPr>
              <w:jc w:val="right"/>
              <w:spacing w:after="0" w:line="183" w:lineRule="exact"/>
              <w:rPr>
                <w:sz w:val="20"/>
                <w:szCs w:val="20"/>
                <w:color w:val="auto"/>
              </w:rPr>
            </w:pPr>
            <w:r>
              <w:rPr>
                <w:rFonts w:ascii="Arial" w:cs="Arial" w:eastAsia="Arial" w:hAnsi="Arial"/>
                <w:sz w:val="16"/>
                <w:szCs w:val="16"/>
                <w:color w:val="auto"/>
              </w:rPr>
              <w:t>4,120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Stock-based compensation expense</w:t>
            </w:r>
          </w:p>
        </w:tc>
        <w:tc>
          <w:tcPr>
            <w:tcW w:w="122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spacing w:after="0"/>
              <w:rPr>
                <w:sz w:val="16"/>
                <w:szCs w:val="16"/>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7,603</w:t>
            </w:r>
          </w:p>
        </w:tc>
        <w:tc>
          <w:tcPr>
            <w:tcW w:w="20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0" w:type="dxa"/>
            <w:vAlign w:val="bottom"/>
            <w:gridSpan w:val="3"/>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7,603</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00" w:type="dxa"/>
            <w:vAlign w:val="bottom"/>
          </w:tcPr>
          <w:p>
            <w:pPr>
              <w:ind w:left="20"/>
              <w:spacing w:after="0"/>
              <w:rPr>
                <w:sz w:val="20"/>
                <w:szCs w:val="20"/>
                <w:color w:val="auto"/>
              </w:rPr>
            </w:pPr>
            <w:r>
              <w:rPr>
                <w:rFonts w:ascii="Arial" w:cs="Arial" w:eastAsia="Arial" w:hAnsi="Arial"/>
                <w:sz w:val="16"/>
                <w:szCs w:val="16"/>
                <w:color w:val="auto"/>
              </w:rPr>
              <w:t>Other comprehensive loss</w:t>
            </w:r>
          </w:p>
        </w:tc>
        <w:tc>
          <w:tcPr>
            <w:tcW w:w="12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(583 )</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6"/>
                <w:szCs w:val="16"/>
                <w:color w:val="auto"/>
              </w:rPr>
              <w:t>(583 )</w:t>
            </w:r>
          </w:p>
        </w:tc>
        <w:tc>
          <w:tcPr>
            <w:tcW w:w="0" w:type="dxa"/>
            <w:vAlign w:val="bottom"/>
          </w:tcPr>
          <w:p>
            <w:pPr>
              <w:spacing w:after="0"/>
              <w:rPr>
                <w:sz w:val="1"/>
                <w:szCs w:val="1"/>
                <w:color w:val="auto"/>
              </w:rPr>
            </w:pPr>
          </w:p>
        </w:tc>
      </w:tr>
      <w:tr>
        <w:trPr>
          <w:trHeight w:val="189"/>
        </w:trPr>
        <w:tc>
          <w:tcPr>
            <w:tcW w:w="3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loss</w:t>
            </w:r>
          </w:p>
        </w:tc>
        <w:tc>
          <w:tcPr>
            <w:tcW w:w="9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right w:val="single" w:sz="8" w:color="CFF0FC"/>
            </w:tcBorders>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59"/>
              <w:spacing w:after="0"/>
              <w:rPr>
                <w:sz w:val="20"/>
                <w:szCs w:val="20"/>
                <w:color w:val="auto"/>
              </w:rPr>
            </w:pPr>
            <w:r>
              <w:rPr>
                <w:rFonts w:ascii="Arial" w:cs="Arial" w:eastAsia="Arial" w:hAnsi="Arial"/>
                <w:sz w:val="16"/>
                <w:szCs w:val="16"/>
                <w:color w:val="auto"/>
              </w:rPr>
              <w:t>(31,700 )</w:t>
            </w:r>
          </w:p>
        </w:tc>
        <w:tc>
          <w:tcPr>
            <w:tcW w:w="10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(31,700 )</w:t>
            </w:r>
          </w:p>
        </w:tc>
        <w:tc>
          <w:tcPr>
            <w:tcW w:w="0" w:type="dxa"/>
            <w:vAlign w:val="bottom"/>
          </w:tcPr>
          <w:p>
            <w:pPr>
              <w:spacing w:after="0"/>
              <w:rPr>
                <w:sz w:val="1"/>
                <w:szCs w:val="1"/>
                <w:color w:val="auto"/>
              </w:rPr>
            </w:pPr>
          </w:p>
        </w:tc>
      </w:tr>
      <w:tr>
        <w:trPr>
          <w:trHeight w:val="20"/>
        </w:trPr>
        <w:tc>
          <w:tcPr>
            <w:tcW w:w="3700" w:type="dxa"/>
            <w:vAlign w:val="bottom"/>
            <w:shd w:val="clear" w:color="auto" w:fill="CFF0FC"/>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tcBorders>
              <w:right w:val="single" w:sz="8" w:color="CFF0FC"/>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70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Balances at June 30, 2022</w:t>
            </w:r>
          </w:p>
        </w:tc>
        <w:tc>
          <w:tcPr>
            <w:tcW w:w="98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20,720</w:t>
            </w:r>
          </w:p>
        </w:tc>
        <w:tc>
          <w:tcPr>
            <w:tcW w:w="240" w:type="dxa"/>
            <w:vAlign w:val="bottom"/>
          </w:tcPr>
          <w:p>
            <w:pPr>
              <w:spacing w:after="0"/>
              <w:rPr>
                <w:sz w:val="15"/>
                <w:szCs w:val="15"/>
                <w:color w:val="auto"/>
              </w:rPr>
            </w:pPr>
          </w:p>
        </w:tc>
        <w:tc>
          <w:tcPr>
            <w:tcW w:w="820" w:type="dxa"/>
            <w:vAlign w:val="bottom"/>
          </w:tcPr>
          <w:p>
            <w:pPr>
              <w:jc w:val="right"/>
              <w:ind w:right="662"/>
              <w:spacing w:after="0" w:line="183" w:lineRule="exact"/>
              <w:rPr>
                <w:sz w:val="20"/>
                <w:szCs w:val="20"/>
                <w:color w:val="auto"/>
              </w:rPr>
            </w:pPr>
            <w:r>
              <w:rPr>
                <w:rFonts w:ascii="Arial" w:cs="Arial" w:eastAsia="Arial" w:hAnsi="Arial"/>
                <w:sz w:val="16"/>
                <w:szCs w:val="16"/>
                <w:b w:val="1"/>
                <w:bCs w:val="1"/>
                <w:color w:val="auto"/>
                <w:w w:val="89"/>
              </w:rPr>
              <w:t>$</w:t>
            </w:r>
          </w:p>
        </w:tc>
        <w:tc>
          <w:tcPr>
            <w:tcW w:w="280" w:type="dxa"/>
            <w:vAlign w:val="bottom"/>
          </w:tcPr>
          <w:p>
            <w:pPr>
              <w:jc w:val="right"/>
              <w:spacing w:after="0" w:line="183" w:lineRule="exact"/>
              <w:rPr>
                <w:sz w:val="20"/>
                <w:szCs w:val="20"/>
                <w:color w:val="auto"/>
              </w:rPr>
            </w:pPr>
            <w:r>
              <w:rPr>
                <w:rFonts w:ascii="Arial" w:cs="Arial" w:eastAsia="Arial" w:hAnsi="Arial"/>
                <w:sz w:val="16"/>
                <w:szCs w:val="16"/>
                <w:b w:val="1"/>
                <w:bCs w:val="1"/>
                <w:color w:val="auto"/>
                <w:w w:val="89"/>
              </w:rPr>
              <w:t>207</w:t>
            </w:r>
          </w:p>
        </w:tc>
        <w:tc>
          <w:tcPr>
            <w:tcW w:w="24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90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388,267</w:t>
            </w:r>
          </w:p>
        </w:tc>
        <w:tc>
          <w:tcPr>
            <w:tcW w:w="2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gridSpan w:val="2"/>
          </w:tcPr>
          <w:p>
            <w:pPr>
              <w:jc w:val="right"/>
              <w:spacing w:after="0" w:line="183" w:lineRule="exact"/>
              <w:rPr>
                <w:sz w:val="20"/>
                <w:szCs w:val="20"/>
                <w:color w:val="auto"/>
              </w:rPr>
            </w:pPr>
            <w:r>
              <w:rPr>
                <w:rFonts w:ascii="Arial" w:cs="Arial" w:eastAsia="Arial" w:hAnsi="Arial"/>
                <w:sz w:val="16"/>
                <w:szCs w:val="16"/>
                <w:b w:val="1"/>
                <w:bCs w:val="1"/>
                <w:color w:val="auto"/>
              </w:rPr>
              <w:t>(3,620 )</w:t>
            </w:r>
          </w:p>
        </w:tc>
        <w:tc>
          <w:tcPr>
            <w:tcW w:w="120" w:type="dxa"/>
            <w:vAlign w:val="bottom"/>
          </w:tcPr>
          <w:p>
            <w:pPr>
              <w:spacing w:after="0"/>
              <w:rPr>
                <w:sz w:val="15"/>
                <w:szCs w:val="15"/>
                <w:color w:val="auto"/>
              </w:rPr>
            </w:pPr>
          </w:p>
        </w:tc>
        <w:tc>
          <w:tcPr>
            <w:tcW w:w="100" w:type="dxa"/>
            <w:vAlign w:val="bottom"/>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120" w:type="dxa"/>
            <w:vAlign w:val="bottom"/>
          </w:tcPr>
          <w:p>
            <w:pPr>
              <w:spacing w:after="0"/>
              <w:rPr>
                <w:sz w:val="15"/>
                <w:szCs w:val="15"/>
                <w:color w:val="auto"/>
              </w:rPr>
            </w:pPr>
          </w:p>
        </w:tc>
        <w:tc>
          <w:tcPr>
            <w:tcW w:w="1060" w:type="dxa"/>
            <w:vAlign w:val="bottom"/>
            <w:gridSpan w:val="2"/>
          </w:tcPr>
          <w:p>
            <w:pPr>
              <w:jc w:val="right"/>
              <w:ind w:right="59"/>
              <w:spacing w:after="0" w:line="183" w:lineRule="exact"/>
              <w:rPr>
                <w:sz w:val="20"/>
                <w:szCs w:val="20"/>
                <w:color w:val="auto"/>
              </w:rPr>
            </w:pPr>
            <w:r>
              <w:rPr>
                <w:rFonts w:ascii="Arial" w:cs="Arial" w:eastAsia="Arial" w:hAnsi="Arial"/>
                <w:sz w:val="16"/>
                <w:szCs w:val="16"/>
                <w:b w:val="1"/>
                <w:bCs w:val="1"/>
                <w:color w:val="auto"/>
              </w:rPr>
              <w:t>(46,831 )</w:t>
            </w:r>
          </w:p>
        </w:tc>
        <w:tc>
          <w:tcPr>
            <w:tcW w:w="100" w:type="dxa"/>
            <w:vAlign w:val="bottom"/>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338,023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-4248150</wp:posOffset>
            </wp:positionV>
            <wp:extent cx="76835"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-4248150</wp:posOffset>
            </wp:positionV>
            <wp:extent cx="77470"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-4248150</wp:posOffset>
            </wp:positionV>
            <wp:extent cx="68580"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-4248150</wp:posOffset>
            </wp:positionV>
            <wp:extent cx="68580"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-4248150</wp:posOffset>
            </wp:positionV>
            <wp:extent cx="68580"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-4248150</wp:posOffset>
            </wp:positionV>
            <wp:extent cx="68580"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-3759835</wp:posOffset>
            </wp:positionV>
            <wp:extent cx="76835"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-3759835</wp:posOffset>
            </wp:positionV>
            <wp:extent cx="77470"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-3759835</wp:posOffset>
            </wp:positionV>
            <wp:extent cx="68580" cy="5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-3759835</wp:posOffset>
            </wp:positionV>
            <wp:extent cx="68580"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-3759835</wp:posOffset>
            </wp:positionV>
            <wp:extent cx="68580" cy="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-3759835</wp:posOffset>
            </wp:positionV>
            <wp:extent cx="68580"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-3016885</wp:posOffset>
            </wp:positionV>
            <wp:extent cx="7683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-2999740</wp:posOffset>
            </wp:positionV>
            <wp:extent cx="768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-3016885</wp:posOffset>
            </wp:positionV>
            <wp:extent cx="7747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-2999740</wp:posOffset>
            </wp:positionV>
            <wp:extent cx="774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-3016885</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-2999740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-3016885</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-2999740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-3016885</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-2999740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-3016885</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-2999740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-1376680</wp:posOffset>
            </wp:positionV>
            <wp:extent cx="76835"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-1376680</wp:posOffset>
            </wp:positionV>
            <wp:extent cx="68580"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-1376680</wp:posOffset>
            </wp:positionV>
            <wp:extent cx="68580" cy="5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-1376680</wp:posOffset>
            </wp:positionV>
            <wp:extent cx="68580" cy="57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-1376680</wp:posOffset>
            </wp:positionV>
            <wp:extent cx="68580" cy="57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-1376680</wp:posOffset>
            </wp:positionV>
            <wp:extent cx="68580" cy="57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-639445</wp:posOffset>
            </wp:positionV>
            <wp:extent cx="76835" cy="5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-639445</wp:posOffset>
            </wp:positionV>
            <wp:extent cx="68580" cy="57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-639445</wp:posOffset>
            </wp:positionV>
            <wp:extent cx="68580"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-639445</wp:posOffset>
            </wp:positionV>
            <wp:extent cx="68580"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-639445</wp:posOffset>
            </wp:positionV>
            <wp:extent cx="68580" cy="5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-639445</wp:posOffset>
            </wp:positionV>
            <wp:extent cx="68580"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-150495</wp:posOffset>
            </wp:positionV>
            <wp:extent cx="76835" cy="5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-150495</wp:posOffset>
            </wp:positionV>
            <wp:extent cx="68580" cy="5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-150495</wp:posOffset>
            </wp:positionV>
            <wp:extent cx="68580" cy="57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-150495</wp:posOffset>
            </wp:positionV>
            <wp:extent cx="68580" cy="57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-150495</wp:posOffset>
            </wp:positionV>
            <wp:extent cx="68580" cy="57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-150495</wp:posOffset>
            </wp:positionV>
            <wp:extent cx="68580" cy="5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ENANTA PHARMACEUTICALS,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6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5"/>
        </w:trPr>
        <w:tc>
          <w:tcPr>
            <w:tcW w:w="768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355"/>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68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96"/>
        </w:trPr>
        <w:tc>
          <w:tcPr>
            <w:tcW w:w="7680" w:type="dxa"/>
            <w:vAlign w:val="bottom"/>
            <w:shd w:val="clear" w:color="auto" w:fill="CFF0FC"/>
          </w:tcPr>
          <w:p>
            <w:pPr>
              <w:ind w:left="20"/>
              <w:spacing w:after="0"/>
              <w:rPr>
                <w:sz w:val="20"/>
                <w:szCs w:val="20"/>
                <w:color w:val="auto"/>
              </w:rPr>
            </w:pPr>
            <w:r>
              <w:rPr>
                <w:rFonts w:ascii="Arial" w:cs="Arial" w:eastAsia="Arial" w:hAnsi="Arial"/>
                <w:sz w:val="17"/>
                <w:szCs w:val="17"/>
                <w:b w:val="1"/>
                <w:bCs w:val="1"/>
                <w:color w:val="auto"/>
              </w:rPr>
              <w:t>Cash flows from operating activities</w:t>
            </w:r>
          </w:p>
        </w:tc>
        <w:tc>
          <w:tcPr>
            <w:tcW w:w="9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680" w:type="dxa"/>
            <w:vAlign w:val="bottom"/>
          </w:tcPr>
          <w:p>
            <w:pPr>
              <w:ind w:left="200"/>
              <w:spacing w:after="0"/>
              <w:rPr>
                <w:sz w:val="20"/>
                <w:szCs w:val="20"/>
                <w:color w:val="auto"/>
              </w:rPr>
            </w:pPr>
            <w:r>
              <w:rPr>
                <w:rFonts w:ascii="Arial" w:cs="Arial" w:eastAsia="Arial" w:hAnsi="Arial"/>
                <w:sz w:val="17"/>
                <w:szCs w:val="17"/>
                <w:color w:val="auto"/>
              </w:rPr>
              <w:t>Net loss</w:t>
            </w:r>
          </w:p>
        </w:tc>
        <w:tc>
          <w:tcPr>
            <w:tcW w:w="960" w:type="dxa"/>
            <w:vAlign w:val="bottom"/>
          </w:tcPr>
          <w:p>
            <w:pPr>
              <w:jc w:val="right"/>
              <w:ind w:right="777"/>
              <w:spacing w:after="0"/>
              <w:rPr>
                <w:sz w:val="20"/>
                <w:szCs w:val="20"/>
                <w:color w:val="auto"/>
              </w:rPr>
            </w:pPr>
            <w:r>
              <w:rPr>
                <w:rFonts w:ascii="Arial" w:cs="Arial" w:eastAsia="Arial" w:hAnsi="Arial"/>
                <w:sz w:val="17"/>
                <w:szCs w:val="17"/>
                <w:color w:val="auto"/>
                <w:w w:val="84"/>
              </w:rPr>
              <w:t>$</w:t>
            </w:r>
          </w:p>
        </w:tc>
        <w:tc>
          <w:tcPr>
            <w:tcW w:w="920" w:type="dxa"/>
            <w:vAlign w:val="bottom"/>
            <w:gridSpan w:val="2"/>
          </w:tcPr>
          <w:p>
            <w:pPr>
              <w:jc w:val="right"/>
              <w:ind w:right="220"/>
              <w:spacing w:after="0"/>
              <w:rPr>
                <w:sz w:val="20"/>
                <w:szCs w:val="20"/>
                <w:color w:val="auto"/>
              </w:rPr>
            </w:pPr>
            <w:r>
              <w:rPr>
                <w:rFonts w:ascii="Arial" w:cs="Arial" w:eastAsia="Arial" w:hAnsi="Arial"/>
                <w:sz w:val="17"/>
                <w:szCs w:val="17"/>
                <w:color w:val="auto"/>
                <w:w w:val="99"/>
              </w:rPr>
              <w:t>(95,407 )</w:t>
            </w:r>
          </w:p>
        </w:tc>
        <w:tc>
          <w:tcPr>
            <w:tcW w:w="540" w:type="dxa"/>
            <w:vAlign w:val="bottom"/>
          </w:tcPr>
          <w:p>
            <w:pPr>
              <w:jc w:val="right"/>
              <w:ind w:right="355"/>
              <w:spacing w:after="0"/>
              <w:rPr>
                <w:sz w:val="20"/>
                <w:szCs w:val="20"/>
                <w:color w:val="auto"/>
              </w:rPr>
            </w:pPr>
            <w:r>
              <w:rPr>
                <w:rFonts w:ascii="Arial" w:cs="Arial" w:eastAsia="Arial" w:hAnsi="Arial"/>
                <w:sz w:val="17"/>
                <w:szCs w:val="17"/>
                <w:color w:val="auto"/>
                <w:w w:val="84"/>
              </w:rPr>
              <w:t>$</w:t>
            </w: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(54,397 )</w:t>
            </w:r>
          </w:p>
        </w:tc>
      </w:tr>
      <w:tr>
        <w:trPr>
          <w:trHeight w:val="203"/>
        </w:trPr>
        <w:tc>
          <w:tcPr>
            <w:tcW w:w="7680" w:type="dxa"/>
            <w:vAlign w:val="bottom"/>
            <w:shd w:val="clear" w:color="auto" w:fill="CFF0FC"/>
          </w:tcPr>
          <w:p>
            <w:pPr>
              <w:ind w:left="200"/>
              <w:spacing w:after="0"/>
              <w:rPr>
                <w:sz w:val="20"/>
                <w:szCs w:val="20"/>
                <w:color w:val="auto"/>
              </w:rPr>
            </w:pPr>
            <w:r>
              <w:rPr>
                <w:rFonts w:ascii="Arial" w:cs="Arial" w:eastAsia="Arial" w:hAnsi="Arial"/>
                <w:sz w:val="17"/>
                <w:szCs w:val="17"/>
                <w:color w:val="auto"/>
              </w:rPr>
              <w:t>Adjustments to reconcile net income to net cash used in operating activities:</w:t>
            </w:r>
          </w:p>
        </w:tc>
        <w:tc>
          <w:tcPr>
            <w:tcW w:w="9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680" w:type="dxa"/>
            <w:vAlign w:val="bottom"/>
          </w:tcPr>
          <w:p>
            <w:pPr>
              <w:ind w:left="380"/>
              <w:spacing w:after="0"/>
              <w:rPr>
                <w:sz w:val="20"/>
                <w:szCs w:val="20"/>
                <w:color w:val="auto"/>
              </w:rPr>
            </w:pPr>
            <w:r>
              <w:rPr>
                <w:rFonts w:ascii="Arial" w:cs="Arial" w:eastAsia="Arial" w:hAnsi="Arial"/>
                <w:sz w:val="17"/>
                <w:szCs w:val="17"/>
                <w:color w:val="auto"/>
              </w:rPr>
              <w:t>Stock-based compensation expense</w:t>
            </w:r>
          </w:p>
        </w:tc>
        <w:tc>
          <w:tcPr>
            <w:tcW w:w="9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20,136</w:t>
            </w: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15,638</w:t>
            </w:r>
          </w:p>
        </w:tc>
        <w:tc>
          <w:tcPr>
            <w:tcW w:w="100" w:type="dxa"/>
            <w:vAlign w:val="bottom"/>
          </w:tcPr>
          <w:p>
            <w:pPr>
              <w:spacing w:after="0"/>
              <w:rPr>
                <w:sz w:val="17"/>
                <w:szCs w:val="17"/>
                <w:color w:val="auto"/>
              </w:rPr>
            </w:pPr>
          </w:p>
        </w:tc>
      </w:tr>
      <w:tr>
        <w:trPr>
          <w:trHeight w:val="203"/>
        </w:trPr>
        <w:tc>
          <w:tcPr>
            <w:tcW w:w="7680" w:type="dxa"/>
            <w:vAlign w:val="bottom"/>
            <w:shd w:val="clear" w:color="auto" w:fill="CFF0FC"/>
          </w:tcPr>
          <w:p>
            <w:pPr>
              <w:ind w:left="380"/>
              <w:spacing w:after="0"/>
              <w:rPr>
                <w:sz w:val="20"/>
                <w:szCs w:val="20"/>
                <w:color w:val="auto"/>
              </w:rPr>
            </w:pPr>
            <w:r>
              <w:rPr>
                <w:rFonts w:ascii="Arial" w:cs="Arial" w:eastAsia="Arial" w:hAnsi="Arial"/>
                <w:sz w:val="17"/>
                <w:szCs w:val="17"/>
                <w:color w:val="auto"/>
              </w:rPr>
              <w:t>Depreciation and amortization expense</w:t>
            </w:r>
          </w:p>
        </w:tc>
        <w:tc>
          <w:tcPr>
            <w:tcW w:w="9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2,318</w:t>
            </w:r>
          </w:p>
        </w:tc>
        <w:tc>
          <w:tcPr>
            <w:tcW w:w="3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2,528</w:t>
            </w:r>
          </w:p>
        </w:tc>
        <w:tc>
          <w:tcPr>
            <w:tcW w:w="100" w:type="dxa"/>
            <w:vAlign w:val="bottom"/>
            <w:shd w:val="clear" w:color="auto" w:fill="CFF0FC"/>
          </w:tcPr>
          <w:p>
            <w:pPr>
              <w:spacing w:after="0"/>
              <w:rPr>
                <w:sz w:val="17"/>
                <w:szCs w:val="17"/>
                <w:color w:val="auto"/>
              </w:rPr>
            </w:pPr>
          </w:p>
        </w:tc>
      </w:tr>
      <w:tr>
        <w:trPr>
          <w:trHeight w:val="203"/>
        </w:trPr>
        <w:tc>
          <w:tcPr>
            <w:tcW w:w="7680" w:type="dxa"/>
            <w:vAlign w:val="bottom"/>
          </w:tcPr>
          <w:p>
            <w:pPr>
              <w:ind w:left="380"/>
              <w:spacing w:after="0"/>
              <w:rPr>
                <w:sz w:val="20"/>
                <w:szCs w:val="20"/>
                <w:color w:val="auto"/>
              </w:rPr>
            </w:pPr>
            <w:r>
              <w:rPr>
                <w:rFonts w:ascii="Arial" w:cs="Arial" w:eastAsia="Arial" w:hAnsi="Arial"/>
                <w:sz w:val="17"/>
                <w:szCs w:val="17"/>
                <w:color w:val="auto"/>
              </w:rPr>
              <w:t>Premium paid on marketable securities</w:t>
            </w:r>
          </w:p>
        </w:tc>
        <w:tc>
          <w:tcPr>
            <w:tcW w:w="96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7"/>
                <w:szCs w:val="17"/>
                <w:color w:val="auto"/>
              </w:rPr>
              <w:t>(846 )</w:t>
            </w:r>
          </w:p>
        </w:tc>
        <w:tc>
          <w:tcPr>
            <w:tcW w:w="54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(3,427 )</w:t>
            </w:r>
          </w:p>
        </w:tc>
      </w:tr>
      <w:tr>
        <w:trPr>
          <w:trHeight w:val="203"/>
        </w:trPr>
        <w:tc>
          <w:tcPr>
            <w:tcW w:w="7680" w:type="dxa"/>
            <w:vAlign w:val="bottom"/>
            <w:shd w:val="clear" w:color="auto" w:fill="CFF0FC"/>
          </w:tcPr>
          <w:p>
            <w:pPr>
              <w:ind w:left="380"/>
              <w:spacing w:after="0"/>
              <w:rPr>
                <w:sz w:val="20"/>
                <w:szCs w:val="20"/>
                <w:color w:val="auto"/>
              </w:rPr>
            </w:pPr>
            <w:r>
              <w:rPr>
                <w:rFonts w:ascii="Arial" w:cs="Arial" w:eastAsia="Arial" w:hAnsi="Arial"/>
                <w:sz w:val="17"/>
                <w:szCs w:val="17"/>
                <w:color w:val="auto"/>
              </w:rPr>
              <w:t>Amortization of premium on marketable securities</w:t>
            </w:r>
          </w:p>
        </w:tc>
        <w:tc>
          <w:tcPr>
            <w:tcW w:w="9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1,118</w:t>
            </w:r>
          </w:p>
        </w:tc>
        <w:tc>
          <w:tcPr>
            <w:tcW w:w="3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1,516</w:t>
            </w:r>
          </w:p>
        </w:tc>
        <w:tc>
          <w:tcPr>
            <w:tcW w:w="100" w:type="dxa"/>
            <w:vAlign w:val="bottom"/>
            <w:shd w:val="clear" w:color="auto" w:fill="CFF0FC"/>
          </w:tcPr>
          <w:p>
            <w:pPr>
              <w:spacing w:after="0"/>
              <w:rPr>
                <w:sz w:val="17"/>
                <w:szCs w:val="17"/>
                <w:color w:val="auto"/>
              </w:rPr>
            </w:pPr>
          </w:p>
        </w:tc>
      </w:tr>
      <w:tr>
        <w:trPr>
          <w:trHeight w:val="203"/>
        </w:trPr>
        <w:tc>
          <w:tcPr>
            <w:tcW w:w="7680" w:type="dxa"/>
            <w:vAlign w:val="bottom"/>
          </w:tcPr>
          <w:p>
            <w:pPr>
              <w:ind w:left="380"/>
              <w:spacing w:after="0"/>
              <w:rPr>
                <w:sz w:val="20"/>
                <w:szCs w:val="20"/>
                <w:color w:val="auto"/>
              </w:rPr>
            </w:pPr>
            <w:r>
              <w:rPr>
                <w:rFonts w:ascii="Arial" w:cs="Arial" w:eastAsia="Arial" w:hAnsi="Arial"/>
                <w:sz w:val="17"/>
                <w:szCs w:val="17"/>
                <w:color w:val="auto"/>
              </w:rPr>
              <w:t>Change in operating assets and liabilities:</w:t>
            </w: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680" w:type="dxa"/>
            <w:vAlign w:val="bottom"/>
            <w:shd w:val="clear" w:color="auto" w:fill="CFF0FC"/>
          </w:tcPr>
          <w:p>
            <w:pPr>
              <w:ind w:left="560"/>
              <w:spacing w:after="0"/>
              <w:rPr>
                <w:sz w:val="20"/>
                <w:szCs w:val="20"/>
                <w:color w:val="auto"/>
              </w:rPr>
            </w:pPr>
            <w:r>
              <w:rPr>
                <w:rFonts w:ascii="Arial" w:cs="Arial" w:eastAsia="Arial" w:hAnsi="Arial"/>
                <w:sz w:val="17"/>
                <w:szCs w:val="17"/>
                <w:color w:val="auto"/>
              </w:rPr>
              <w:t>Accounts receivable</w:t>
            </w:r>
          </w:p>
        </w:tc>
        <w:tc>
          <w:tcPr>
            <w:tcW w:w="9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4,097</w:t>
            </w:r>
          </w:p>
        </w:tc>
        <w:tc>
          <w:tcPr>
            <w:tcW w:w="3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1,868</w:t>
            </w:r>
          </w:p>
        </w:tc>
        <w:tc>
          <w:tcPr>
            <w:tcW w:w="100" w:type="dxa"/>
            <w:vAlign w:val="bottom"/>
            <w:shd w:val="clear" w:color="auto" w:fill="CFF0FC"/>
          </w:tcPr>
          <w:p>
            <w:pPr>
              <w:spacing w:after="0"/>
              <w:rPr>
                <w:sz w:val="17"/>
                <w:szCs w:val="17"/>
                <w:color w:val="auto"/>
              </w:rPr>
            </w:pPr>
          </w:p>
        </w:tc>
      </w:tr>
      <w:tr>
        <w:trPr>
          <w:trHeight w:val="203"/>
        </w:trPr>
        <w:tc>
          <w:tcPr>
            <w:tcW w:w="7680" w:type="dxa"/>
            <w:vAlign w:val="bottom"/>
          </w:tcPr>
          <w:p>
            <w:pPr>
              <w:ind w:left="560"/>
              <w:spacing w:after="0"/>
              <w:rPr>
                <w:sz w:val="20"/>
                <w:szCs w:val="20"/>
                <w:color w:val="auto"/>
              </w:rPr>
            </w:pPr>
            <w:r>
              <w:rPr>
                <w:rFonts w:ascii="Arial" w:cs="Arial" w:eastAsia="Arial" w:hAnsi="Arial"/>
                <w:sz w:val="17"/>
                <w:szCs w:val="17"/>
                <w:color w:val="auto"/>
              </w:rPr>
              <w:t>Prepaid expenses and other current assets</w:t>
            </w:r>
          </w:p>
        </w:tc>
        <w:tc>
          <w:tcPr>
            <w:tcW w:w="9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2,648</w:t>
            </w: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1,518</w:t>
            </w:r>
          </w:p>
        </w:tc>
        <w:tc>
          <w:tcPr>
            <w:tcW w:w="100" w:type="dxa"/>
            <w:vAlign w:val="bottom"/>
          </w:tcPr>
          <w:p>
            <w:pPr>
              <w:spacing w:after="0"/>
              <w:rPr>
                <w:sz w:val="17"/>
                <w:szCs w:val="17"/>
                <w:color w:val="auto"/>
              </w:rPr>
            </w:pPr>
          </w:p>
        </w:tc>
      </w:tr>
      <w:tr>
        <w:trPr>
          <w:trHeight w:val="203"/>
        </w:trPr>
        <w:tc>
          <w:tcPr>
            <w:tcW w:w="7680" w:type="dxa"/>
            <w:vAlign w:val="bottom"/>
            <w:shd w:val="clear" w:color="auto" w:fill="CFF0FC"/>
          </w:tcPr>
          <w:p>
            <w:pPr>
              <w:ind w:left="560"/>
              <w:spacing w:after="0"/>
              <w:rPr>
                <w:sz w:val="20"/>
                <w:szCs w:val="20"/>
                <w:color w:val="auto"/>
              </w:rPr>
            </w:pPr>
            <w:r>
              <w:rPr>
                <w:rFonts w:ascii="Arial" w:cs="Arial" w:eastAsia="Arial" w:hAnsi="Arial"/>
                <w:sz w:val="17"/>
                <w:szCs w:val="17"/>
                <w:color w:val="auto"/>
              </w:rPr>
              <w:t>Income tax receivable</w:t>
            </w:r>
          </w:p>
        </w:tc>
        <w:tc>
          <w:tcPr>
            <w:tcW w:w="9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8,527</w:t>
            </w:r>
          </w:p>
        </w:tc>
        <w:tc>
          <w:tcPr>
            <w:tcW w:w="3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(17,529 )</w:t>
            </w:r>
          </w:p>
        </w:tc>
      </w:tr>
      <w:tr>
        <w:trPr>
          <w:trHeight w:val="203"/>
        </w:trPr>
        <w:tc>
          <w:tcPr>
            <w:tcW w:w="7680" w:type="dxa"/>
            <w:vAlign w:val="bottom"/>
          </w:tcPr>
          <w:p>
            <w:pPr>
              <w:ind w:left="560"/>
              <w:spacing w:after="0"/>
              <w:rPr>
                <w:sz w:val="20"/>
                <w:szCs w:val="20"/>
                <w:color w:val="auto"/>
              </w:rPr>
            </w:pPr>
            <w:r>
              <w:rPr>
                <w:rFonts w:ascii="Arial" w:cs="Arial" w:eastAsia="Arial" w:hAnsi="Arial"/>
                <w:sz w:val="17"/>
                <w:szCs w:val="17"/>
                <w:color w:val="auto"/>
              </w:rPr>
              <w:t>Operating lease, right-of-use assets</w:t>
            </w:r>
          </w:p>
        </w:tc>
        <w:tc>
          <w:tcPr>
            <w:tcW w:w="9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3,932</w:t>
            </w: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4,019</w:t>
            </w:r>
          </w:p>
        </w:tc>
        <w:tc>
          <w:tcPr>
            <w:tcW w:w="100" w:type="dxa"/>
            <w:vAlign w:val="bottom"/>
          </w:tcPr>
          <w:p>
            <w:pPr>
              <w:spacing w:after="0"/>
              <w:rPr>
                <w:sz w:val="17"/>
                <w:szCs w:val="17"/>
                <w:color w:val="auto"/>
              </w:rPr>
            </w:pPr>
          </w:p>
        </w:tc>
      </w:tr>
      <w:tr>
        <w:trPr>
          <w:trHeight w:val="203"/>
        </w:trPr>
        <w:tc>
          <w:tcPr>
            <w:tcW w:w="7680" w:type="dxa"/>
            <w:vAlign w:val="bottom"/>
            <w:shd w:val="clear" w:color="auto" w:fill="CFF0FC"/>
          </w:tcPr>
          <w:p>
            <w:pPr>
              <w:ind w:left="560"/>
              <w:spacing w:after="0"/>
              <w:rPr>
                <w:sz w:val="20"/>
                <w:szCs w:val="20"/>
                <w:color w:val="auto"/>
              </w:rPr>
            </w:pPr>
            <w:r>
              <w:rPr>
                <w:rFonts w:ascii="Arial" w:cs="Arial" w:eastAsia="Arial" w:hAnsi="Arial"/>
                <w:sz w:val="17"/>
                <w:szCs w:val="17"/>
                <w:color w:val="auto"/>
              </w:rPr>
              <w:t>Accounts payable</w:t>
            </w:r>
          </w:p>
        </w:tc>
        <w:tc>
          <w:tcPr>
            <w:tcW w:w="96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(8,555 )</w:t>
            </w:r>
          </w:p>
        </w:tc>
        <w:tc>
          <w:tcPr>
            <w:tcW w:w="5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195</w:t>
            </w:r>
          </w:p>
        </w:tc>
        <w:tc>
          <w:tcPr>
            <w:tcW w:w="100" w:type="dxa"/>
            <w:vAlign w:val="bottom"/>
            <w:shd w:val="clear" w:color="auto" w:fill="CFF0FC"/>
          </w:tcPr>
          <w:p>
            <w:pPr>
              <w:spacing w:after="0"/>
              <w:rPr>
                <w:sz w:val="17"/>
                <w:szCs w:val="17"/>
                <w:color w:val="auto"/>
              </w:rPr>
            </w:pPr>
          </w:p>
        </w:tc>
      </w:tr>
      <w:tr>
        <w:trPr>
          <w:trHeight w:val="203"/>
        </w:trPr>
        <w:tc>
          <w:tcPr>
            <w:tcW w:w="7680" w:type="dxa"/>
            <w:vAlign w:val="bottom"/>
          </w:tcPr>
          <w:p>
            <w:pPr>
              <w:ind w:left="560"/>
              <w:spacing w:after="0"/>
              <w:rPr>
                <w:sz w:val="20"/>
                <w:szCs w:val="20"/>
                <w:color w:val="auto"/>
              </w:rPr>
            </w:pPr>
            <w:r>
              <w:rPr>
                <w:rFonts w:ascii="Arial" w:cs="Arial" w:eastAsia="Arial" w:hAnsi="Arial"/>
                <w:sz w:val="17"/>
                <w:szCs w:val="17"/>
                <w:color w:val="auto"/>
              </w:rPr>
              <w:t>Accrued expenses</w:t>
            </w:r>
          </w:p>
        </w:tc>
        <w:tc>
          <w:tcPr>
            <w:tcW w:w="96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7"/>
                <w:szCs w:val="17"/>
                <w:color w:val="auto"/>
              </w:rPr>
              <w:t>(3,253 )</w:t>
            </w:r>
          </w:p>
        </w:tc>
        <w:tc>
          <w:tcPr>
            <w:tcW w:w="5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3,671</w:t>
            </w:r>
          </w:p>
        </w:tc>
        <w:tc>
          <w:tcPr>
            <w:tcW w:w="100" w:type="dxa"/>
            <w:vAlign w:val="bottom"/>
          </w:tcPr>
          <w:p>
            <w:pPr>
              <w:spacing w:after="0"/>
              <w:rPr>
                <w:sz w:val="17"/>
                <w:szCs w:val="17"/>
                <w:color w:val="auto"/>
              </w:rPr>
            </w:pPr>
          </w:p>
        </w:tc>
      </w:tr>
      <w:tr>
        <w:trPr>
          <w:trHeight w:val="203"/>
        </w:trPr>
        <w:tc>
          <w:tcPr>
            <w:tcW w:w="7680" w:type="dxa"/>
            <w:vAlign w:val="bottom"/>
            <w:shd w:val="clear" w:color="auto" w:fill="CFF0FC"/>
          </w:tcPr>
          <w:p>
            <w:pPr>
              <w:ind w:left="560"/>
              <w:spacing w:after="0"/>
              <w:rPr>
                <w:sz w:val="20"/>
                <w:szCs w:val="20"/>
                <w:color w:val="auto"/>
              </w:rPr>
            </w:pPr>
            <w:r>
              <w:rPr>
                <w:rFonts w:ascii="Arial" w:cs="Arial" w:eastAsia="Arial" w:hAnsi="Arial"/>
                <w:sz w:val="17"/>
                <w:szCs w:val="17"/>
                <w:color w:val="auto"/>
              </w:rPr>
              <w:t>Operating lease liabilities</w:t>
            </w:r>
          </w:p>
        </w:tc>
        <w:tc>
          <w:tcPr>
            <w:tcW w:w="96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(3,235 )</w:t>
            </w:r>
          </w:p>
        </w:tc>
        <w:tc>
          <w:tcPr>
            <w:tcW w:w="54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(4,343 )</w:t>
            </w:r>
          </w:p>
        </w:tc>
      </w:tr>
      <w:tr>
        <w:trPr>
          <w:trHeight w:val="203"/>
        </w:trPr>
        <w:tc>
          <w:tcPr>
            <w:tcW w:w="7680" w:type="dxa"/>
            <w:vAlign w:val="bottom"/>
          </w:tcPr>
          <w:p>
            <w:pPr>
              <w:ind w:left="560"/>
              <w:spacing w:after="0"/>
              <w:rPr>
                <w:sz w:val="20"/>
                <w:szCs w:val="20"/>
                <w:color w:val="auto"/>
              </w:rPr>
            </w:pPr>
            <w:r>
              <w:rPr>
                <w:rFonts w:ascii="Arial" w:cs="Arial" w:eastAsia="Arial" w:hAnsi="Arial"/>
                <w:sz w:val="17"/>
                <w:szCs w:val="17"/>
                <w:color w:val="auto"/>
              </w:rPr>
              <w:t>Other long-term assets</w:t>
            </w:r>
          </w:p>
        </w:tc>
        <w:tc>
          <w:tcPr>
            <w:tcW w:w="96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7"/>
                <w:szCs w:val="17"/>
                <w:color w:val="auto"/>
              </w:rPr>
              <w:t>(611 )</w:t>
            </w:r>
          </w:p>
        </w:tc>
        <w:tc>
          <w:tcPr>
            <w:tcW w:w="54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r>
      <w:tr>
        <w:trPr>
          <w:trHeight w:val="203"/>
        </w:trPr>
        <w:tc>
          <w:tcPr>
            <w:tcW w:w="7680" w:type="dxa"/>
            <w:vAlign w:val="bottom"/>
            <w:shd w:val="clear" w:color="auto" w:fill="CFF0FC"/>
          </w:tcPr>
          <w:p>
            <w:pPr>
              <w:ind w:left="560"/>
              <w:spacing w:after="0"/>
              <w:rPr>
                <w:sz w:val="20"/>
                <w:szCs w:val="20"/>
                <w:color w:val="auto"/>
              </w:rPr>
            </w:pPr>
            <w:r>
              <w:rPr>
                <w:rFonts w:ascii="Arial" w:cs="Arial" w:eastAsia="Arial" w:hAnsi="Arial"/>
                <w:sz w:val="17"/>
                <w:szCs w:val="17"/>
                <w:color w:val="auto"/>
              </w:rPr>
              <w:t>Other long-term liabilities</w:t>
            </w:r>
          </w:p>
        </w:tc>
        <w:tc>
          <w:tcPr>
            <w:tcW w:w="96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(117 )</w:t>
            </w:r>
          </w:p>
        </w:tc>
        <w:tc>
          <w:tcPr>
            <w:tcW w:w="54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(232 )</w:t>
            </w:r>
          </w:p>
        </w:tc>
      </w:tr>
      <w:tr>
        <w:trPr>
          <w:trHeight w:val="20"/>
        </w:trPr>
        <w:tc>
          <w:tcPr>
            <w:tcW w:w="768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7680" w:type="dxa"/>
            <w:vAlign w:val="bottom"/>
          </w:tcPr>
          <w:p>
            <w:pPr>
              <w:ind w:left="20"/>
              <w:spacing w:after="0"/>
              <w:rPr>
                <w:sz w:val="20"/>
                <w:szCs w:val="20"/>
                <w:color w:val="auto"/>
              </w:rPr>
            </w:pPr>
            <w:r>
              <w:rPr>
                <w:rFonts w:ascii="Arial" w:cs="Arial" w:eastAsia="Arial" w:hAnsi="Arial"/>
                <w:sz w:val="17"/>
                <w:szCs w:val="17"/>
                <w:color w:val="auto"/>
              </w:rPr>
              <w:t>Net cash used in operating activities</w:t>
            </w:r>
          </w:p>
        </w:tc>
        <w:tc>
          <w:tcPr>
            <w:tcW w:w="96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7"/>
                <w:szCs w:val="17"/>
                <w:color w:val="auto"/>
                <w:w w:val="99"/>
              </w:rPr>
              <w:t>(69,248 )</w:t>
            </w:r>
          </w:p>
        </w:tc>
        <w:tc>
          <w:tcPr>
            <w:tcW w:w="54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(48,975 )</w:t>
            </w:r>
          </w:p>
        </w:tc>
      </w:tr>
      <w:tr>
        <w:trPr>
          <w:trHeight w:val="203"/>
        </w:trPr>
        <w:tc>
          <w:tcPr>
            <w:tcW w:w="7680" w:type="dxa"/>
            <w:vAlign w:val="bottom"/>
            <w:shd w:val="clear" w:color="auto" w:fill="CFF0FC"/>
          </w:tcPr>
          <w:p>
            <w:pPr>
              <w:ind w:left="20"/>
              <w:spacing w:after="0"/>
              <w:rPr>
                <w:sz w:val="20"/>
                <w:szCs w:val="20"/>
                <w:color w:val="auto"/>
              </w:rPr>
            </w:pPr>
            <w:r>
              <w:rPr>
                <w:rFonts w:ascii="Arial" w:cs="Arial" w:eastAsia="Arial" w:hAnsi="Arial"/>
                <w:sz w:val="17"/>
                <w:szCs w:val="17"/>
                <w:b w:val="1"/>
                <w:bCs w:val="1"/>
                <w:color w:val="auto"/>
              </w:rPr>
              <w:t>Cash flows from investing activities</w:t>
            </w:r>
          </w:p>
        </w:tc>
        <w:tc>
          <w:tcPr>
            <w:tcW w:w="9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680" w:type="dxa"/>
            <w:vAlign w:val="bottom"/>
          </w:tcPr>
          <w:p>
            <w:pPr>
              <w:ind w:left="200"/>
              <w:spacing w:after="0"/>
              <w:rPr>
                <w:sz w:val="20"/>
                <w:szCs w:val="20"/>
                <w:color w:val="auto"/>
              </w:rPr>
            </w:pPr>
            <w:r>
              <w:rPr>
                <w:rFonts w:ascii="Arial" w:cs="Arial" w:eastAsia="Arial" w:hAnsi="Arial"/>
                <w:sz w:val="17"/>
                <w:szCs w:val="17"/>
                <w:color w:val="auto"/>
              </w:rPr>
              <w:t>Purchase of marketable securities</w:t>
            </w:r>
          </w:p>
        </w:tc>
        <w:tc>
          <w:tcPr>
            <w:tcW w:w="96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7"/>
                <w:szCs w:val="17"/>
                <w:color w:val="auto"/>
                <w:w w:val="87"/>
              </w:rPr>
              <w:t>(162,714 )</w:t>
            </w:r>
          </w:p>
        </w:tc>
        <w:tc>
          <w:tcPr>
            <w:tcW w:w="54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(307,949 )</w:t>
            </w:r>
          </w:p>
        </w:tc>
      </w:tr>
      <w:tr>
        <w:trPr>
          <w:trHeight w:val="203"/>
        </w:trPr>
        <w:tc>
          <w:tcPr>
            <w:tcW w:w="7680" w:type="dxa"/>
            <w:vAlign w:val="bottom"/>
            <w:shd w:val="clear" w:color="auto" w:fill="CFF0FC"/>
          </w:tcPr>
          <w:p>
            <w:pPr>
              <w:ind w:left="200"/>
              <w:spacing w:after="0"/>
              <w:rPr>
                <w:sz w:val="20"/>
                <w:szCs w:val="20"/>
                <w:color w:val="auto"/>
              </w:rPr>
            </w:pPr>
            <w:r>
              <w:rPr>
                <w:rFonts w:ascii="Arial" w:cs="Arial" w:eastAsia="Arial" w:hAnsi="Arial"/>
                <w:sz w:val="17"/>
                <w:szCs w:val="17"/>
                <w:color w:val="auto"/>
              </w:rPr>
              <w:t>Proceeds from maturities and sale of marketable securities</w:t>
            </w:r>
          </w:p>
        </w:tc>
        <w:tc>
          <w:tcPr>
            <w:tcW w:w="9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7"/>
              </w:rPr>
              <w:t>190,068</w:t>
            </w:r>
          </w:p>
        </w:tc>
        <w:tc>
          <w:tcPr>
            <w:tcW w:w="3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272,974</w:t>
            </w:r>
          </w:p>
        </w:tc>
        <w:tc>
          <w:tcPr>
            <w:tcW w:w="100" w:type="dxa"/>
            <w:vAlign w:val="bottom"/>
            <w:shd w:val="clear" w:color="auto" w:fill="CFF0FC"/>
          </w:tcPr>
          <w:p>
            <w:pPr>
              <w:spacing w:after="0"/>
              <w:rPr>
                <w:sz w:val="17"/>
                <w:szCs w:val="17"/>
                <w:color w:val="auto"/>
              </w:rPr>
            </w:pPr>
          </w:p>
        </w:tc>
      </w:tr>
      <w:tr>
        <w:trPr>
          <w:trHeight w:val="203"/>
        </w:trPr>
        <w:tc>
          <w:tcPr>
            <w:tcW w:w="7680" w:type="dxa"/>
            <w:vAlign w:val="bottom"/>
          </w:tcPr>
          <w:p>
            <w:pPr>
              <w:ind w:left="200"/>
              <w:spacing w:after="0"/>
              <w:rPr>
                <w:sz w:val="20"/>
                <w:szCs w:val="20"/>
                <w:color w:val="auto"/>
              </w:rPr>
            </w:pPr>
            <w:r>
              <w:rPr>
                <w:rFonts w:ascii="Arial" w:cs="Arial" w:eastAsia="Arial" w:hAnsi="Arial"/>
                <w:sz w:val="17"/>
                <w:szCs w:val="17"/>
                <w:color w:val="auto"/>
              </w:rPr>
              <w:t>Purchase of property and equipment</w:t>
            </w:r>
          </w:p>
        </w:tc>
        <w:tc>
          <w:tcPr>
            <w:tcW w:w="96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7"/>
                <w:szCs w:val="17"/>
                <w:color w:val="auto"/>
              </w:rPr>
              <w:t>(688 )</w:t>
            </w:r>
          </w:p>
        </w:tc>
        <w:tc>
          <w:tcPr>
            <w:tcW w:w="54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(717 )</w:t>
            </w:r>
          </w:p>
        </w:tc>
      </w:tr>
      <w:tr>
        <w:trPr>
          <w:trHeight w:val="196"/>
        </w:trPr>
        <w:tc>
          <w:tcPr>
            <w:tcW w:w="7680" w:type="dxa"/>
            <w:vAlign w:val="bottom"/>
            <w:shd w:val="clear" w:color="auto" w:fill="CFF0FC"/>
          </w:tcPr>
          <w:p>
            <w:pPr>
              <w:ind w:left="20"/>
              <w:spacing w:after="0"/>
              <w:rPr>
                <w:sz w:val="20"/>
                <w:szCs w:val="20"/>
                <w:color w:val="auto"/>
              </w:rPr>
            </w:pPr>
            <w:r>
              <w:rPr>
                <w:rFonts w:ascii="Arial" w:cs="Arial" w:eastAsia="Arial" w:hAnsi="Arial"/>
                <w:sz w:val="17"/>
                <w:szCs w:val="17"/>
                <w:color w:val="auto"/>
              </w:rPr>
              <w:t>Net cash provided by (used in) investing activities</w:t>
            </w:r>
          </w:p>
        </w:tc>
        <w:tc>
          <w:tcPr>
            <w:tcW w:w="96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26,666</w:t>
            </w:r>
          </w:p>
        </w:tc>
        <w:tc>
          <w:tcPr>
            <w:tcW w:w="300" w:type="dxa"/>
            <w:vAlign w:val="bottom"/>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(35,692</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03"/>
        </w:trPr>
        <w:tc>
          <w:tcPr>
            <w:tcW w:w="7680" w:type="dxa"/>
            <w:vAlign w:val="bottom"/>
          </w:tcPr>
          <w:p>
            <w:pPr>
              <w:ind w:left="20"/>
              <w:spacing w:after="0"/>
              <w:rPr>
                <w:sz w:val="20"/>
                <w:szCs w:val="20"/>
                <w:color w:val="auto"/>
              </w:rPr>
            </w:pPr>
            <w:r>
              <w:rPr>
                <w:rFonts w:ascii="Arial" w:cs="Arial" w:eastAsia="Arial" w:hAnsi="Arial"/>
                <w:sz w:val="17"/>
                <w:szCs w:val="17"/>
                <w:b w:val="1"/>
                <w:bCs w:val="1"/>
                <w:color w:val="auto"/>
              </w:rPr>
              <w:t>Cash flows from financing activities</w:t>
            </w: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680" w:type="dxa"/>
            <w:vAlign w:val="bottom"/>
            <w:shd w:val="clear" w:color="auto" w:fill="CFF0FC"/>
          </w:tcPr>
          <w:p>
            <w:pPr>
              <w:ind w:left="200"/>
              <w:spacing w:after="0"/>
              <w:rPr>
                <w:sz w:val="20"/>
                <w:szCs w:val="20"/>
                <w:color w:val="auto"/>
              </w:rPr>
            </w:pPr>
            <w:r>
              <w:rPr>
                <w:rFonts w:ascii="Arial" w:cs="Arial" w:eastAsia="Arial" w:hAnsi="Arial"/>
                <w:sz w:val="17"/>
                <w:szCs w:val="17"/>
                <w:color w:val="auto"/>
              </w:rPr>
              <w:t>Proceeds from exercise of stock options</w:t>
            </w:r>
          </w:p>
        </w:tc>
        <w:tc>
          <w:tcPr>
            <w:tcW w:w="9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18,331</w:t>
            </w:r>
          </w:p>
        </w:tc>
        <w:tc>
          <w:tcPr>
            <w:tcW w:w="3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2,671</w:t>
            </w:r>
          </w:p>
        </w:tc>
        <w:tc>
          <w:tcPr>
            <w:tcW w:w="100" w:type="dxa"/>
            <w:vAlign w:val="bottom"/>
            <w:shd w:val="clear" w:color="auto" w:fill="CFF0FC"/>
          </w:tcPr>
          <w:p>
            <w:pPr>
              <w:spacing w:after="0"/>
              <w:rPr>
                <w:sz w:val="17"/>
                <w:szCs w:val="17"/>
                <w:color w:val="auto"/>
              </w:rPr>
            </w:pPr>
          </w:p>
        </w:tc>
      </w:tr>
      <w:tr>
        <w:trPr>
          <w:trHeight w:val="203"/>
        </w:trPr>
        <w:tc>
          <w:tcPr>
            <w:tcW w:w="7680" w:type="dxa"/>
            <w:vAlign w:val="bottom"/>
          </w:tcPr>
          <w:p>
            <w:pPr>
              <w:ind w:left="200"/>
              <w:spacing w:after="0"/>
              <w:rPr>
                <w:sz w:val="20"/>
                <w:szCs w:val="20"/>
                <w:color w:val="auto"/>
              </w:rPr>
            </w:pPr>
            <w:r>
              <w:rPr>
                <w:rFonts w:ascii="Arial" w:cs="Arial" w:eastAsia="Arial" w:hAnsi="Arial"/>
                <w:sz w:val="17"/>
                <w:szCs w:val="17"/>
                <w:color w:val="auto"/>
              </w:rPr>
              <w:t>Payments for settlement of share-based awards</w:t>
            </w:r>
          </w:p>
        </w:tc>
        <w:tc>
          <w:tcPr>
            <w:tcW w:w="96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7"/>
                <w:szCs w:val="17"/>
                <w:color w:val="auto"/>
              </w:rPr>
              <w:t>(1,228 )</w:t>
            </w:r>
          </w:p>
        </w:tc>
        <w:tc>
          <w:tcPr>
            <w:tcW w:w="54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(534 )</w:t>
            </w:r>
          </w:p>
        </w:tc>
      </w:tr>
      <w:tr>
        <w:trPr>
          <w:trHeight w:val="196"/>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Net cash provided by financing activities</w:t>
            </w:r>
          </w:p>
        </w:tc>
        <w:tc>
          <w:tcPr>
            <w:tcW w:w="960" w:type="dxa"/>
            <w:vAlign w:val="bottom"/>
            <w:tcBorders>
              <w:top w:val="single" w:sz="8" w:color="auto"/>
              <w:bottom w:val="single" w:sz="8" w:color="auto"/>
            </w:tcBorders>
            <w:shd w:val="clear" w:color="auto" w:fill="CFF0FC"/>
          </w:tcPr>
          <w:p>
            <w:pPr>
              <w:spacing w:after="0"/>
              <w:rPr>
                <w:sz w:val="17"/>
                <w:szCs w:val="17"/>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17,103</w:t>
            </w:r>
          </w:p>
        </w:tc>
        <w:tc>
          <w:tcPr>
            <w:tcW w:w="300" w:type="dxa"/>
            <w:vAlign w:val="bottom"/>
            <w:tcBorders>
              <w:bottom w:val="single" w:sz="8" w:color="CFF0FC"/>
            </w:tcBorders>
            <w:shd w:val="clear" w:color="auto" w:fill="CFF0FC"/>
          </w:tcPr>
          <w:p>
            <w:pPr>
              <w:spacing w:after="0"/>
              <w:rPr>
                <w:sz w:val="17"/>
                <w:szCs w:val="17"/>
                <w:color w:val="auto"/>
              </w:rPr>
            </w:pPr>
          </w:p>
        </w:tc>
        <w:tc>
          <w:tcPr>
            <w:tcW w:w="540" w:type="dxa"/>
            <w:vAlign w:val="bottom"/>
            <w:tcBorders>
              <w:top w:val="single" w:sz="8" w:color="auto"/>
              <w:bottom w:val="single" w:sz="8" w:color="auto"/>
            </w:tcBorders>
            <w:shd w:val="clear" w:color="auto" w:fill="CFF0FC"/>
          </w:tcPr>
          <w:p>
            <w:pPr>
              <w:spacing w:after="0"/>
              <w:rPr>
                <w:sz w:val="17"/>
                <w:szCs w:val="17"/>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2,137</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680" w:type="dxa"/>
            <w:vAlign w:val="bottom"/>
          </w:tcPr>
          <w:p>
            <w:pPr>
              <w:ind w:left="20"/>
              <w:spacing w:after="0"/>
              <w:rPr>
                <w:sz w:val="20"/>
                <w:szCs w:val="20"/>
                <w:color w:val="auto"/>
              </w:rPr>
            </w:pPr>
            <w:r>
              <w:rPr>
                <w:rFonts w:ascii="Arial" w:cs="Arial" w:eastAsia="Arial" w:hAnsi="Arial"/>
                <w:sz w:val="17"/>
                <w:szCs w:val="17"/>
                <w:b w:val="1"/>
                <w:bCs w:val="1"/>
                <w:color w:val="auto"/>
              </w:rPr>
              <w:t>Net decrease in cash, cash equivalents and restricted cash</w:t>
            </w:r>
          </w:p>
        </w:tc>
        <w:tc>
          <w:tcPr>
            <w:tcW w:w="96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7"/>
                <w:szCs w:val="17"/>
                <w:color w:val="auto"/>
                <w:w w:val="99"/>
              </w:rPr>
              <w:t>(25,479 )</w:t>
            </w:r>
          </w:p>
        </w:tc>
        <w:tc>
          <w:tcPr>
            <w:tcW w:w="54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(82,530 )</w:t>
            </w:r>
          </w:p>
        </w:tc>
      </w:tr>
      <w:tr>
        <w:trPr>
          <w:trHeight w:val="203"/>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Cash, cash equivalents and restricted cash at beginning of period</w:t>
            </w:r>
          </w:p>
        </w:tc>
        <w:tc>
          <w:tcPr>
            <w:tcW w:w="96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57,814</w:t>
            </w:r>
          </w:p>
        </w:tc>
        <w:tc>
          <w:tcPr>
            <w:tcW w:w="300" w:type="dxa"/>
            <w:vAlign w:val="bottom"/>
            <w:tcBorders>
              <w:bottom w:val="single" w:sz="8" w:color="CFF0FC"/>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87,739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680" w:type="dxa"/>
            <w:vAlign w:val="bottom"/>
          </w:tcPr>
          <w:p>
            <w:pPr>
              <w:ind w:left="20"/>
              <w:spacing w:after="0"/>
              <w:rPr>
                <w:sz w:val="20"/>
                <w:szCs w:val="20"/>
                <w:color w:val="auto"/>
              </w:rPr>
            </w:pPr>
            <w:r>
              <w:rPr>
                <w:rFonts w:ascii="Arial" w:cs="Arial" w:eastAsia="Arial" w:hAnsi="Arial"/>
                <w:sz w:val="17"/>
                <w:szCs w:val="17"/>
                <w:color w:val="auto"/>
              </w:rPr>
              <w:t>Cash, cash equivalents and restricted cash at end of period</w:t>
            </w:r>
          </w:p>
        </w:tc>
        <w:tc>
          <w:tcPr>
            <w:tcW w:w="960" w:type="dxa"/>
            <w:vAlign w:val="bottom"/>
            <w:tcBorders>
              <w:bottom w:val="single" w:sz="8" w:color="auto"/>
            </w:tcBorders>
          </w:tcPr>
          <w:p>
            <w:pPr>
              <w:jc w:val="right"/>
              <w:ind w:right="777"/>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32,335</w:t>
            </w:r>
          </w:p>
        </w:tc>
        <w:tc>
          <w:tcPr>
            <w:tcW w:w="300" w:type="dxa"/>
            <w:vAlign w:val="bottom"/>
          </w:tcPr>
          <w:p>
            <w:pPr>
              <w:spacing w:after="0"/>
              <w:rPr>
                <w:sz w:val="17"/>
                <w:szCs w:val="17"/>
                <w:color w:val="auto"/>
              </w:rPr>
            </w:pPr>
          </w:p>
        </w:tc>
        <w:tc>
          <w:tcPr>
            <w:tcW w:w="54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5,209</w:t>
            </w:r>
          </w:p>
        </w:tc>
        <w:tc>
          <w:tcPr>
            <w:tcW w:w="100" w:type="dxa"/>
            <w:vAlign w:val="bottom"/>
          </w:tcPr>
          <w:p>
            <w:pPr>
              <w:spacing w:after="0"/>
              <w:rPr>
                <w:sz w:val="17"/>
                <w:szCs w:val="17"/>
                <w:color w:val="auto"/>
              </w:rPr>
            </w:pPr>
          </w:p>
        </w:tc>
      </w:tr>
      <w:tr>
        <w:trPr>
          <w:trHeight w:val="20"/>
        </w:trPr>
        <w:tc>
          <w:tcPr>
            <w:tcW w:w="76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680" w:type="dxa"/>
            <w:vAlign w:val="bottom"/>
            <w:shd w:val="clear" w:color="auto" w:fill="CFF0FC"/>
          </w:tcPr>
          <w:p>
            <w:pPr>
              <w:ind w:left="20"/>
              <w:spacing w:after="0" w:line="183" w:lineRule="exact"/>
              <w:rPr>
                <w:sz w:val="20"/>
                <w:szCs w:val="20"/>
                <w:color w:val="auto"/>
              </w:rPr>
            </w:pPr>
            <w:r>
              <w:rPr>
                <w:rFonts w:ascii="Arial" w:cs="Arial" w:eastAsia="Arial" w:hAnsi="Arial"/>
                <w:sz w:val="17"/>
                <w:szCs w:val="17"/>
                <w:b w:val="1"/>
                <w:bCs w:val="1"/>
                <w:color w:val="auto"/>
              </w:rPr>
              <w:t>Supplemental disclosure of non-cash information:</w:t>
            </w:r>
          </w:p>
        </w:tc>
        <w:tc>
          <w:tcPr>
            <w:tcW w:w="9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7680" w:type="dxa"/>
            <w:vAlign w:val="bottom"/>
          </w:tcPr>
          <w:p>
            <w:pPr>
              <w:ind w:left="200"/>
              <w:spacing w:after="0"/>
              <w:rPr>
                <w:sz w:val="20"/>
                <w:szCs w:val="20"/>
                <w:color w:val="auto"/>
              </w:rPr>
            </w:pPr>
            <w:r>
              <w:rPr>
                <w:rFonts w:ascii="Arial" w:cs="Arial" w:eastAsia="Arial" w:hAnsi="Arial"/>
                <w:sz w:val="17"/>
                <w:szCs w:val="17"/>
                <w:color w:val="auto"/>
              </w:rPr>
              <w:t>Purchases of fixed assets included in accounts payable and accrued expenses</w:t>
            </w:r>
          </w:p>
        </w:tc>
        <w:tc>
          <w:tcPr>
            <w:tcW w:w="960" w:type="dxa"/>
            <w:vAlign w:val="bottom"/>
          </w:tcPr>
          <w:p>
            <w:pPr>
              <w:jc w:val="right"/>
              <w:ind w:right="777"/>
              <w:spacing w:after="0"/>
              <w:rPr>
                <w:sz w:val="20"/>
                <w:szCs w:val="20"/>
                <w:color w:val="auto"/>
              </w:rPr>
            </w:pPr>
            <w:r>
              <w:rPr>
                <w:rFonts w:ascii="Arial" w:cs="Arial" w:eastAsia="Arial" w:hAnsi="Arial"/>
                <w:sz w:val="17"/>
                <w:szCs w:val="17"/>
                <w:color w:val="auto"/>
                <w:w w:val="84"/>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412</w:t>
            </w:r>
          </w:p>
        </w:tc>
        <w:tc>
          <w:tcPr>
            <w:tcW w:w="300" w:type="dxa"/>
            <w:vAlign w:val="bottom"/>
          </w:tcPr>
          <w:p>
            <w:pPr>
              <w:spacing w:after="0"/>
              <w:rPr>
                <w:sz w:val="17"/>
                <w:szCs w:val="17"/>
                <w:color w:val="auto"/>
              </w:rPr>
            </w:pPr>
          </w:p>
        </w:tc>
        <w:tc>
          <w:tcPr>
            <w:tcW w:w="540" w:type="dxa"/>
            <w:vAlign w:val="bottom"/>
          </w:tcPr>
          <w:p>
            <w:pPr>
              <w:jc w:val="right"/>
              <w:ind w:right="355"/>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17"/>
                <w:szCs w:val="17"/>
                <w:color w:val="auto"/>
              </w:rPr>
            </w:pPr>
          </w:p>
        </w:tc>
      </w:tr>
      <w:tr>
        <w:trPr>
          <w:trHeight w:val="203"/>
        </w:trPr>
        <w:tc>
          <w:tcPr>
            <w:tcW w:w="7680" w:type="dxa"/>
            <w:vAlign w:val="bottom"/>
            <w:shd w:val="clear" w:color="auto" w:fill="CFF0FC"/>
          </w:tcPr>
          <w:p>
            <w:pPr>
              <w:ind w:left="200"/>
              <w:spacing w:after="0"/>
              <w:rPr>
                <w:sz w:val="20"/>
                <w:szCs w:val="20"/>
                <w:color w:val="auto"/>
              </w:rPr>
            </w:pPr>
            <w:r>
              <w:rPr>
                <w:rFonts w:ascii="Arial" w:cs="Arial" w:eastAsia="Arial" w:hAnsi="Arial"/>
                <w:sz w:val="17"/>
                <w:szCs w:val="17"/>
                <w:color w:val="auto"/>
              </w:rPr>
              <w:t>Operating lease liabilities arising from obtaining right-of-use assets</w:t>
            </w:r>
          </w:p>
        </w:tc>
        <w:tc>
          <w:tcPr>
            <w:tcW w:w="960" w:type="dxa"/>
            <w:vAlign w:val="bottom"/>
            <w:shd w:val="clear" w:color="auto" w:fill="CFF0FC"/>
          </w:tcPr>
          <w:p>
            <w:pPr>
              <w:jc w:val="right"/>
              <w:ind w:right="777"/>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22,984</w:t>
            </w:r>
          </w:p>
        </w:tc>
        <w:tc>
          <w:tcPr>
            <w:tcW w:w="300" w:type="dxa"/>
            <w:vAlign w:val="bottom"/>
            <w:shd w:val="clear" w:color="auto" w:fill="CFF0FC"/>
          </w:tcPr>
          <w:p>
            <w:pPr>
              <w:spacing w:after="0"/>
              <w:rPr>
                <w:sz w:val="17"/>
                <w:szCs w:val="17"/>
                <w:color w:val="auto"/>
              </w:rPr>
            </w:pPr>
          </w:p>
        </w:tc>
        <w:tc>
          <w:tcPr>
            <w:tcW w:w="540" w:type="dxa"/>
            <w:vAlign w:val="bottom"/>
            <w:shd w:val="clear" w:color="auto" w:fill="CFF0FC"/>
          </w:tcPr>
          <w:p>
            <w:pPr>
              <w:jc w:val="right"/>
              <w:ind w:right="355"/>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3,057</w:t>
            </w:r>
          </w:p>
        </w:tc>
        <w:tc>
          <w:tcPr>
            <w:tcW w:w="10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-2122170</wp:posOffset>
            </wp:positionV>
            <wp:extent cx="68580" cy="57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-2122170</wp:posOffset>
            </wp:positionV>
            <wp:extent cx="68580" cy="57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-810895</wp:posOffset>
            </wp:positionV>
            <wp:extent cx="68580" cy="5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-810895</wp:posOffset>
            </wp:positionV>
            <wp:extent cx="68580" cy="57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-544830</wp:posOffset>
            </wp:positionV>
            <wp:extent cx="68580" cy="5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-544830</wp:posOffset>
            </wp:positionV>
            <wp:extent cx="68580" cy="57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ENANTA PHARMACEUTICALS, INC.</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19"/>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192" w:lineRule="exact"/>
        <w:rPr>
          <w:sz w:val="20"/>
          <w:szCs w:val="20"/>
          <w:color w:val="auto"/>
        </w:rPr>
      </w:pPr>
    </w:p>
    <w:p>
      <w:pPr>
        <w:ind w:left="360" w:hanging="352"/>
        <w:spacing w:after="0"/>
        <w:tabs>
          <w:tab w:leader="none" w:pos="3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the Business and Basis of Presentation</w:t>
      </w:r>
    </w:p>
    <w:p>
      <w:pPr>
        <w:spacing w:after="0" w:line="94"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Enanta Pharmaceuticals, Inc. (the “Company”), incorporated in Delaware in 1995, is a biotechnology company that uses its robust, chemistry-driven approach and drug discovery capabilities to become a leader in the discovery and development of small molecule drugs for the treatment of viral infections and liver diseases. The Company discovered glecaprevir, the second of two protease inhibitors discovered and developed through its collaboration with AbbVie for the treatment of chronic hepatitis C virus, or HCV. Glecaprevir is co-formulated as part of AbbVie’s leading direct-acting antiviral, or DAA, combination treatment for HCV, which is marketed under the tradenames MAVYRET® (U.S.) and MAVIRET®(ex-U.S.) (glecaprevir/pibrentasvir). Royalties from the Company’s AbbVie collaboration and its existing financial resources provide funding to support the Company’s wholly-owned research and development programs, which are primarily focused on the following disease targets: respiratory syncytial virus (“RSV”), SARS-CoV-2, hepatitis B virus (“HBV”) and human metapneumovirus (“hMPV”).</w:t>
      </w:r>
    </w:p>
    <w:p>
      <w:pPr>
        <w:spacing w:after="0" w:line="69"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The Company is subject to many of the risks common to companies in the biotechnology industry, including but not limited to, the uncertainties of research and development, competition from technological innovations of others, dependence on collaborative arrangements, protection of proprietary technology, dependence on key personnel and compliance with government regulation. Product candidates currently under development will require significant additional research and development efforts, including extensive preclinical and clinical testing and regulatory approvals, prior to commercialization. These efforts require significant amounts of capital, adequate personnel and infrastructure, and extensive compliance reporting capabilities.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94"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In March 2020, the World Health Organization declared COVID-19 a global pandemic and countries worldwide implemented various measures to contain the spread of the SARS-CoV-2 virus. National, state and local governments in affected regions have implemented and may continue to implement varying safety precautions, including quarantines, border closures, increased border controls, travel restrictions, shelter-in-place orders and shutdowns, business closures, cancellations of public gatherings and other measures. The extent and severity of the impact on the Company’s business and clinical trials will be determined largely by the extent to which there are disruptions in the supply chains for its research and product candidates, delays in the conduct of ongoing and future clinical trials, or reductions in the number of patients accessing AbbVie’s HCV regimens, or any combination of those events. During the second half of fiscal 2020 and through June 30, 2022, AbbVie experienced a decline in HCV sales compared to prior years as a result of a reduction in patients accessing AbbVie’s HCV regimens due to the COVID-19 pandemic.</w:t>
      </w:r>
    </w:p>
    <w:p>
      <w:pPr>
        <w:spacing w:after="0" w:line="69" w:lineRule="exact"/>
        <w:rPr>
          <w:sz w:val="20"/>
          <w:szCs w:val="20"/>
          <w:color w:val="auto"/>
        </w:rPr>
      </w:pPr>
    </w:p>
    <w:p>
      <w:pPr>
        <w:jc w:val="both"/>
        <w:ind w:right="180"/>
        <w:spacing w:after="0" w:line="276" w:lineRule="auto"/>
        <w:rPr>
          <w:sz w:val="20"/>
          <w:szCs w:val="20"/>
          <w:color w:val="auto"/>
        </w:rPr>
      </w:pPr>
      <w:r>
        <w:rPr>
          <w:rFonts w:ascii="Arial" w:cs="Arial" w:eastAsia="Arial" w:hAnsi="Arial"/>
          <w:sz w:val="16"/>
          <w:szCs w:val="16"/>
          <w:color w:val="auto"/>
        </w:rPr>
        <w:t>The full extent to which the COVID-19 pandemic will directly or indirectly impact the Company’s business, results of operations and financial condition will depend on future developments that are highly uncertain and cannot be accurately predicted, including new information that may emerge concerning COVID-19 and its variants and public health actions taken to contain it, as well as the cumulative economic impact of both of those factors.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Financial Information</w:t>
      </w:r>
    </w:p>
    <w:p>
      <w:pPr>
        <w:spacing w:after="0" w:line="108"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The consolidated balance sheet at September 30, 2021 was derived from audited financial statements but does not include all disclosures required by accounting principles generally accepted in the United States of America (“GAAP”). The accompanying unaudited consolidated financial statements as of June 30, 2022 and for the three and nine months ended June 30, 2022 and 2021 have been prepared by the Company pursuant to the rules and regulations of the Securities and Exchange Commission (“SEC”) for interim financial statements. Certain information and footnote disclosures normally included in financial statements prepared in accordance with GAAP have been condensed or omitted pursuant to such rules and regulations. These financial statements should be read in conjunction with the Company’s audited financial statements and the notes thereto included in the Company’s Annual Report on Form 10-K for the year ended September 30, 2021.</w:t>
      </w:r>
    </w:p>
    <w:p>
      <w:pPr>
        <w:spacing w:after="0" w:line="83" w:lineRule="exact"/>
        <w:rPr>
          <w:sz w:val="20"/>
          <w:szCs w:val="20"/>
          <w:color w:val="auto"/>
        </w:rPr>
      </w:pPr>
    </w:p>
    <w:p>
      <w:pPr>
        <w:ind w:right="120"/>
        <w:spacing w:after="0" w:line="262" w:lineRule="auto"/>
        <w:rPr>
          <w:sz w:val="20"/>
          <w:szCs w:val="20"/>
          <w:color w:val="auto"/>
        </w:rPr>
      </w:pPr>
      <w:r>
        <w:rPr>
          <w:rFonts w:ascii="Arial" w:cs="Arial" w:eastAsia="Arial" w:hAnsi="Arial"/>
          <w:sz w:val="17"/>
          <w:szCs w:val="17"/>
          <w:color w:val="auto"/>
        </w:rPr>
        <w:t>In the opinion of management, all adjustments, consisting of normal recurring adjustments necessary for a fair statement of the Company’s financial position as of June 30, 2022 and results of operations for the three and nine months ended June 30, 2022 and 2021 and cash flows for the nine months ended June 30, 2022 and 2021 have been made. The results of operations for the three and nine months ended June 30, 2022 are not necessarily indicative of the results of operations that may be expected for subsequent quarters or the year ending September 30, 2022.</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8" w:name="page9"/>
    <w:bookmarkEnd w:id="8"/>
    <w:p>
      <w:pPr>
        <w:ind w:right="220"/>
        <w:spacing w:after="0" w:line="291" w:lineRule="auto"/>
        <w:rPr>
          <w:sz w:val="20"/>
          <w:szCs w:val="20"/>
          <w:color w:val="auto"/>
        </w:rPr>
      </w:pPr>
      <w:r>
        <w:rPr>
          <w:rFonts w:ascii="Arial" w:cs="Arial" w:eastAsia="Arial" w:hAnsi="Arial"/>
          <w:sz w:val="17"/>
          <w:szCs w:val="17"/>
          <w:color w:val="auto"/>
        </w:rPr>
        <w:t>The accompanying consolidated financial statements have been prepared in conformity with GAAP. All amounts in the consolidated financial statements and in the notes to the consolidated financial statements, except per share amounts, are in thousands unless otherwise indicated.</w:t>
      </w:r>
    </w:p>
    <w:p>
      <w:pPr>
        <w:spacing w:after="0" w:line="251" w:lineRule="exact"/>
        <w:rPr>
          <w:sz w:val="20"/>
          <w:szCs w:val="20"/>
          <w:color w:val="auto"/>
        </w:rPr>
      </w:pPr>
    </w:p>
    <w:p>
      <w:pPr>
        <w:ind w:left="360" w:hanging="352"/>
        <w:spacing w:after="0"/>
        <w:tabs>
          <w:tab w:leader="none" w:pos="3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08" w:lineRule="exact"/>
        <w:rPr>
          <w:sz w:val="20"/>
          <w:szCs w:val="20"/>
          <w:color w:val="auto"/>
        </w:rPr>
      </w:pPr>
    </w:p>
    <w:p>
      <w:pPr>
        <w:ind w:right="340"/>
        <w:spacing w:after="0" w:line="248" w:lineRule="auto"/>
        <w:rPr>
          <w:sz w:val="20"/>
          <w:szCs w:val="20"/>
          <w:color w:val="auto"/>
        </w:rPr>
      </w:pPr>
      <w:r>
        <w:rPr>
          <w:rFonts w:ascii="Arial" w:cs="Arial" w:eastAsia="Arial" w:hAnsi="Arial"/>
          <w:sz w:val="18"/>
          <w:szCs w:val="18"/>
          <w:color w:val="auto"/>
        </w:rPr>
        <w:t>For the Company’s Significant Accounting Policies, please refer to its Annual Report on Form 10-K for the fiscal year ended September 30, 2021. Any reference in these notes to applicable guidance is meant to refer to the authoritative GAAP as found in the Accounting Standards Codification and Accounting Standards Update (“ASU”) of the Financial Accounting Standards Board (“FASB”).</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08" w:lineRule="exact"/>
        <w:rPr>
          <w:sz w:val="20"/>
          <w:szCs w:val="20"/>
          <w:color w:val="auto"/>
        </w:rPr>
      </w:pPr>
    </w:p>
    <w:p>
      <w:pPr>
        <w:ind w:right="100"/>
        <w:spacing w:after="0" w:line="274" w:lineRule="auto"/>
        <w:rPr>
          <w:sz w:val="20"/>
          <w:szCs w:val="20"/>
          <w:color w:val="auto"/>
        </w:rPr>
      </w:pPr>
      <w:r>
        <w:rPr>
          <w:rFonts w:ascii="Arial" w:cs="Arial" w:eastAsia="Arial" w:hAnsi="Arial"/>
          <w:sz w:val="16"/>
          <w:szCs w:val="16"/>
          <w:color w:val="auto"/>
        </w:rPr>
        <w:t>The preparation of consolidated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revenues and expenses during the reporting period. Significant estimates and assumptions reflected in these consolidated financial statements include, but are not limited to, management’s judgments with respect to its revenue arrangements; valuation of stock-based awards and the accrual of research and development expenses. Estimates are periodically reviewed in light of changes in circumstances, facts and experience. The future developments of the COVID-19 pandemic also may directly or indirectly impact the Company’s business. The Company has made estimates of the impact of COVID-19 in the Company’s consolidated financial statements as of June 30, 2022. Actual results could differ from the Company’s estimates.</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08" w:lineRule="exact"/>
        <w:rPr>
          <w:sz w:val="20"/>
          <w:szCs w:val="20"/>
          <w:color w:val="auto"/>
        </w:rPr>
      </w:pPr>
    </w:p>
    <w:p>
      <w:pPr>
        <w:jc w:val="both"/>
        <w:ind w:right="40"/>
        <w:spacing w:after="0" w:line="262" w:lineRule="auto"/>
        <w:rPr>
          <w:sz w:val="20"/>
          <w:szCs w:val="20"/>
          <w:color w:val="auto"/>
        </w:rPr>
      </w:pPr>
      <w:r>
        <w:rPr>
          <w:rFonts w:ascii="Arial" w:cs="Arial" w:eastAsia="Arial" w:hAnsi="Arial"/>
          <w:sz w:val="17"/>
          <w:szCs w:val="17"/>
          <w:color w:val="auto"/>
        </w:rPr>
        <w:t xml:space="preserve">In December 2019, the FASB issued ASU No. 2019-12, </w:t>
      </w:r>
      <w:r>
        <w:rPr>
          <w:rFonts w:ascii="Arial" w:cs="Arial" w:eastAsia="Arial" w:hAnsi="Arial"/>
          <w:sz w:val="17"/>
          <w:szCs w:val="17"/>
          <w:i w:val="1"/>
          <w:iCs w:val="1"/>
          <w:color w:val="auto"/>
        </w:rPr>
        <w:t>Simplifying the Accounting for Income Taxes (Topic 740)</w:t>
      </w:r>
      <w:r>
        <w:rPr>
          <w:rFonts w:ascii="Arial" w:cs="Arial" w:eastAsia="Arial" w:hAnsi="Arial"/>
          <w:sz w:val="17"/>
          <w:szCs w:val="17"/>
          <w:color w:val="auto"/>
        </w:rPr>
        <w:t xml:space="preserve">, which removes certain exceptions to the general principles in </w:t>
      </w:r>
      <w:r>
        <w:rPr>
          <w:rFonts w:ascii="Arial" w:cs="Arial" w:eastAsia="Arial" w:hAnsi="Arial"/>
          <w:sz w:val="17"/>
          <w:szCs w:val="17"/>
          <w:i w:val="1"/>
          <w:iCs w:val="1"/>
          <w:color w:val="auto"/>
        </w:rPr>
        <w:t>Topic 740 – Income Taxes</w:t>
      </w:r>
      <w:r>
        <w:rPr>
          <w:rFonts w:ascii="Arial" w:cs="Arial" w:eastAsia="Arial" w:hAnsi="Arial"/>
          <w:sz w:val="17"/>
          <w:szCs w:val="17"/>
          <w:color w:val="auto"/>
        </w:rPr>
        <w:t xml:space="preserve"> and improves consistent application of and simplifies GAAP for other areas of Topic 740 by clarifying and amending existing guidance. This ASU became effective for the Company beginning October 1, 2021 and interim periods within that year. The adoption of the standard did not have a material impact on the Company's financial position or results of operations.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94" w:lineRule="exact"/>
        <w:rPr>
          <w:sz w:val="20"/>
          <w:szCs w:val="20"/>
          <w:color w:val="auto"/>
        </w:rPr>
      </w:pPr>
    </w:p>
    <w:p>
      <w:pPr>
        <w:jc w:val="both"/>
        <w:ind w:right="60"/>
        <w:spacing w:after="0" w:line="246" w:lineRule="auto"/>
        <w:rPr>
          <w:sz w:val="20"/>
          <w:szCs w:val="20"/>
          <w:color w:val="auto"/>
        </w:rPr>
      </w:pPr>
      <w:r>
        <w:rPr>
          <w:rFonts w:ascii="Arial" w:cs="Arial" w:eastAsia="Arial" w:hAnsi="Arial"/>
          <w:sz w:val="18"/>
          <w:szCs w:val="18"/>
          <w:color w:val="auto"/>
        </w:rPr>
        <w:t>Other accounting standards that have been issued or proposed by the FASB or other standards-setting bodies that do not require adoption until a future date are not expected to have a material impact on the Company’s consolidated financial statements upon adoption.</w:t>
      </w:r>
    </w:p>
    <w:p>
      <w:pPr>
        <w:spacing w:after="0" w:line="274" w:lineRule="exact"/>
        <w:rPr>
          <w:sz w:val="20"/>
          <w:szCs w:val="20"/>
          <w:color w:val="auto"/>
        </w:rPr>
      </w:pPr>
    </w:p>
    <w:p>
      <w:pPr>
        <w:ind w:left="360" w:hanging="352"/>
        <w:spacing w:after="0"/>
        <w:tabs>
          <w:tab w:leader="none" w:pos="3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Assets and Liabilities</w:t>
      </w:r>
    </w:p>
    <w:p>
      <w:pPr>
        <w:spacing w:after="0" w:line="94" w:lineRule="exact"/>
        <w:rPr>
          <w:sz w:val="20"/>
          <w:szCs w:val="20"/>
          <w:color w:val="auto"/>
        </w:rPr>
      </w:pPr>
    </w:p>
    <w:p>
      <w:pPr>
        <w:ind w:right="320"/>
        <w:spacing w:after="0" w:line="307" w:lineRule="auto"/>
        <w:rPr>
          <w:sz w:val="20"/>
          <w:szCs w:val="20"/>
          <w:color w:val="auto"/>
        </w:rPr>
      </w:pPr>
      <w:r>
        <w:rPr>
          <w:rFonts w:ascii="Arial" w:cs="Arial" w:eastAsia="Arial" w:hAnsi="Arial"/>
          <w:sz w:val="16"/>
          <w:szCs w:val="16"/>
          <w:color w:val="auto"/>
        </w:rPr>
        <w:t>The following tables present information about the Company’s financial assets and liabilities that were subject to fair value measurement on a recurring basis as of June 30, 2022 and September 30, 2021, and indicate the fair value hierarchy of the valuation inputs utilized to determine such fair value:</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6"/>
          </w:tcPr>
          <w:p>
            <w:pPr>
              <w:jc w:val="center"/>
              <w:ind w:right="80"/>
              <w:spacing w:after="0"/>
              <w:rPr>
                <w:sz w:val="20"/>
                <w:szCs w:val="20"/>
                <w:color w:val="auto"/>
              </w:rPr>
            </w:pPr>
            <w:r>
              <w:rPr>
                <w:rFonts w:ascii="Arial" w:cs="Arial" w:eastAsia="Arial" w:hAnsi="Arial"/>
                <w:sz w:val="14"/>
                <w:szCs w:val="14"/>
                <w:b w:val="1"/>
                <w:bCs w:val="1"/>
                <w:color w:val="auto"/>
                <w:w w:val="92"/>
              </w:rPr>
              <w:t>Fair Value Measurements at June 30, 2022 Using:</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w w:val="92"/>
              </w:rPr>
              <w:t>Level 3</w:t>
            </w:r>
          </w:p>
        </w:tc>
        <w:tc>
          <w:tcPr>
            <w:tcW w:w="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r>
      <w:tr>
        <w:trPr>
          <w:trHeight w:val="169"/>
        </w:trPr>
        <w:tc>
          <w:tcPr>
            <w:tcW w:w="4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760" w:type="dxa"/>
            <w:vAlign w:val="bottom"/>
            <w:gridSpan w:val="2"/>
          </w:tcPr>
          <w:p>
            <w:pPr>
              <w:ind w:left="80"/>
              <w:spacing w:after="0"/>
              <w:rPr>
                <w:sz w:val="20"/>
                <w:szCs w:val="20"/>
                <w:color w:val="auto"/>
              </w:rPr>
            </w:pPr>
            <w:r>
              <w:rPr>
                <w:rFonts w:ascii="Arial" w:cs="Arial" w:eastAsia="Arial" w:hAnsi="Arial"/>
                <w:sz w:val="14"/>
                <w:szCs w:val="14"/>
                <w:b w:val="1"/>
                <w:bCs w:val="1"/>
                <w:color w:val="auto"/>
                <w:w w:val="87"/>
              </w:rPr>
              <w:t>thousands)</w:t>
            </w: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3"/>
        </w:trPr>
        <w:tc>
          <w:tcPr>
            <w:tcW w:w="478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7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Cash equivalents:</w:t>
            </w: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620" w:type="dxa"/>
            <w:vAlign w:val="bottom"/>
            <w:shd w:val="clear" w:color="auto" w:fill="CFF2FC"/>
          </w:tcPr>
          <w:p>
            <w:pPr>
              <w:ind w:left="120"/>
              <w:spacing w:after="0" w:line="202" w:lineRule="exact"/>
              <w:rPr>
                <w:sz w:val="20"/>
                <w:szCs w:val="20"/>
                <w:color w:val="auto"/>
              </w:rPr>
            </w:pPr>
            <w:r>
              <w:rPr>
                <w:rFonts w:ascii="Arial" w:cs="Arial" w:eastAsia="Arial" w:hAnsi="Arial"/>
                <w:sz w:val="18"/>
                <w:szCs w:val="18"/>
                <w:color w:val="auto"/>
              </w:rPr>
              <w:t>Money market funds</w:t>
            </w: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13,554</w:t>
            </w:r>
          </w:p>
        </w:tc>
        <w:tc>
          <w:tcPr>
            <w:tcW w:w="560" w:type="dxa"/>
            <w:vAlign w:val="bottom"/>
            <w:gridSpan w:val="2"/>
            <w:shd w:val="clear" w:color="auto" w:fill="CFF0FC"/>
          </w:tcPr>
          <w:p>
            <w:pPr>
              <w:jc w:val="right"/>
              <w:ind w:right="79"/>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FF0FC"/>
          </w:tcPr>
          <w:p>
            <w:pPr>
              <w:jc w:val="center"/>
              <w:ind w:right="30"/>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13,554</w:t>
            </w:r>
          </w:p>
        </w:tc>
        <w:tc>
          <w:tcPr>
            <w:tcW w:w="100" w:type="dxa"/>
            <w:vAlign w:val="bottom"/>
            <w:shd w:val="clear" w:color="auto" w:fill="CFF0FC"/>
          </w:tcPr>
          <w:p>
            <w:pPr>
              <w:spacing w:after="0"/>
              <w:rPr>
                <w:sz w:val="17"/>
                <w:szCs w:val="17"/>
                <w:color w:val="auto"/>
              </w:rPr>
            </w:pPr>
          </w:p>
        </w:tc>
      </w:tr>
      <w:tr>
        <w:trPr>
          <w:trHeight w:val="203"/>
        </w:trPr>
        <w:tc>
          <w:tcPr>
            <w:tcW w:w="4620" w:type="dxa"/>
            <w:vAlign w:val="bottom"/>
          </w:tcPr>
          <w:p>
            <w:pPr>
              <w:ind w:left="20"/>
              <w:spacing w:after="0" w:line="202" w:lineRule="exact"/>
              <w:rPr>
                <w:sz w:val="20"/>
                <w:szCs w:val="20"/>
                <w:color w:val="auto"/>
              </w:rPr>
            </w:pPr>
            <w:r>
              <w:rPr>
                <w:rFonts w:ascii="Arial" w:cs="Arial" w:eastAsia="Arial" w:hAnsi="Arial"/>
                <w:sz w:val="18"/>
                <w:szCs w:val="18"/>
                <w:color w:val="auto"/>
              </w:rPr>
              <w:t>Marketable securities:</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620" w:type="dxa"/>
            <w:vAlign w:val="bottom"/>
            <w:shd w:val="clear" w:color="auto" w:fill="CFF2FC"/>
          </w:tcPr>
          <w:p>
            <w:pPr>
              <w:ind w:left="120"/>
              <w:spacing w:after="0" w:line="202" w:lineRule="exact"/>
              <w:rPr>
                <w:sz w:val="20"/>
                <w:szCs w:val="20"/>
                <w:color w:val="auto"/>
              </w:rPr>
            </w:pPr>
            <w:r>
              <w:rPr>
                <w:rFonts w:ascii="Arial" w:cs="Arial" w:eastAsia="Arial" w:hAnsi="Arial"/>
                <w:sz w:val="18"/>
                <w:szCs w:val="18"/>
                <w:color w:val="auto"/>
              </w:rPr>
              <w:t>U.S. Treasury notes</w:t>
            </w: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97,176</w:t>
            </w: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97,176</w:t>
            </w:r>
          </w:p>
        </w:tc>
        <w:tc>
          <w:tcPr>
            <w:tcW w:w="100" w:type="dxa"/>
            <w:vAlign w:val="bottom"/>
            <w:shd w:val="clear" w:color="auto" w:fill="CFF0FC"/>
          </w:tcPr>
          <w:p>
            <w:pPr>
              <w:spacing w:after="0"/>
              <w:rPr>
                <w:sz w:val="17"/>
                <w:szCs w:val="17"/>
                <w:color w:val="auto"/>
              </w:rPr>
            </w:pPr>
          </w:p>
        </w:tc>
      </w:tr>
      <w:tr>
        <w:trPr>
          <w:trHeight w:val="203"/>
        </w:trPr>
        <w:tc>
          <w:tcPr>
            <w:tcW w:w="4620" w:type="dxa"/>
            <w:vAlign w:val="bottom"/>
          </w:tcPr>
          <w:p>
            <w:pPr>
              <w:ind w:left="120"/>
              <w:spacing w:after="0" w:line="202" w:lineRule="exact"/>
              <w:rPr>
                <w:sz w:val="20"/>
                <w:szCs w:val="20"/>
                <w:color w:val="auto"/>
              </w:rPr>
            </w:pPr>
            <w:r>
              <w:rPr>
                <w:rFonts w:ascii="Arial" w:cs="Arial" w:eastAsia="Arial" w:hAnsi="Arial"/>
                <w:sz w:val="18"/>
                <w:szCs w:val="18"/>
                <w:color w:val="auto"/>
              </w:rPr>
              <w:t>Corporate bonds</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83,947</w:t>
            </w: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83,947</w:t>
            </w:r>
          </w:p>
        </w:tc>
        <w:tc>
          <w:tcPr>
            <w:tcW w:w="100" w:type="dxa"/>
            <w:vAlign w:val="bottom"/>
          </w:tcPr>
          <w:p>
            <w:pPr>
              <w:spacing w:after="0"/>
              <w:rPr>
                <w:sz w:val="17"/>
                <w:szCs w:val="17"/>
                <w:color w:val="auto"/>
              </w:rPr>
            </w:pPr>
          </w:p>
        </w:tc>
      </w:tr>
      <w:tr>
        <w:trPr>
          <w:trHeight w:val="203"/>
        </w:trPr>
        <w:tc>
          <w:tcPr>
            <w:tcW w:w="4620" w:type="dxa"/>
            <w:vAlign w:val="bottom"/>
            <w:tcBorders>
              <w:bottom w:val="single" w:sz="8" w:color="CFF2FC"/>
            </w:tcBorders>
            <w:shd w:val="clear" w:color="auto" w:fill="CFF2FC"/>
          </w:tcPr>
          <w:p>
            <w:pPr>
              <w:ind w:left="120"/>
              <w:spacing w:after="0" w:line="202" w:lineRule="exact"/>
              <w:rPr>
                <w:sz w:val="20"/>
                <w:szCs w:val="20"/>
                <w:color w:val="auto"/>
              </w:rPr>
            </w:pPr>
            <w:r>
              <w:rPr>
                <w:rFonts w:ascii="Arial" w:cs="Arial" w:eastAsia="Arial" w:hAnsi="Arial"/>
                <w:sz w:val="18"/>
                <w:szCs w:val="18"/>
                <w:color w:val="auto"/>
              </w:rPr>
              <w:t>Commercial paper</w:t>
            </w:r>
          </w:p>
        </w:tc>
        <w:tc>
          <w:tcPr>
            <w:tcW w:w="16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83,225</w:t>
            </w:r>
          </w:p>
        </w:tc>
        <w:tc>
          <w:tcPr>
            <w:tcW w:w="260" w:type="dxa"/>
            <w:vAlign w:val="bottom"/>
            <w:tcBorders>
              <w:bottom w:val="single" w:sz="8" w:color="CFF0FC"/>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83,225</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110,730</w:t>
            </w:r>
          </w:p>
        </w:tc>
        <w:tc>
          <w:tcPr>
            <w:tcW w:w="560" w:type="dxa"/>
            <w:vAlign w:val="bottom"/>
            <w:gridSpan w:val="2"/>
          </w:tcPr>
          <w:p>
            <w:pPr>
              <w:jc w:val="right"/>
              <w:ind w:right="79"/>
              <w:spacing w:after="0" w:line="196"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167,172</w:t>
            </w:r>
          </w:p>
        </w:tc>
        <w:tc>
          <w:tcPr>
            <w:tcW w:w="760" w:type="dxa"/>
            <w:vAlign w:val="bottom"/>
            <w:gridSpan w:val="2"/>
          </w:tcPr>
          <w:p>
            <w:pPr>
              <w:jc w:val="center"/>
              <w:ind w:right="3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277,902</w:t>
            </w:r>
          </w:p>
        </w:tc>
        <w:tc>
          <w:tcPr>
            <w:tcW w:w="100" w:type="dxa"/>
            <w:vAlign w:val="bottom"/>
          </w:tcPr>
          <w:p>
            <w:pPr>
              <w:spacing w:after="0"/>
              <w:rPr>
                <w:sz w:val="17"/>
                <w:szCs w:val="17"/>
                <w:color w:val="auto"/>
              </w:rPr>
            </w:pPr>
          </w:p>
        </w:tc>
      </w:tr>
      <w:tr>
        <w:trPr>
          <w:trHeight w:val="20"/>
        </w:trPr>
        <w:tc>
          <w:tcPr>
            <w:tcW w:w="4780" w:type="dxa"/>
            <w:vAlign w:val="bottom"/>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4780" w:type="dxa"/>
            <w:vAlign w:val="bottom"/>
            <w:gridSpan w:val="2"/>
            <w:shd w:val="clear" w:color="auto" w:fill="CFF0FC"/>
          </w:tcPr>
          <w:p>
            <w:pPr>
              <w:ind w:left="20"/>
              <w:spacing w:after="0" w:line="183" w:lineRule="exact"/>
              <w:rPr>
                <w:sz w:val="20"/>
                <w:szCs w:val="20"/>
                <w:color w:val="auto"/>
              </w:rPr>
            </w:pPr>
            <w:r>
              <w:rPr>
                <w:rFonts w:ascii="Arial" w:cs="Arial" w:eastAsia="Arial" w:hAnsi="Arial"/>
                <w:sz w:val="18"/>
                <w:szCs w:val="18"/>
                <w:b w:val="1"/>
                <w:bCs w:val="1"/>
                <w:color w:val="auto"/>
              </w:rPr>
              <w:t>Liabilities:</w:t>
            </w:r>
          </w:p>
        </w:tc>
        <w:tc>
          <w:tcPr>
            <w:tcW w:w="2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47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Series 1 nonconvertible preferred stock</w:t>
            </w: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79"/>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tcPr>
          <w:p>
            <w:pPr>
              <w:jc w:val="center"/>
              <w:ind w:right="3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1,506</w:t>
            </w:r>
          </w:p>
        </w:tc>
        <w:tc>
          <w:tcPr>
            <w:tcW w:w="240" w:type="dxa"/>
            <w:vAlign w:val="bottom"/>
          </w:tcPr>
          <w:p>
            <w:pPr>
              <w:spacing w:after="0"/>
              <w:rPr>
                <w:sz w:val="17"/>
                <w:szCs w:val="17"/>
                <w:color w:val="auto"/>
              </w:rPr>
            </w:pPr>
          </w:p>
        </w:tc>
        <w:tc>
          <w:tcPr>
            <w:tcW w:w="36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1,506</w:t>
            </w:r>
          </w:p>
        </w:tc>
        <w:tc>
          <w:tcPr>
            <w:tcW w:w="100" w:type="dxa"/>
            <w:vAlign w:val="bottom"/>
          </w:tcPr>
          <w:p>
            <w:pPr>
              <w:spacing w:after="0"/>
              <w:rPr>
                <w:sz w:val="17"/>
                <w:szCs w:val="17"/>
                <w:color w:val="auto"/>
              </w:rPr>
            </w:pPr>
          </w:p>
        </w:tc>
      </w:tr>
      <w:tr>
        <w:trPr>
          <w:trHeight w:val="236"/>
        </w:trPr>
        <w:tc>
          <w:tcPr>
            <w:tcW w:w="46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jc w:val="right"/>
              <w:ind w:right="79"/>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0"/>
                <w:szCs w:val="20"/>
                <w:color w:val="auto"/>
              </w:rPr>
            </w:pPr>
          </w:p>
        </w:tc>
        <w:tc>
          <w:tcPr>
            <w:tcW w:w="500" w:type="dxa"/>
            <w:vAlign w:val="bottom"/>
            <w:tcBorders>
              <w:top w:val="single" w:sz="8" w:color="auto"/>
              <w:bottom w:val="single" w:sz="8" w:color="auto"/>
            </w:tcBorders>
            <w:shd w:val="clear" w:color="auto" w:fill="CFF0FC"/>
          </w:tcPr>
          <w:p>
            <w:pPr>
              <w:jc w:val="center"/>
              <w:ind w:right="29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1,506</w:t>
            </w:r>
          </w:p>
        </w:tc>
        <w:tc>
          <w:tcPr>
            <w:tcW w:w="24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1,506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602"/>
        </w:trPr>
        <w:tc>
          <w:tcPr>
            <w:tcW w:w="4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jc w:val="right"/>
              <w:ind w:right="312"/>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8"/>
        </w:trPr>
        <w:tc>
          <w:tcPr>
            <w:tcW w:w="46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-1042035</wp:posOffset>
            </wp:positionV>
            <wp:extent cx="76835" cy="57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-1042035</wp:posOffset>
            </wp:positionV>
            <wp:extent cx="68580" cy="57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-1042035</wp:posOffset>
            </wp:positionV>
            <wp:extent cx="68580" cy="57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-1042035</wp:posOffset>
            </wp:positionV>
            <wp:extent cx="68580" cy="57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-488315</wp:posOffset>
            </wp:positionV>
            <wp:extent cx="768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-471170</wp:posOffset>
            </wp:positionV>
            <wp:extent cx="768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-488315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-471170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-488315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-471170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-488315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-471170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85"/>
        </w:trPr>
        <w:tc>
          <w:tcPr>
            <w:tcW w:w="4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3600" w:type="dxa"/>
            <w:vAlign w:val="bottom"/>
            <w:tcBorders>
              <w:bottom w:val="single" w:sz="8" w:color="auto"/>
            </w:tcBorders>
            <w:gridSpan w:val="9"/>
          </w:tcPr>
          <w:p>
            <w:pPr>
              <w:jc w:val="center"/>
              <w:ind w:left="96"/>
              <w:spacing w:after="0"/>
              <w:rPr>
                <w:sz w:val="20"/>
                <w:szCs w:val="20"/>
                <w:color w:val="auto"/>
              </w:rPr>
            </w:pPr>
            <w:r>
              <w:rPr>
                <w:rFonts w:ascii="Arial" w:cs="Arial" w:eastAsia="Arial" w:hAnsi="Arial"/>
                <w:sz w:val="14"/>
                <w:szCs w:val="14"/>
                <w:b w:val="1"/>
                <w:bCs w:val="1"/>
                <w:color w:val="auto"/>
                <w:w w:val="93"/>
              </w:rPr>
              <w:t>Fair Value Measurements at September 30, 2021 Using:</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7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w w:val="92"/>
              </w:rPr>
              <w:t>Level 3</w:t>
            </w:r>
          </w:p>
        </w:tc>
        <w:tc>
          <w:tcPr>
            <w:tcW w:w="240" w:type="dxa"/>
            <w:vAlign w:val="bottom"/>
            <w:gridSpan w:val="2"/>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r>
      <w:tr>
        <w:trPr>
          <w:trHeight w:val="169"/>
        </w:trPr>
        <w:tc>
          <w:tcPr>
            <w:tcW w:w="4780" w:type="dxa"/>
            <w:vAlign w:val="bottom"/>
            <w:shd w:val="clear" w:color="auto" w:fill="CFF2FC"/>
          </w:tcPr>
          <w:p>
            <w:pPr>
              <w:spacing w:after="0"/>
              <w:rPr>
                <w:sz w:val="14"/>
                <w:szCs w:val="14"/>
                <w:color w:val="auto"/>
              </w:rPr>
            </w:pPr>
          </w:p>
        </w:tc>
        <w:tc>
          <w:tcPr>
            <w:tcW w:w="260" w:type="dxa"/>
            <w:vAlign w:val="bottom"/>
            <w:shd w:val="clear" w:color="auto" w:fill="CFF2FC"/>
          </w:tcPr>
          <w:p>
            <w:pPr>
              <w:spacing w:after="0"/>
              <w:rPr>
                <w:sz w:val="14"/>
                <w:szCs w:val="14"/>
                <w:color w:val="auto"/>
              </w:rPr>
            </w:pPr>
          </w:p>
        </w:tc>
        <w:tc>
          <w:tcPr>
            <w:tcW w:w="1020" w:type="dxa"/>
            <w:vAlign w:val="bottom"/>
            <w:shd w:val="clear" w:color="auto" w:fill="CFF2FC"/>
          </w:tcPr>
          <w:p>
            <w:pPr>
              <w:spacing w:after="0"/>
              <w:rPr>
                <w:sz w:val="14"/>
                <w:szCs w:val="14"/>
                <w:color w:val="auto"/>
              </w:rPr>
            </w:pPr>
          </w:p>
        </w:tc>
        <w:tc>
          <w:tcPr>
            <w:tcW w:w="300" w:type="dxa"/>
            <w:vAlign w:val="bottom"/>
            <w:shd w:val="clear" w:color="auto" w:fill="CFF2FC"/>
          </w:tcPr>
          <w:p>
            <w:pPr>
              <w:spacing w:after="0"/>
              <w:rPr>
                <w:sz w:val="14"/>
                <w:szCs w:val="14"/>
                <w:color w:val="auto"/>
              </w:rPr>
            </w:pPr>
          </w:p>
        </w:tc>
        <w:tc>
          <w:tcPr>
            <w:tcW w:w="260" w:type="dxa"/>
            <w:vAlign w:val="bottom"/>
            <w:shd w:val="clear" w:color="auto" w:fill="CFF2FC"/>
          </w:tcPr>
          <w:p>
            <w:pPr>
              <w:spacing w:after="0"/>
              <w:rPr>
                <w:sz w:val="14"/>
                <w:szCs w:val="14"/>
                <w:color w:val="auto"/>
              </w:rPr>
            </w:pPr>
          </w:p>
        </w:tc>
        <w:tc>
          <w:tcPr>
            <w:tcW w:w="1020" w:type="dxa"/>
            <w:vAlign w:val="bottom"/>
            <w:shd w:val="clear" w:color="auto" w:fill="CFF2FC"/>
          </w:tcPr>
          <w:p>
            <w:pPr>
              <w:jc w:val="right"/>
              <w:spacing w:after="0"/>
              <w:rPr>
                <w:sz w:val="20"/>
                <w:szCs w:val="20"/>
                <w:color w:val="auto"/>
              </w:rPr>
            </w:pPr>
            <w:r>
              <w:rPr>
                <w:rFonts w:ascii="Arial" w:cs="Arial" w:eastAsia="Arial" w:hAnsi="Arial"/>
                <w:sz w:val="14"/>
                <w:szCs w:val="14"/>
                <w:b w:val="1"/>
                <w:bCs w:val="1"/>
                <w:color w:val="auto"/>
              </w:rPr>
              <w:t>(in</w:t>
            </w:r>
          </w:p>
        </w:tc>
        <w:tc>
          <w:tcPr>
            <w:tcW w:w="760" w:type="dxa"/>
            <w:vAlign w:val="bottom"/>
            <w:gridSpan w:val="2"/>
            <w:shd w:val="clear" w:color="auto" w:fill="CFF2FC"/>
          </w:tcPr>
          <w:p>
            <w:pPr>
              <w:ind w:left="80"/>
              <w:spacing w:after="0"/>
              <w:rPr>
                <w:sz w:val="20"/>
                <w:szCs w:val="20"/>
                <w:color w:val="auto"/>
              </w:rPr>
            </w:pPr>
            <w:r>
              <w:rPr>
                <w:rFonts w:ascii="Arial" w:cs="Arial" w:eastAsia="Arial" w:hAnsi="Arial"/>
                <w:sz w:val="14"/>
                <w:szCs w:val="14"/>
                <w:b w:val="1"/>
                <w:bCs w:val="1"/>
                <w:color w:val="auto"/>
                <w:w w:val="87"/>
              </w:rPr>
              <w:t>thousands)</w:t>
            </w:r>
          </w:p>
        </w:tc>
        <w:tc>
          <w:tcPr>
            <w:tcW w:w="1000" w:type="dxa"/>
            <w:vAlign w:val="bottom"/>
            <w:shd w:val="clear" w:color="auto" w:fill="CFF2FC"/>
          </w:tcPr>
          <w:p>
            <w:pPr>
              <w:spacing w:after="0"/>
              <w:rPr>
                <w:sz w:val="14"/>
                <w:szCs w:val="14"/>
                <w:color w:val="auto"/>
              </w:rPr>
            </w:pPr>
          </w:p>
        </w:tc>
        <w:tc>
          <w:tcPr>
            <w:tcW w:w="100" w:type="dxa"/>
            <w:vAlign w:val="bottom"/>
            <w:shd w:val="clear" w:color="auto" w:fill="CFF2FC"/>
          </w:tcPr>
          <w:p>
            <w:pPr>
              <w:spacing w:after="0"/>
              <w:rPr>
                <w:sz w:val="14"/>
                <w:szCs w:val="14"/>
                <w:color w:val="auto"/>
              </w:rPr>
            </w:pPr>
          </w:p>
        </w:tc>
        <w:tc>
          <w:tcPr>
            <w:tcW w:w="140" w:type="dxa"/>
            <w:vAlign w:val="bottom"/>
            <w:shd w:val="clear" w:color="auto" w:fill="CFF2FC"/>
          </w:tcPr>
          <w:p>
            <w:pPr>
              <w:spacing w:after="0"/>
              <w:rPr>
                <w:sz w:val="14"/>
                <w:szCs w:val="14"/>
                <w:color w:val="auto"/>
              </w:rPr>
            </w:pPr>
          </w:p>
        </w:tc>
        <w:tc>
          <w:tcPr>
            <w:tcW w:w="20" w:type="dxa"/>
            <w:vAlign w:val="bottom"/>
            <w:shd w:val="clear" w:color="auto" w:fill="CFF2FC"/>
          </w:tcPr>
          <w:p>
            <w:pPr>
              <w:spacing w:after="0"/>
              <w:rPr>
                <w:sz w:val="14"/>
                <w:szCs w:val="14"/>
                <w:color w:val="auto"/>
              </w:rPr>
            </w:pPr>
          </w:p>
        </w:tc>
        <w:tc>
          <w:tcPr>
            <w:tcW w:w="340" w:type="dxa"/>
            <w:vAlign w:val="bottom"/>
            <w:shd w:val="clear" w:color="auto" w:fill="CFF2FC"/>
          </w:tcPr>
          <w:p>
            <w:pPr>
              <w:spacing w:after="0"/>
              <w:rPr>
                <w:sz w:val="14"/>
                <w:szCs w:val="14"/>
                <w:color w:val="auto"/>
              </w:rPr>
            </w:pPr>
          </w:p>
        </w:tc>
        <w:tc>
          <w:tcPr>
            <w:tcW w:w="1140" w:type="dxa"/>
            <w:vAlign w:val="bottom"/>
            <w:shd w:val="clear" w:color="auto" w:fill="CFF2FC"/>
          </w:tcPr>
          <w:p>
            <w:pPr>
              <w:spacing w:after="0"/>
              <w:rPr>
                <w:sz w:val="14"/>
                <w:szCs w:val="14"/>
                <w:color w:val="auto"/>
              </w:rPr>
            </w:pPr>
          </w:p>
        </w:tc>
        <w:tc>
          <w:tcPr>
            <w:tcW w:w="100" w:type="dxa"/>
            <w:vAlign w:val="bottom"/>
            <w:shd w:val="clear" w:color="auto" w:fill="CFF2FC"/>
          </w:tcPr>
          <w:p>
            <w:pPr>
              <w:spacing w:after="0"/>
              <w:rPr>
                <w:sz w:val="14"/>
                <w:szCs w:val="14"/>
                <w:color w:val="auto"/>
              </w:rPr>
            </w:pPr>
          </w:p>
        </w:tc>
      </w:tr>
      <w:tr>
        <w:trPr>
          <w:trHeight w:val="203"/>
        </w:trPr>
        <w:tc>
          <w:tcPr>
            <w:tcW w:w="478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Assets:</w:t>
            </w: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780" w:type="dxa"/>
            <w:vAlign w:val="bottom"/>
            <w:shd w:val="clear" w:color="auto" w:fill="CFF2FC"/>
          </w:tcPr>
          <w:p>
            <w:pPr>
              <w:ind w:left="20"/>
              <w:spacing w:after="0" w:line="202" w:lineRule="exact"/>
              <w:rPr>
                <w:sz w:val="20"/>
                <w:szCs w:val="20"/>
                <w:color w:val="auto"/>
              </w:rPr>
            </w:pPr>
            <w:r>
              <w:rPr>
                <w:rFonts w:ascii="Arial" w:cs="Arial" w:eastAsia="Arial" w:hAnsi="Arial"/>
                <w:sz w:val="18"/>
                <w:szCs w:val="18"/>
                <w:color w:val="auto"/>
              </w:rPr>
              <w:t>Cash equivalents:</w:t>
            </w:r>
          </w:p>
        </w:tc>
        <w:tc>
          <w:tcPr>
            <w:tcW w:w="260" w:type="dxa"/>
            <w:vAlign w:val="bottom"/>
            <w:shd w:val="clear" w:color="auto" w:fill="CFF2FC"/>
          </w:tcPr>
          <w:p>
            <w:pPr>
              <w:spacing w:after="0"/>
              <w:rPr>
                <w:sz w:val="17"/>
                <w:szCs w:val="17"/>
                <w:color w:val="auto"/>
              </w:rPr>
            </w:pPr>
          </w:p>
        </w:tc>
        <w:tc>
          <w:tcPr>
            <w:tcW w:w="1020" w:type="dxa"/>
            <w:vAlign w:val="bottom"/>
            <w:shd w:val="clear" w:color="auto" w:fill="CFF2FC"/>
          </w:tcPr>
          <w:p>
            <w:pPr>
              <w:spacing w:after="0"/>
              <w:rPr>
                <w:sz w:val="17"/>
                <w:szCs w:val="17"/>
                <w:color w:val="auto"/>
              </w:rPr>
            </w:pPr>
          </w:p>
        </w:tc>
        <w:tc>
          <w:tcPr>
            <w:tcW w:w="300" w:type="dxa"/>
            <w:vAlign w:val="bottom"/>
            <w:shd w:val="clear" w:color="auto" w:fill="CFF2FC"/>
          </w:tcPr>
          <w:p>
            <w:pPr>
              <w:spacing w:after="0"/>
              <w:rPr>
                <w:sz w:val="17"/>
                <w:szCs w:val="17"/>
                <w:color w:val="auto"/>
              </w:rPr>
            </w:pPr>
          </w:p>
        </w:tc>
        <w:tc>
          <w:tcPr>
            <w:tcW w:w="260" w:type="dxa"/>
            <w:vAlign w:val="bottom"/>
            <w:shd w:val="clear" w:color="auto" w:fill="CFF2FC"/>
          </w:tcPr>
          <w:p>
            <w:pPr>
              <w:spacing w:after="0"/>
              <w:rPr>
                <w:sz w:val="17"/>
                <w:szCs w:val="17"/>
                <w:color w:val="auto"/>
              </w:rPr>
            </w:pPr>
          </w:p>
        </w:tc>
        <w:tc>
          <w:tcPr>
            <w:tcW w:w="1020" w:type="dxa"/>
            <w:vAlign w:val="bottom"/>
            <w:shd w:val="clear" w:color="auto" w:fill="CFF2FC"/>
          </w:tcPr>
          <w:p>
            <w:pPr>
              <w:spacing w:after="0"/>
              <w:rPr>
                <w:sz w:val="17"/>
                <w:szCs w:val="17"/>
                <w:color w:val="auto"/>
              </w:rPr>
            </w:pPr>
          </w:p>
        </w:tc>
        <w:tc>
          <w:tcPr>
            <w:tcW w:w="260" w:type="dxa"/>
            <w:vAlign w:val="bottom"/>
            <w:shd w:val="clear" w:color="auto" w:fill="CFF2FC"/>
          </w:tcPr>
          <w:p>
            <w:pPr>
              <w:spacing w:after="0"/>
              <w:rPr>
                <w:sz w:val="17"/>
                <w:szCs w:val="17"/>
                <w:color w:val="auto"/>
              </w:rPr>
            </w:pPr>
          </w:p>
        </w:tc>
        <w:tc>
          <w:tcPr>
            <w:tcW w:w="500" w:type="dxa"/>
            <w:vAlign w:val="bottom"/>
            <w:shd w:val="clear" w:color="auto" w:fill="CFF2FC"/>
          </w:tcPr>
          <w:p>
            <w:pPr>
              <w:spacing w:after="0"/>
              <w:rPr>
                <w:sz w:val="17"/>
                <w:szCs w:val="17"/>
                <w:color w:val="auto"/>
              </w:rPr>
            </w:pPr>
          </w:p>
        </w:tc>
        <w:tc>
          <w:tcPr>
            <w:tcW w:w="1000" w:type="dxa"/>
            <w:vAlign w:val="bottom"/>
            <w:shd w:val="clear" w:color="auto" w:fill="CFF2FC"/>
          </w:tcPr>
          <w:p>
            <w:pPr>
              <w:spacing w:after="0"/>
              <w:rPr>
                <w:sz w:val="17"/>
                <w:szCs w:val="17"/>
                <w:color w:val="auto"/>
              </w:rPr>
            </w:pPr>
          </w:p>
        </w:tc>
        <w:tc>
          <w:tcPr>
            <w:tcW w:w="100" w:type="dxa"/>
            <w:vAlign w:val="bottom"/>
            <w:shd w:val="clear" w:color="auto" w:fill="CFF2FC"/>
          </w:tcPr>
          <w:p>
            <w:pPr>
              <w:spacing w:after="0"/>
              <w:rPr>
                <w:sz w:val="17"/>
                <w:szCs w:val="17"/>
                <w:color w:val="auto"/>
              </w:rPr>
            </w:pPr>
          </w:p>
        </w:tc>
        <w:tc>
          <w:tcPr>
            <w:tcW w:w="140" w:type="dxa"/>
            <w:vAlign w:val="bottom"/>
            <w:shd w:val="clear" w:color="auto" w:fill="CFF2FC"/>
          </w:tcPr>
          <w:p>
            <w:pPr>
              <w:spacing w:after="0"/>
              <w:rPr>
                <w:sz w:val="17"/>
                <w:szCs w:val="17"/>
                <w:color w:val="auto"/>
              </w:rPr>
            </w:pPr>
          </w:p>
        </w:tc>
        <w:tc>
          <w:tcPr>
            <w:tcW w:w="20" w:type="dxa"/>
            <w:vAlign w:val="bottom"/>
            <w:shd w:val="clear" w:color="auto" w:fill="CFF2FC"/>
          </w:tcPr>
          <w:p>
            <w:pPr>
              <w:spacing w:after="0"/>
              <w:rPr>
                <w:sz w:val="17"/>
                <w:szCs w:val="17"/>
                <w:color w:val="auto"/>
              </w:rPr>
            </w:pPr>
          </w:p>
        </w:tc>
        <w:tc>
          <w:tcPr>
            <w:tcW w:w="340" w:type="dxa"/>
            <w:vAlign w:val="bottom"/>
            <w:shd w:val="clear" w:color="auto" w:fill="CFF2FC"/>
          </w:tcPr>
          <w:p>
            <w:pPr>
              <w:spacing w:after="0"/>
              <w:rPr>
                <w:sz w:val="17"/>
                <w:szCs w:val="17"/>
                <w:color w:val="auto"/>
              </w:rPr>
            </w:pPr>
          </w:p>
        </w:tc>
        <w:tc>
          <w:tcPr>
            <w:tcW w:w="1140" w:type="dxa"/>
            <w:vAlign w:val="bottom"/>
            <w:shd w:val="clear" w:color="auto" w:fill="CFF2FC"/>
          </w:tcPr>
          <w:p>
            <w:pPr>
              <w:spacing w:after="0"/>
              <w:rPr>
                <w:sz w:val="17"/>
                <w:szCs w:val="17"/>
                <w:color w:val="auto"/>
              </w:rPr>
            </w:pPr>
          </w:p>
        </w:tc>
        <w:tc>
          <w:tcPr>
            <w:tcW w:w="100" w:type="dxa"/>
            <w:vAlign w:val="bottom"/>
            <w:shd w:val="clear" w:color="auto" w:fill="CFF2FC"/>
          </w:tcPr>
          <w:p>
            <w:pPr>
              <w:spacing w:after="0"/>
              <w:rPr>
                <w:sz w:val="17"/>
                <w:szCs w:val="17"/>
                <w:color w:val="auto"/>
              </w:rPr>
            </w:pPr>
          </w:p>
        </w:tc>
      </w:tr>
      <w:tr>
        <w:trPr>
          <w:trHeight w:val="203"/>
        </w:trPr>
        <w:tc>
          <w:tcPr>
            <w:tcW w:w="4780" w:type="dxa"/>
            <w:vAlign w:val="bottom"/>
          </w:tcPr>
          <w:p>
            <w:pPr>
              <w:ind w:left="120"/>
              <w:spacing w:after="0" w:line="202" w:lineRule="exact"/>
              <w:rPr>
                <w:sz w:val="20"/>
                <w:szCs w:val="20"/>
                <w:color w:val="auto"/>
              </w:rPr>
            </w:pPr>
            <w:r>
              <w:rPr>
                <w:rFonts w:ascii="Arial" w:cs="Arial" w:eastAsia="Arial" w:hAnsi="Arial"/>
                <w:sz w:val="18"/>
                <w:szCs w:val="18"/>
                <w:color w:val="auto"/>
              </w:rPr>
              <w:t>Money market funds</w:t>
            </w: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54,819</w:t>
            </w:r>
          </w:p>
        </w:tc>
        <w:tc>
          <w:tcPr>
            <w:tcW w:w="56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tcPr>
          <w:p>
            <w:pPr>
              <w:jc w:val="center"/>
              <w:ind w:right="30"/>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gridSpan w:val="4"/>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54,819</w:t>
            </w:r>
          </w:p>
        </w:tc>
        <w:tc>
          <w:tcPr>
            <w:tcW w:w="100" w:type="dxa"/>
            <w:vAlign w:val="bottom"/>
          </w:tcPr>
          <w:p>
            <w:pPr>
              <w:spacing w:after="0"/>
              <w:rPr>
                <w:sz w:val="17"/>
                <w:szCs w:val="17"/>
                <w:color w:val="auto"/>
              </w:rPr>
            </w:pPr>
          </w:p>
        </w:tc>
      </w:tr>
      <w:tr>
        <w:trPr>
          <w:trHeight w:val="203"/>
        </w:trPr>
        <w:tc>
          <w:tcPr>
            <w:tcW w:w="4780" w:type="dxa"/>
            <w:vAlign w:val="bottom"/>
            <w:shd w:val="clear" w:color="auto" w:fill="CFF2FC"/>
          </w:tcPr>
          <w:p>
            <w:pPr>
              <w:ind w:left="20"/>
              <w:spacing w:after="0" w:line="202" w:lineRule="exact"/>
              <w:rPr>
                <w:sz w:val="20"/>
                <w:szCs w:val="20"/>
                <w:color w:val="auto"/>
              </w:rPr>
            </w:pPr>
            <w:r>
              <w:rPr>
                <w:rFonts w:ascii="Arial" w:cs="Arial" w:eastAsia="Arial" w:hAnsi="Arial"/>
                <w:sz w:val="18"/>
                <w:szCs w:val="18"/>
                <w:color w:val="auto"/>
              </w:rPr>
              <w:t>Marketable securities:</w:t>
            </w:r>
          </w:p>
        </w:tc>
        <w:tc>
          <w:tcPr>
            <w:tcW w:w="260" w:type="dxa"/>
            <w:vAlign w:val="bottom"/>
            <w:shd w:val="clear" w:color="auto" w:fill="CFF2FC"/>
          </w:tcPr>
          <w:p>
            <w:pPr>
              <w:spacing w:after="0"/>
              <w:rPr>
                <w:sz w:val="17"/>
                <w:szCs w:val="17"/>
                <w:color w:val="auto"/>
              </w:rPr>
            </w:pPr>
          </w:p>
        </w:tc>
        <w:tc>
          <w:tcPr>
            <w:tcW w:w="1020" w:type="dxa"/>
            <w:vAlign w:val="bottom"/>
            <w:shd w:val="clear" w:color="auto" w:fill="CFF2FC"/>
          </w:tcPr>
          <w:p>
            <w:pPr>
              <w:spacing w:after="0"/>
              <w:rPr>
                <w:sz w:val="17"/>
                <w:szCs w:val="17"/>
                <w:color w:val="auto"/>
              </w:rPr>
            </w:pPr>
          </w:p>
        </w:tc>
        <w:tc>
          <w:tcPr>
            <w:tcW w:w="300" w:type="dxa"/>
            <w:vAlign w:val="bottom"/>
            <w:shd w:val="clear" w:color="auto" w:fill="CFF2FC"/>
          </w:tcPr>
          <w:p>
            <w:pPr>
              <w:spacing w:after="0"/>
              <w:rPr>
                <w:sz w:val="17"/>
                <w:szCs w:val="17"/>
                <w:color w:val="auto"/>
              </w:rPr>
            </w:pPr>
          </w:p>
        </w:tc>
        <w:tc>
          <w:tcPr>
            <w:tcW w:w="260" w:type="dxa"/>
            <w:vAlign w:val="bottom"/>
            <w:shd w:val="clear" w:color="auto" w:fill="CFF2FC"/>
          </w:tcPr>
          <w:p>
            <w:pPr>
              <w:spacing w:after="0"/>
              <w:rPr>
                <w:sz w:val="17"/>
                <w:szCs w:val="17"/>
                <w:color w:val="auto"/>
              </w:rPr>
            </w:pPr>
          </w:p>
        </w:tc>
        <w:tc>
          <w:tcPr>
            <w:tcW w:w="1020" w:type="dxa"/>
            <w:vAlign w:val="bottom"/>
            <w:shd w:val="clear" w:color="auto" w:fill="CFF2FC"/>
          </w:tcPr>
          <w:p>
            <w:pPr>
              <w:spacing w:after="0"/>
              <w:rPr>
                <w:sz w:val="17"/>
                <w:szCs w:val="17"/>
                <w:color w:val="auto"/>
              </w:rPr>
            </w:pPr>
          </w:p>
        </w:tc>
        <w:tc>
          <w:tcPr>
            <w:tcW w:w="260" w:type="dxa"/>
            <w:vAlign w:val="bottom"/>
            <w:shd w:val="clear" w:color="auto" w:fill="CFF2FC"/>
          </w:tcPr>
          <w:p>
            <w:pPr>
              <w:spacing w:after="0"/>
              <w:rPr>
                <w:sz w:val="17"/>
                <w:szCs w:val="17"/>
                <w:color w:val="auto"/>
              </w:rPr>
            </w:pPr>
          </w:p>
        </w:tc>
        <w:tc>
          <w:tcPr>
            <w:tcW w:w="500" w:type="dxa"/>
            <w:vAlign w:val="bottom"/>
            <w:shd w:val="clear" w:color="auto" w:fill="CFF2FC"/>
          </w:tcPr>
          <w:p>
            <w:pPr>
              <w:spacing w:after="0"/>
              <w:rPr>
                <w:sz w:val="17"/>
                <w:szCs w:val="17"/>
                <w:color w:val="auto"/>
              </w:rPr>
            </w:pPr>
          </w:p>
        </w:tc>
        <w:tc>
          <w:tcPr>
            <w:tcW w:w="1000" w:type="dxa"/>
            <w:vAlign w:val="bottom"/>
            <w:shd w:val="clear" w:color="auto" w:fill="CFF2FC"/>
          </w:tcPr>
          <w:p>
            <w:pPr>
              <w:spacing w:after="0"/>
              <w:rPr>
                <w:sz w:val="17"/>
                <w:szCs w:val="17"/>
                <w:color w:val="auto"/>
              </w:rPr>
            </w:pPr>
          </w:p>
        </w:tc>
        <w:tc>
          <w:tcPr>
            <w:tcW w:w="100" w:type="dxa"/>
            <w:vAlign w:val="bottom"/>
            <w:shd w:val="clear" w:color="auto" w:fill="CFF2FC"/>
          </w:tcPr>
          <w:p>
            <w:pPr>
              <w:spacing w:after="0"/>
              <w:rPr>
                <w:sz w:val="17"/>
                <w:szCs w:val="17"/>
                <w:color w:val="auto"/>
              </w:rPr>
            </w:pPr>
          </w:p>
        </w:tc>
        <w:tc>
          <w:tcPr>
            <w:tcW w:w="140" w:type="dxa"/>
            <w:vAlign w:val="bottom"/>
            <w:shd w:val="clear" w:color="auto" w:fill="CFF2FC"/>
          </w:tcPr>
          <w:p>
            <w:pPr>
              <w:spacing w:after="0"/>
              <w:rPr>
                <w:sz w:val="17"/>
                <w:szCs w:val="17"/>
                <w:color w:val="auto"/>
              </w:rPr>
            </w:pPr>
          </w:p>
        </w:tc>
        <w:tc>
          <w:tcPr>
            <w:tcW w:w="20" w:type="dxa"/>
            <w:vAlign w:val="bottom"/>
            <w:shd w:val="clear" w:color="auto" w:fill="CFF2FC"/>
          </w:tcPr>
          <w:p>
            <w:pPr>
              <w:spacing w:after="0"/>
              <w:rPr>
                <w:sz w:val="17"/>
                <w:szCs w:val="17"/>
                <w:color w:val="auto"/>
              </w:rPr>
            </w:pPr>
          </w:p>
        </w:tc>
        <w:tc>
          <w:tcPr>
            <w:tcW w:w="340" w:type="dxa"/>
            <w:vAlign w:val="bottom"/>
            <w:shd w:val="clear" w:color="auto" w:fill="CFF2FC"/>
          </w:tcPr>
          <w:p>
            <w:pPr>
              <w:spacing w:after="0"/>
              <w:rPr>
                <w:sz w:val="17"/>
                <w:szCs w:val="17"/>
                <w:color w:val="auto"/>
              </w:rPr>
            </w:pPr>
          </w:p>
        </w:tc>
        <w:tc>
          <w:tcPr>
            <w:tcW w:w="1140" w:type="dxa"/>
            <w:vAlign w:val="bottom"/>
            <w:shd w:val="clear" w:color="auto" w:fill="CFF2FC"/>
          </w:tcPr>
          <w:p>
            <w:pPr>
              <w:spacing w:after="0"/>
              <w:rPr>
                <w:sz w:val="17"/>
                <w:szCs w:val="17"/>
                <w:color w:val="auto"/>
              </w:rPr>
            </w:pPr>
          </w:p>
        </w:tc>
        <w:tc>
          <w:tcPr>
            <w:tcW w:w="100" w:type="dxa"/>
            <w:vAlign w:val="bottom"/>
            <w:shd w:val="clear" w:color="auto" w:fill="CFF2FC"/>
          </w:tcPr>
          <w:p>
            <w:pPr>
              <w:spacing w:after="0"/>
              <w:rPr>
                <w:sz w:val="17"/>
                <w:szCs w:val="17"/>
                <w:color w:val="auto"/>
              </w:rPr>
            </w:pPr>
          </w:p>
        </w:tc>
      </w:tr>
      <w:tr>
        <w:trPr>
          <w:trHeight w:val="203"/>
        </w:trPr>
        <w:tc>
          <w:tcPr>
            <w:tcW w:w="4780" w:type="dxa"/>
            <w:vAlign w:val="bottom"/>
          </w:tcPr>
          <w:p>
            <w:pPr>
              <w:ind w:left="120"/>
              <w:spacing w:after="0" w:line="202" w:lineRule="exact"/>
              <w:rPr>
                <w:sz w:val="20"/>
                <w:szCs w:val="20"/>
                <w:color w:val="auto"/>
              </w:rPr>
            </w:pPr>
            <w:r>
              <w:rPr>
                <w:rFonts w:ascii="Arial" w:cs="Arial" w:eastAsia="Arial" w:hAnsi="Arial"/>
                <w:sz w:val="18"/>
                <w:szCs w:val="18"/>
                <w:color w:val="auto"/>
              </w:rPr>
              <w:t>U.S. Treasury notes</w:t>
            </w:r>
          </w:p>
        </w:tc>
        <w:tc>
          <w:tcPr>
            <w:tcW w:w="2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83,038</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60" w:type="dxa"/>
            <w:vAlign w:val="bottom"/>
            <w:gridSpan w:val="4"/>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83,038</w:t>
            </w:r>
          </w:p>
        </w:tc>
        <w:tc>
          <w:tcPr>
            <w:tcW w:w="100" w:type="dxa"/>
            <w:vAlign w:val="bottom"/>
          </w:tcPr>
          <w:p>
            <w:pPr>
              <w:spacing w:after="0"/>
              <w:rPr>
                <w:sz w:val="17"/>
                <w:szCs w:val="17"/>
                <w:color w:val="auto"/>
              </w:rPr>
            </w:pPr>
          </w:p>
        </w:tc>
      </w:tr>
      <w:tr>
        <w:trPr>
          <w:trHeight w:val="203"/>
        </w:trPr>
        <w:tc>
          <w:tcPr>
            <w:tcW w:w="4780" w:type="dxa"/>
            <w:vAlign w:val="bottom"/>
            <w:shd w:val="clear" w:color="auto" w:fill="CFF2FC"/>
          </w:tcPr>
          <w:p>
            <w:pPr>
              <w:ind w:left="120"/>
              <w:spacing w:after="0" w:line="202" w:lineRule="exact"/>
              <w:rPr>
                <w:sz w:val="20"/>
                <w:szCs w:val="20"/>
                <w:color w:val="auto"/>
              </w:rPr>
            </w:pPr>
            <w:r>
              <w:rPr>
                <w:rFonts w:ascii="Arial" w:cs="Arial" w:eastAsia="Arial" w:hAnsi="Arial"/>
                <w:sz w:val="18"/>
                <w:szCs w:val="18"/>
                <w:color w:val="auto"/>
              </w:rPr>
              <w:t>Corporate bonds</w:t>
            </w:r>
          </w:p>
        </w:tc>
        <w:tc>
          <w:tcPr>
            <w:tcW w:w="260" w:type="dxa"/>
            <w:vAlign w:val="bottom"/>
            <w:shd w:val="clear" w:color="auto" w:fill="CFF2FC"/>
          </w:tcPr>
          <w:p>
            <w:pPr>
              <w:spacing w:after="0"/>
              <w:rPr>
                <w:sz w:val="17"/>
                <w:szCs w:val="17"/>
                <w:color w:val="auto"/>
              </w:rPr>
            </w:pPr>
          </w:p>
        </w:tc>
        <w:tc>
          <w:tcPr>
            <w:tcW w:w="1020" w:type="dxa"/>
            <w:vAlign w:val="bottom"/>
            <w:shd w:val="clear" w:color="auto" w:fill="CFF2FC"/>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FF2FC"/>
          </w:tcPr>
          <w:p>
            <w:pPr>
              <w:spacing w:after="0"/>
              <w:rPr>
                <w:sz w:val="17"/>
                <w:szCs w:val="17"/>
                <w:color w:val="auto"/>
              </w:rPr>
            </w:pPr>
          </w:p>
        </w:tc>
        <w:tc>
          <w:tcPr>
            <w:tcW w:w="260" w:type="dxa"/>
            <w:vAlign w:val="bottom"/>
            <w:shd w:val="clear" w:color="auto" w:fill="CFF2FC"/>
          </w:tcPr>
          <w:p>
            <w:pPr>
              <w:spacing w:after="0"/>
              <w:rPr>
                <w:sz w:val="17"/>
                <w:szCs w:val="17"/>
                <w:color w:val="auto"/>
              </w:rPr>
            </w:pPr>
          </w:p>
        </w:tc>
        <w:tc>
          <w:tcPr>
            <w:tcW w:w="1020" w:type="dxa"/>
            <w:vAlign w:val="bottom"/>
            <w:shd w:val="clear" w:color="auto" w:fill="CFF2FC"/>
          </w:tcPr>
          <w:p>
            <w:pPr>
              <w:jc w:val="right"/>
              <w:spacing w:after="0" w:line="202" w:lineRule="exact"/>
              <w:rPr>
                <w:sz w:val="20"/>
                <w:szCs w:val="20"/>
                <w:color w:val="auto"/>
              </w:rPr>
            </w:pPr>
            <w:r>
              <w:rPr>
                <w:rFonts w:ascii="Arial" w:cs="Arial" w:eastAsia="Arial" w:hAnsi="Arial"/>
                <w:sz w:val="18"/>
                <w:szCs w:val="18"/>
                <w:color w:val="auto"/>
              </w:rPr>
              <w:t>124,703</w:t>
            </w:r>
          </w:p>
        </w:tc>
        <w:tc>
          <w:tcPr>
            <w:tcW w:w="260" w:type="dxa"/>
            <w:vAlign w:val="bottom"/>
            <w:shd w:val="clear" w:color="auto" w:fill="CFF2FC"/>
          </w:tcPr>
          <w:p>
            <w:pPr>
              <w:spacing w:after="0"/>
              <w:rPr>
                <w:sz w:val="17"/>
                <w:szCs w:val="17"/>
                <w:color w:val="auto"/>
              </w:rPr>
            </w:pPr>
          </w:p>
        </w:tc>
        <w:tc>
          <w:tcPr>
            <w:tcW w:w="500" w:type="dxa"/>
            <w:vAlign w:val="bottom"/>
            <w:shd w:val="clear" w:color="auto" w:fill="CFF2FC"/>
          </w:tcPr>
          <w:p>
            <w:pPr>
              <w:spacing w:after="0"/>
              <w:rPr>
                <w:sz w:val="17"/>
                <w:szCs w:val="17"/>
                <w:color w:val="auto"/>
              </w:rPr>
            </w:pPr>
          </w:p>
        </w:tc>
        <w:tc>
          <w:tcPr>
            <w:tcW w:w="1260" w:type="dxa"/>
            <w:vAlign w:val="bottom"/>
            <w:gridSpan w:val="4"/>
            <w:shd w:val="clear" w:color="auto" w:fill="CFF2FC"/>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FF2FC"/>
          </w:tcPr>
          <w:p>
            <w:pPr>
              <w:spacing w:after="0"/>
              <w:rPr>
                <w:sz w:val="17"/>
                <w:szCs w:val="17"/>
                <w:color w:val="auto"/>
              </w:rPr>
            </w:pPr>
          </w:p>
        </w:tc>
        <w:tc>
          <w:tcPr>
            <w:tcW w:w="1140" w:type="dxa"/>
            <w:vAlign w:val="bottom"/>
            <w:shd w:val="clear" w:color="auto" w:fill="CFF2FC"/>
          </w:tcPr>
          <w:p>
            <w:pPr>
              <w:jc w:val="right"/>
              <w:spacing w:after="0" w:line="202" w:lineRule="exact"/>
              <w:rPr>
                <w:sz w:val="20"/>
                <w:szCs w:val="20"/>
                <w:color w:val="auto"/>
              </w:rPr>
            </w:pPr>
            <w:r>
              <w:rPr>
                <w:rFonts w:ascii="Arial" w:cs="Arial" w:eastAsia="Arial" w:hAnsi="Arial"/>
                <w:sz w:val="18"/>
                <w:szCs w:val="18"/>
                <w:color w:val="auto"/>
              </w:rPr>
              <w:t>124,703</w:t>
            </w:r>
          </w:p>
        </w:tc>
        <w:tc>
          <w:tcPr>
            <w:tcW w:w="100" w:type="dxa"/>
            <w:vAlign w:val="bottom"/>
            <w:shd w:val="clear" w:color="auto" w:fill="CFF2FC"/>
          </w:tcPr>
          <w:p>
            <w:pPr>
              <w:spacing w:after="0"/>
              <w:rPr>
                <w:sz w:val="17"/>
                <w:szCs w:val="17"/>
                <w:color w:val="auto"/>
              </w:rPr>
            </w:pPr>
          </w:p>
        </w:tc>
      </w:tr>
      <w:tr>
        <w:trPr>
          <w:trHeight w:val="203"/>
        </w:trPr>
        <w:tc>
          <w:tcPr>
            <w:tcW w:w="4780" w:type="dxa"/>
            <w:vAlign w:val="bottom"/>
          </w:tcPr>
          <w:p>
            <w:pPr>
              <w:ind w:left="120"/>
              <w:spacing w:after="0" w:line="202" w:lineRule="exact"/>
              <w:rPr>
                <w:sz w:val="20"/>
                <w:szCs w:val="20"/>
                <w:color w:val="auto"/>
              </w:rPr>
            </w:pPr>
            <w:r>
              <w:rPr>
                <w:rFonts w:ascii="Arial" w:cs="Arial" w:eastAsia="Arial" w:hAnsi="Arial"/>
                <w:sz w:val="18"/>
                <w:szCs w:val="18"/>
                <w:color w:val="auto"/>
              </w:rPr>
              <w:t>Commercial paper</w:t>
            </w:r>
          </w:p>
        </w:tc>
        <w:tc>
          <w:tcPr>
            <w:tcW w:w="2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87,471</w:t>
            </w: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60" w:type="dxa"/>
            <w:vAlign w:val="bottom"/>
            <w:gridSpan w:val="4"/>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87,471</w:t>
            </w:r>
          </w:p>
        </w:tc>
        <w:tc>
          <w:tcPr>
            <w:tcW w:w="100" w:type="dxa"/>
            <w:vAlign w:val="bottom"/>
          </w:tcPr>
          <w:p>
            <w:pPr>
              <w:spacing w:after="0"/>
              <w:rPr>
                <w:sz w:val="17"/>
                <w:szCs w:val="17"/>
                <w:color w:val="auto"/>
              </w:rPr>
            </w:pPr>
          </w:p>
        </w:tc>
      </w:tr>
      <w:tr>
        <w:trPr>
          <w:trHeight w:val="236"/>
        </w:trPr>
        <w:tc>
          <w:tcPr>
            <w:tcW w:w="4780" w:type="dxa"/>
            <w:vAlign w:val="bottom"/>
            <w:tcBorders>
              <w:bottom w:val="single" w:sz="8" w:color="CFF2FC"/>
            </w:tcBorders>
            <w:shd w:val="clear" w:color="auto" w:fill="CFF2FC"/>
          </w:tcPr>
          <w:p>
            <w:pPr>
              <w:spacing w:after="0"/>
              <w:rPr>
                <w:sz w:val="20"/>
                <w:szCs w:val="20"/>
                <w:color w:val="auto"/>
              </w:rPr>
            </w:pPr>
          </w:p>
        </w:tc>
        <w:tc>
          <w:tcPr>
            <w:tcW w:w="260" w:type="dxa"/>
            <w:vAlign w:val="bottom"/>
            <w:tcBorders>
              <w:top w:val="single" w:sz="8" w:color="auto"/>
              <w:bottom w:val="single" w:sz="8" w:color="auto"/>
            </w:tcBorders>
            <w:shd w:val="clear" w:color="auto" w:fill="CFF2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2FC"/>
          </w:tcPr>
          <w:p>
            <w:pPr>
              <w:jc w:val="right"/>
              <w:spacing w:after="0" w:line="196" w:lineRule="exact"/>
              <w:rPr>
                <w:sz w:val="20"/>
                <w:szCs w:val="20"/>
                <w:color w:val="auto"/>
              </w:rPr>
            </w:pPr>
            <w:r>
              <w:rPr>
                <w:rFonts w:ascii="Arial" w:cs="Arial" w:eastAsia="Arial" w:hAnsi="Arial"/>
                <w:sz w:val="18"/>
                <w:szCs w:val="18"/>
                <w:color w:val="auto"/>
              </w:rPr>
              <w:t>137,857</w:t>
            </w:r>
          </w:p>
        </w:tc>
        <w:tc>
          <w:tcPr>
            <w:tcW w:w="300" w:type="dxa"/>
            <w:vAlign w:val="bottom"/>
            <w:tcBorders>
              <w:bottom w:val="single" w:sz="8" w:color="CFF2FC"/>
            </w:tcBorders>
            <w:shd w:val="clear" w:color="auto" w:fill="CFF2FC"/>
          </w:tcPr>
          <w:p>
            <w:pPr>
              <w:spacing w:after="0"/>
              <w:rPr>
                <w:sz w:val="20"/>
                <w:szCs w:val="20"/>
                <w:color w:val="auto"/>
              </w:rPr>
            </w:pPr>
          </w:p>
        </w:tc>
        <w:tc>
          <w:tcPr>
            <w:tcW w:w="260" w:type="dxa"/>
            <w:vAlign w:val="bottom"/>
            <w:tcBorders>
              <w:top w:val="single" w:sz="8" w:color="auto"/>
              <w:bottom w:val="single" w:sz="8" w:color="auto"/>
            </w:tcBorders>
            <w:shd w:val="clear" w:color="auto" w:fill="CFF2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2FC"/>
          </w:tcPr>
          <w:p>
            <w:pPr>
              <w:jc w:val="right"/>
              <w:spacing w:after="0" w:line="196" w:lineRule="exact"/>
              <w:rPr>
                <w:sz w:val="20"/>
                <w:szCs w:val="20"/>
                <w:color w:val="auto"/>
              </w:rPr>
            </w:pPr>
            <w:r>
              <w:rPr>
                <w:rFonts w:ascii="Arial" w:cs="Arial" w:eastAsia="Arial" w:hAnsi="Arial"/>
                <w:sz w:val="18"/>
                <w:szCs w:val="18"/>
                <w:color w:val="auto"/>
              </w:rPr>
              <w:t>212,174</w:t>
            </w:r>
          </w:p>
        </w:tc>
        <w:tc>
          <w:tcPr>
            <w:tcW w:w="260" w:type="dxa"/>
            <w:vAlign w:val="bottom"/>
            <w:tcBorders>
              <w:bottom w:val="single" w:sz="8" w:color="CFF2FC"/>
            </w:tcBorders>
            <w:shd w:val="clear" w:color="auto" w:fill="CFF2FC"/>
          </w:tcPr>
          <w:p>
            <w:pPr>
              <w:spacing w:after="0"/>
              <w:rPr>
                <w:sz w:val="20"/>
                <w:szCs w:val="20"/>
                <w:color w:val="auto"/>
              </w:rPr>
            </w:pPr>
          </w:p>
        </w:tc>
        <w:tc>
          <w:tcPr>
            <w:tcW w:w="500" w:type="dxa"/>
            <w:vAlign w:val="bottom"/>
            <w:tcBorders>
              <w:top w:val="single" w:sz="8" w:color="auto"/>
              <w:bottom w:val="single" w:sz="8" w:color="auto"/>
            </w:tcBorders>
            <w:shd w:val="clear" w:color="auto" w:fill="CFF0FC"/>
          </w:tcPr>
          <w:p>
            <w:pPr>
              <w:jc w:val="center"/>
              <w:ind w:right="29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2FC"/>
            </w:tcBorders>
            <w:shd w:val="clear" w:color="auto" w:fill="CFF2FC"/>
          </w:tcPr>
          <w:p>
            <w:pPr>
              <w:spacing w:after="0"/>
              <w:rPr>
                <w:sz w:val="20"/>
                <w:szCs w:val="20"/>
                <w:color w:val="auto"/>
              </w:rPr>
            </w:pPr>
          </w:p>
        </w:tc>
        <w:tc>
          <w:tcPr>
            <w:tcW w:w="20" w:type="dxa"/>
            <w:vAlign w:val="bottom"/>
            <w:tcBorders>
              <w:top w:val="single" w:sz="8" w:color="auto"/>
              <w:bottom w:val="single" w:sz="8" w:color="auto"/>
            </w:tcBorders>
            <w:shd w:val="clear" w:color="auto" w:fill="CFF2FC"/>
          </w:tcPr>
          <w:p>
            <w:pPr>
              <w:spacing w:after="0"/>
              <w:rPr>
                <w:sz w:val="20"/>
                <w:szCs w:val="20"/>
                <w:color w:val="auto"/>
              </w:rPr>
            </w:pPr>
          </w:p>
        </w:tc>
        <w:tc>
          <w:tcPr>
            <w:tcW w:w="340" w:type="dxa"/>
            <w:vAlign w:val="bottom"/>
            <w:tcBorders>
              <w:top w:val="single" w:sz="8" w:color="auto"/>
              <w:bottom w:val="single" w:sz="8" w:color="auto"/>
            </w:tcBorders>
            <w:shd w:val="clear" w:color="auto" w:fill="CFF2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2FC"/>
          </w:tcPr>
          <w:p>
            <w:pPr>
              <w:jc w:val="right"/>
              <w:spacing w:after="0" w:line="196" w:lineRule="exact"/>
              <w:rPr>
                <w:sz w:val="20"/>
                <w:szCs w:val="20"/>
                <w:color w:val="auto"/>
              </w:rPr>
            </w:pPr>
            <w:r>
              <w:rPr>
                <w:rFonts w:ascii="Arial" w:cs="Arial" w:eastAsia="Arial" w:hAnsi="Arial"/>
                <w:sz w:val="18"/>
                <w:szCs w:val="18"/>
                <w:color w:val="auto"/>
              </w:rPr>
              <w:t>350,031</w:t>
            </w:r>
          </w:p>
        </w:tc>
        <w:tc>
          <w:tcPr>
            <w:tcW w:w="100" w:type="dxa"/>
            <w:vAlign w:val="bottom"/>
            <w:tcBorders>
              <w:bottom w:val="single" w:sz="8" w:color="CFF2FC"/>
            </w:tcBorders>
            <w:shd w:val="clear" w:color="auto" w:fill="CFF2FC"/>
          </w:tcPr>
          <w:p>
            <w:pPr>
              <w:spacing w:after="0"/>
              <w:rPr>
                <w:sz w:val="20"/>
                <w:szCs w:val="20"/>
                <w:color w:val="auto"/>
              </w:rPr>
            </w:pPr>
          </w:p>
        </w:tc>
      </w:tr>
      <w:tr>
        <w:trPr>
          <w:trHeight w:val="183"/>
        </w:trPr>
        <w:tc>
          <w:tcPr>
            <w:tcW w:w="4780" w:type="dxa"/>
            <w:vAlign w:val="bottom"/>
          </w:tcPr>
          <w:p>
            <w:pPr>
              <w:ind w:left="20"/>
              <w:spacing w:after="0" w:line="183" w:lineRule="exact"/>
              <w:rPr>
                <w:sz w:val="20"/>
                <w:szCs w:val="20"/>
                <w:color w:val="auto"/>
              </w:rPr>
            </w:pPr>
            <w:r>
              <w:rPr>
                <w:rFonts w:ascii="Arial" w:cs="Arial" w:eastAsia="Arial" w:hAnsi="Arial"/>
                <w:sz w:val="18"/>
                <w:szCs w:val="18"/>
                <w:b w:val="1"/>
                <w:bCs w:val="1"/>
                <w:color w:val="auto"/>
              </w:rPr>
              <w:t>Liabilities:</w:t>
            </w: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4780" w:type="dxa"/>
            <w:vAlign w:val="bottom"/>
            <w:tcBorders>
              <w:bottom w:val="single" w:sz="8" w:color="CFF2FC"/>
            </w:tcBorders>
            <w:shd w:val="clear" w:color="auto" w:fill="CFF2FC"/>
          </w:tcPr>
          <w:p>
            <w:pPr>
              <w:ind w:left="20"/>
              <w:spacing w:after="0" w:line="202" w:lineRule="exact"/>
              <w:rPr>
                <w:sz w:val="20"/>
                <w:szCs w:val="20"/>
                <w:color w:val="auto"/>
              </w:rPr>
            </w:pPr>
            <w:r>
              <w:rPr>
                <w:rFonts w:ascii="Arial" w:cs="Arial" w:eastAsia="Arial" w:hAnsi="Arial"/>
                <w:sz w:val="18"/>
                <w:szCs w:val="18"/>
                <w:color w:val="auto"/>
              </w:rPr>
              <w:t>Series 1 nonconvertible preferred stock</w:t>
            </w:r>
          </w:p>
        </w:tc>
        <w:tc>
          <w:tcPr>
            <w:tcW w:w="260" w:type="dxa"/>
            <w:vAlign w:val="bottom"/>
            <w:tcBorders>
              <w:bottom w:val="single" w:sz="8" w:color="auto"/>
            </w:tcBorders>
            <w:shd w:val="clear" w:color="auto" w:fill="CFF2FC"/>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2FC"/>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CFF2FC"/>
            </w:tcBorders>
            <w:shd w:val="clear" w:color="auto" w:fill="CFF2FC"/>
          </w:tcPr>
          <w:p>
            <w:pPr>
              <w:spacing w:after="0"/>
              <w:rPr>
                <w:sz w:val="17"/>
                <w:szCs w:val="17"/>
                <w:color w:val="auto"/>
              </w:rPr>
            </w:pPr>
          </w:p>
        </w:tc>
        <w:tc>
          <w:tcPr>
            <w:tcW w:w="260" w:type="dxa"/>
            <w:vAlign w:val="bottom"/>
            <w:tcBorders>
              <w:bottom w:val="single" w:sz="8" w:color="auto"/>
            </w:tcBorders>
            <w:shd w:val="clear" w:color="auto" w:fill="CFF2FC"/>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2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CFF2FC"/>
            </w:tcBorders>
            <w:shd w:val="clear" w:color="auto" w:fill="CFF2FC"/>
          </w:tcPr>
          <w:p>
            <w:pPr>
              <w:spacing w:after="0"/>
              <w:rPr>
                <w:sz w:val="17"/>
                <w:szCs w:val="17"/>
                <w:color w:val="auto"/>
              </w:rPr>
            </w:pPr>
          </w:p>
        </w:tc>
        <w:tc>
          <w:tcPr>
            <w:tcW w:w="500" w:type="dxa"/>
            <w:vAlign w:val="bottom"/>
            <w:tcBorders>
              <w:bottom w:val="single" w:sz="8" w:color="auto"/>
            </w:tcBorders>
            <w:shd w:val="clear" w:color="auto" w:fill="CFF2FC"/>
          </w:tcPr>
          <w:p>
            <w:pPr>
              <w:jc w:val="center"/>
              <w:ind w:right="29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2FC"/>
          </w:tcPr>
          <w:p>
            <w:pPr>
              <w:jc w:val="right"/>
              <w:spacing w:after="0" w:line="202" w:lineRule="exact"/>
              <w:rPr>
                <w:sz w:val="20"/>
                <w:szCs w:val="20"/>
                <w:color w:val="auto"/>
              </w:rPr>
            </w:pPr>
            <w:r>
              <w:rPr>
                <w:rFonts w:ascii="Arial" w:cs="Arial" w:eastAsia="Arial" w:hAnsi="Arial"/>
                <w:sz w:val="18"/>
                <w:szCs w:val="18"/>
                <w:color w:val="auto"/>
              </w:rPr>
              <w:t>1,506</w:t>
            </w:r>
          </w:p>
        </w:tc>
        <w:tc>
          <w:tcPr>
            <w:tcW w:w="100" w:type="dxa"/>
            <w:vAlign w:val="bottom"/>
            <w:tcBorders>
              <w:bottom w:val="single" w:sz="8" w:color="CFF2FC"/>
            </w:tcBorders>
            <w:shd w:val="clear" w:color="auto" w:fill="CFF2FC"/>
          </w:tcPr>
          <w:p>
            <w:pPr>
              <w:spacing w:after="0"/>
              <w:rPr>
                <w:sz w:val="17"/>
                <w:szCs w:val="17"/>
                <w:color w:val="auto"/>
              </w:rPr>
            </w:pPr>
          </w:p>
        </w:tc>
        <w:tc>
          <w:tcPr>
            <w:tcW w:w="140" w:type="dxa"/>
            <w:vAlign w:val="bottom"/>
            <w:tcBorders>
              <w:bottom w:val="single" w:sz="8" w:color="CFF2FC"/>
            </w:tcBorders>
            <w:shd w:val="clear" w:color="auto" w:fill="CFF2FC"/>
          </w:tcPr>
          <w:p>
            <w:pPr>
              <w:spacing w:after="0"/>
              <w:rPr>
                <w:sz w:val="17"/>
                <w:szCs w:val="17"/>
                <w:color w:val="auto"/>
              </w:rPr>
            </w:pPr>
          </w:p>
        </w:tc>
        <w:tc>
          <w:tcPr>
            <w:tcW w:w="20" w:type="dxa"/>
            <w:vAlign w:val="bottom"/>
            <w:tcBorders>
              <w:bottom w:val="single" w:sz="8" w:color="auto"/>
            </w:tcBorders>
            <w:shd w:val="clear" w:color="auto" w:fill="CFF2FC"/>
          </w:tcPr>
          <w:p>
            <w:pPr>
              <w:spacing w:after="0"/>
              <w:rPr>
                <w:sz w:val="17"/>
                <w:szCs w:val="17"/>
                <w:color w:val="auto"/>
              </w:rPr>
            </w:pPr>
          </w:p>
        </w:tc>
        <w:tc>
          <w:tcPr>
            <w:tcW w:w="340" w:type="dxa"/>
            <w:vAlign w:val="bottom"/>
            <w:tcBorders>
              <w:bottom w:val="single" w:sz="8" w:color="auto"/>
            </w:tcBorders>
            <w:shd w:val="clear" w:color="auto" w:fill="CFF2FC"/>
          </w:tcPr>
          <w:p>
            <w:pPr>
              <w:spacing w:after="0"/>
              <w:rPr>
                <w:sz w:val="17"/>
                <w:szCs w:val="17"/>
                <w:color w:val="auto"/>
              </w:rPr>
            </w:pPr>
          </w:p>
        </w:tc>
        <w:tc>
          <w:tcPr>
            <w:tcW w:w="1140" w:type="dxa"/>
            <w:vAlign w:val="bottom"/>
            <w:tcBorders>
              <w:bottom w:val="single" w:sz="8" w:color="auto"/>
            </w:tcBorders>
            <w:shd w:val="clear" w:color="auto" w:fill="CFF2FC"/>
          </w:tcPr>
          <w:p>
            <w:pPr>
              <w:jc w:val="right"/>
              <w:spacing w:after="0" w:line="202" w:lineRule="exact"/>
              <w:rPr>
                <w:sz w:val="20"/>
                <w:szCs w:val="20"/>
                <w:color w:val="auto"/>
              </w:rPr>
            </w:pPr>
            <w:r>
              <w:rPr>
                <w:rFonts w:ascii="Arial" w:cs="Arial" w:eastAsia="Arial" w:hAnsi="Arial"/>
                <w:sz w:val="18"/>
                <w:szCs w:val="18"/>
                <w:color w:val="auto"/>
              </w:rPr>
              <w:t>1,506</w:t>
            </w:r>
          </w:p>
        </w:tc>
        <w:tc>
          <w:tcPr>
            <w:tcW w:w="100" w:type="dxa"/>
            <w:vAlign w:val="bottom"/>
            <w:tcBorders>
              <w:bottom w:val="single" w:sz="8" w:color="CFF2FC"/>
            </w:tcBorders>
            <w:shd w:val="clear" w:color="auto" w:fill="CFF2FC"/>
          </w:tcPr>
          <w:p>
            <w:pPr>
              <w:spacing w:after="0"/>
              <w:rPr>
                <w:sz w:val="17"/>
                <w:szCs w:val="17"/>
                <w:color w:val="auto"/>
              </w:rPr>
            </w:pPr>
          </w:p>
        </w:tc>
      </w:tr>
      <w:tr>
        <w:trPr>
          <w:trHeight w:val="196"/>
        </w:trPr>
        <w:tc>
          <w:tcPr>
            <w:tcW w:w="4780" w:type="dxa"/>
            <w:vAlign w:val="bottom"/>
          </w:tcPr>
          <w:p>
            <w:pPr>
              <w:spacing w:after="0"/>
              <w:rPr>
                <w:sz w:val="17"/>
                <w:szCs w:val="17"/>
                <w:color w:val="auto"/>
              </w:rPr>
            </w:pPr>
          </w:p>
        </w:tc>
        <w:tc>
          <w:tcPr>
            <w:tcW w:w="260" w:type="dxa"/>
            <w:vAlign w:val="bottom"/>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gridSpan w:val="2"/>
          </w:tcPr>
          <w:p>
            <w:pPr>
              <w:jc w:val="center"/>
              <w:ind w:right="3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1,506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1,506</w:t>
            </w:r>
          </w:p>
        </w:tc>
        <w:tc>
          <w:tcPr>
            <w:tcW w:w="100" w:type="dxa"/>
            <w:vAlign w:val="bottom"/>
          </w:tcPr>
          <w:p>
            <w:pPr>
              <w:spacing w:after="0"/>
              <w:rPr>
                <w:sz w:val="17"/>
                <w:szCs w:val="17"/>
                <w:color w:val="auto"/>
              </w:rPr>
            </w:pPr>
          </w:p>
        </w:tc>
      </w:tr>
      <w:tr>
        <w:trPr>
          <w:trHeight w:val="20"/>
        </w:trPr>
        <w:tc>
          <w:tcPr>
            <w:tcW w:w="47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-445135</wp:posOffset>
            </wp:positionV>
            <wp:extent cx="7683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-427990</wp:posOffset>
            </wp:positionV>
            <wp:extent cx="7683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-445135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-427990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-445135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-427990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-445135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-427990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-159385</wp:posOffset>
            </wp:positionV>
            <wp:extent cx="76835" cy="57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-159385</wp:posOffset>
            </wp:positionV>
            <wp:extent cx="68580" cy="57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-159385</wp:posOffset>
            </wp:positionV>
            <wp:extent cx="68580" cy="57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June 30, 2022 and 2021, there were no transfers between Level 1, Level 2 and Level 3.</w:t>
      </w:r>
    </w:p>
    <w:p>
      <w:pPr>
        <w:spacing w:after="0" w:line="104" w:lineRule="exact"/>
        <w:rPr>
          <w:sz w:val="20"/>
          <w:szCs w:val="20"/>
          <w:color w:val="auto"/>
        </w:rPr>
      </w:pPr>
    </w:p>
    <w:p>
      <w:pPr>
        <w:ind w:right="200"/>
        <w:spacing w:after="0" w:line="284" w:lineRule="auto"/>
        <w:rPr>
          <w:sz w:val="20"/>
          <w:szCs w:val="20"/>
          <w:color w:val="auto"/>
        </w:rPr>
      </w:pPr>
      <w:r>
        <w:rPr>
          <w:rFonts w:ascii="Arial" w:cs="Arial" w:eastAsia="Arial" w:hAnsi="Arial"/>
          <w:sz w:val="16"/>
          <w:szCs w:val="16"/>
          <w:color w:val="auto"/>
        </w:rPr>
        <w:t>The outstanding shares of Series 1 nonconvertible preferred stock are measured at fair value. The fair value of these instruments was based on significant inputs not observable in the market, which represented a Level 3 measurement within the fair value hierarchy. The Company utilized a probability-weighted valuation model which takes into consideration various outcomes that may require the Company to transfer assets upon liquidation. Changes in the fair value of the Series 1 nonconvertible preferred stock are recognized in other income (expense), net in the consolidated statements of operations.</w:t>
      </w:r>
    </w:p>
    <w:p>
      <w:pPr>
        <w:spacing w:after="0" w:line="47" w:lineRule="exact"/>
        <w:rPr>
          <w:sz w:val="20"/>
          <w:szCs w:val="20"/>
          <w:color w:val="auto"/>
        </w:rPr>
      </w:pPr>
    </w:p>
    <w:p>
      <w:pPr>
        <w:ind w:right="780"/>
        <w:spacing w:after="0" w:line="261" w:lineRule="auto"/>
        <w:rPr>
          <w:sz w:val="20"/>
          <w:szCs w:val="20"/>
          <w:color w:val="auto"/>
        </w:rPr>
      </w:pPr>
      <w:r>
        <w:rPr>
          <w:rFonts w:ascii="Arial" w:cs="Arial" w:eastAsia="Arial" w:hAnsi="Arial"/>
          <w:sz w:val="18"/>
          <w:szCs w:val="18"/>
          <w:color w:val="auto"/>
        </w:rPr>
        <w:t>The recurring Level 3 fair value measurements of the Company’s outstanding Series 1 nonconvertible preferred stock using probability-weighted discounted cash flow include the following significant unobservable inputs: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rPr>
              <w:t>Range</w:t>
            </w:r>
          </w:p>
        </w:tc>
      </w:tr>
      <w:tr>
        <w:trPr>
          <w:trHeight w:val="224"/>
        </w:trPr>
        <w:tc>
          <w:tcPr>
            <w:tcW w:w="5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0" w:type="dxa"/>
            <w:vAlign w:val="bottom"/>
          </w:tcPr>
          <w:p>
            <w:pPr>
              <w:ind w:left="1060"/>
              <w:spacing w:after="0"/>
              <w:rPr>
                <w:sz w:val="20"/>
                <w:szCs w:val="20"/>
                <w:color w:val="auto"/>
              </w:rPr>
            </w:pPr>
            <w:r>
              <w:rPr>
                <w:rFonts w:ascii="Arial" w:cs="Arial" w:eastAsia="Arial" w:hAnsi="Arial"/>
                <w:sz w:val="14"/>
                <w:szCs w:val="14"/>
                <w:b w:val="1"/>
                <w:bCs w:val="1"/>
                <w:color w:val="auto"/>
              </w:rPr>
              <w:t>June 30,</w:t>
            </w: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20" w:type="dxa"/>
            <w:vAlign w:val="bottom"/>
          </w:tcPr>
          <w:p>
            <w:pPr>
              <w:ind w:left="660"/>
              <w:spacing w:after="0"/>
              <w:rPr>
                <w:sz w:val="20"/>
                <w:szCs w:val="20"/>
                <w:color w:val="auto"/>
              </w:rPr>
            </w:pPr>
            <w:r>
              <w:rPr>
                <w:rFonts w:ascii="Arial" w:cs="Arial" w:eastAsia="Arial" w:hAnsi="Arial"/>
                <w:sz w:val="14"/>
                <w:szCs w:val="14"/>
                <w:b w:val="1"/>
                <w:bCs w:val="1"/>
                <w:color w:val="auto"/>
              </w:rPr>
              <w:t>September 30,</w:t>
            </w:r>
          </w:p>
        </w:tc>
      </w:tr>
      <w:tr>
        <w:trPr>
          <w:trHeight w:val="188"/>
        </w:trPr>
        <w:tc>
          <w:tcPr>
            <w:tcW w:w="6100" w:type="dxa"/>
            <w:vAlign w:val="bottom"/>
            <w:gridSpan w:val="2"/>
          </w:tcPr>
          <w:p>
            <w:pPr>
              <w:ind w:left="2300"/>
              <w:spacing w:after="0"/>
              <w:rPr>
                <w:sz w:val="20"/>
                <w:szCs w:val="20"/>
                <w:color w:val="auto"/>
              </w:rPr>
            </w:pPr>
            <w:r>
              <w:rPr>
                <w:rFonts w:ascii="Arial" w:cs="Arial" w:eastAsia="Arial" w:hAnsi="Arial"/>
                <w:sz w:val="14"/>
                <w:szCs w:val="14"/>
                <w:b w:val="1"/>
                <w:bCs w:val="1"/>
                <w:color w:val="auto"/>
              </w:rPr>
              <w:t>Unobservable Input</w:t>
            </w:r>
          </w:p>
        </w:tc>
        <w:tc>
          <w:tcPr>
            <w:tcW w:w="2000" w:type="dxa"/>
            <w:vAlign w:val="bottom"/>
          </w:tcPr>
          <w:p>
            <w:pPr>
              <w:jc w:val="center"/>
              <w:ind w:left="559"/>
              <w:spacing w:after="0"/>
              <w:rPr>
                <w:sz w:val="20"/>
                <w:szCs w:val="20"/>
                <w:color w:val="auto"/>
              </w:rPr>
            </w:pPr>
            <w:r>
              <w:rPr>
                <w:rFonts w:ascii="Arial" w:cs="Arial" w:eastAsia="Arial" w:hAnsi="Arial"/>
                <w:sz w:val="14"/>
                <w:szCs w:val="14"/>
                <w:b w:val="1"/>
                <w:bCs w:val="1"/>
                <w:color w:val="auto"/>
                <w:w w:val="89"/>
              </w:rPr>
              <w:t>2022</w:t>
            </w:r>
          </w:p>
        </w:tc>
        <w:tc>
          <w:tcPr>
            <w:tcW w:w="3140" w:type="dxa"/>
            <w:vAlign w:val="bottom"/>
            <w:gridSpan w:val="3"/>
          </w:tcPr>
          <w:p>
            <w:pPr>
              <w:jc w:val="center"/>
              <w:ind w:left="842"/>
              <w:spacing w:after="0"/>
              <w:rPr>
                <w:sz w:val="20"/>
                <w:szCs w:val="20"/>
                <w:color w:val="auto"/>
              </w:rPr>
            </w:pPr>
            <w:r>
              <w:rPr>
                <w:rFonts w:ascii="Arial" w:cs="Arial" w:eastAsia="Arial" w:hAnsi="Arial"/>
                <w:sz w:val="14"/>
                <w:szCs w:val="14"/>
                <w:b w:val="1"/>
                <w:bCs w:val="1"/>
                <w:color w:val="auto"/>
                <w:w w:val="96"/>
              </w:rPr>
              <w:t>2021</w:t>
            </w:r>
          </w:p>
        </w:tc>
      </w:tr>
      <w:tr>
        <w:trPr>
          <w:trHeight w:val="196"/>
        </w:trPr>
        <w:tc>
          <w:tcPr>
            <w:tcW w:w="582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Probabilities of payout</w:t>
            </w:r>
          </w:p>
        </w:tc>
        <w:tc>
          <w:tcPr>
            <w:tcW w:w="280" w:type="dxa"/>
            <w:vAlign w:val="bottom"/>
            <w:shd w:val="clear" w:color="auto" w:fill="CFF0FC"/>
          </w:tcPr>
          <w:p>
            <w:pPr>
              <w:spacing w:after="0"/>
              <w:rPr>
                <w:sz w:val="17"/>
                <w:szCs w:val="17"/>
                <w:color w:val="auto"/>
              </w:rPr>
            </w:pPr>
          </w:p>
        </w:tc>
        <w:tc>
          <w:tcPr>
            <w:tcW w:w="2000" w:type="dxa"/>
            <w:vAlign w:val="bottom"/>
            <w:tcBorders>
              <w:top w:val="single" w:sz="8" w:color="auto"/>
            </w:tcBorders>
            <w:shd w:val="clear" w:color="auto" w:fill="CFF0FC"/>
          </w:tcPr>
          <w:p>
            <w:pPr>
              <w:jc w:val="center"/>
              <w:ind w:left="559"/>
              <w:spacing w:after="0" w:line="196" w:lineRule="exact"/>
              <w:rPr>
                <w:sz w:val="20"/>
                <w:szCs w:val="20"/>
                <w:color w:val="auto"/>
              </w:rPr>
            </w:pPr>
            <w:r>
              <w:rPr>
                <w:rFonts w:ascii="Arial" w:cs="Arial" w:eastAsia="Arial" w:hAnsi="Arial"/>
                <w:sz w:val="18"/>
                <w:szCs w:val="18"/>
                <w:color w:val="auto"/>
                <w:w w:val="94"/>
              </w:rPr>
              <w:t>0%-65%</w:t>
            </w:r>
          </w:p>
        </w:tc>
        <w:tc>
          <w:tcPr>
            <w:tcW w:w="64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20" w:type="dxa"/>
            <w:vAlign w:val="bottom"/>
            <w:tcBorders>
              <w:top w:val="single" w:sz="8" w:color="auto"/>
            </w:tcBorders>
            <w:shd w:val="clear" w:color="auto" w:fill="CFF0FC"/>
          </w:tcPr>
          <w:p>
            <w:pPr>
              <w:jc w:val="center"/>
              <w:spacing w:after="0" w:line="196" w:lineRule="exact"/>
              <w:rPr>
                <w:sz w:val="20"/>
                <w:szCs w:val="20"/>
                <w:color w:val="auto"/>
              </w:rPr>
            </w:pPr>
            <w:r>
              <w:rPr>
                <w:rFonts w:ascii="Arial" w:cs="Arial" w:eastAsia="Arial" w:hAnsi="Arial"/>
                <w:sz w:val="18"/>
                <w:szCs w:val="18"/>
                <w:color w:val="auto"/>
                <w:w w:val="91"/>
              </w:rPr>
              <w:t>0%-65%</w:t>
            </w:r>
          </w:p>
        </w:tc>
      </w:tr>
      <w:tr>
        <w:trPr>
          <w:trHeight w:val="230"/>
        </w:trPr>
        <w:tc>
          <w:tcPr>
            <w:tcW w:w="6100" w:type="dxa"/>
            <w:vAlign w:val="bottom"/>
            <w:gridSpan w:val="2"/>
          </w:tcPr>
          <w:p>
            <w:pPr>
              <w:ind w:left="20"/>
              <w:spacing w:after="0"/>
              <w:rPr>
                <w:sz w:val="20"/>
                <w:szCs w:val="20"/>
                <w:color w:val="auto"/>
              </w:rPr>
            </w:pPr>
            <w:r>
              <w:rPr>
                <w:rFonts w:ascii="Arial" w:cs="Arial" w:eastAsia="Arial" w:hAnsi="Arial"/>
                <w:sz w:val="18"/>
                <w:szCs w:val="18"/>
                <w:color w:val="auto"/>
              </w:rPr>
              <w:t>Discount rate</w:t>
            </w:r>
          </w:p>
        </w:tc>
        <w:tc>
          <w:tcPr>
            <w:tcW w:w="2000" w:type="dxa"/>
            <w:vAlign w:val="bottom"/>
          </w:tcPr>
          <w:p>
            <w:pPr>
              <w:jc w:val="center"/>
              <w:ind w:left="559"/>
              <w:spacing w:after="0"/>
              <w:rPr>
                <w:sz w:val="20"/>
                <w:szCs w:val="20"/>
                <w:color w:val="auto"/>
              </w:rPr>
            </w:pPr>
            <w:r>
              <w:rPr>
                <w:rFonts w:ascii="Arial" w:cs="Arial" w:eastAsia="Arial" w:hAnsi="Arial"/>
                <w:sz w:val="18"/>
                <w:szCs w:val="18"/>
                <w:color w:val="auto"/>
                <w:w w:val="93"/>
              </w:rPr>
              <w:t>4.25%</w:t>
            </w:r>
          </w:p>
        </w:tc>
        <w:tc>
          <w:tcPr>
            <w:tcW w:w="3140" w:type="dxa"/>
            <w:vAlign w:val="bottom"/>
            <w:gridSpan w:val="3"/>
          </w:tcPr>
          <w:p>
            <w:pPr>
              <w:jc w:val="center"/>
              <w:ind w:left="842"/>
              <w:spacing w:after="0"/>
              <w:rPr>
                <w:sz w:val="20"/>
                <w:szCs w:val="20"/>
                <w:color w:val="auto"/>
              </w:rPr>
            </w:pPr>
            <w:r>
              <w:rPr>
                <w:rFonts w:ascii="Arial" w:cs="Arial" w:eastAsia="Arial" w:hAnsi="Arial"/>
                <w:sz w:val="18"/>
                <w:szCs w:val="18"/>
                <w:color w:val="auto"/>
                <w:w w:val="90"/>
              </w:rPr>
              <w:t>4.25%</w:t>
            </w:r>
          </w:p>
        </w:tc>
      </w:tr>
    </w:tbl>
    <w:p>
      <w:pPr>
        <w:spacing w:after="0" w:line="160"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The following table provides a rollforward of the aggregate fair values of the Company’s outstanding Series 1 nonconvertible preferred stock for which fair value is determined by Level 3 inputs: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180" w:type="dxa"/>
            <w:vAlign w:val="bottom"/>
          </w:tcPr>
          <w:p>
            <w:pPr>
              <w:jc w:val="center"/>
              <w:ind w:right="400"/>
              <w:spacing w:after="0"/>
              <w:rPr>
                <w:sz w:val="20"/>
                <w:szCs w:val="20"/>
                <w:color w:val="auto"/>
              </w:rPr>
            </w:pPr>
            <w:r>
              <w:rPr>
                <w:rFonts w:ascii="Arial" w:cs="Arial" w:eastAsia="Arial" w:hAnsi="Arial"/>
                <w:sz w:val="14"/>
                <w:szCs w:val="14"/>
                <w:b w:val="1"/>
                <w:bCs w:val="1"/>
                <w:color w:val="auto"/>
                <w:w w:val="85"/>
              </w:rPr>
              <w:t>Series 1</w:t>
            </w:r>
          </w:p>
        </w:tc>
        <w:tc>
          <w:tcPr>
            <w:tcW w:w="100" w:type="dxa"/>
            <w:vAlign w:val="bottom"/>
          </w:tcPr>
          <w:p>
            <w:pPr>
              <w:spacing w:after="0"/>
              <w:rPr>
                <w:sz w:val="14"/>
                <w:szCs w:val="14"/>
                <w:color w:val="auto"/>
              </w:rPr>
            </w:pPr>
          </w:p>
        </w:tc>
      </w:tr>
      <w:tr>
        <w:trPr>
          <w:trHeight w:val="149"/>
        </w:trPr>
        <w:tc>
          <w:tcPr>
            <w:tcW w:w="8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180" w:type="dxa"/>
            <w:vAlign w:val="bottom"/>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Nonconvertible</w:t>
            </w:r>
          </w:p>
        </w:tc>
        <w:tc>
          <w:tcPr>
            <w:tcW w:w="100" w:type="dxa"/>
            <w:vAlign w:val="bottom"/>
          </w:tcPr>
          <w:p>
            <w:pPr>
              <w:spacing w:after="0"/>
              <w:rPr>
                <w:sz w:val="12"/>
                <w:szCs w:val="12"/>
                <w:color w:val="auto"/>
              </w:rPr>
            </w:pPr>
          </w:p>
        </w:tc>
      </w:tr>
      <w:tr>
        <w:trPr>
          <w:trHeight w:val="148"/>
        </w:trPr>
        <w:tc>
          <w:tcPr>
            <w:tcW w:w="8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180" w:type="dxa"/>
            <w:vAlign w:val="bottom"/>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Preferred</w:t>
            </w:r>
          </w:p>
        </w:tc>
        <w:tc>
          <w:tcPr>
            <w:tcW w:w="100" w:type="dxa"/>
            <w:vAlign w:val="bottom"/>
          </w:tcPr>
          <w:p>
            <w:pPr>
              <w:spacing w:after="0"/>
              <w:rPr>
                <w:sz w:val="12"/>
                <w:szCs w:val="12"/>
                <w:color w:val="auto"/>
              </w:rPr>
            </w:pPr>
          </w:p>
        </w:tc>
      </w:tr>
      <w:tr>
        <w:trPr>
          <w:trHeight w:val="185"/>
        </w:trPr>
        <w:tc>
          <w:tcPr>
            <w:tcW w:w="84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tcPr>
          <w:p>
            <w:pPr>
              <w:jc w:val="center"/>
              <w:ind w:right="400"/>
              <w:spacing w:after="0"/>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6"/>
                <w:szCs w:val="16"/>
                <w:color w:val="auto"/>
              </w:rPr>
            </w:pPr>
          </w:p>
        </w:tc>
      </w:tr>
      <w:tr>
        <w:trPr>
          <w:trHeight w:val="196"/>
        </w:trPr>
        <w:tc>
          <w:tcPr>
            <w:tcW w:w="84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Balance, September 30, 2021</w:t>
            </w:r>
          </w:p>
        </w:tc>
        <w:tc>
          <w:tcPr>
            <w:tcW w:w="480" w:type="dxa"/>
            <w:vAlign w:val="bottom"/>
            <w:shd w:val="clear" w:color="auto" w:fill="CFF0FC"/>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2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1,506</w:t>
            </w:r>
          </w:p>
        </w:tc>
        <w:tc>
          <w:tcPr>
            <w:tcW w:w="100" w:type="dxa"/>
            <w:vAlign w:val="bottom"/>
            <w:shd w:val="clear" w:color="auto" w:fill="CFF0FC"/>
          </w:tcPr>
          <w:p>
            <w:pPr>
              <w:spacing w:after="0"/>
              <w:rPr>
                <w:sz w:val="17"/>
                <w:szCs w:val="17"/>
                <w:color w:val="auto"/>
              </w:rPr>
            </w:pPr>
          </w:p>
        </w:tc>
      </w:tr>
      <w:tr>
        <w:trPr>
          <w:trHeight w:val="203"/>
        </w:trPr>
        <w:tc>
          <w:tcPr>
            <w:tcW w:w="8480" w:type="dxa"/>
            <w:vAlign w:val="bottom"/>
          </w:tcPr>
          <w:p>
            <w:pPr>
              <w:ind w:left="200"/>
              <w:spacing w:after="0" w:line="202" w:lineRule="exact"/>
              <w:rPr>
                <w:sz w:val="20"/>
                <w:szCs w:val="20"/>
                <w:color w:val="auto"/>
              </w:rPr>
            </w:pPr>
            <w:r>
              <w:rPr>
                <w:rFonts w:ascii="Arial" w:cs="Arial" w:eastAsia="Arial" w:hAnsi="Arial"/>
                <w:sz w:val="18"/>
                <w:szCs w:val="18"/>
                <w:color w:val="auto"/>
              </w:rPr>
              <w:t>Change in fair value of nonconvertible preferred stock</w:t>
            </w:r>
          </w:p>
        </w:tc>
        <w:tc>
          <w:tcPr>
            <w:tcW w:w="48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r>
      <w:tr>
        <w:trPr>
          <w:trHeight w:val="236"/>
        </w:trPr>
        <w:tc>
          <w:tcPr>
            <w:tcW w:w="84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Balance, June 30, 2022</w:t>
            </w:r>
          </w:p>
        </w:tc>
        <w:tc>
          <w:tcPr>
            <w:tcW w:w="480" w:type="dxa"/>
            <w:vAlign w:val="bottom"/>
            <w:tcBorders>
              <w:bottom w:val="single" w:sz="8" w:color="auto"/>
            </w:tcBorders>
            <w:shd w:val="clear" w:color="auto" w:fill="CFF0FC"/>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2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1,506</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72" w:lineRule="exact"/>
        <w:rPr>
          <w:sz w:val="20"/>
          <w:szCs w:val="20"/>
          <w:color w:val="auto"/>
        </w:rPr>
      </w:pPr>
    </w:p>
    <w:p>
      <w:pPr>
        <w:ind w:left="360" w:hanging="352"/>
        <w:spacing w:after="0"/>
        <w:tabs>
          <w:tab w:leader="none" w:pos="3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Marketable Securities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2022 and September 30, 2021, the fair value of available-for-sale marketable securities, by type of security, was as follows: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8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June 30, 2022</w:t>
            </w: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vMerge w:val="restart"/>
          </w:tcPr>
          <w:p>
            <w:pPr>
              <w:jc w:val="right"/>
              <w:ind w:right="55"/>
              <w:spacing w:after="0"/>
              <w:rPr>
                <w:sz w:val="20"/>
                <w:szCs w:val="20"/>
                <w:color w:val="auto"/>
              </w:rPr>
            </w:pPr>
            <w:r>
              <w:rPr>
                <w:rFonts w:ascii="Arial" w:cs="Arial" w:eastAsia="Arial" w:hAnsi="Arial"/>
                <w:sz w:val="14"/>
                <w:szCs w:val="14"/>
                <w:b w:val="1"/>
                <w:bCs w:val="1"/>
                <w:color w:val="auto"/>
                <w:w w:val="96"/>
              </w:rPr>
              <w:t>Amortized</w:t>
            </w:r>
          </w:p>
        </w:tc>
        <w:tc>
          <w:tcPr>
            <w:tcW w:w="240" w:type="dxa"/>
            <w:vAlign w:val="bottom"/>
          </w:tcPr>
          <w:p>
            <w:pPr>
              <w:spacing w:after="0"/>
              <w:rPr>
                <w:sz w:val="11"/>
                <w:szCs w:val="11"/>
                <w:color w:val="auto"/>
              </w:rPr>
            </w:pPr>
          </w:p>
        </w:tc>
        <w:tc>
          <w:tcPr>
            <w:tcW w:w="900" w:type="dxa"/>
            <w:vAlign w:val="bottom"/>
          </w:tcPr>
          <w:p>
            <w:pPr>
              <w:jc w:val="center"/>
              <w:ind w:left="148"/>
              <w:spacing w:after="0" w:line="133" w:lineRule="exact"/>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ind w:left="200"/>
              <w:spacing w:after="0" w:line="133" w:lineRule="exact"/>
              <w:rPr>
                <w:sz w:val="20"/>
                <w:szCs w:val="20"/>
                <w:color w:val="auto"/>
              </w:rPr>
            </w:pPr>
            <w:r>
              <w:rPr>
                <w:rFonts w:ascii="Arial" w:cs="Arial" w:eastAsia="Arial" w:hAnsi="Arial"/>
                <w:sz w:val="14"/>
                <w:szCs w:val="14"/>
                <w:b w:val="1"/>
                <w:bCs w:val="1"/>
                <w:color w:val="auto"/>
              </w:rPr>
              <w:t>Gross</w:t>
            </w: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center"/>
              <w:ind w:left="148"/>
              <w:spacing w:after="0" w:line="149" w:lineRule="exact"/>
              <w:rPr>
                <w:sz w:val="20"/>
                <w:szCs w:val="20"/>
                <w:color w:val="auto"/>
              </w:rPr>
            </w:pPr>
            <w:r>
              <w:rPr>
                <w:rFonts w:ascii="Arial" w:cs="Arial" w:eastAsia="Arial" w:hAnsi="Arial"/>
                <w:sz w:val="14"/>
                <w:szCs w:val="14"/>
                <w:b w:val="1"/>
                <w:bCs w:val="1"/>
                <w:color w:val="auto"/>
                <w:w w:val="95"/>
              </w:rPr>
              <w:t>Unrealized</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Unrealized</w:t>
            </w:r>
          </w:p>
        </w:tc>
        <w:tc>
          <w:tcPr>
            <w:tcW w:w="140" w:type="dxa"/>
            <w:vAlign w:val="bottom"/>
          </w:tcPr>
          <w:p>
            <w:pPr>
              <w:spacing w:after="0"/>
              <w:rPr>
                <w:sz w:val="12"/>
                <w:szCs w:val="12"/>
                <w:color w:val="auto"/>
              </w:rPr>
            </w:pPr>
          </w:p>
        </w:tc>
        <w:tc>
          <w:tcPr>
            <w:tcW w:w="10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Credit Losses</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8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6"/>
                <w:szCs w:val="16"/>
                <w:color w:val="auto"/>
              </w:rPr>
            </w:pPr>
          </w:p>
        </w:tc>
        <w:tc>
          <w:tcPr>
            <w:tcW w:w="900" w:type="dxa"/>
            <w:vAlign w:val="bottom"/>
            <w:tcBorders>
              <w:bottom w:val="single" w:sz="8" w:color="auto"/>
            </w:tcBorders>
          </w:tcPr>
          <w:p>
            <w:pPr>
              <w:jc w:val="center"/>
              <w:ind w:left="148"/>
              <w:spacing w:after="0"/>
              <w:rPr>
                <w:sz w:val="20"/>
                <w:szCs w:val="20"/>
                <w:color w:val="auto"/>
              </w:rPr>
            </w:pPr>
            <w:r>
              <w:rPr>
                <w:rFonts w:ascii="Arial" w:cs="Arial" w:eastAsia="Arial" w:hAnsi="Arial"/>
                <w:sz w:val="14"/>
                <w:szCs w:val="14"/>
                <w:b w:val="1"/>
                <w:bCs w:val="1"/>
                <w:color w:val="auto"/>
                <w:w w:val="92"/>
              </w:rPr>
              <w:t>Gains</w:t>
            </w:r>
          </w:p>
        </w:tc>
        <w:tc>
          <w:tcPr>
            <w:tcW w:w="2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Losses</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U.S. Treasury notes</w:t>
            </w:r>
          </w:p>
        </w:tc>
        <w:tc>
          <w:tcPr>
            <w:tcW w:w="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98,389</w:t>
            </w:r>
          </w:p>
        </w:tc>
        <w:tc>
          <w:tcPr>
            <w:tcW w:w="1140" w:type="dxa"/>
            <w:vAlign w:val="bottom"/>
            <w:gridSpan w:val="2"/>
            <w:shd w:val="clear" w:color="auto" w:fill="CFF0FC"/>
          </w:tcPr>
          <w:p>
            <w:pPr>
              <w:jc w:val="right"/>
              <w:ind w:right="728"/>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w w:val="99"/>
              </w:rPr>
              <w:t>—</w:t>
            </w:r>
          </w:p>
        </w:tc>
        <w:tc>
          <w:tcPr>
            <w:tcW w:w="3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(1,213 )</w:t>
            </w:r>
          </w:p>
        </w:tc>
        <w:tc>
          <w:tcPr>
            <w:tcW w:w="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ind w:left="840"/>
              <w:spacing w:after="0" w:line="202" w:lineRule="exact"/>
              <w:rPr>
                <w:sz w:val="20"/>
                <w:szCs w:val="20"/>
                <w:color w:val="auto"/>
              </w:rPr>
            </w:pPr>
            <w:r>
              <w:rPr>
                <w:rFonts w:ascii="Arial" w:cs="Arial" w:eastAsia="Arial" w:hAnsi="Arial"/>
                <w:sz w:val="18"/>
                <w:szCs w:val="18"/>
                <w:color w:val="auto"/>
                <w:w w:val="88"/>
              </w:rPr>
              <w:t>—</w:t>
            </w:r>
          </w:p>
        </w:tc>
        <w:tc>
          <w:tcPr>
            <w:tcW w:w="40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97,176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80" w:type="dxa"/>
            <w:vAlign w:val="bottom"/>
          </w:tcPr>
          <w:p>
            <w:pPr>
              <w:ind w:left="20"/>
              <w:spacing w:after="0" w:line="202" w:lineRule="exact"/>
              <w:rPr>
                <w:sz w:val="20"/>
                <w:szCs w:val="20"/>
                <w:color w:val="auto"/>
              </w:rPr>
            </w:pPr>
            <w:r>
              <w:rPr>
                <w:rFonts w:ascii="Arial" w:cs="Arial" w:eastAsia="Arial" w:hAnsi="Arial"/>
                <w:sz w:val="18"/>
                <w:szCs w:val="18"/>
                <w:color w:val="auto"/>
              </w:rPr>
              <w:t>Corporate bonds</w:t>
            </w: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85,969</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ind w:left="20"/>
              <w:spacing w:after="0" w:line="202" w:lineRule="exact"/>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(2,022 )</w:t>
            </w:r>
          </w:p>
        </w:tc>
        <w:tc>
          <w:tcPr>
            <w:tcW w:w="140" w:type="dxa"/>
            <w:vAlign w:val="bottom"/>
          </w:tcPr>
          <w:p>
            <w:pPr>
              <w:spacing w:after="0"/>
              <w:rPr>
                <w:sz w:val="17"/>
                <w:szCs w:val="17"/>
                <w:color w:val="auto"/>
              </w:rPr>
            </w:pPr>
          </w:p>
        </w:tc>
        <w:tc>
          <w:tcPr>
            <w:tcW w:w="1020" w:type="dxa"/>
            <w:vAlign w:val="bottom"/>
          </w:tcPr>
          <w:p>
            <w:pPr>
              <w:ind w:left="840"/>
              <w:spacing w:after="0" w:line="202" w:lineRule="exact"/>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83,947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Commercial paper</w:t>
            </w:r>
          </w:p>
        </w:tc>
        <w:tc>
          <w:tcPr>
            <w:tcW w:w="12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83,225</w:t>
            </w:r>
          </w:p>
        </w:tc>
        <w:tc>
          <w:tcPr>
            <w:tcW w:w="24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ind w:left="20"/>
              <w:spacing w:after="0" w:line="202" w:lineRule="exact"/>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ind w:left="840"/>
              <w:spacing w:after="0" w:line="202" w:lineRule="exact"/>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83,225</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8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267,583</w:t>
            </w:r>
          </w:p>
        </w:tc>
        <w:tc>
          <w:tcPr>
            <w:tcW w:w="1140" w:type="dxa"/>
            <w:vAlign w:val="bottom"/>
            <w:gridSpan w:val="2"/>
          </w:tcPr>
          <w:p>
            <w:pPr>
              <w:jc w:val="right"/>
              <w:ind w:right="728"/>
              <w:spacing w:after="0" w:line="196" w:lineRule="exact"/>
              <w:rPr>
                <w:sz w:val="20"/>
                <w:szCs w:val="20"/>
                <w:color w:val="auto"/>
              </w:rPr>
            </w:pPr>
            <w:r>
              <w:rPr>
                <w:rFonts w:ascii="Arial" w:cs="Arial" w:eastAsia="Arial" w:hAnsi="Arial"/>
                <w:sz w:val="18"/>
                <w:szCs w:val="18"/>
                <w:color w:val="auto"/>
              </w:rPr>
              <w:t>$</w:t>
            </w:r>
          </w:p>
        </w:tc>
        <w:tc>
          <w:tcPr>
            <w:tcW w:w="220" w:type="dxa"/>
            <w:vAlign w:val="bottom"/>
          </w:tcPr>
          <w:p>
            <w:pPr>
              <w:ind w:left="20"/>
              <w:spacing w:after="0" w:line="196" w:lineRule="exact"/>
              <w:rPr>
                <w:sz w:val="20"/>
                <w:szCs w:val="20"/>
                <w:color w:val="auto"/>
              </w:rPr>
            </w:pPr>
            <w:r>
              <w:rPr>
                <w:rFonts w:ascii="Arial" w:cs="Arial" w:eastAsia="Arial" w:hAnsi="Arial"/>
                <w:sz w:val="18"/>
                <w:szCs w:val="18"/>
                <w:color w:val="auto"/>
                <w:w w:val="99"/>
              </w:rPr>
              <w:t>—</w:t>
            </w:r>
          </w:p>
        </w:tc>
        <w:tc>
          <w:tcPr>
            <w:tcW w:w="3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(3,235 )</w:t>
            </w: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tcPr>
          <w:p>
            <w:pPr>
              <w:ind w:left="840"/>
              <w:spacing w:after="0" w:line="196" w:lineRule="exact"/>
              <w:rPr>
                <w:sz w:val="20"/>
                <w:szCs w:val="20"/>
                <w:color w:val="auto"/>
              </w:rPr>
            </w:pPr>
            <w:r>
              <w:rPr>
                <w:rFonts w:ascii="Arial" w:cs="Arial" w:eastAsia="Arial" w:hAnsi="Arial"/>
                <w:sz w:val="18"/>
                <w:szCs w:val="18"/>
                <w:color w:val="auto"/>
                <w:w w:val="88"/>
              </w:rPr>
              <w:t>—</w:t>
            </w:r>
          </w:p>
        </w:tc>
        <w:tc>
          <w:tcPr>
            <w:tcW w:w="40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264,348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4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ind w:right="15"/>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48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-630555</wp:posOffset>
            </wp:positionV>
            <wp:extent cx="77470" cy="57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-630555</wp:posOffset>
            </wp:positionV>
            <wp:extent cx="77470" cy="57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-630555</wp:posOffset>
            </wp:positionV>
            <wp:extent cx="68580" cy="57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-630555</wp:posOffset>
            </wp:positionV>
            <wp:extent cx="68580" cy="57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-630555</wp:posOffset>
            </wp:positionV>
            <wp:extent cx="68580" cy="57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85"/>
        </w:trPr>
        <w:tc>
          <w:tcPr>
            <w:tcW w:w="48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w w:val="94"/>
              </w:rPr>
              <w:t>September 30, 2021</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w w:val="96"/>
              </w:rPr>
              <w:t>Amortized</w:t>
            </w:r>
          </w:p>
        </w:tc>
        <w:tc>
          <w:tcPr>
            <w:tcW w:w="240" w:type="dxa"/>
            <w:vAlign w:val="bottom"/>
          </w:tcPr>
          <w:p>
            <w:pPr>
              <w:spacing w:after="0"/>
              <w:rPr>
                <w:sz w:val="11"/>
                <w:szCs w:val="11"/>
                <w:color w:val="auto"/>
              </w:rPr>
            </w:pPr>
          </w:p>
        </w:tc>
        <w:tc>
          <w:tcPr>
            <w:tcW w:w="900" w:type="dxa"/>
            <w:vAlign w:val="bottom"/>
          </w:tcPr>
          <w:p>
            <w:pPr>
              <w:jc w:val="center"/>
              <w:ind w:left="144"/>
              <w:spacing w:after="0" w:line="133" w:lineRule="exact"/>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jc w:val="center"/>
              <w:ind w:right="380"/>
              <w:spacing w:after="0" w:line="133" w:lineRule="exact"/>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center"/>
              <w:ind w:left="124"/>
              <w:spacing w:after="0" w:line="149" w:lineRule="exact"/>
              <w:rPr>
                <w:sz w:val="20"/>
                <w:szCs w:val="20"/>
                <w:color w:val="auto"/>
              </w:rPr>
            </w:pPr>
            <w:r>
              <w:rPr>
                <w:rFonts w:ascii="Arial" w:cs="Arial" w:eastAsia="Arial" w:hAnsi="Arial"/>
                <w:sz w:val="14"/>
                <w:szCs w:val="14"/>
                <w:b w:val="1"/>
                <w:bCs w:val="1"/>
                <w:color w:val="auto"/>
                <w:w w:val="93"/>
              </w:rPr>
              <w:t>Unrealized</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2"/>
                <w:szCs w:val="12"/>
                <w:color w:val="auto"/>
              </w:rPr>
            </w:pPr>
          </w:p>
        </w:tc>
        <w:tc>
          <w:tcPr>
            <w:tcW w:w="1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Credit Losses</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8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6"/>
                <w:szCs w:val="16"/>
                <w:color w:val="auto"/>
              </w:rPr>
            </w:pPr>
          </w:p>
        </w:tc>
        <w:tc>
          <w:tcPr>
            <w:tcW w:w="900" w:type="dxa"/>
            <w:vAlign w:val="bottom"/>
            <w:tcBorders>
              <w:bottom w:val="single" w:sz="8" w:color="auto"/>
            </w:tcBorders>
          </w:tcPr>
          <w:p>
            <w:pPr>
              <w:jc w:val="center"/>
              <w:ind w:left="144"/>
              <w:spacing w:after="0"/>
              <w:rPr>
                <w:sz w:val="20"/>
                <w:szCs w:val="20"/>
                <w:color w:val="auto"/>
              </w:rPr>
            </w:pPr>
            <w:r>
              <w:rPr>
                <w:rFonts w:ascii="Arial" w:cs="Arial" w:eastAsia="Arial" w:hAnsi="Arial"/>
                <w:sz w:val="14"/>
                <w:szCs w:val="14"/>
                <w:b w:val="1"/>
                <w:bCs w:val="1"/>
                <w:color w:val="auto"/>
                <w:w w:val="92"/>
              </w:rPr>
              <w:t>Gains</w:t>
            </w:r>
          </w:p>
        </w:tc>
        <w:tc>
          <w:tcPr>
            <w:tcW w:w="2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5"/>
              </w:rPr>
              <w:t>(in thousands)</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Corporate bonds</w:t>
            </w:r>
          </w:p>
        </w:tc>
        <w:tc>
          <w:tcPr>
            <w:tcW w:w="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124,678</w:t>
            </w:r>
          </w:p>
        </w:tc>
        <w:tc>
          <w:tcPr>
            <w:tcW w:w="1140" w:type="dxa"/>
            <w:vAlign w:val="bottom"/>
            <w:gridSpan w:val="2"/>
            <w:shd w:val="clear" w:color="auto" w:fill="CFF0FC"/>
          </w:tcPr>
          <w:p>
            <w:pPr>
              <w:jc w:val="right"/>
              <w:ind w:right="724"/>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89"/>
              </w:rPr>
              <w:t>93</w:t>
            </w:r>
          </w:p>
        </w:tc>
        <w:tc>
          <w:tcPr>
            <w:tcW w:w="3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(68 )</w:t>
            </w:r>
          </w:p>
        </w:tc>
        <w:tc>
          <w:tcPr>
            <w:tcW w:w="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ind w:left="820"/>
              <w:spacing w:after="0" w:line="202" w:lineRule="exact"/>
              <w:rPr>
                <w:sz w:val="20"/>
                <w:szCs w:val="20"/>
                <w:color w:val="auto"/>
              </w:rPr>
            </w:pPr>
            <w:r>
              <w:rPr>
                <w:rFonts w:ascii="Arial" w:cs="Arial" w:eastAsia="Arial" w:hAnsi="Arial"/>
                <w:sz w:val="18"/>
                <w:szCs w:val="18"/>
                <w:color w:val="auto"/>
                <w:w w:val="88"/>
              </w:rPr>
              <w:t>—</w:t>
            </w:r>
          </w:p>
        </w:tc>
        <w:tc>
          <w:tcPr>
            <w:tcW w:w="40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124,703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tcPr>
          <w:p>
            <w:pPr>
              <w:ind w:left="20"/>
              <w:spacing w:after="0" w:line="202" w:lineRule="exact"/>
              <w:rPr>
                <w:sz w:val="20"/>
                <w:szCs w:val="20"/>
                <w:color w:val="auto"/>
              </w:rPr>
            </w:pPr>
            <w:r>
              <w:rPr>
                <w:rFonts w:ascii="Arial" w:cs="Arial" w:eastAsia="Arial" w:hAnsi="Arial"/>
                <w:sz w:val="18"/>
                <w:szCs w:val="18"/>
                <w:color w:val="auto"/>
              </w:rPr>
              <w:t>Commercial paper</w:t>
            </w: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87,471</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00" w:type="dxa"/>
            <w:vAlign w:val="bottom"/>
          </w:tcPr>
          <w:p>
            <w:pPr>
              <w:ind w:left="820"/>
              <w:spacing w:after="0" w:line="202" w:lineRule="exact"/>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87,471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U.S. Treasury notes</w:t>
            </w:r>
          </w:p>
        </w:tc>
        <w:tc>
          <w:tcPr>
            <w:tcW w:w="12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83,061</w:t>
            </w: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(26 )</w:t>
            </w: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ind w:left="820"/>
              <w:spacing w:after="0" w:line="202" w:lineRule="exact"/>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83,038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2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295,210</w:t>
            </w:r>
          </w:p>
        </w:tc>
        <w:tc>
          <w:tcPr>
            <w:tcW w:w="240" w:type="dxa"/>
            <w:vAlign w:val="bottom"/>
          </w:tcPr>
          <w:p>
            <w:pPr>
              <w:spacing w:after="0"/>
              <w:rPr>
                <w:sz w:val="17"/>
                <w:szCs w:val="17"/>
                <w:color w:val="auto"/>
              </w:rPr>
            </w:pPr>
          </w:p>
        </w:tc>
        <w:tc>
          <w:tcPr>
            <w:tcW w:w="900" w:type="dxa"/>
            <w:vAlign w:val="bottom"/>
          </w:tcPr>
          <w:p>
            <w:pPr>
              <w:jc w:val="right"/>
              <w:ind w:right="724"/>
              <w:spacing w:after="0" w:line="196" w:lineRule="exact"/>
              <w:rPr>
                <w:sz w:val="20"/>
                <w:szCs w:val="20"/>
                <w:color w:val="auto"/>
              </w:rPr>
            </w:pPr>
            <w:r>
              <w:rPr>
                <w:rFonts w:ascii="Arial" w:cs="Arial" w:eastAsia="Arial" w:hAnsi="Arial"/>
                <w:sz w:val="18"/>
                <w:szCs w:val="18"/>
                <w:color w:val="auto"/>
                <w:w w:val="79"/>
              </w:rPr>
              <w:t>$</w:t>
            </w:r>
          </w:p>
        </w:tc>
        <w:tc>
          <w:tcPr>
            <w:tcW w:w="200" w:type="dxa"/>
            <w:vAlign w:val="bottom"/>
          </w:tcPr>
          <w:p>
            <w:pPr>
              <w:jc w:val="right"/>
              <w:spacing w:after="0" w:line="196" w:lineRule="exact"/>
              <w:rPr>
                <w:sz w:val="20"/>
                <w:szCs w:val="20"/>
                <w:color w:val="auto"/>
              </w:rPr>
            </w:pPr>
            <w:r>
              <w:rPr>
                <w:rFonts w:ascii="Arial" w:cs="Arial" w:eastAsia="Arial" w:hAnsi="Arial"/>
                <w:sz w:val="18"/>
                <w:szCs w:val="18"/>
                <w:color w:val="auto"/>
                <w:w w:val="89"/>
              </w:rPr>
              <w:t>96</w:t>
            </w:r>
          </w:p>
        </w:tc>
        <w:tc>
          <w:tcPr>
            <w:tcW w:w="220" w:type="dxa"/>
            <w:vAlign w:val="bottom"/>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(94 )</w:t>
            </w: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Pr>
          <w:p>
            <w:pPr>
              <w:ind w:left="820"/>
              <w:spacing w:after="0" w:line="196" w:lineRule="exact"/>
              <w:rPr>
                <w:sz w:val="20"/>
                <w:szCs w:val="20"/>
                <w:color w:val="auto"/>
              </w:rPr>
            </w:pPr>
            <w:r>
              <w:rPr>
                <w:rFonts w:ascii="Arial" w:cs="Arial" w:eastAsia="Arial" w:hAnsi="Arial"/>
                <w:sz w:val="18"/>
                <w:szCs w:val="18"/>
                <w:color w:val="auto"/>
                <w:w w:val="88"/>
              </w:rPr>
              <w:t>—</w:t>
            </w:r>
          </w:p>
        </w:tc>
        <w:tc>
          <w:tcPr>
            <w:tcW w:w="40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295,212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-159385</wp:posOffset>
            </wp:positionV>
            <wp:extent cx="77470" cy="57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-159385</wp:posOffset>
            </wp:positionV>
            <wp:extent cx="68580" cy="57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-159385</wp:posOffset>
            </wp:positionV>
            <wp:extent cx="68580" cy="57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-159385</wp:posOffset>
            </wp:positionV>
            <wp:extent cx="68580" cy="57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68" w:lineRule="exact"/>
        <w:rPr>
          <w:sz w:val="20"/>
          <w:szCs w:val="20"/>
          <w:color w:val="auto"/>
        </w:rPr>
      </w:pPr>
    </w:p>
    <w:p>
      <w:pPr>
        <w:ind w:right="400"/>
        <w:spacing w:after="0" w:line="248" w:lineRule="auto"/>
        <w:rPr>
          <w:sz w:val="20"/>
          <w:szCs w:val="20"/>
          <w:color w:val="auto"/>
        </w:rPr>
      </w:pPr>
      <w:r>
        <w:rPr>
          <w:rFonts w:ascii="Arial" w:cs="Arial" w:eastAsia="Arial" w:hAnsi="Arial"/>
          <w:sz w:val="18"/>
          <w:szCs w:val="18"/>
          <w:color w:val="auto"/>
        </w:rPr>
        <w:t>As of June 30, 2022 and September 30, 2021, marketable securities consisted of investments that mature within one year, with the exception of certain corporate bonds and U.S. Treasury notes, which have maturities between one and three years and an aggregate fair value of $39,427 and $108,416, respectively.</w:t>
      </w:r>
    </w:p>
    <w:p>
      <w:pPr>
        <w:spacing w:after="0" w:line="286" w:lineRule="exact"/>
        <w:rPr>
          <w:sz w:val="20"/>
          <w:szCs w:val="20"/>
          <w:color w:val="auto"/>
        </w:rPr>
      </w:pPr>
    </w:p>
    <w:p>
      <w:pPr>
        <w:ind w:left="360" w:hanging="352"/>
        <w:spacing w:after="0"/>
        <w:tabs>
          <w:tab w:leader="none" w:pos="3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 and Other Long-Term Liabilities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Accrued expenses and other current liabilities, as well as other long-term liabilities, consisted of the following as of June 30, 2022 and September 30, 2021:</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700" w:type="dxa"/>
            <w:vAlign w:val="bottom"/>
          </w:tcPr>
          <w:p>
            <w:pPr>
              <w:spacing w:after="0"/>
              <w:rPr>
                <w:sz w:val="15"/>
                <w:szCs w:val="15"/>
                <w:color w:val="auto"/>
              </w:rPr>
            </w:pPr>
          </w:p>
        </w:tc>
        <w:tc>
          <w:tcPr>
            <w:tcW w:w="1380" w:type="dxa"/>
            <w:vAlign w:val="bottom"/>
          </w:tcPr>
          <w:p>
            <w:pPr>
              <w:jc w:val="right"/>
              <w:ind w:right="36"/>
              <w:spacing w:after="0"/>
              <w:rPr>
                <w:sz w:val="20"/>
                <w:szCs w:val="20"/>
                <w:color w:val="auto"/>
              </w:rPr>
            </w:pPr>
            <w:r>
              <w:rPr>
                <w:rFonts w:ascii="Arial" w:cs="Arial" w:eastAsia="Arial" w:hAnsi="Arial"/>
                <w:sz w:val="14"/>
                <w:szCs w:val="14"/>
                <w:b w:val="1"/>
                <w:bCs w:val="1"/>
                <w:color w:val="auto"/>
              </w:rPr>
              <w:t>June 30,</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40" w:type="dxa"/>
            <w:vAlign w:val="bottom"/>
          </w:tcPr>
          <w:p>
            <w:pPr>
              <w:jc w:val="right"/>
              <w:ind w:right="533"/>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5"/>
                <w:szCs w:val="15"/>
                <w:color w:val="auto"/>
              </w:rPr>
            </w:pPr>
          </w:p>
        </w:tc>
      </w:tr>
      <w:tr>
        <w:trPr>
          <w:trHeight w:val="185"/>
        </w:trPr>
        <w:tc>
          <w:tcPr>
            <w:tcW w:w="6700" w:type="dxa"/>
            <w:vAlign w:val="bottom"/>
          </w:tcPr>
          <w:p>
            <w:pPr>
              <w:spacing w:after="0"/>
              <w:rPr>
                <w:sz w:val="16"/>
                <w:szCs w:val="16"/>
                <w:color w:val="auto"/>
              </w:rPr>
            </w:pPr>
          </w:p>
        </w:tc>
        <w:tc>
          <w:tcPr>
            <w:tcW w:w="13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2022</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83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169"/>
        </w:trPr>
        <w:tc>
          <w:tcPr>
            <w:tcW w:w="67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78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w w:val="82"/>
              </w:rPr>
              <w:t>thousands)</w:t>
            </w: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3"/>
        </w:trPr>
        <w:tc>
          <w:tcPr>
            <w:tcW w:w="67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Accrued expenses:</w:t>
            </w:r>
          </w:p>
        </w:tc>
        <w:tc>
          <w:tcPr>
            <w:tcW w:w="13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700" w:type="dxa"/>
            <w:vAlign w:val="bottom"/>
          </w:tcPr>
          <w:p>
            <w:pPr>
              <w:ind w:left="20"/>
              <w:spacing w:after="0" w:line="202" w:lineRule="exact"/>
              <w:rPr>
                <w:sz w:val="20"/>
                <w:szCs w:val="20"/>
                <w:color w:val="auto"/>
              </w:rPr>
            </w:pPr>
            <w:r>
              <w:rPr>
                <w:rFonts w:ascii="Arial" w:cs="Arial" w:eastAsia="Arial" w:hAnsi="Arial"/>
                <w:sz w:val="18"/>
                <w:szCs w:val="18"/>
                <w:color w:val="auto"/>
              </w:rPr>
              <w:t>Accrued pharmaceutical drug manufacturing</w:t>
            </w:r>
          </w:p>
        </w:tc>
        <w:tc>
          <w:tcPr>
            <w:tcW w:w="1380" w:type="dxa"/>
            <w:vAlign w:val="bottom"/>
          </w:tcPr>
          <w:p>
            <w:pPr>
              <w:jc w:val="right"/>
              <w:ind w:right="1196"/>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7,614</w:t>
            </w:r>
          </w:p>
        </w:tc>
        <w:tc>
          <w:tcPr>
            <w:tcW w:w="780" w:type="dxa"/>
            <w:vAlign w:val="bottom"/>
            <w:gridSpan w:val="3"/>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1640" w:type="dxa"/>
            <w:vAlign w:val="bottom"/>
          </w:tcPr>
          <w:p>
            <w:pPr>
              <w:jc w:val="right"/>
              <w:spacing w:after="0" w:line="202" w:lineRule="exact"/>
              <w:rPr>
                <w:sz w:val="20"/>
                <w:szCs w:val="20"/>
                <w:color w:val="auto"/>
              </w:rPr>
            </w:pPr>
            <w:r>
              <w:rPr>
                <w:rFonts w:ascii="Arial" w:cs="Arial" w:eastAsia="Arial" w:hAnsi="Arial"/>
                <w:sz w:val="18"/>
                <w:szCs w:val="18"/>
                <w:color w:val="auto"/>
              </w:rPr>
              <w:t>8,402</w:t>
            </w:r>
          </w:p>
        </w:tc>
        <w:tc>
          <w:tcPr>
            <w:tcW w:w="100" w:type="dxa"/>
            <w:vAlign w:val="bottom"/>
          </w:tcPr>
          <w:p>
            <w:pPr>
              <w:spacing w:after="0"/>
              <w:rPr>
                <w:sz w:val="17"/>
                <w:szCs w:val="17"/>
                <w:color w:val="auto"/>
              </w:rPr>
            </w:pPr>
          </w:p>
        </w:tc>
      </w:tr>
      <w:tr>
        <w:trPr>
          <w:trHeight w:val="203"/>
        </w:trPr>
        <w:tc>
          <w:tcPr>
            <w:tcW w:w="67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Accrued research and development expenses</w:t>
            </w:r>
          </w:p>
        </w:tc>
        <w:tc>
          <w:tcPr>
            <w:tcW w:w="138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4,169</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6,062</w:t>
            </w:r>
          </w:p>
        </w:tc>
        <w:tc>
          <w:tcPr>
            <w:tcW w:w="100" w:type="dxa"/>
            <w:vAlign w:val="bottom"/>
            <w:shd w:val="clear" w:color="auto" w:fill="CFF0FC"/>
          </w:tcPr>
          <w:p>
            <w:pPr>
              <w:spacing w:after="0"/>
              <w:rPr>
                <w:sz w:val="17"/>
                <w:szCs w:val="17"/>
                <w:color w:val="auto"/>
              </w:rPr>
            </w:pPr>
          </w:p>
        </w:tc>
      </w:tr>
      <w:tr>
        <w:trPr>
          <w:trHeight w:val="203"/>
        </w:trPr>
        <w:tc>
          <w:tcPr>
            <w:tcW w:w="6700" w:type="dxa"/>
            <w:vAlign w:val="bottom"/>
          </w:tcPr>
          <w:p>
            <w:pPr>
              <w:ind w:left="20"/>
              <w:spacing w:after="0" w:line="202" w:lineRule="exact"/>
              <w:rPr>
                <w:sz w:val="20"/>
                <w:szCs w:val="20"/>
                <w:color w:val="auto"/>
              </w:rPr>
            </w:pPr>
            <w:r>
              <w:rPr>
                <w:rFonts w:ascii="Arial" w:cs="Arial" w:eastAsia="Arial" w:hAnsi="Arial"/>
                <w:sz w:val="18"/>
                <w:szCs w:val="18"/>
                <w:color w:val="auto"/>
              </w:rPr>
              <w:t>Accrued payroll and related expenses</w:t>
            </w:r>
          </w:p>
        </w:tc>
        <w:tc>
          <w:tcPr>
            <w:tcW w:w="138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4,849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40" w:type="dxa"/>
            <w:vAlign w:val="bottom"/>
          </w:tcPr>
          <w:p>
            <w:pPr>
              <w:jc w:val="right"/>
              <w:spacing w:after="0" w:line="202" w:lineRule="exact"/>
              <w:rPr>
                <w:sz w:val="20"/>
                <w:szCs w:val="20"/>
                <w:color w:val="auto"/>
              </w:rPr>
            </w:pPr>
            <w:r>
              <w:rPr>
                <w:rFonts w:ascii="Arial" w:cs="Arial" w:eastAsia="Arial" w:hAnsi="Arial"/>
                <w:sz w:val="18"/>
                <w:szCs w:val="18"/>
                <w:color w:val="auto"/>
              </w:rPr>
              <w:t>6,094</w:t>
            </w:r>
          </w:p>
        </w:tc>
        <w:tc>
          <w:tcPr>
            <w:tcW w:w="100" w:type="dxa"/>
            <w:vAlign w:val="bottom"/>
          </w:tcPr>
          <w:p>
            <w:pPr>
              <w:spacing w:after="0"/>
              <w:rPr>
                <w:sz w:val="17"/>
                <w:szCs w:val="17"/>
                <w:color w:val="auto"/>
              </w:rPr>
            </w:pPr>
          </w:p>
        </w:tc>
      </w:tr>
      <w:tr>
        <w:trPr>
          <w:trHeight w:val="203"/>
        </w:trPr>
        <w:tc>
          <w:tcPr>
            <w:tcW w:w="67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Accrued professional fees</w:t>
            </w:r>
          </w:p>
        </w:tc>
        <w:tc>
          <w:tcPr>
            <w:tcW w:w="138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1,443</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700</w:t>
            </w:r>
          </w:p>
        </w:tc>
        <w:tc>
          <w:tcPr>
            <w:tcW w:w="100" w:type="dxa"/>
            <w:vAlign w:val="bottom"/>
            <w:shd w:val="clear" w:color="auto" w:fill="CFF0FC"/>
          </w:tcPr>
          <w:p>
            <w:pPr>
              <w:spacing w:after="0"/>
              <w:rPr>
                <w:sz w:val="17"/>
                <w:szCs w:val="17"/>
                <w:color w:val="auto"/>
              </w:rPr>
            </w:pPr>
          </w:p>
        </w:tc>
      </w:tr>
      <w:tr>
        <w:trPr>
          <w:trHeight w:val="203"/>
        </w:trPr>
        <w:tc>
          <w:tcPr>
            <w:tcW w:w="6700" w:type="dxa"/>
            <w:vAlign w:val="bottom"/>
          </w:tcPr>
          <w:p>
            <w:pPr>
              <w:ind w:left="20"/>
              <w:spacing w:after="0" w:line="202" w:lineRule="exact"/>
              <w:rPr>
                <w:sz w:val="20"/>
                <w:szCs w:val="20"/>
                <w:color w:val="auto"/>
              </w:rPr>
            </w:pPr>
            <w:r>
              <w:rPr>
                <w:rFonts w:ascii="Arial" w:cs="Arial" w:eastAsia="Arial" w:hAnsi="Arial"/>
                <w:sz w:val="18"/>
                <w:szCs w:val="18"/>
                <w:color w:val="auto"/>
              </w:rPr>
              <w:t>Accrued other</w:t>
            </w:r>
          </w:p>
        </w:tc>
        <w:tc>
          <w:tcPr>
            <w:tcW w:w="13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1,116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1,171</w:t>
            </w:r>
          </w:p>
        </w:tc>
        <w:tc>
          <w:tcPr>
            <w:tcW w:w="100" w:type="dxa"/>
            <w:vAlign w:val="bottom"/>
          </w:tcPr>
          <w:p>
            <w:pPr>
              <w:spacing w:after="0"/>
              <w:rPr>
                <w:sz w:val="17"/>
                <w:szCs w:val="17"/>
                <w:color w:val="auto"/>
              </w:rPr>
            </w:pPr>
          </w:p>
        </w:tc>
      </w:tr>
      <w:tr>
        <w:trPr>
          <w:trHeight w:val="236"/>
        </w:trPr>
        <w:tc>
          <w:tcPr>
            <w:tcW w:w="6700" w:type="dxa"/>
            <w:vAlign w:val="bottom"/>
            <w:tcBorders>
              <w:bottom w:val="single" w:sz="8" w:color="CFF0FC"/>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ind w:right="1196"/>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19,191</w:t>
            </w:r>
          </w:p>
        </w:tc>
        <w:tc>
          <w:tcPr>
            <w:tcW w:w="1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jc w:val="right"/>
              <w:ind w:right="270"/>
              <w:spacing w:after="0" w:line="196" w:lineRule="exact"/>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22,429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83"/>
        </w:trPr>
        <w:tc>
          <w:tcPr>
            <w:tcW w:w="67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67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Other long-term liabilities:</w:t>
            </w:r>
          </w:p>
        </w:tc>
        <w:tc>
          <w:tcPr>
            <w:tcW w:w="13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2"/>
        </w:trPr>
        <w:tc>
          <w:tcPr>
            <w:tcW w:w="6700" w:type="dxa"/>
            <w:vAlign w:val="bottom"/>
          </w:tcPr>
          <w:p>
            <w:pPr>
              <w:ind w:left="20"/>
              <w:spacing w:after="0" w:line="202" w:lineRule="exact"/>
              <w:rPr>
                <w:sz w:val="20"/>
                <w:szCs w:val="20"/>
                <w:color w:val="auto"/>
              </w:rPr>
            </w:pPr>
            <w:r>
              <w:rPr>
                <w:rFonts w:ascii="Arial" w:cs="Arial" w:eastAsia="Arial" w:hAnsi="Arial"/>
                <w:sz w:val="18"/>
                <w:szCs w:val="18"/>
                <w:color w:val="auto"/>
              </w:rPr>
              <w:t>Uncertain tax positions</w:t>
            </w:r>
          </w:p>
        </w:tc>
        <w:tc>
          <w:tcPr>
            <w:tcW w:w="1380" w:type="dxa"/>
            <w:vAlign w:val="bottom"/>
          </w:tcPr>
          <w:p>
            <w:pPr>
              <w:jc w:val="right"/>
              <w:ind w:right="1196"/>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87</w:t>
            </w:r>
          </w:p>
        </w:tc>
        <w:tc>
          <w:tcPr>
            <w:tcW w:w="780" w:type="dxa"/>
            <w:vAlign w:val="bottom"/>
            <w:gridSpan w:val="3"/>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1640" w:type="dxa"/>
            <w:vAlign w:val="bottom"/>
          </w:tcPr>
          <w:p>
            <w:pPr>
              <w:jc w:val="right"/>
              <w:spacing w:after="0" w:line="202" w:lineRule="exact"/>
              <w:rPr>
                <w:sz w:val="20"/>
                <w:szCs w:val="20"/>
                <w:color w:val="auto"/>
              </w:rPr>
            </w:pPr>
            <w:r>
              <w:rPr>
                <w:rFonts w:ascii="Arial" w:cs="Arial" w:eastAsia="Arial" w:hAnsi="Arial"/>
                <w:sz w:val="18"/>
                <w:szCs w:val="18"/>
                <w:color w:val="auto"/>
              </w:rPr>
              <w:t>558</w:t>
            </w:r>
          </w:p>
        </w:tc>
        <w:tc>
          <w:tcPr>
            <w:tcW w:w="100" w:type="dxa"/>
            <w:vAlign w:val="bottom"/>
          </w:tcPr>
          <w:p>
            <w:pPr>
              <w:spacing w:after="0"/>
              <w:rPr>
                <w:sz w:val="17"/>
                <w:szCs w:val="17"/>
                <w:color w:val="auto"/>
              </w:rPr>
            </w:pPr>
          </w:p>
        </w:tc>
      </w:tr>
      <w:tr>
        <w:trPr>
          <w:trHeight w:val="203"/>
        </w:trPr>
        <w:tc>
          <w:tcPr>
            <w:tcW w:w="67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Asset retirement obligation</w:t>
            </w:r>
          </w:p>
        </w:tc>
        <w:tc>
          <w:tcPr>
            <w:tcW w:w="1380" w:type="dxa"/>
            <w:vAlign w:val="bottom"/>
            <w:tcBorders>
              <w:bottom w:val="single" w:sz="8" w:color="auto"/>
            </w:tcBorders>
            <w:shd w:val="clear" w:color="auto" w:fill="CFF2FC"/>
          </w:tcPr>
          <w:p>
            <w:pPr>
              <w:spacing w:after="0"/>
              <w:rPr>
                <w:sz w:val="17"/>
                <w:szCs w:val="17"/>
                <w:color w:val="auto"/>
              </w:rPr>
            </w:pPr>
          </w:p>
        </w:tc>
        <w:tc>
          <w:tcPr>
            <w:tcW w:w="640" w:type="dxa"/>
            <w:vAlign w:val="bottom"/>
            <w:tcBorders>
              <w:bottom w:val="single" w:sz="8" w:color="auto"/>
            </w:tcBorders>
            <w:shd w:val="clear" w:color="auto" w:fill="CFF2FC"/>
          </w:tcPr>
          <w:p>
            <w:pPr>
              <w:jc w:val="right"/>
              <w:spacing w:after="0" w:line="202" w:lineRule="exact"/>
              <w:rPr>
                <w:sz w:val="20"/>
                <w:szCs w:val="20"/>
                <w:color w:val="auto"/>
              </w:rPr>
            </w:pPr>
            <w:r>
              <w:rPr>
                <w:rFonts w:ascii="Arial" w:cs="Arial" w:eastAsia="Arial" w:hAnsi="Arial"/>
                <w:sz w:val="18"/>
                <w:szCs w:val="18"/>
                <w:color w:val="auto"/>
              </w:rPr>
              <w:t>354</w:t>
            </w:r>
          </w:p>
        </w:tc>
        <w:tc>
          <w:tcPr>
            <w:tcW w:w="100" w:type="dxa"/>
            <w:vAlign w:val="bottom"/>
            <w:tcBorders>
              <w:bottom w:val="single" w:sz="8" w:color="CFF2FC"/>
            </w:tcBorders>
            <w:shd w:val="clear" w:color="auto" w:fill="CFF2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2FC"/>
          </w:tcPr>
          <w:p>
            <w:pPr>
              <w:spacing w:after="0"/>
              <w:rPr>
                <w:sz w:val="17"/>
                <w:szCs w:val="17"/>
                <w:color w:val="auto"/>
              </w:rPr>
            </w:pPr>
          </w:p>
        </w:tc>
        <w:tc>
          <w:tcPr>
            <w:tcW w:w="1640" w:type="dxa"/>
            <w:vAlign w:val="bottom"/>
            <w:tcBorders>
              <w:bottom w:val="single" w:sz="8" w:color="auto"/>
            </w:tcBorders>
            <w:shd w:val="clear" w:color="auto" w:fill="CFF2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2FC"/>
            </w:tcBorders>
            <w:shd w:val="clear" w:color="auto" w:fill="CFF2FC"/>
          </w:tcPr>
          <w:p>
            <w:pPr>
              <w:spacing w:after="0"/>
              <w:rPr>
                <w:sz w:val="17"/>
                <w:szCs w:val="17"/>
                <w:color w:val="auto"/>
              </w:rPr>
            </w:pPr>
          </w:p>
        </w:tc>
      </w:tr>
      <w:tr>
        <w:trPr>
          <w:trHeight w:val="196"/>
        </w:trPr>
        <w:tc>
          <w:tcPr>
            <w:tcW w:w="6700" w:type="dxa"/>
            <w:vAlign w:val="bottom"/>
          </w:tcPr>
          <w:p>
            <w:pPr>
              <w:spacing w:after="0"/>
              <w:rPr>
                <w:sz w:val="17"/>
                <w:szCs w:val="17"/>
                <w:color w:val="auto"/>
              </w:rPr>
            </w:pPr>
          </w:p>
        </w:tc>
        <w:tc>
          <w:tcPr>
            <w:tcW w:w="1380" w:type="dxa"/>
            <w:vAlign w:val="bottom"/>
            <w:tcBorders>
              <w:bottom w:val="single" w:sz="8" w:color="auto"/>
            </w:tcBorders>
          </w:tcPr>
          <w:p>
            <w:pPr>
              <w:jc w:val="right"/>
              <w:ind w:right="1196"/>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441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558</w:t>
            </w:r>
          </w:p>
        </w:tc>
        <w:tc>
          <w:tcPr>
            <w:tcW w:w="100" w:type="dxa"/>
            <w:vAlign w:val="bottom"/>
          </w:tcPr>
          <w:p>
            <w:pPr>
              <w:spacing w:after="0"/>
              <w:rPr>
                <w:sz w:val="17"/>
                <w:szCs w:val="17"/>
                <w:color w:val="auto"/>
              </w:rPr>
            </w:pPr>
          </w:p>
        </w:tc>
      </w:tr>
      <w:tr>
        <w:trPr>
          <w:trHeight w:val="20"/>
        </w:trPr>
        <w:tc>
          <w:tcPr>
            <w:tcW w:w="67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5534025</wp:posOffset>
            </wp:positionH>
            <wp:positionV relativeFrom="paragraph">
              <wp:posOffset>-702310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-685165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-702310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-685165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-159385</wp:posOffset>
            </wp:positionV>
            <wp:extent cx="68580" cy="57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313" w:lineRule="exact"/>
        <w:rPr>
          <w:sz w:val="20"/>
          <w:szCs w:val="20"/>
          <w:color w:val="auto"/>
        </w:rPr>
      </w:pPr>
    </w:p>
    <w:p>
      <w:pPr>
        <w:ind w:left="360" w:hanging="352"/>
        <w:spacing w:after="0"/>
        <w:tabs>
          <w:tab w:leader="none" w:pos="3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AbbVie Collaboration</w:t>
      </w:r>
    </w:p>
    <w:p>
      <w:pPr>
        <w:spacing w:after="0" w:line="108"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The Company has a Collaborative Development and License Agreement (as amended, the “AbbVie Agreement”), with AbbVie to identify, develop and commercialize HCV NS3 and NS3/4A protease inhibitor compounds, including paritaprevir and glecaprevir, under which the Company has received license payments, proceeds from a sale of preferred stock, research funding payments, milestone payments and royalties totaling approximately $1,188,000 through June 30, 2022. Since the Company satisfied all of its performance obligations under the AbbVie Agreement by the end of fiscal 2011, all milestone payments received since then have been recognized as revenue when the milestones were achieved by AbbVie.</w:t>
      </w:r>
    </w:p>
    <w:p>
      <w:pPr>
        <w:spacing w:after="0" w:line="66" w:lineRule="exact"/>
        <w:rPr>
          <w:sz w:val="20"/>
          <w:szCs w:val="20"/>
          <w:color w:val="auto"/>
        </w:rPr>
      </w:pPr>
    </w:p>
    <w:p>
      <w:pPr>
        <w:ind w:right="160"/>
        <w:spacing w:after="0" w:line="243" w:lineRule="auto"/>
        <w:rPr>
          <w:sz w:val="20"/>
          <w:szCs w:val="20"/>
          <w:color w:val="auto"/>
        </w:rPr>
      </w:pPr>
      <w:r>
        <w:rPr>
          <w:rFonts w:ascii="Arial" w:cs="Arial" w:eastAsia="Arial" w:hAnsi="Arial"/>
          <w:sz w:val="18"/>
          <w:szCs w:val="18"/>
          <w:color w:val="auto"/>
        </w:rPr>
        <w:t>The Company is receiving annually tiered royalties per Company protease product ranging from ten percent up to twenty percent, or on a blended basis from ten percent up to the high teens, on the portion of AbbVie’s calendar year net sales of each HCV regimen that is allocated to the protease inhibitor in the regimen. Beginning with each January 1, the cumulative net sales of a given royalty-bearing protease inhibitor product start at zero for purposes of calculating the tiered royalties on a product-by-product basis.</w:t>
      </w:r>
    </w:p>
    <w:p>
      <w:pPr>
        <w:spacing w:after="0" w:line="292" w:lineRule="exact"/>
        <w:rPr>
          <w:sz w:val="20"/>
          <w:szCs w:val="20"/>
          <w:color w:val="auto"/>
        </w:rPr>
      </w:pPr>
    </w:p>
    <w:p>
      <w:pPr>
        <w:ind w:left="360" w:hanging="352"/>
        <w:spacing w:after="0"/>
        <w:tabs>
          <w:tab w:leader="none" w:pos="3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Series 1 Nonconvertible Preferred Stock</w:t>
      </w:r>
    </w:p>
    <w:p>
      <w:pPr>
        <w:spacing w:after="0" w:line="202"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As of June 30, 2022, 1,930 shares of Series 1 nonconvertible preferred stock were issued and outstanding. Since these shares qualify as a derivative, the outstanding shares are carried at fair value as a liability on the Company’s consolidated balance sheet.</w:t>
      </w:r>
    </w:p>
    <w:p>
      <w:pPr>
        <w:spacing w:after="0" w:line="275" w:lineRule="exact"/>
        <w:rPr>
          <w:sz w:val="20"/>
          <w:szCs w:val="20"/>
          <w:color w:val="auto"/>
        </w:rPr>
      </w:pPr>
    </w:p>
    <w:p>
      <w:pPr>
        <w:ind w:left="360" w:hanging="352"/>
        <w:spacing w:after="0"/>
        <w:tabs>
          <w:tab w:leader="none" w:pos="3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Awards</w:t>
      </w:r>
    </w:p>
    <w:p>
      <w:pPr>
        <w:spacing w:after="0" w:line="108"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The Company grants stock-based awards, including stock options, restricted stock units and other unit awards under its 2019 Equity Incentive Plan (the “2019 Plan”), which was approved by its stockholders on February 28, 2019 and amended in March 2021 and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11" w:name="page12"/>
    <w:bookmarkEnd w:id="11"/>
    <w:p>
      <w:pPr>
        <w:ind w:right="140"/>
        <w:spacing w:after="0" w:line="261" w:lineRule="auto"/>
        <w:rPr>
          <w:sz w:val="20"/>
          <w:szCs w:val="20"/>
          <w:color w:val="auto"/>
        </w:rPr>
      </w:pPr>
      <w:r>
        <w:rPr>
          <w:rFonts w:ascii="Arial" w:cs="Arial" w:eastAsia="Arial" w:hAnsi="Arial"/>
          <w:sz w:val="18"/>
          <w:szCs w:val="18"/>
          <w:color w:val="auto"/>
        </w:rPr>
        <w:t>March 2022. The Company also has outstanding stock option awards under its 2012 Equity Incentive Plan (the “2012 Plan”) and its amended and restated 1995 Equity Incentive Plan (the “1995 Plan”), but is no longer granting awards under these plans.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stock option activity, including performance-based options, for the year-to-date period ending June 30, 2022:</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17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9"/>
              </w:rPr>
              <w:t>Shares</w:t>
            </w:r>
          </w:p>
        </w:tc>
        <w:tc>
          <w:tcPr>
            <w:tcW w:w="260" w:type="dxa"/>
            <w:vAlign w:val="bottom"/>
          </w:tcPr>
          <w:p>
            <w:pPr>
              <w:spacing w:after="0"/>
              <w:rPr>
                <w:sz w:val="14"/>
                <w:szCs w:val="14"/>
                <w:color w:val="auto"/>
              </w:rPr>
            </w:pPr>
          </w:p>
        </w:tc>
        <w:tc>
          <w:tcPr>
            <w:tcW w:w="1140" w:type="dxa"/>
            <w:vAlign w:val="bottom"/>
            <w:vMerge w:val="restart"/>
          </w:tcPr>
          <w:p>
            <w:pPr>
              <w:jc w:val="center"/>
              <w:ind w:right="197"/>
              <w:spacing w:after="0"/>
              <w:rPr>
                <w:sz w:val="20"/>
                <w:szCs w:val="20"/>
                <w:color w:val="auto"/>
              </w:rPr>
            </w:pPr>
            <w:r>
              <w:rPr>
                <w:rFonts w:ascii="Arial" w:cs="Arial" w:eastAsia="Arial" w:hAnsi="Arial"/>
                <w:sz w:val="14"/>
                <w:szCs w:val="14"/>
                <w:b w:val="1"/>
                <w:bCs w:val="1"/>
                <w:color w:val="auto"/>
                <w:w w:val="91"/>
              </w:rPr>
              <w:t>Weighted</w:t>
            </w:r>
          </w:p>
        </w:tc>
        <w:tc>
          <w:tcPr>
            <w:tcW w:w="24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vMerge w:val="restart"/>
          </w:tcPr>
          <w:p>
            <w:pPr>
              <w:jc w:val="center"/>
              <w:ind w:right="119"/>
              <w:spacing w:after="0"/>
              <w:rPr>
                <w:sz w:val="20"/>
                <w:szCs w:val="20"/>
                <w:color w:val="auto"/>
              </w:rPr>
            </w:pPr>
            <w:r>
              <w:rPr>
                <w:rFonts w:ascii="Arial" w:cs="Arial" w:eastAsia="Arial" w:hAnsi="Arial"/>
                <w:sz w:val="14"/>
                <w:szCs w:val="14"/>
                <w:b w:val="1"/>
                <w:bCs w:val="1"/>
                <w:color w:val="auto"/>
                <w:w w:val="92"/>
              </w:rPr>
              <w:t>Aggregate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17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Issuable</w:t>
            </w:r>
          </w:p>
        </w:tc>
        <w:tc>
          <w:tcPr>
            <w:tcW w:w="260" w:type="dxa"/>
            <w:vAlign w:val="bottom"/>
          </w:tcPr>
          <w:p>
            <w:pPr>
              <w:spacing w:after="0"/>
              <w:rPr>
                <w:sz w:val="12"/>
                <w:szCs w:val="12"/>
                <w:color w:val="auto"/>
              </w:rPr>
            </w:pPr>
          </w:p>
        </w:tc>
        <w:tc>
          <w:tcPr>
            <w:tcW w:w="1140" w:type="dxa"/>
            <w:vAlign w:val="bottom"/>
          </w:tcPr>
          <w:p>
            <w:pPr>
              <w:jc w:val="center"/>
              <w:ind w:right="197"/>
              <w:spacing w:after="0" w:line="149" w:lineRule="exact"/>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20" w:type="dxa"/>
            <w:vAlign w:val="bottom"/>
          </w:tcPr>
          <w:p>
            <w:pPr>
              <w:spacing w:after="0"/>
              <w:rPr>
                <w:sz w:val="12"/>
                <w:szCs w:val="12"/>
                <w:color w:val="auto"/>
              </w:rPr>
            </w:pPr>
          </w:p>
        </w:tc>
        <w:tc>
          <w:tcPr>
            <w:tcW w:w="17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8"/>
              </w:rPr>
              <w:t>Under</w:t>
            </w:r>
          </w:p>
        </w:tc>
        <w:tc>
          <w:tcPr>
            <w:tcW w:w="260" w:type="dxa"/>
            <w:vAlign w:val="bottom"/>
          </w:tcPr>
          <w:p>
            <w:pPr>
              <w:spacing w:after="0"/>
              <w:rPr>
                <w:sz w:val="12"/>
                <w:szCs w:val="12"/>
                <w:color w:val="auto"/>
              </w:rPr>
            </w:pPr>
          </w:p>
        </w:tc>
        <w:tc>
          <w:tcPr>
            <w:tcW w:w="1140" w:type="dxa"/>
            <w:vAlign w:val="bottom"/>
          </w:tcPr>
          <w:p>
            <w:pPr>
              <w:jc w:val="center"/>
              <w:ind w:right="177"/>
              <w:spacing w:after="0" w:line="149" w:lineRule="exact"/>
              <w:rPr>
                <w:sz w:val="20"/>
                <w:szCs w:val="20"/>
                <w:color w:val="auto"/>
              </w:rPr>
            </w:pPr>
            <w:r>
              <w:rPr>
                <w:rFonts w:ascii="Arial" w:cs="Arial" w:eastAsia="Arial" w:hAnsi="Arial"/>
                <w:sz w:val="14"/>
                <w:szCs w:val="14"/>
                <w:b w:val="1"/>
                <w:bCs w:val="1"/>
                <w:color w:val="auto"/>
                <w:w w:val="90"/>
              </w:rPr>
              <w:t>Exercise</w:t>
            </w:r>
          </w:p>
        </w:tc>
        <w:tc>
          <w:tcPr>
            <w:tcW w:w="24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jc w:val="center"/>
              <w:ind w:right="119"/>
              <w:spacing w:after="0" w:line="149" w:lineRule="exact"/>
              <w:rPr>
                <w:sz w:val="20"/>
                <w:szCs w:val="20"/>
                <w:color w:val="auto"/>
              </w:rPr>
            </w:pPr>
            <w:r>
              <w:rPr>
                <w:rFonts w:ascii="Arial" w:cs="Arial" w:eastAsia="Arial" w:hAnsi="Arial"/>
                <w:sz w:val="14"/>
                <w:szCs w:val="14"/>
                <w:b w:val="1"/>
                <w:bCs w:val="1"/>
                <w:color w:val="auto"/>
                <w:w w:val="95"/>
              </w:rPr>
              <w:t>Intrinsic</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620" w:type="dxa"/>
            <w:vAlign w:val="bottom"/>
          </w:tcPr>
          <w:p>
            <w:pPr>
              <w:spacing w:after="0"/>
              <w:rPr>
                <w:sz w:val="16"/>
                <w:szCs w:val="16"/>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Options</w:t>
            </w:r>
          </w:p>
        </w:tc>
        <w:tc>
          <w:tcPr>
            <w:tcW w:w="260" w:type="dxa"/>
            <w:vAlign w:val="bottom"/>
          </w:tcPr>
          <w:p>
            <w:pPr>
              <w:spacing w:after="0"/>
              <w:rPr>
                <w:sz w:val="16"/>
                <w:szCs w:val="16"/>
                <w:color w:val="auto"/>
              </w:rPr>
            </w:pPr>
          </w:p>
        </w:tc>
        <w:tc>
          <w:tcPr>
            <w:tcW w:w="1140" w:type="dxa"/>
            <w:vAlign w:val="bottom"/>
          </w:tcPr>
          <w:p>
            <w:pPr>
              <w:jc w:val="center"/>
              <w:ind w:right="177"/>
              <w:spacing w:after="0"/>
              <w:rPr>
                <w:sz w:val="20"/>
                <w:szCs w:val="20"/>
                <w:color w:val="auto"/>
              </w:rPr>
            </w:pPr>
            <w:r>
              <w:rPr>
                <w:rFonts w:ascii="Arial" w:cs="Arial" w:eastAsia="Arial" w:hAnsi="Arial"/>
                <w:sz w:val="14"/>
                <w:szCs w:val="14"/>
                <w:b w:val="1"/>
                <w:bCs w:val="1"/>
                <w:color w:val="auto"/>
                <w:w w:val="93"/>
              </w:rPr>
              <w:t>Price</w:t>
            </w:r>
          </w:p>
        </w:tc>
        <w:tc>
          <w:tcPr>
            <w:tcW w:w="24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3"/>
              </w:rPr>
              <w:t>Term</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center"/>
              <w:ind w:right="99"/>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620" w:type="dxa"/>
            <w:vAlign w:val="bottom"/>
          </w:tcPr>
          <w:p>
            <w:pPr>
              <w:spacing w:after="0"/>
              <w:rPr>
                <w:sz w:val="14"/>
                <w:szCs w:val="14"/>
                <w:color w:val="auto"/>
              </w:rPr>
            </w:pPr>
          </w:p>
        </w:tc>
        <w:tc>
          <w:tcPr>
            <w:tcW w:w="14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2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2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6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Outstanding as of September 30, 2021</w:t>
            </w: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3,852</w:t>
            </w: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48.61</w:t>
            </w:r>
          </w:p>
        </w:tc>
        <w:tc>
          <w:tcPr>
            <w:tcW w:w="17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6.4</w:t>
            </w:r>
          </w:p>
        </w:tc>
        <w:tc>
          <w:tcPr>
            <w:tcW w:w="44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49,173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tcPr>
          <w:p>
            <w:pPr>
              <w:ind w:left="200"/>
              <w:spacing w:after="0" w:line="202" w:lineRule="exact"/>
              <w:rPr>
                <w:sz w:val="20"/>
                <w:szCs w:val="20"/>
                <w:color w:val="auto"/>
              </w:rPr>
            </w:pPr>
            <w:r>
              <w:rPr>
                <w:rFonts w:ascii="Arial" w:cs="Arial" w:eastAsia="Arial" w:hAnsi="Arial"/>
                <w:sz w:val="18"/>
                <w:szCs w:val="18"/>
                <w:color w:val="auto"/>
              </w:rPr>
              <w:t>Granted</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764</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71.97</w:t>
            </w: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Exercised</w:t>
            </w:r>
          </w:p>
        </w:tc>
        <w:tc>
          <w:tcPr>
            <w:tcW w:w="176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(447 )</w:t>
            </w:r>
          </w:p>
        </w:tc>
        <w:tc>
          <w:tcPr>
            <w:tcW w:w="26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41.05</w:t>
            </w:r>
          </w:p>
        </w:tc>
        <w:tc>
          <w:tcPr>
            <w:tcW w:w="24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tcPr>
          <w:p>
            <w:pPr>
              <w:ind w:left="200"/>
              <w:spacing w:after="0" w:line="202" w:lineRule="exact"/>
              <w:rPr>
                <w:sz w:val="20"/>
                <w:szCs w:val="20"/>
                <w:color w:val="auto"/>
              </w:rPr>
            </w:pPr>
            <w:r>
              <w:rPr>
                <w:rFonts w:ascii="Arial" w:cs="Arial" w:eastAsia="Arial" w:hAnsi="Arial"/>
                <w:sz w:val="18"/>
                <w:szCs w:val="18"/>
                <w:color w:val="auto"/>
              </w:rPr>
              <w:t>Forfeited</w:t>
            </w:r>
          </w:p>
        </w:tc>
        <w:tc>
          <w:tcPr>
            <w:tcW w:w="17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(149 )</w:t>
            </w:r>
          </w:p>
        </w:tc>
        <w:tc>
          <w:tcPr>
            <w:tcW w:w="2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67.64</w:t>
            </w: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62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b w:val="1"/>
                <w:bCs w:val="1"/>
                <w:color w:val="auto"/>
              </w:rPr>
              <w:t>Outstanding as of June 30, 2022</w:t>
            </w:r>
          </w:p>
        </w:tc>
        <w:tc>
          <w:tcPr>
            <w:tcW w:w="14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4,020</w:t>
            </w:r>
          </w:p>
        </w:tc>
        <w:tc>
          <w:tcPr>
            <w:tcW w:w="2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53.19</w:t>
            </w:r>
          </w:p>
        </w:tc>
        <w:tc>
          <w:tcPr>
            <w:tcW w:w="1720" w:type="dxa"/>
            <w:vAlign w:val="bottom"/>
            <w:tcBorders>
              <w:bottom w:val="single" w:sz="8" w:color="CFF0FC"/>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6.2</w:t>
            </w:r>
          </w:p>
        </w:tc>
        <w:tc>
          <w:tcPr>
            <w:tcW w:w="440" w:type="dxa"/>
            <w:vAlign w:val="bottom"/>
            <w:tcBorders>
              <w:bottom w:val="single" w:sz="8" w:color="CFF0FC"/>
            </w:tcBorders>
            <w:gridSpan w:val="2"/>
            <w:shd w:val="clear" w:color="auto" w:fill="CFF0FC"/>
          </w:tcPr>
          <w:p>
            <w:pPr>
              <w:jc w:val="right"/>
              <w:ind w:right="80"/>
              <w:spacing w:after="0" w:line="182" w:lineRule="exact"/>
              <w:rPr>
                <w:sz w:val="20"/>
                <w:szCs w:val="20"/>
                <w:color w:val="auto"/>
              </w:rPr>
            </w:pPr>
            <w:r>
              <w:rPr>
                <w:rFonts w:ascii="Arial" w:cs="Arial" w:eastAsia="Arial" w:hAnsi="Arial"/>
                <w:sz w:val="18"/>
                <w:szCs w:val="18"/>
                <w:color w:val="auto"/>
              </w:rPr>
              <w:t>$</w:t>
            </w:r>
          </w:p>
        </w:tc>
        <w:tc>
          <w:tcPr>
            <w:tcW w:w="120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19,959</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43"/>
        </w:trPr>
        <w:tc>
          <w:tcPr>
            <w:tcW w:w="4620" w:type="dxa"/>
            <w:vAlign w:val="bottom"/>
          </w:tcPr>
          <w:p>
            <w:pPr>
              <w:ind w:left="20"/>
              <w:spacing w:after="0" w:line="142" w:lineRule="exact"/>
              <w:rPr>
                <w:sz w:val="20"/>
                <w:szCs w:val="20"/>
                <w:color w:val="auto"/>
              </w:rPr>
            </w:pPr>
            <w:r>
              <w:rPr>
                <w:rFonts w:ascii="Arial" w:cs="Arial" w:eastAsia="Arial" w:hAnsi="Arial"/>
                <w:sz w:val="16"/>
                <w:szCs w:val="16"/>
                <w:b w:val="1"/>
                <w:bCs w:val="1"/>
                <w:color w:val="auto"/>
              </w:rPr>
              <w:t>Options vested and expected to vest as of</w:t>
            </w: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4,020</w:t>
            </w:r>
          </w:p>
        </w:tc>
        <w:tc>
          <w:tcPr>
            <w:tcW w:w="280" w:type="dxa"/>
            <w:vAlign w:val="bottom"/>
          </w:tcPr>
          <w:p>
            <w:pPr>
              <w:spacing w:after="0"/>
              <w:rPr>
                <w:sz w:val="12"/>
                <w:szCs w:val="12"/>
                <w:color w:val="auto"/>
              </w:rPr>
            </w:pP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53.19</w:t>
            </w:r>
          </w:p>
        </w:tc>
        <w:tc>
          <w:tcPr>
            <w:tcW w:w="1720" w:type="dxa"/>
            <w:vAlign w:val="bottom"/>
            <w:gridSpan w:val="2"/>
            <w:vMerge w:val="restart"/>
          </w:tcPr>
          <w:p>
            <w:pPr>
              <w:jc w:val="right"/>
              <w:spacing w:after="0"/>
              <w:rPr>
                <w:sz w:val="20"/>
                <w:szCs w:val="20"/>
                <w:color w:val="auto"/>
              </w:rPr>
            </w:pPr>
            <w:r>
              <w:rPr>
                <w:rFonts w:ascii="Arial" w:cs="Arial" w:eastAsia="Arial" w:hAnsi="Arial"/>
                <w:sz w:val="18"/>
                <w:szCs w:val="18"/>
                <w:color w:val="auto"/>
              </w:rPr>
              <w:t>6.2</w:t>
            </w:r>
          </w:p>
        </w:tc>
        <w:tc>
          <w:tcPr>
            <w:tcW w:w="44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19,959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620" w:type="dxa"/>
            <w:vAlign w:val="bottom"/>
          </w:tcPr>
          <w:p>
            <w:pPr>
              <w:ind w:left="160"/>
              <w:spacing w:after="0" w:line="156" w:lineRule="exact"/>
              <w:rPr>
                <w:sz w:val="20"/>
                <w:szCs w:val="20"/>
                <w:color w:val="auto"/>
              </w:rPr>
            </w:pPr>
            <w:r>
              <w:rPr>
                <w:rFonts w:ascii="Arial" w:cs="Arial" w:eastAsia="Arial" w:hAnsi="Arial"/>
                <w:sz w:val="18"/>
                <w:szCs w:val="18"/>
                <w:b w:val="1"/>
                <w:bCs w:val="1"/>
                <w:color w:val="auto"/>
              </w:rPr>
              <w:t>June 30, 2022</w:t>
            </w:r>
          </w:p>
        </w:tc>
        <w:tc>
          <w:tcPr>
            <w:tcW w:w="1480" w:type="dxa"/>
            <w:vAlign w:val="bottom"/>
            <w:tcBorders>
              <w:bottom w:val="single" w:sz="8" w:color="auto"/>
            </w:tcBorders>
            <w:vMerge w:val="continue"/>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440" w:type="dxa"/>
            <w:vAlign w:val="bottom"/>
            <w:gridSpan w:val="2"/>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2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b w:val="1"/>
                <w:bCs w:val="1"/>
                <w:color w:val="auto"/>
              </w:rPr>
              <w:t>Options exercisable as of June 30, 2022</w:t>
            </w:r>
          </w:p>
        </w:tc>
        <w:tc>
          <w:tcPr>
            <w:tcW w:w="14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2,543</w:t>
            </w:r>
          </w:p>
        </w:tc>
        <w:tc>
          <w:tcPr>
            <w:tcW w:w="2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48.94</w:t>
            </w:r>
          </w:p>
        </w:tc>
        <w:tc>
          <w:tcPr>
            <w:tcW w:w="1720" w:type="dxa"/>
            <w:vAlign w:val="bottom"/>
            <w:tcBorders>
              <w:bottom w:val="single" w:sz="8" w:color="CFF0FC"/>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5.0</w:t>
            </w:r>
          </w:p>
        </w:tc>
        <w:tc>
          <w:tcPr>
            <w:tcW w:w="440" w:type="dxa"/>
            <w:vAlign w:val="bottom"/>
            <w:tcBorders>
              <w:bottom w:val="single" w:sz="8" w:color="CFF0FC"/>
            </w:tcBorders>
            <w:gridSpan w:val="2"/>
            <w:shd w:val="clear" w:color="auto" w:fill="CFF0FC"/>
          </w:tcPr>
          <w:p>
            <w:pPr>
              <w:jc w:val="right"/>
              <w:ind w:right="80"/>
              <w:spacing w:after="0" w:line="182" w:lineRule="exact"/>
              <w:rPr>
                <w:sz w:val="20"/>
                <w:szCs w:val="20"/>
                <w:color w:val="auto"/>
              </w:rPr>
            </w:pPr>
            <w:r>
              <w:rPr>
                <w:rFonts w:ascii="Arial" w:cs="Arial" w:eastAsia="Arial" w:hAnsi="Arial"/>
                <w:sz w:val="18"/>
                <w:szCs w:val="18"/>
                <w:color w:val="auto"/>
              </w:rPr>
              <w:t>$</w:t>
            </w:r>
          </w:p>
        </w:tc>
        <w:tc>
          <w:tcPr>
            <w:tcW w:w="120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18,230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-419735</wp:posOffset>
            </wp:positionV>
            <wp:extent cx="7747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-402590</wp:posOffset>
            </wp:positionV>
            <wp:extent cx="7747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-25400</wp:posOffset>
            </wp:positionV>
            <wp:extent cx="7747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-7620</wp:posOffset>
            </wp:positionV>
            <wp:extent cx="7747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and Performance-Based Stock Unit Awards</w:t>
      </w:r>
    </w:p>
    <w:p>
      <w:pPr>
        <w:spacing w:after="0" w:line="108" w:lineRule="exact"/>
        <w:rPr>
          <w:sz w:val="20"/>
          <w:szCs w:val="20"/>
          <w:color w:val="auto"/>
        </w:rPr>
      </w:pPr>
    </w:p>
    <w:p>
      <w:pPr>
        <w:ind w:right="160"/>
        <w:spacing w:after="0" w:line="262" w:lineRule="auto"/>
        <w:rPr>
          <w:sz w:val="20"/>
          <w:szCs w:val="20"/>
          <w:color w:val="auto"/>
        </w:rPr>
      </w:pPr>
      <w:r>
        <w:rPr>
          <w:rFonts w:ascii="Arial" w:cs="Arial" w:eastAsia="Arial" w:hAnsi="Arial"/>
          <w:sz w:val="17"/>
          <w:szCs w:val="17"/>
          <w:color w:val="auto"/>
        </w:rPr>
        <w:t>The Company awards both performance share units, or PSUs, and relative total stockholder return units, or rTSRUs, to its executive officers. The number of units granted represents the target number of shares of common stock that may be earned; however, the actual number of shares that may be earned ranges from 0% to 150% of the target number. The number of shares cancelled represents the target number of shares, less any shares that vested. The following table summarizes PSU and rTSRU activity for the year-to-date period ending June 30, 2022:</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62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PSUs</w:t>
            </w:r>
          </w:p>
        </w:tc>
        <w:tc>
          <w:tcPr>
            <w:tcW w:w="9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rTSRUs</w:t>
            </w:r>
          </w:p>
        </w:tc>
        <w:tc>
          <w:tcPr>
            <w:tcW w:w="1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6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8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1"/>
              </w:rPr>
              <w:t>Weighted</w:t>
            </w: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tcPr>
          <w:p>
            <w:pPr>
              <w:jc w:val="center"/>
              <w:ind w:right="98"/>
              <w:spacing w:after="0" w:line="133"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jc w:val="center"/>
              <w:ind w:left="343"/>
              <w:spacing w:after="0" w:line="149" w:lineRule="exact"/>
              <w:rPr>
                <w:sz w:val="20"/>
                <w:szCs w:val="20"/>
                <w:color w:val="auto"/>
              </w:rPr>
            </w:pPr>
            <w:r>
              <w:rPr>
                <w:rFonts w:ascii="Arial" w:cs="Arial" w:eastAsia="Arial" w:hAnsi="Arial"/>
                <w:sz w:val="14"/>
                <w:szCs w:val="14"/>
                <w:b w:val="1"/>
                <w:bCs w:val="1"/>
                <w:color w:val="auto"/>
                <w:w w:val="90"/>
              </w:rPr>
              <w:t>Average</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108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Shares</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80" w:type="dxa"/>
            <w:vAlign w:val="bottom"/>
            <w:gridSpan w:val="4"/>
          </w:tcPr>
          <w:p>
            <w:pPr>
              <w:jc w:val="center"/>
              <w:ind w:right="1248"/>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620" w:type="dxa"/>
            <w:vAlign w:val="bottom"/>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Borders>
              <w:bottom w:val="single" w:sz="8" w:color="auto"/>
            </w:tcBorders>
          </w:tcPr>
          <w:p>
            <w:pPr>
              <w:jc w:val="center"/>
              <w:ind w:left="343"/>
              <w:spacing w:after="0"/>
              <w:rPr>
                <w:sz w:val="20"/>
                <w:szCs w:val="20"/>
                <w:color w:val="auto"/>
              </w:rPr>
            </w:pPr>
            <w:r>
              <w:rPr>
                <w:rFonts w:ascii="Arial" w:cs="Arial" w:eastAsia="Arial" w:hAnsi="Arial"/>
                <w:sz w:val="14"/>
                <w:szCs w:val="14"/>
                <w:b w:val="1"/>
                <w:bCs w:val="1"/>
                <w:color w:val="auto"/>
                <w:w w:val="90"/>
              </w:rPr>
              <w:t>Value</w:t>
            </w:r>
          </w:p>
        </w:tc>
        <w:tc>
          <w:tcPr>
            <w:tcW w:w="4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Shares</w:t>
            </w:r>
          </w:p>
        </w:tc>
        <w:tc>
          <w:tcPr>
            <w:tcW w:w="34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6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80" w:type="dxa"/>
            <w:vAlign w:val="bottom"/>
            <w:gridSpan w:val="4"/>
          </w:tcPr>
          <w:p>
            <w:pPr>
              <w:ind w:left="340"/>
              <w:spacing w:after="0"/>
              <w:rPr>
                <w:sz w:val="20"/>
                <w:szCs w:val="20"/>
                <w:color w:val="auto"/>
              </w:rPr>
            </w:pPr>
            <w:r>
              <w:rPr>
                <w:rFonts w:ascii="Arial" w:cs="Arial" w:eastAsia="Arial" w:hAnsi="Arial"/>
                <w:sz w:val="14"/>
                <w:szCs w:val="14"/>
                <w:b w:val="1"/>
                <w:bCs w:val="1"/>
                <w:color w:val="auto"/>
                <w:w w:val="93"/>
              </w:rPr>
              <w:t>(in thousands, except per share data)</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70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Unvested at September 30, 2021</w:t>
            </w:r>
          </w:p>
        </w:tc>
        <w:tc>
          <w:tcPr>
            <w:tcW w:w="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111</w:t>
            </w:r>
          </w:p>
        </w:tc>
        <w:tc>
          <w:tcPr>
            <w:tcW w:w="30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783"/>
              <w:spacing w:after="0" w:line="202" w:lineRule="exact"/>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88"/>
              </w:rPr>
              <w:t>49.31</w:t>
            </w:r>
          </w:p>
        </w:tc>
        <w:tc>
          <w:tcPr>
            <w:tcW w:w="2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111</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31.26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Granted</w:t>
            </w: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33</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w w:val="88"/>
              </w:rPr>
              <w:t>77.39</w:t>
            </w: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33</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54.80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gridSpan w:val="2"/>
            <w:shd w:val="clear" w:color="auto" w:fill="CFF0FC"/>
          </w:tcPr>
          <w:p>
            <w:pPr>
              <w:ind w:left="200"/>
              <w:spacing w:after="0" w:line="202" w:lineRule="exact"/>
              <w:rPr>
                <w:sz w:val="20"/>
                <w:szCs w:val="20"/>
                <w:color w:val="auto"/>
              </w:rPr>
            </w:pPr>
            <w:r>
              <w:rPr>
                <w:rFonts w:ascii="Arial" w:cs="Arial" w:eastAsia="Arial" w:hAnsi="Arial"/>
                <w:sz w:val="18"/>
                <w:szCs w:val="18"/>
                <w:color w:val="auto"/>
              </w:rPr>
              <w:t>Vested</w:t>
            </w:r>
          </w:p>
        </w:tc>
        <w:tc>
          <w:tcPr>
            <w:tcW w:w="70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(5 )</w:t>
            </w:r>
          </w:p>
        </w:tc>
        <w:tc>
          <w:tcPr>
            <w:tcW w:w="96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88"/>
              </w:rPr>
              <w:t>61.59</w:t>
            </w:r>
          </w:p>
        </w:tc>
        <w:tc>
          <w:tcPr>
            <w:tcW w:w="2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60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(18 )</w:t>
            </w:r>
          </w:p>
        </w:tc>
        <w:tc>
          <w:tcPr>
            <w:tcW w:w="18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40.13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tcPr>
          <w:p>
            <w:pPr>
              <w:ind w:left="200"/>
              <w:spacing w:after="0" w:line="202" w:lineRule="exact"/>
              <w:rPr>
                <w:sz w:val="20"/>
                <w:szCs w:val="20"/>
                <w:color w:val="auto"/>
              </w:rPr>
            </w:pPr>
            <w:r>
              <w:rPr>
                <w:rFonts w:ascii="Arial" w:cs="Arial" w:eastAsia="Arial" w:hAnsi="Arial"/>
                <w:sz w:val="18"/>
                <w:szCs w:val="18"/>
                <w:color w:val="auto"/>
              </w:rPr>
              <w:t>Cancelled</w:t>
            </w:r>
          </w:p>
        </w:tc>
        <w:tc>
          <w:tcPr>
            <w:tcW w:w="1080" w:type="dxa"/>
            <w:vAlign w:val="bottom"/>
          </w:tcPr>
          <w:p>
            <w:pPr>
              <w:spacing w:after="0"/>
              <w:rPr>
                <w:sz w:val="17"/>
                <w:szCs w:val="17"/>
                <w:color w:val="auto"/>
              </w:rPr>
            </w:pPr>
          </w:p>
        </w:tc>
        <w:tc>
          <w:tcPr>
            <w:tcW w:w="7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(41 )</w:t>
            </w:r>
          </w:p>
        </w:tc>
        <w:tc>
          <w:tcPr>
            <w:tcW w:w="96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w w:val="88"/>
              </w:rPr>
              <w:t>39.55</w:t>
            </w: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(28 )</w:t>
            </w:r>
          </w:p>
        </w:tc>
        <w:tc>
          <w:tcPr>
            <w:tcW w:w="18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18.62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62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b w:val="1"/>
                <w:bCs w:val="1"/>
                <w:color w:val="auto"/>
              </w:rPr>
              <w:t>Unvested at June 30, 2022</w:t>
            </w:r>
          </w:p>
        </w:tc>
        <w:tc>
          <w:tcPr>
            <w:tcW w:w="1080" w:type="dxa"/>
            <w:vAlign w:val="bottom"/>
            <w:tcBorders>
              <w:top w:val="single" w:sz="8" w:color="auto"/>
              <w:bottom w:val="single" w:sz="8" w:color="auto"/>
            </w:tcBorders>
            <w:shd w:val="clear" w:color="auto" w:fill="CFF0FC"/>
          </w:tcPr>
          <w:p>
            <w:pPr>
              <w:spacing w:after="0"/>
              <w:rPr>
                <w:sz w:val="20"/>
                <w:szCs w:val="20"/>
                <w:color w:val="auto"/>
              </w:rPr>
            </w:pPr>
          </w:p>
        </w:tc>
        <w:tc>
          <w:tcPr>
            <w:tcW w:w="4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98</w:t>
            </w:r>
          </w:p>
        </w:tc>
        <w:tc>
          <w:tcPr>
            <w:tcW w:w="300" w:type="dxa"/>
            <w:vAlign w:val="bottom"/>
            <w:tcBorders>
              <w:bottom w:val="single" w:sz="8" w:color="CFF0FC"/>
            </w:tcBorders>
            <w:shd w:val="clear" w:color="auto" w:fill="CFF0FC"/>
          </w:tcPr>
          <w:p>
            <w:pPr>
              <w:spacing w:after="0"/>
              <w:rPr>
                <w:sz w:val="20"/>
                <w:szCs w:val="20"/>
                <w:color w:val="auto"/>
              </w:rPr>
            </w:pPr>
          </w:p>
        </w:tc>
        <w:tc>
          <w:tcPr>
            <w:tcW w:w="960" w:type="dxa"/>
            <w:vAlign w:val="bottom"/>
            <w:tcBorders>
              <w:bottom w:val="single" w:sz="8" w:color="CFF0FC"/>
            </w:tcBorders>
            <w:shd w:val="clear" w:color="auto" w:fill="CFF0FC"/>
          </w:tcPr>
          <w:p>
            <w:pPr>
              <w:jc w:val="right"/>
              <w:ind w:right="783"/>
              <w:spacing w:after="0" w:line="182" w:lineRule="exact"/>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88"/>
              </w:rPr>
              <w:t>53.95</w:t>
            </w:r>
          </w:p>
        </w:tc>
        <w:tc>
          <w:tcPr>
            <w:tcW w:w="26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top w:val="single" w:sz="8" w:color="auto"/>
              <w:bottom w:val="single" w:sz="8" w:color="auto"/>
            </w:tcBorders>
            <w:shd w:val="clear" w:color="auto" w:fill="CFF0FC"/>
          </w:tcPr>
          <w:p>
            <w:pPr>
              <w:spacing w:after="0"/>
              <w:rPr>
                <w:sz w:val="20"/>
                <w:szCs w:val="20"/>
                <w:color w:val="auto"/>
              </w:rPr>
            </w:pPr>
          </w:p>
        </w:tc>
        <w:tc>
          <w:tcPr>
            <w:tcW w:w="3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98</w:t>
            </w:r>
          </w:p>
        </w:tc>
        <w:tc>
          <w:tcPr>
            <w:tcW w:w="2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35.57</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-25400</wp:posOffset>
            </wp:positionV>
            <wp:extent cx="7683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-8255</wp:posOffset>
            </wp:positionV>
            <wp:extent cx="7683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-25400</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-8255</wp:posOffset>
            </wp:positionV>
            <wp:extent cx="68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restricted stock unit activity for the year-to-date period ending June 30, 2022:</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60" w:type="dxa"/>
            <w:vAlign w:val="bottom"/>
          </w:tcPr>
          <w:p>
            <w:pPr>
              <w:jc w:val="center"/>
              <w:ind w:left="402"/>
              <w:spacing w:after="0"/>
              <w:rPr>
                <w:sz w:val="20"/>
                <w:szCs w:val="20"/>
                <w:color w:val="auto"/>
              </w:rPr>
            </w:pPr>
            <w:r>
              <w:rPr>
                <w:rFonts w:ascii="Arial" w:cs="Arial" w:eastAsia="Arial" w:hAnsi="Arial"/>
                <w:sz w:val="14"/>
                <w:szCs w:val="14"/>
                <w:b w:val="1"/>
                <w:bCs w:val="1"/>
                <w:color w:val="auto"/>
                <w:w w:val="95"/>
              </w:rPr>
              <w:t>Weighted</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580" w:type="dxa"/>
            <w:vAlign w:val="bottom"/>
          </w:tcPr>
          <w:p>
            <w:pPr>
              <w:spacing w:after="0"/>
              <w:rPr>
                <w:sz w:val="12"/>
                <w:szCs w:val="12"/>
                <w:color w:val="auto"/>
              </w:rPr>
            </w:pPr>
          </w:p>
        </w:tc>
        <w:tc>
          <w:tcPr>
            <w:tcW w:w="1720" w:type="dxa"/>
            <w:vAlign w:val="bottom"/>
            <w:vMerge w:val="restart"/>
          </w:tcPr>
          <w:p>
            <w:pPr>
              <w:jc w:val="center"/>
              <w:ind w:left="348"/>
              <w:spacing w:after="0"/>
              <w:rPr>
                <w:sz w:val="20"/>
                <w:szCs w:val="20"/>
                <w:color w:val="auto"/>
              </w:rPr>
            </w:pPr>
            <w:r>
              <w:rPr>
                <w:rFonts w:ascii="Arial" w:cs="Arial" w:eastAsia="Arial" w:hAnsi="Arial"/>
                <w:sz w:val="14"/>
                <w:szCs w:val="14"/>
                <w:b w:val="1"/>
                <w:bCs w:val="1"/>
                <w:color w:val="auto"/>
                <w:w w:val="92"/>
              </w:rPr>
              <w:t>Restricted Stock</w:t>
            </w: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60" w:type="dxa"/>
            <w:vAlign w:val="bottom"/>
          </w:tcPr>
          <w:p>
            <w:pPr>
              <w:jc w:val="center"/>
              <w:ind w:left="402"/>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80" w:type="dxa"/>
            <w:vAlign w:val="bottom"/>
          </w:tcPr>
          <w:p>
            <w:pPr>
              <w:spacing w:after="0"/>
              <w:rPr>
                <w:sz w:val="12"/>
                <w:szCs w:val="12"/>
                <w:color w:val="auto"/>
              </w:rPr>
            </w:pPr>
          </w:p>
        </w:tc>
        <w:tc>
          <w:tcPr>
            <w:tcW w:w="172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60" w:type="dxa"/>
            <w:vAlign w:val="bottom"/>
          </w:tcPr>
          <w:p>
            <w:pPr>
              <w:jc w:val="center"/>
              <w:ind w:left="402"/>
              <w:spacing w:after="0" w:line="149" w:lineRule="exact"/>
              <w:rPr>
                <w:sz w:val="20"/>
                <w:szCs w:val="20"/>
                <w:color w:val="auto"/>
              </w:rPr>
            </w:pPr>
            <w:r>
              <w:rPr>
                <w:rFonts w:ascii="Arial" w:cs="Arial" w:eastAsia="Arial" w:hAnsi="Arial"/>
                <w:sz w:val="14"/>
                <w:szCs w:val="14"/>
                <w:b w:val="1"/>
                <w:bCs w:val="1"/>
                <w:color w:val="auto"/>
              </w:rPr>
              <w:t>Date Fair</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6580" w:type="dxa"/>
            <w:vAlign w:val="bottom"/>
          </w:tcPr>
          <w:p>
            <w:pPr>
              <w:spacing w:after="0"/>
              <w:rPr>
                <w:sz w:val="16"/>
                <w:szCs w:val="16"/>
                <w:color w:val="auto"/>
              </w:rPr>
            </w:pPr>
          </w:p>
        </w:tc>
        <w:tc>
          <w:tcPr>
            <w:tcW w:w="1720" w:type="dxa"/>
            <w:vAlign w:val="bottom"/>
            <w:tcBorders>
              <w:bottom w:val="single" w:sz="8" w:color="auto"/>
            </w:tcBorders>
          </w:tcPr>
          <w:p>
            <w:pPr>
              <w:jc w:val="center"/>
              <w:ind w:left="368"/>
              <w:spacing w:after="0"/>
              <w:rPr>
                <w:sz w:val="20"/>
                <w:szCs w:val="20"/>
                <w:color w:val="auto"/>
              </w:rPr>
            </w:pPr>
            <w:r>
              <w:rPr>
                <w:rFonts w:ascii="Arial" w:cs="Arial" w:eastAsia="Arial" w:hAnsi="Arial"/>
                <w:sz w:val="14"/>
                <w:szCs w:val="14"/>
                <w:b w:val="1"/>
                <w:bCs w:val="1"/>
                <w:color w:val="auto"/>
                <w:w w:val="91"/>
              </w:rPr>
              <w:t>Units</w:t>
            </w:r>
          </w:p>
        </w:tc>
        <w:tc>
          <w:tcPr>
            <w:tcW w:w="44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tcBorders>
              <w:bottom w:val="single" w:sz="8" w:color="auto"/>
            </w:tcBorders>
          </w:tcPr>
          <w:p>
            <w:pPr>
              <w:jc w:val="center"/>
              <w:ind w:left="442"/>
              <w:spacing w:after="0"/>
              <w:rPr>
                <w:sz w:val="20"/>
                <w:szCs w:val="20"/>
                <w:color w:val="auto"/>
              </w:rPr>
            </w:pPr>
            <w:r>
              <w:rPr>
                <w:rFonts w:ascii="Arial" w:cs="Arial" w:eastAsia="Arial" w:hAnsi="Arial"/>
                <w:sz w:val="14"/>
                <w:szCs w:val="14"/>
                <w:b w:val="1"/>
                <w:bCs w:val="1"/>
                <w:color w:val="auto"/>
                <w:w w:val="96"/>
              </w:rPr>
              <w:t>Value</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580" w:type="dxa"/>
            <w:vAlign w:val="bottom"/>
          </w:tcPr>
          <w:p>
            <w:pPr>
              <w:spacing w:after="0"/>
              <w:rPr>
                <w:sz w:val="19"/>
                <w:szCs w:val="19"/>
                <w:color w:val="auto"/>
              </w:rPr>
            </w:pPr>
          </w:p>
        </w:tc>
        <w:tc>
          <w:tcPr>
            <w:tcW w:w="4040" w:type="dxa"/>
            <w:vAlign w:val="bottom"/>
            <w:gridSpan w:val="4"/>
          </w:tcPr>
          <w:p>
            <w:pPr>
              <w:jc w:val="right"/>
              <w:ind w:right="562"/>
              <w:spacing w:after="0"/>
              <w:rPr>
                <w:sz w:val="20"/>
                <w:szCs w:val="20"/>
                <w:color w:val="auto"/>
              </w:rPr>
            </w:pPr>
            <w:r>
              <w:rPr>
                <w:rFonts w:ascii="Arial" w:cs="Arial" w:eastAsia="Arial" w:hAnsi="Arial"/>
                <w:sz w:val="14"/>
                <w:szCs w:val="14"/>
                <w:b w:val="1"/>
                <w:bCs w:val="1"/>
                <w:color w:val="auto"/>
              </w:rPr>
              <w:t>(in thousands, except per share data)</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830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Unvested at September 30, 2021</w:t>
            </w:r>
          </w:p>
        </w:tc>
        <w:tc>
          <w:tcPr>
            <w:tcW w:w="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117</w:t>
            </w:r>
          </w:p>
        </w:tc>
        <w:tc>
          <w:tcPr>
            <w:tcW w:w="320" w:type="dxa"/>
            <w:vAlign w:val="bottom"/>
            <w:shd w:val="clear" w:color="auto" w:fill="CFF0FC"/>
          </w:tcPr>
          <w:p>
            <w:pPr>
              <w:spacing w:after="0"/>
              <w:rPr>
                <w:sz w:val="17"/>
                <w:szCs w:val="17"/>
                <w:color w:val="auto"/>
              </w:rPr>
            </w:pPr>
          </w:p>
        </w:tc>
        <w:tc>
          <w:tcPr>
            <w:tcW w:w="1560" w:type="dxa"/>
            <w:vAlign w:val="bottom"/>
            <w:shd w:val="clear" w:color="auto" w:fill="CFF0FC"/>
          </w:tcPr>
          <w:p>
            <w:pPr>
              <w:jc w:val="right"/>
              <w:ind w:right="1362"/>
              <w:spacing w:after="0" w:line="202" w:lineRule="exact"/>
              <w:rPr>
                <w:sz w:val="20"/>
                <w:szCs w:val="20"/>
                <w:color w:val="auto"/>
              </w:rPr>
            </w:pPr>
            <w:r>
              <w:rPr>
                <w:rFonts w:ascii="Arial" w:cs="Arial" w:eastAsia="Arial" w:hAnsi="Arial"/>
                <w:sz w:val="18"/>
                <w:szCs w:val="18"/>
                <w:color w:val="auto"/>
                <w:w w:val="99"/>
              </w:rPr>
              <w:t>$</w:t>
            </w:r>
          </w:p>
        </w:tc>
        <w:tc>
          <w:tcPr>
            <w:tcW w:w="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43.57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0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Granted</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138</w:t>
            </w:r>
          </w:p>
        </w:tc>
        <w:tc>
          <w:tcPr>
            <w:tcW w:w="3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75.33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00" w:type="dxa"/>
            <w:vAlign w:val="bottom"/>
            <w:gridSpan w:val="2"/>
            <w:shd w:val="clear" w:color="auto" w:fill="CFF0FC"/>
          </w:tcPr>
          <w:p>
            <w:pPr>
              <w:ind w:left="200"/>
              <w:spacing w:after="0" w:line="202" w:lineRule="exact"/>
              <w:rPr>
                <w:sz w:val="20"/>
                <w:szCs w:val="20"/>
                <w:color w:val="auto"/>
              </w:rPr>
            </w:pPr>
            <w:r>
              <w:rPr>
                <w:rFonts w:ascii="Arial" w:cs="Arial" w:eastAsia="Arial" w:hAnsi="Arial"/>
                <w:sz w:val="18"/>
                <w:szCs w:val="18"/>
                <w:color w:val="auto"/>
              </w:rPr>
              <w:t>Vested</w:t>
            </w:r>
          </w:p>
        </w:tc>
        <w:tc>
          <w:tcPr>
            <w:tcW w:w="76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(29 )</w:t>
            </w:r>
          </w:p>
        </w:tc>
        <w:tc>
          <w:tcPr>
            <w:tcW w:w="156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43.57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80" w:type="dxa"/>
            <w:vAlign w:val="bottom"/>
          </w:tcPr>
          <w:p>
            <w:pPr>
              <w:ind w:left="200"/>
              <w:spacing w:after="0" w:line="202" w:lineRule="exact"/>
              <w:rPr>
                <w:sz w:val="20"/>
                <w:szCs w:val="20"/>
                <w:color w:val="auto"/>
              </w:rPr>
            </w:pPr>
            <w:r>
              <w:rPr>
                <w:rFonts w:ascii="Arial" w:cs="Arial" w:eastAsia="Arial" w:hAnsi="Arial"/>
                <w:sz w:val="18"/>
                <w:szCs w:val="18"/>
                <w:color w:val="auto"/>
              </w:rPr>
              <w:t>Cancelled</w:t>
            </w:r>
          </w:p>
        </w:tc>
        <w:tc>
          <w:tcPr>
            <w:tcW w:w="1720" w:type="dxa"/>
            <w:vAlign w:val="bottom"/>
          </w:tcPr>
          <w:p>
            <w:pPr>
              <w:spacing w:after="0"/>
              <w:rPr>
                <w:sz w:val="17"/>
                <w:szCs w:val="17"/>
                <w:color w:val="auto"/>
              </w:rPr>
            </w:pPr>
          </w:p>
        </w:tc>
        <w:tc>
          <w:tcPr>
            <w:tcW w:w="7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(25 )</w:t>
            </w:r>
          </w:p>
        </w:tc>
        <w:tc>
          <w:tcPr>
            <w:tcW w:w="156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59.86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58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b w:val="1"/>
                <w:bCs w:val="1"/>
                <w:color w:val="auto"/>
              </w:rPr>
              <w:t>Unvested at June 30, 2022</w:t>
            </w:r>
          </w:p>
        </w:tc>
        <w:tc>
          <w:tcPr>
            <w:tcW w:w="1720" w:type="dxa"/>
            <w:vAlign w:val="bottom"/>
            <w:tcBorders>
              <w:top w:val="single" w:sz="8" w:color="auto"/>
              <w:bottom w:val="single" w:sz="8" w:color="auto"/>
            </w:tcBorders>
            <w:shd w:val="clear" w:color="auto" w:fill="CFF0FC"/>
          </w:tcPr>
          <w:p>
            <w:pPr>
              <w:spacing w:after="0"/>
              <w:rPr>
                <w:sz w:val="20"/>
                <w:szCs w:val="20"/>
                <w:color w:val="auto"/>
              </w:rPr>
            </w:pPr>
          </w:p>
        </w:tc>
        <w:tc>
          <w:tcPr>
            <w:tcW w:w="4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201</w:t>
            </w:r>
          </w:p>
        </w:tc>
        <w:tc>
          <w:tcPr>
            <w:tcW w:w="320" w:type="dxa"/>
            <w:vAlign w:val="bottom"/>
            <w:tcBorders>
              <w:bottom w:val="single" w:sz="8" w:color="CFF0FC"/>
            </w:tcBorders>
            <w:shd w:val="clear" w:color="auto" w:fill="CFF0FC"/>
          </w:tcPr>
          <w:p>
            <w:pPr>
              <w:spacing w:after="0"/>
              <w:rPr>
                <w:sz w:val="20"/>
                <w:szCs w:val="20"/>
                <w:color w:val="auto"/>
              </w:rPr>
            </w:pPr>
          </w:p>
        </w:tc>
        <w:tc>
          <w:tcPr>
            <w:tcW w:w="1560" w:type="dxa"/>
            <w:vAlign w:val="bottom"/>
            <w:tcBorders>
              <w:bottom w:val="single" w:sz="8" w:color="CFF0FC"/>
            </w:tcBorders>
            <w:shd w:val="clear" w:color="auto" w:fill="CFF0FC"/>
          </w:tcPr>
          <w:p>
            <w:pPr>
              <w:jc w:val="right"/>
              <w:ind w:right="1362"/>
              <w:spacing w:after="0" w:line="182" w:lineRule="exact"/>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63.29</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615"/>
        </w:trPr>
        <w:tc>
          <w:tcPr>
            <w:tcW w:w="6580" w:type="dxa"/>
            <w:vAlign w:val="bottom"/>
          </w:tcPr>
          <w:p>
            <w:pPr>
              <w:ind w:left="5540"/>
              <w:spacing w:after="0"/>
              <w:rPr>
                <w:sz w:val="20"/>
                <w:szCs w:val="20"/>
                <w:color w:val="auto"/>
              </w:rPr>
            </w:pPr>
            <w:r>
              <w:rPr>
                <w:rFonts w:ascii="Arial" w:cs="Arial" w:eastAsia="Arial" w:hAnsi="Arial"/>
                <w:sz w:val="18"/>
                <w:szCs w:val="18"/>
                <w:color w:val="auto"/>
              </w:rPr>
              <w:t>12</w:t>
            </w:r>
          </w:p>
        </w:tc>
        <w:tc>
          <w:tcPr>
            <w:tcW w:w="1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6580" w:type="dxa"/>
            <w:vAlign w:val="bottom"/>
            <w:tcBorders>
              <w:bottom w:val="single" w:sz="8" w:color="9A9A9A"/>
            </w:tcBorders>
          </w:tcPr>
          <w:p>
            <w:pPr>
              <w:spacing w:after="0"/>
              <w:rPr>
                <w:sz w:val="8"/>
                <w:szCs w:val="8"/>
                <w:color w:val="auto"/>
              </w:rPr>
            </w:pPr>
          </w:p>
        </w:tc>
        <w:tc>
          <w:tcPr>
            <w:tcW w:w="172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56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5551170</wp:posOffset>
            </wp:positionH>
            <wp:positionV relativeFrom="paragraph">
              <wp:posOffset>-505460</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-488315</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Stock-Based Compensation Expense</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During the three and nine months ended June 30, 2022 and 2021 the Company recognized the following stock-based compensation expense:</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20" w:type="dxa"/>
            <w:vAlign w:val="bottom"/>
            <w:gridSpan w:val="3"/>
          </w:tcPr>
          <w:p>
            <w:pPr>
              <w:jc w:val="center"/>
              <w:ind w:right="279"/>
              <w:spacing w:after="0"/>
              <w:rPr>
                <w:sz w:val="20"/>
                <w:szCs w:val="20"/>
                <w:color w:val="auto"/>
              </w:rPr>
            </w:pPr>
            <w:r>
              <w:rPr>
                <w:rFonts w:ascii="Arial" w:cs="Arial" w:eastAsia="Arial" w:hAnsi="Arial"/>
                <w:sz w:val="14"/>
                <w:szCs w:val="14"/>
                <w:b w:val="1"/>
                <w:bCs w:val="1"/>
                <w:color w:val="auto"/>
                <w:w w:val="95"/>
              </w:rPr>
              <w:t>Three Months Ended</w:t>
            </w: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60" w:type="dxa"/>
            <w:vAlign w:val="bottom"/>
            <w:gridSpan w:val="3"/>
          </w:tcPr>
          <w:p>
            <w:pPr>
              <w:jc w:val="center"/>
              <w:ind w:left="398"/>
              <w:spacing w:after="0"/>
              <w:rPr>
                <w:sz w:val="20"/>
                <w:szCs w:val="20"/>
                <w:color w:val="auto"/>
              </w:rPr>
            </w:pPr>
            <w:r>
              <w:rPr>
                <w:rFonts w:ascii="Arial" w:cs="Arial" w:eastAsia="Arial" w:hAnsi="Arial"/>
                <w:sz w:val="14"/>
                <w:szCs w:val="14"/>
                <w:b w:val="1"/>
                <w:bCs w:val="1"/>
                <w:color w:val="auto"/>
                <w:w w:val="94"/>
              </w:rPr>
              <w:t>Nine Months Ended</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47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center"/>
              <w:ind w:right="279"/>
              <w:spacing w:after="0"/>
              <w:rPr>
                <w:sz w:val="20"/>
                <w:szCs w:val="20"/>
                <w:color w:val="auto"/>
              </w:rPr>
            </w:pPr>
            <w:r>
              <w:rPr>
                <w:rFonts w:ascii="Arial" w:cs="Arial" w:eastAsia="Arial" w:hAnsi="Arial"/>
                <w:sz w:val="14"/>
                <w:szCs w:val="14"/>
                <w:b w:val="1"/>
                <w:bCs w:val="1"/>
                <w:color w:val="auto"/>
                <w:w w:val="92"/>
              </w:rPr>
              <w:t>June 30,</w:t>
            </w:r>
          </w:p>
        </w:tc>
        <w:tc>
          <w:tcPr>
            <w:tcW w:w="5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center"/>
              <w:ind w:left="398"/>
              <w:spacing w:after="0"/>
              <w:rPr>
                <w:sz w:val="20"/>
                <w:szCs w:val="20"/>
                <w:color w:val="auto"/>
              </w:rPr>
            </w:pPr>
            <w:r>
              <w:rPr>
                <w:rFonts w:ascii="Arial" w:cs="Arial" w:eastAsia="Arial" w:hAnsi="Arial"/>
                <w:sz w:val="14"/>
                <w:szCs w:val="14"/>
                <w:b w:val="1"/>
                <w:bCs w:val="1"/>
                <w:color w:val="auto"/>
                <w:w w:val="92"/>
              </w:rPr>
              <w:t>June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70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4"/>
                <w:szCs w:val="14"/>
                <w:color w:val="auto"/>
              </w:rPr>
            </w:pPr>
          </w:p>
        </w:tc>
      </w:tr>
      <w:tr>
        <w:trPr>
          <w:trHeight w:val="169"/>
        </w:trPr>
        <w:tc>
          <w:tcPr>
            <w:tcW w:w="4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00" w:type="dxa"/>
            <w:vAlign w:val="bottom"/>
          </w:tcPr>
          <w:p>
            <w:pPr>
              <w:jc w:val="right"/>
              <w:ind w:right="54"/>
              <w:spacing w:after="0"/>
              <w:rPr>
                <w:sz w:val="20"/>
                <w:szCs w:val="20"/>
                <w:color w:val="auto"/>
              </w:rPr>
            </w:pPr>
            <w:r>
              <w:rPr>
                <w:rFonts w:ascii="Arial" w:cs="Arial" w:eastAsia="Arial" w:hAnsi="Arial"/>
                <w:sz w:val="14"/>
                <w:szCs w:val="14"/>
                <w:b w:val="1"/>
                <w:bCs w:val="1"/>
                <w:color w:val="auto"/>
              </w:rPr>
              <w:t>(in</w:t>
            </w:r>
          </w:p>
        </w:tc>
        <w:tc>
          <w:tcPr>
            <w:tcW w:w="680" w:type="dxa"/>
            <w:vAlign w:val="bottom"/>
            <w:gridSpan w:val="2"/>
          </w:tcPr>
          <w:p>
            <w:pPr>
              <w:jc w:val="center"/>
              <w:ind w:right="10"/>
              <w:spacing w:after="0"/>
              <w:rPr>
                <w:sz w:val="20"/>
                <w:szCs w:val="20"/>
                <w:color w:val="auto"/>
              </w:rPr>
            </w:pPr>
            <w:r>
              <w:rPr>
                <w:rFonts w:ascii="Arial" w:cs="Arial" w:eastAsia="Arial" w:hAnsi="Arial"/>
                <w:sz w:val="14"/>
                <w:szCs w:val="14"/>
                <w:b w:val="1"/>
                <w:bCs w:val="1"/>
                <w:color w:val="auto"/>
                <w:w w:val="76"/>
              </w:rPr>
              <w:t>thousands)</w:t>
            </w: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3"/>
        </w:trPr>
        <w:tc>
          <w:tcPr>
            <w:tcW w:w="47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Research and development</w:t>
            </w:r>
          </w:p>
        </w:tc>
        <w:tc>
          <w:tcPr>
            <w:tcW w:w="860" w:type="dxa"/>
            <w:vAlign w:val="bottom"/>
            <w:shd w:val="clear" w:color="auto" w:fill="CFF0FC"/>
          </w:tcPr>
          <w:p>
            <w:pPr>
              <w:jc w:val="right"/>
              <w:ind w:right="676"/>
              <w:spacing w:after="0" w:line="202" w:lineRule="exact"/>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2,202</w:t>
            </w:r>
          </w:p>
        </w:tc>
        <w:tc>
          <w:tcPr>
            <w:tcW w:w="1180" w:type="dxa"/>
            <w:vAlign w:val="bottom"/>
            <w:gridSpan w:val="2"/>
            <w:shd w:val="clear" w:color="auto" w:fill="CFF0FC"/>
          </w:tcPr>
          <w:p>
            <w:pPr>
              <w:jc w:val="right"/>
              <w:ind w:right="719"/>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2,569</w:t>
            </w:r>
          </w:p>
        </w:tc>
        <w:tc>
          <w:tcPr>
            <w:tcW w:w="680" w:type="dxa"/>
            <w:vAlign w:val="bottom"/>
            <w:gridSpan w:val="2"/>
            <w:shd w:val="clear" w:color="auto" w:fill="CFF0FC"/>
          </w:tcPr>
          <w:p>
            <w:pPr>
              <w:jc w:val="center"/>
              <w:spacing w:after="0" w:line="202" w:lineRule="exact"/>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7,496</w:t>
            </w:r>
          </w:p>
        </w:tc>
        <w:tc>
          <w:tcPr>
            <w:tcW w:w="820" w:type="dxa"/>
            <w:vAlign w:val="bottom"/>
            <w:gridSpan w:val="2"/>
            <w:shd w:val="clear" w:color="auto" w:fill="CFF0FC"/>
          </w:tcPr>
          <w:p>
            <w:pPr>
              <w:jc w:val="right"/>
              <w:ind w:right="37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7,525</w:t>
            </w:r>
          </w:p>
        </w:tc>
        <w:tc>
          <w:tcPr>
            <w:tcW w:w="100" w:type="dxa"/>
            <w:vAlign w:val="bottom"/>
            <w:shd w:val="clear" w:color="auto" w:fill="CFF0FC"/>
          </w:tcPr>
          <w:p>
            <w:pPr>
              <w:spacing w:after="0"/>
              <w:rPr>
                <w:sz w:val="17"/>
                <w:szCs w:val="17"/>
                <w:color w:val="auto"/>
              </w:rPr>
            </w:pPr>
          </w:p>
        </w:tc>
      </w:tr>
      <w:tr>
        <w:trPr>
          <w:trHeight w:val="203"/>
        </w:trPr>
        <w:tc>
          <w:tcPr>
            <w:tcW w:w="4700" w:type="dxa"/>
            <w:vAlign w:val="bottom"/>
          </w:tcPr>
          <w:p>
            <w:pPr>
              <w:ind w:left="20"/>
              <w:spacing w:after="0" w:line="202" w:lineRule="exact"/>
              <w:rPr>
                <w:sz w:val="20"/>
                <w:szCs w:val="20"/>
                <w:color w:val="auto"/>
              </w:rPr>
            </w:pPr>
            <w:r>
              <w:rPr>
                <w:rFonts w:ascii="Arial" w:cs="Arial" w:eastAsia="Arial" w:hAnsi="Arial"/>
                <w:sz w:val="18"/>
                <w:szCs w:val="18"/>
                <w:color w:val="auto"/>
              </w:rPr>
              <w:t>General and administrative</w:t>
            </w:r>
          </w:p>
        </w:tc>
        <w:tc>
          <w:tcPr>
            <w:tcW w:w="8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5,401</w:t>
            </w:r>
          </w:p>
        </w:tc>
        <w:tc>
          <w:tcPr>
            <w:tcW w:w="28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2,906</w:t>
            </w:r>
          </w:p>
        </w:tc>
        <w:tc>
          <w:tcPr>
            <w:tcW w:w="24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12,640</w:t>
            </w:r>
          </w:p>
        </w:tc>
        <w:tc>
          <w:tcPr>
            <w:tcW w:w="24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8,113</w:t>
            </w:r>
          </w:p>
        </w:tc>
        <w:tc>
          <w:tcPr>
            <w:tcW w:w="100" w:type="dxa"/>
            <w:vAlign w:val="bottom"/>
          </w:tcPr>
          <w:p>
            <w:pPr>
              <w:spacing w:after="0"/>
              <w:rPr>
                <w:sz w:val="17"/>
                <w:szCs w:val="17"/>
                <w:color w:val="auto"/>
              </w:rPr>
            </w:pPr>
          </w:p>
        </w:tc>
      </w:tr>
      <w:tr>
        <w:trPr>
          <w:trHeight w:val="236"/>
        </w:trPr>
        <w:tc>
          <w:tcPr>
            <w:tcW w:w="4700" w:type="dxa"/>
            <w:vAlign w:val="bottom"/>
            <w:tcBorders>
              <w:bottom w:val="single" w:sz="8" w:color="CFF0FC"/>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ind w:right="676"/>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7,603</w:t>
            </w:r>
          </w:p>
        </w:tc>
        <w:tc>
          <w:tcPr>
            <w:tcW w:w="280" w:type="dxa"/>
            <w:vAlign w:val="bottom"/>
            <w:tcBorders>
              <w:bottom w:val="single" w:sz="8" w:color="CFF0FC"/>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ind w:right="719"/>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5,475</w:t>
            </w:r>
          </w:p>
        </w:tc>
        <w:tc>
          <w:tcPr>
            <w:tcW w:w="24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jc w:val="center"/>
              <w:ind w:right="210"/>
              <w:spacing w:after="0" w:line="196" w:lineRule="exact"/>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20,136</w:t>
            </w:r>
          </w:p>
        </w:tc>
        <w:tc>
          <w:tcPr>
            <w:tcW w:w="240" w:type="dxa"/>
            <w:vAlign w:val="bottom"/>
            <w:tcBorders>
              <w:bottom w:val="single" w:sz="8" w:color="CFF0FC"/>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ind w:right="370"/>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15,638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322"/>
        </w:trPr>
        <w:tc>
          <w:tcPr>
            <w:tcW w:w="4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720" w:type="dxa"/>
            <w:vAlign w:val="bottom"/>
            <w:gridSpan w:val="3"/>
          </w:tcPr>
          <w:p>
            <w:pPr>
              <w:jc w:val="center"/>
              <w:ind w:right="279"/>
              <w:spacing w:after="0"/>
              <w:rPr>
                <w:sz w:val="20"/>
                <w:szCs w:val="20"/>
                <w:color w:val="auto"/>
              </w:rPr>
            </w:pPr>
            <w:r>
              <w:rPr>
                <w:rFonts w:ascii="Arial" w:cs="Arial" w:eastAsia="Arial" w:hAnsi="Arial"/>
                <w:sz w:val="14"/>
                <w:szCs w:val="14"/>
                <w:b w:val="1"/>
                <w:bCs w:val="1"/>
                <w:color w:val="auto"/>
                <w:w w:val="95"/>
              </w:rPr>
              <w:t>Three Months Ended</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60" w:type="dxa"/>
            <w:vAlign w:val="bottom"/>
            <w:gridSpan w:val="3"/>
          </w:tcPr>
          <w:p>
            <w:pPr>
              <w:jc w:val="center"/>
              <w:ind w:left="398"/>
              <w:spacing w:after="0"/>
              <w:rPr>
                <w:sz w:val="20"/>
                <w:szCs w:val="20"/>
                <w:color w:val="auto"/>
              </w:rPr>
            </w:pPr>
            <w:r>
              <w:rPr>
                <w:rFonts w:ascii="Arial" w:cs="Arial" w:eastAsia="Arial" w:hAnsi="Arial"/>
                <w:sz w:val="14"/>
                <w:szCs w:val="14"/>
                <w:b w:val="1"/>
                <w:bCs w:val="1"/>
                <w:color w:val="auto"/>
                <w:w w:val="94"/>
              </w:rPr>
              <w:t>Nine Months Ended</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5"/>
        </w:trPr>
        <w:tc>
          <w:tcPr>
            <w:tcW w:w="47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center"/>
              <w:ind w:right="279"/>
              <w:spacing w:after="0"/>
              <w:rPr>
                <w:sz w:val="20"/>
                <w:szCs w:val="20"/>
                <w:color w:val="auto"/>
              </w:rPr>
            </w:pPr>
            <w:r>
              <w:rPr>
                <w:rFonts w:ascii="Arial" w:cs="Arial" w:eastAsia="Arial" w:hAnsi="Arial"/>
                <w:sz w:val="14"/>
                <w:szCs w:val="14"/>
                <w:b w:val="1"/>
                <w:bCs w:val="1"/>
                <w:color w:val="auto"/>
                <w:w w:val="92"/>
              </w:rPr>
              <w:t>June 30,</w:t>
            </w:r>
          </w:p>
        </w:tc>
        <w:tc>
          <w:tcPr>
            <w:tcW w:w="5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center"/>
              <w:ind w:left="398"/>
              <w:spacing w:after="0"/>
              <w:rPr>
                <w:sz w:val="20"/>
                <w:szCs w:val="20"/>
                <w:color w:val="auto"/>
              </w:rPr>
            </w:pPr>
            <w:r>
              <w:rPr>
                <w:rFonts w:ascii="Arial" w:cs="Arial" w:eastAsia="Arial" w:hAnsi="Arial"/>
                <w:sz w:val="14"/>
                <w:szCs w:val="14"/>
                <w:b w:val="1"/>
                <w:bCs w:val="1"/>
                <w:color w:val="auto"/>
                <w:w w:val="92"/>
              </w:rPr>
              <w:t>June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70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4"/>
                <w:szCs w:val="14"/>
                <w:color w:val="auto"/>
              </w:rPr>
            </w:pPr>
          </w:p>
        </w:tc>
      </w:tr>
      <w:tr>
        <w:trPr>
          <w:trHeight w:val="169"/>
        </w:trPr>
        <w:tc>
          <w:tcPr>
            <w:tcW w:w="4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00" w:type="dxa"/>
            <w:vAlign w:val="bottom"/>
          </w:tcPr>
          <w:p>
            <w:pPr>
              <w:jc w:val="right"/>
              <w:ind w:right="54"/>
              <w:spacing w:after="0"/>
              <w:rPr>
                <w:sz w:val="20"/>
                <w:szCs w:val="20"/>
                <w:color w:val="auto"/>
              </w:rPr>
            </w:pPr>
            <w:r>
              <w:rPr>
                <w:rFonts w:ascii="Arial" w:cs="Arial" w:eastAsia="Arial" w:hAnsi="Arial"/>
                <w:sz w:val="14"/>
                <w:szCs w:val="14"/>
                <w:b w:val="1"/>
                <w:bCs w:val="1"/>
                <w:color w:val="auto"/>
              </w:rPr>
              <w:t>(in</w:t>
            </w:r>
          </w:p>
        </w:tc>
        <w:tc>
          <w:tcPr>
            <w:tcW w:w="680" w:type="dxa"/>
            <w:vAlign w:val="bottom"/>
            <w:gridSpan w:val="2"/>
          </w:tcPr>
          <w:p>
            <w:pPr>
              <w:jc w:val="center"/>
              <w:ind w:right="10"/>
              <w:spacing w:after="0"/>
              <w:rPr>
                <w:sz w:val="20"/>
                <w:szCs w:val="20"/>
                <w:color w:val="auto"/>
              </w:rPr>
            </w:pPr>
            <w:r>
              <w:rPr>
                <w:rFonts w:ascii="Arial" w:cs="Arial" w:eastAsia="Arial" w:hAnsi="Arial"/>
                <w:sz w:val="14"/>
                <w:szCs w:val="14"/>
                <w:b w:val="1"/>
                <w:bCs w:val="1"/>
                <w:color w:val="auto"/>
                <w:w w:val="76"/>
              </w:rPr>
              <w:t>thousands)</w:t>
            </w: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3"/>
        </w:trPr>
        <w:tc>
          <w:tcPr>
            <w:tcW w:w="47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Stock options</w:t>
            </w:r>
          </w:p>
        </w:tc>
        <w:tc>
          <w:tcPr>
            <w:tcW w:w="860" w:type="dxa"/>
            <w:vAlign w:val="bottom"/>
            <w:shd w:val="clear" w:color="auto" w:fill="CFF0FC"/>
          </w:tcPr>
          <w:p>
            <w:pPr>
              <w:jc w:val="right"/>
              <w:ind w:right="676"/>
              <w:spacing w:after="0" w:line="202" w:lineRule="exact"/>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5,079</w:t>
            </w:r>
          </w:p>
        </w:tc>
        <w:tc>
          <w:tcPr>
            <w:tcW w:w="1180" w:type="dxa"/>
            <w:vAlign w:val="bottom"/>
            <w:gridSpan w:val="2"/>
            <w:shd w:val="clear" w:color="auto" w:fill="CFF0FC"/>
          </w:tcPr>
          <w:p>
            <w:pPr>
              <w:jc w:val="right"/>
              <w:ind w:right="719"/>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4,555</w:t>
            </w:r>
          </w:p>
        </w:tc>
        <w:tc>
          <w:tcPr>
            <w:tcW w:w="680" w:type="dxa"/>
            <w:vAlign w:val="bottom"/>
            <w:gridSpan w:val="2"/>
            <w:shd w:val="clear" w:color="auto" w:fill="CFF0FC"/>
          </w:tcPr>
          <w:p>
            <w:pPr>
              <w:jc w:val="center"/>
              <w:spacing w:after="0" w:line="202" w:lineRule="exact"/>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14,790</w:t>
            </w:r>
          </w:p>
        </w:tc>
        <w:tc>
          <w:tcPr>
            <w:tcW w:w="820" w:type="dxa"/>
            <w:vAlign w:val="bottom"/>
            <w:gridSpan w:val="2"/>
            <w:shd w:val="clear" w:color="auto" w:fill="CFF0FC"/>
          </w:tcPr>
          <w:p>
            <w:pPr>
              <w:jc w:val="right"/>
              <w:ind w:right="37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13,418</w:t>
            </w:r>
          </w:p>
        </w:tc>
        <w:tc>
          <w:tcPr>
            <w:tcW w:w="100" w:type="dxa"/>
            <w:vAlign w:val="bottom"/>
            <w:shd w:val="clear" w:color="auto" w:fill="CFF0FC"/>
          </w:tcPr>
          <w:p>
            <w:pPr>
              <w:spacing w:after="0"/>
              <w:rPr>
                <w:sz w:val="17"/>
                <w:szCs w:val="17"/>
                <w:color w:val="auto"/>
              </w:rPr>
            </w:pPr>
          </w:p>
        </w:tc>
      </w:tr>
      <w:tr>
        <w:trPr>
          <w:trHeight w:val="203"/>
        </w:trPr>
        <w:tc>
          <w:tcPr>
            <w:tcW w:w="4700" w:type="dxa"/>
            <w:vAlign w:val="bottom"/>
          </w:tcPr>
          <w:p>
            <w:pPr>
              <w:ind w:left="20"/>
              <w:spacing w:after="0" w:line="202" w:lineRule="exact"/>
              <w:rPr>
                <w:sz w:val="20"/>
                <w:szCs w:val="20"/>
                <w:color w:val="auto"/>
              </w:rPr>
            </w:pPr>
            <w:r>
              <w:rPr>
                <w:rFonts w:ascii="Arial" w:cs="Arial" w:eastAsia="Arial" w:hAnsi="Arial"/>
                <w:sz w:val="18"/>
                <w:szCs w:val="18"/>
                <w:color w:val="auto"/>
              </w:rPr>
              <w:t>Performance stock units</w:t>
            </w:r>
          </w:p>
        </w:tc>
        <w:tc>
          <w:tcPr>
            <w:tcW w:w="86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1,559</w:t>
            </w: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198</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1,930</w:t>
            </w: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198</w:t>
            </w:r>
          </w:p>
        </w:tc>
        <w:tc>
          <w:tcPr>
            <w:tcW w:w="100" w:type="dxa"/>
            <w:vAlign w:val="bottom"/>
          </w:tcPr>
          <w:p>
            <w:pPr>
              <w:spacing w:after="0"/>
              <w:rPr>
                <w:sz w:val="17"/>
                <w:szCs w:val="17"/>
                <w:color w:val="auto"/>
              </w:rPr>
            </w:pPr>
          </w:p>
        </w:tc>
      </w:tr>
      <w:tr>
        <w:trPr>
          <w:trHeight w:val="203"/>
        </w:trPr>
        <w:tc>
          <w:tcPr>
            <w:tcW w:w="47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rTSRUs</w:t>
            </w:r>
          </w:p>
        </w:tc>
        <w:tc>
          <w:tcPr>
            <w:tcW w:w="86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207</w:t>
            </w:r>
          </w:p>
        </w:tc>
        <w:tc>
          <w:tcPr>
            <w:tcW w:w="2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405</w:t>
            </w:r>
          </w:p>
        </w:tc>
        <w:tc>
          <w:tcPr>
            <w:tcW w:w="2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1,171</w:t>
            </w:r>
          </w:p>
        </w:tc>
        <w:tc>
          <w:tcPr>
            <w:tcW w:w="2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1,126</w:t>
            </w:r>
          </w:p>
        </w:tc>
        <w:tc>
          <w:tcPr>
            <w:tcW w:w="100" w:type="dxa"/>
            <w:vAlign w:val="bottom"/>
            <w:shd w:val="clear" w:color="auto" w:fill="CFF0FC"/>
          </w:tcPr>
          <w:p>
            <w:pPr>
              <w:spacing w:after="0"/>
              <w:rPr>
                <w:sz w:val="17"/>
                <w:szCs w:val="17"/>
                <w:color w:val="auto"/>
              </w:rPr>
            </w:pPr>
          </w:p>
        </w:tc>
      </w:tr>
      <w:tr>
        <w:trPr>
          <w:trHeight w:val="203"/>
        </w:trPr>
        <w:tc>
          <w:tcPr>
            <w:tcW w:w="4700" w:type="dxa"/>
            <w:vAlign w:val="bottom"/>
          </w:tcPr>
          <w:p>
            <w:pPr>
              <w:ind w:left="20"/>
              <w:spacing w:after="0" w:line="202" w:lineRule="exact"/>
              <w:rPr>
                <w:sz w:val="20"/>
                <w:szCs w:val="20"/>
                <w:color w:val="auto"/>
              </w:rPr>
            </w:pPr>
            <w:r>
              <w:rPr>
                <w:rFonts w:ascii="Arial" w:cs="Arial" w:eastAsia="Arial" w:hAnsi="Arial"/>
                <w:sz w:val="18"/>
                <w:szCs w:val="18"/>
                <w:color w:val="auto"/>
              </w:rPr>
              <w:t>Restricted stock units</w:t>
            </w:r>
          </w:p>
        </w:tc>
        <w:tc>
          <w:tcPr>
            <w:tcW w:w="8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758</w:t>
            </w:r>
          </w:p>
        </w:tc>
        <w:tc>
          <w:tcPr>
            <w:tcW w:w="28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317</w:t>
            </w:r>
          </w:p>
        </w:tc>
        <w:tc>
          <w:tcPr>
            <w:tcW w:w="24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2,245</w:t>
            </w:r>
          </w:p>
        </w:tc>
        <w:tc>
          <w:tcPr>
            <w:tcW w:w="24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896</w:t>
            </w:r>
          </w:p>
        </w:tc>
        <w:tc>
          <w:tcPr>
            <w:tcW w:w="100" w:type="dxa"/>
            <w:vAlign w:val="bottom"/>
          </w:tcPr>
          <w:p>
            <w:pPr>
              <w:spacing w:after="0"/>
              <w:rPr>
                <w:sz w:val="17"/>
                <w:szCs w:val="17"/>
                <w:color w:val="auto"/>
              </w:rPr>
            </w:pPr>
          </w:p>
        </w:tc>
      </w:tr>
      <w:tr>
        <w:trPr>
          <w:trHeight w:val="236"/>
        </w:trPr>
        <w:tc>
          <w:tcPr>
            <w:tcW w:w="4700" w:type="dxa"/>
            <w:vAlign w:val="bottom"/>
            <w:tcBorders>
              <w:bottom w:val="single" w:sz="8" w:color="CFF0FC"/>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ind w:right="676"/>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7,603</w:t>
            </w:r>
          </w:p>
        </w:tc>
        <w:tc>
          <w:tcPr>
            <w:tcW w:w="280" w:type="dxa"/>
            <w:vAlign w:val="bottom"/>
            <w:tcBorders>
              <w:bottom w:val="single" w:sz="8" w:color="CFF0FC"/>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ind w:right="719"/>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5,475</w:t>
            </w:r>
          </w:p>
        </w:tc>
        <w:tc>
          <w:tcPr>
            <w:tcW w:w="24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jc w:val="center"/>
              <w:ind w:right="210"/>
              <w:spacing w:after="0" w:line="196" w:lineRule="exact"/>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20,136</w:t>
            </w:r>
          </w:p>
        </w:tc>
        <w:tc>
          <w:tcPr>
            <w:tcW w:w="240" w:type="dxa"/>
            <w:vAlign w:val="bottom"/>
            <w:tcBorders>
              <w:bottom w:val="single" w:sz="8" w:color="CFF0FC"/>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ind w:right="370"/>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15,638</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-1276985</wp:posOffset>
            </wp:positionV>
            <wp:extent cx="7747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-1259840</wp:posOffset>
            </wp:positionV>
            <wp:extent cx="7747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-1276985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-1259840</wp:posOffset>
            </wp:positionV>
            <wp:extent cx="685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-1276985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-1259840</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-1276985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-1259840</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-25400</wp:posOffset>
            </wp:positionV>
            <wp:extent cx="7747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-8255</wp:posOffset>
            </wp:positionV>
            <wp:extent cx="7747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-25400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-8255</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-25400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-8255</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28" w:lineRule="exact"/>
        <w:rPr>
          <w:sz w:val="20"/>
          <w:szCs w:val="20"/>
          <w:color w:val="auto"/>
        </w:rPr>
      </w:pPr>
    </w:p>
    <w:p>
      <w:pPr>
        <w:ind w:right="80"/>
        <w:spacing w:after="0" w:line="258" w:lineRule="auto"/>
        <w:rPr>
          <w:sz w:val="20"/>
          <w:szCs w:val="20"/>
          <w:color w:val="auto"/>
        </w:rPr>
      </w:pPr>
      <w:r>
        <w:rPr>
          <w:rFonts w:ascii="Arial" w:cs="Arial" w:eastAsia="Arial" w:hAnsi="Arial"/>
          <w:sz w:val="17"/>
          <w:szCs w:val="17"/>
          <w:color w:val="auto"/>
        </w:rPr>
        <w:t>During the three and nine months ended June 30, 2022, the Company recognized stock-based compensation expense for performance-based stock units for which vesting became probable upon achievement of performance-based targets that occurred during the performance period.</w:t>
      </w:r>
    </w:p>
    <w:p>
      <w:pPr>
        <w:spacing w:after="0" w:line="39"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As of June 30, 2022, the Company had an aggregate of $57,897 of unrecognized stock-based compensation cost, which is expected to be recognized over a weighted average period of 2.8 years.</w:t>
      </w:r>
    </w:p>
    <w:p>
      <w:pPr>
        <w:spacing w:after="0" w:line="266" w:lineRule="exact"/>
        <w:rPr>
          <w:sz w:val="20"/>
          <w:szCs w:val="20"/>
          <w:color w:val="auto"/>
        </w:rPr>
      </w:pPr>
    </w:p>
    <w:p>
      <w:pPr>
        <w:ind w:left="360" w:hanging="352"/>
        <w:spacing w:after="0"/>
        <w:tabs>
          <w:tab w:leader="none" w:pos="3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81"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color w:val="auto"/>
        </w:rPr>
        <w:t>Basic and diluted net loss per share attributable to common stockholders was calculated as follows for the three and nine months ended June 30, 2022 and 2021:</w:t>
      </w:r>
    </w:p>
    <w:p>
      <w:pPr>
        <w:sectPr>
          <w:pgSz w:w="11900" w:h="16838" w:orient="portrait"/>
          <w:cols w:equalWidth="0" w:num="1">
            <w:col w:w="11240"/>
          </w:cols>
          <w:pgMar w:left="320" w:top="63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Basic net loss per share:</w:t>
      </w:r>
    </w:p>
    <w:p>
      <w:pPr>
        <w:spacing w:after="0" w:line="1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Numerator:</w:t>
      </w:r>
    </w:p>
    <w:p>
      <w:pPr>
        <w:spacing w:after="0" w:line="2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Net loss</w:t>
      </w:r>
    </w:p>
    <w:p>
      <w:pPr>
        <w:spacing w:after="0" w:line="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Denominator:</w:t>
      </w:r>
    </w:p>
    <w:p>
      <w:pPr>
        <w:ind w:left="520" w:right="760" w:hanging="134"/>
        <w:spacing w:after="0" w:line="226" w:lineRule="auto"/>
        <w:rPr>
          <w:sz w:val="20"/>
          <w:szCs w:val="20"/>
          <w:color w:val="auto"/>
        </w:rPr>
      </w:pPr>
      <w:r>
        <w:rPr>
          <w:rFonts w:ascii="Arial" w:cs="Arial" w:eastAsia="Arial" w:hAnsi="Arial"/>
          <w:sz w:val="18"/>
          <w:szCs w:val="18"/>
          <w:color w:val="auto"/>
        </w:rPr>
        <w:t>Weighted average common shares outstanding —basic</w:t>
      </w:r>
    </w:p>
    <w:p>
      <w:pPr>
        <w:spacing w:after="0" w:line="1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Net loss per share common share—basic</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Diluted net loss per share:</w:t>
      </w:r>
    </w:p>
    <w:p>
      <w:pPr>
        <w:ind w:left="200"/>
        <w:spacing w:after="0"/>
        <w:rPr>
          <w:sz w:val="20"/>
          <w:szCs w:val="20"/>
          <w:color w:val="auto"/>
        </w:rPr>
      </w:pPr>
      <w:r>
        <w:rPr>
          <w:rFonts w:ascii="Arial" w:cs="Arial" w:eastAsia="Arial" w:hAnsi="Arial"/>
          <w:sz w:val="18"/>
          <w:szCs w:val="18"/>
          <w:color w:val="auto"/>
        </w:rPr>
        <w:t>Numerator:</w:t>
      </w:r>
    </w:p>
    <w:p>
      <w:pPr>
        <w:spacing w:after="0" w:line="2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Net loss</w:t>
      </w:r>
    </w:p>
    <w:p>
      <w:pPr>
        <w:spacing w:after="0" w:line="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Denominator:</w:t>
      </w:r>
    </w:p>
    <w:p>
      <w:pPr>
        <w:ind w:left="520" w:right="760" w:hanging="134"/>
        <w:spacing w:after="0" w:line="226" w:lineRule="auto"/>
        <w:rPr>
          <w:sz w:val="20"/>
          <w:szCs w:val="20"/>
          <w:color w:val="auto"/>
        </w:rPr>
      </w:pPr>
      <w:r>
        <w:rPr>
          <w:rFonts w:ascii="Arial" w:cs="Arial" w:eastAsia="Arial" w:hAnsi="Arial"/>
          <w:sz w:val="18"/>
          <w:szCs w:val="18"/>
          <w:color w:val="auto"/>
        </w:rPr>
        <w:t>Weighted average common shares outstanding —basic</w:t>
      </w:r>
    </w:p>
    <w:p>
      <w:pPr>
        <w:ind w:left="380"/>
        <w:spacing w:after="0"/>
        <w:rPr>
          <w:sz w:val="20"/>
          <w:szCs w:val="20"/>
          <w:color w:val="auto"/>
        </w:rPr>
      </w:pPr>
      <w:r>
        <w:rPr>
          <w:rFonts w:ascii="Arial" w:cs="Arial" w:eastAsia="Arial" w:hAnsi="Arial"/>
          <w:sz w:val="17"/>
          <w:szCs w:val="17"/>
          <w:color w:val="auto"/>
        </w:rPr>
        <w:t>Dilutive effect of common stock equivalents</w:t>
      </w:r>
    </w:p>
    <w:p>
      <w:pPr>
        <w:spacing w:after="0" w:line="9" w:lineRule="exact"/>
        <w:rPr>
          <w:sz w:val="20"/>
          <w:szCs w:val="20"/>
          <w:color w:val="auto"/>
        </w:rPr>
      </w:pPr>
    </w:p>
    <w:p>
      <w:pPr>
        <w:ind w:left="520" w:right="760" w:hanging="134"/>
        <w:spacing w:after="0" w:line="226" w:lineRule="auto"/>
        <w:rPr>
          <w:sz w:val="20"/>
          <w:szCs w:val="20"/>
          <w:color w:val="auto"/>
        </w:rPr>
      </w:pPr>
      <w:r>
        <w:rPr>
          <w:rFonts w:ascii="Arial" w:cs="Arial" w:eastAsia="Arial" w:hAnsi="Arial"/>
          <w:sz w:val="18"/>
          <w:szCs w:val="18"/>
          <w:color w:val="auto"/>
        </w:rPr>
        <w:t>Weighted average common shares outstanding —diluted</w:t>
      </w:r>
    </w:p>
    <w:p>
      <w:pPr>
        <w:spacing w:after="0" w:line="1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Net loss per share common share—diluted</w:t>
      </w:r>
    </w:p>
    <w:p>
      <w:pPr>
        <w:spacing w:after="0" w:line="12" w:lineRule="exact"/>
        <w:rPr>
          <w:sz w:val="20"/>
          <w:szCs w:val="20"/>
          <w:color w:val="auto"/>
        </w:rPr>
      </w:pPr>
    </w:p>
    <w:p>
      <w:pPr>
        <w:ind w:left="340" w:right="700" w:hanging="134"/>
        <w:spacing w:after="0" w:line="226" w:lineRule="auto"/>
        <w:rPr>
          <w:sz w:val="20"/>
          <w:szCs w:val="20"/>
          <w:color w:val="auto"/>
        </w:rPr>
      </w:pPr>
      <w:r>
        <w:rPr>
          <w:rFonts w:ascii="Arial" w:cs="Arial" w:eastAsia="Arial" w:hAnsi="Arial"/>
          <w:sz w:val="18"/>
          <w:szCs w:val="18"/>
          <w:color w:val="auto"/>
        </w:rPr>
        <w:t>Anti-dilutive common stock equivalents excluded from above</w:t>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260" w:type="dxa"/>
            <w:vAlign w:val="bottom"/>
          </w:tcPr>
          <w:p>
            <w:pPr>
              <w:spacing w:after="0"/>
              <w:rPr>
                <w:sz w:val="15"/>
                <w:szCs w:val="15"/>
                <w:color w:val="auto"/>
              </w:rPr>
            </w:pPr>
          </w:p>
        </w:tc>
        <w:tc>
          <w:tcPr>
            <w:tcW w:w="2800" w:type="dxa"/>
            <w:vAlign w:val="bottom"/>
            <w:gridSpan w:val="5"/>
          </w:tcPr>
          <w:p>
            <w:pPr>
              <w:jc w:val="right"/>
              <w:ind w:right="958"/>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5"/>
                <w:szCs w:val="15"/>
                <w:color w:val="auto"/>
              </w:rPr>
            </w:pPr>
          </w:p>
        </w:tc>
        <w:tc>
          <w:tcPr>
            <w:tcW w:w="176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2022</w:t>
            </w:r>
          </w:p>
        </w:tc>
        <w:tc>
          <w:tcPr>
            <w:tcW w:w="3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2021</w:t>
            </w:r>
          </w:p>
        </w:tc>
        <w:tc>
          <w:tcPr>
            <w:tcW w:w="3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w w:val="83"/>
              </w:rPr>
              <w:t>2021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w w:val="98"/>
              </w:rPr>
              <w:t>(in thousands,</w:t>
            </w:r>
          </w:p>
        </w:tc>
        <w:tc>
          <w:tcPr>
            <w:tcW w:w="320" w:type="dxa"/>
            <w:vAlign w:val="bottom"/>
          </w:tcPr>
          <w:p>
            <w:pPr>
              <w:jc w:val="right"/>
              <w:spacing w:after="0"/>
              <w:rPr>
                <w:sz w:val="20"/>
                <w:szCs w:val="20"/>
                <w:color w:val="auto"/>
              </w:rPr>
            </w:pPr>
            <w:r>
              <w:rPr>
                <w:rFonts w:ascii="Arial" w:cs="Arial" w:eastAsia="Arial" w:hAnsi="Arial"/>
                <w:sz w:val="13"/>
                <w:szCs w:val="13"/>
                <w:b w:val="1"/>
                <w:bCs w:val="1"/>
                <w:color w:val="auto"/>
                <w:w w:val="72"/>
              </w:rPr>
              <w:t>except</w:t>
            </w:r>
          </w:p>
        </w:tc>
        <w:tc>
          <w:tcPr>
            <w:tcW w:w="1220" w:type="dxa"/>
            <w:vAlign w:val="bottom"/>
            <w:gridSpan w:val="2"/>
          </w:tcPr>
          <w:p>
            <w:pPr>
              <w:jc w:val="right"/>
              <w:ind w:right="95"/>
              <w:spacing w:after="0"/>
              <w:rPr>
                <w:sz w:val="20"/>
                <w:szCs w:val="20"/>
                <w:color w:val="auto"/>
              </w:rPr>
            </w:pPr>
            <w:r>
              <w:rPr>
                <w:rFonts w:ascii="Arial" w:cs="Arial" w:eastAsia="Arial" w:hAnsi="Arial"/>
                <w:sz w:val="14"/>
                <w:szCs w:val="14"/>
                <w:b w:val="1"/>
                <w:bCs w:val="1"/>
                <w:color w:val="auto"/>
              </w:rPr>
              <w:t>per share data)</w:t>
            </w: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97"/>
        </w:trPr>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90"/>
              <w:spacing w:after="0"/>
              <w:rPr>
                <w:sz w:val="20"/>
                <w:szCs w:val="20"/>
                <w:color w:val="auto"/>
              </w:rPr>
            </w:pPr>
            <w:r>
              <w:rPr>
                <w:rFonts w:ascii="Arial" w:cs="Arial" w:eastAsia="Arial" w:hAnsi="Arial"/>
                <w:sz w:val="18"/>
                <w:szCs w:val="18"/>
                <w:color w:val="auto"/>
              </w:rPr>
              <w:t>(31,700 )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58"/>
              <w:spacing w:after="0"/>
              <w:rPr>
                <w:sz w:val="20"/>
                <w:szCs w:val="20"/>
                <w:color w:val="auto"/>
              </w:rPr>
            </w:pPr>
            <w:r>
              <w:rPr>
                <w:rFonts w:ascii="Arial" w:cs="Arial" w:eastAsia="Arial" w:hAnsi="Arial"/>
                <w:sz w:val="18"/>
                <w:szCs w:val="18"/>
                <w:color w:val="auto"/>
              </w:rPr>
              <w:t>(24,024 )</w:t>
            </w:r>
          </w:p>
        </w:tc>
        <w:tc>
          <w:tcPr>
            <w:tcW w:w="300" w:type="dxa"/>
            <w:vAlign w:val="bottom"/>
          </w:tcPr>
          <w:p>
            <w:pPr>
              <w:jc w:val="right"/>
              <w:ind w:right="94"/>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181"/>
              <w:spacing w:after="0"/>
              <w:rPr>
                <w:sz w:val="20"/>
                <w:szCs w:val="20"/>
                <w:color w:val="auto"/>
              </w:rPr>
            </w:pPr>
            <w:r>
              <w:rPr>
                <w:rFonts w:ascii="Arial" w:cs="Arial" w:eastAsia="Arial" w:hAnsi="Arial"/>
                <w:sz w:val="18"/>
                <w:szCs w:val="18"/>
                <w:color w:val="auto"/>
              </w:rPr>
              <w:t>(95,407 )</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(54,397 )</w:t>
            </w:r>
          </w:p>
        </w:tc>
        <w:tc>
          <w:tcPr>
            <w:tcW w:w="0" w:type="dxa"/>
            <w:vAlign w:val="bottom"/>
          </w:tcPr>
          <w:p>
            <w:pPr>
              <w:spacing w:after="0"/>
              <w:rPr>
                <w:sz w:val="1"/>
                <w:szCs w:val="1"/>
                <w:color w:val="auto"/>
              </w:rPr>
            </w:pPr>
          </w:p>
        </w:tc>
      </w:tr>
      <w:tr>
        <w:trPr>
          <w:trHeight w:val="20"/>
        </w:trPr>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20,710</w:t>
            </w:r>
          </w:p>
        </w:tc>
        <w:tc>
          <w:tcPr>
            <w:tcW w:w="3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20,201</w:t>
            </w:r>
          </w:p>
        </w:tc>
        <w:tc>
          <w:tcPr>
            <w:tcW w:w="3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20,552</w:t>
            </w:r>
          </w:p>
        </w:tc>
        <w:tc>
          <w:tcPr>
            <w:tcW w:w="32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20,155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vMerge w:val="restart"/>
          </w:tcPr>
          <w:p>
            <w:pPr>
              <w:jc w:val="right"/>
              <w:ind w:right="19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jc w:val="right"/>
              <w:ind w:right="158"/>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jc w:val="right"/>
              <w:ind w:right="181"/>
              <w:spacing w:after="0"/>
              <w:rPr>
                <w:sz w:val="20"/>
                <w:szCs w:val="20"/>
                <w:color w:val="auto"/>
              </w:rPr>
            </w:pPr>
            <w:r>
              <w:rPr>
                <w:rFonts w:ascii="Arial" w:cs="Arial" w:eastAsia="Arial" w:hAnsi="Arial"/>
                <w:sz w:val="16"/>
                <w:szCs w:val="16"/>
                <w:color w:val="auto"/>
                <w:w w:val="74"/>
              </w:rPr>
              <w:t>)</w:t>
            </w: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183"/>
        </w:trPr>
        <w:tc>
          <w:tcPr>
            <w:tcW w:w="260" w:type="dxa"/>
            <w:vAlign w:val="bottom"/>
            <w:tcBorders>
              <w:bottom w:val="single" w:sz="8" w:color="auto"/>
            </w:tcBorders>
          </w:tcPr>
          <w:p>
            <w:pPr>
              <w:jc w:val="right"/>
              <w:ind w:right="70"/>
              <w:spacing w:after="0" w:line="183"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(1.53</w:t>
            </w:r>
          </w:p>
        </w:tc>
        <w:tc>
          <w:tcPr>
            <w:tcW w:w="360" w:type="dxa"/>
            <w:vAlign w:val="bottom"/>
            <w:vMerge w:val="continue"/>
          </w:tcPr>
          <w:p>
            <w:pPr>
              <w:spacing w:after="0"/>
              <w:rPr>
                <w:sz w:val="15"/>
                <w:szCs w:val="15"/>
                <w:color w:val="auto"/>
              </w:rPr>
            </w:pPr>
          </w:p>
        </w:tc>
        <w:tc>
          <w:tcPr>
            <w:tcW w:w="200" w:type="dxa"/>
            <w:vAlign w:val="bottom"/>
            <w:tcBorders>
              <w:bottom w:val="single" w:sz="8" w:color="auto"/>
            </w:tcBorders>
          </w:tcPr>
          <w:p>
            <w:pPr>
              <w:jc w:val="right"/>
              <w:ind w:right="10"/>
              <w:spacing w:after="0" w:line="183"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(1.19</w:t>
            </w:r>
          </w:p>
        </w:tc>
        <w:tc>
          <w:tcPr>
            <w:tcW w:w="320" w:type="dxa"/>
            <w:vAlign w:val="bottom"/>
            <w:vMerge w:val="continue"/>
          </w:tcPr>
          <w:p>
            <w:pPr>
              <w:spacing w:after="0"/>
              <w:rPr>
                <w:sz w:val="15"/>
                <w:szCs w:val="15"/>
                <w:color w:val="auto"/>
              </w:rPr>
            </w:pPr>
          </w:p>
        </w:tc>
        <w:tc>
          <w:tcPr>
            <w:tcW w:w="300" w:type="dxa"/>
            <w:vAlign w:val="bottom"/>
            <w:tcBorders>
              <w:bottom w:val="single" w:sz="8" w:color="auto"/>
            </w:tcBorders>
          </w:tcPr>
          <w:p>
            <w:pPr>
              <w:jc w:val="right"/>
              <w:ind w:right="94"/>
              <w:spacing w:after="0" w:line="183" w:lineRule="exact"/>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(4.64</w:t>
            </w:r>
          </w:p>
        </w:tc>
        <w:tc>
          <w:tcPr>
            <w:tcW w:w="320" w:type="dxa"/>
            <w:vAlign w:val="bottom"/>
            <w:vMerge w:val="continue"/>
          </w:tcPr>
          <w:p>
            <w:pPr>
              <w:spacing w:after="0"/>
              <w:rPr>
                <w:sz w:val="15"/>
                <w:szCs w:val="15"/>
                <w:color w:val="auto"/>
              </w:rPr>
            </w:pPr>
          </w:p>
        </w:tc>
        <w:tc>
          <w:tcPr>
            <w:tcW w:w="520" w:type="dxa"/>
            <w:vAlign w:val="bottom"/>
            <w:tcBorders>
              <w:bottom w:val="single" w:sz="8" w:color="auto"/>
            </w:tcBorders>
          </w:tcPr>
          <w:p>
            <w:pPr>
              <w:jc w:val="right"/>
              <w:ind w:right="330"/>
              <w:spacing w:after="0" w:line="183"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(2.70</w:t>
            </w:r>
          </w:p>
        </w:tc>
        <w:tc>
          <w:tcPr>
            <w:tcW w:w="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90"/>
              <w:spacing w:after="0"/>
              <w:rPr>
                <w:sz w:val="20"/>
                <w:szCs w:val="20"/>
                <w:color w:val="auto"/>
              </w:rPr>
            </w:pPr>
            <w:r>
              <w:rPr>
                <w:rFonts w:ascii="Arial" w:cs="Arial" w:eastAsia="Arial" w:hAnsi="Arial"/>
                <w:sz w:val="18"/>
                <w:szCs w:val="18"/>
                <w:color w:val="auto"/>
              </w:rPr>
              <w:t>(31,700 )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58"/>
              <w:spacing w:after="0"/>
              <w:rPr>
                <w:sz w:val="20"/>
                <w:szCs w:val="20"/>
                <w:color w:val="auto"/>
              </w:rPr>
            </w:pPr>
            <w:r>
              <w:rPr>
                <w:rFonts w:ascii="Arial" w:cs="Arial" w:eastAsia="Arial" w:hAnsi="Arial"/>
                <w:sz w:val="18"/>
                <w:szCs w:val="18"/>
                <w:color w:val="auto"/>
              </w:rPr>
              <w:t>(24,024 )</w:t>
            </w:r>
          </w:p>
        </w:tc>
        <w:tc>
          <w:tcPr>
            <w:tcW w:w="300" w:type="dxa"/>
            <w:vAlign w:val="bottom"/>
          </w:tcPr>
          <w:p>
            <w:pPr>
              <w:jc w:val="right"/>
              <w:ind w:right="94"/>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181"/>
              <w:spacing w:after="0"/>
              <w:rPr>
                <w:sz w:val="20"/>
                <w:szCs w:val="20"/>
                <w:color w:val="auto"/>
              </w:rPr>
            </w:pPr>
            <w:r>
              <w:rPr>
                <w:rFonts w:ascii="Arial" w:cs="Arial" w:eastAsia="Arial" w:hAnsi="Arial"/>
                <w:sz w:val="18"/>
                <w:szCs w:val="18"/>
                <w:color w:val="auto"/>
              </w:rPr>
              <w:t>(95,407 )</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(54,397 )</w:t>
            </w:r>
          </w:p>
        </w:tc>
        <w:tc>
          <w:tcPr>
            <w:tcW w:w="0" w:type="dxa"/>
            <w:vAlign w:val="bottom"/>
          </w:tcPr>
          <w:p>
            <w:pPr>
              <w:spacing w:after="0"/>
              <w:rPr>
                <w:sz w:val="1"/>
                <w:szCs w:val="1"/>
                <w:color w:val="auto"/>
              </w:rPr>
            </w:pPr>
          </w:p>
        </w:tc>
      </w:tr>
      <w:tr>
        <w:trPr>
          <w:trHeight w:val="20"/>
        </w:trPr>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20,710</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20,201</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20,552</w:t>
            </w: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20,155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60" w:type="dxa"/>
            <w:vAlign w:val="bottom"/>
          </w:tcPr>
          <w:p>
            <w:pPr>
              <w:spacing w:after="0"/>
              <w:rPr>
                <w:sz w:val="18"/>
                <w:szCs w:val="18"/>
                <w:color w:val="auto"/>
              </w:rPr>
            </w:pPr>
          </w:p>
        </w:tc>
        <w:tc>
          <w:tcPr>
            <w:tcW w:w="128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20" w:type="dxa"/>
            <w:vAlign w:val="bottom"/>
            <w:gridSpan w:val="2"/>
          </w:tcPr>
          <w:p>
            <w:pPr>
              <w:jc w:val="right"/>
              <w:ind w:right="238"/>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4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31"/>
        </w:trPr>
        <w:tc>
          <w:tcPr>
            <w:tcW w:w="26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20,710</w:t>
            </w:r>
          </w:p>
        </w:tc>
        <w:tc>
          <w:tcPr>
            <w:tcW w:w="360" w:type="dxa"/>
            <w:vAlign w:val="bottom"/>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20,201</w:t>
            </w:r>
          </w:p>
        </w:tc>
        <w:tc>
          <w:tcPr>
            <w:tcW w:w="320" w:type="dxa"/>
            <w:vAlign w:val="bottom"/>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20,552</w:t>
            </w:r>
          </w:p>
        </w:tc>
        <w:tc>
          <w:tcPr>
            <w:tcW w:w="320" w:type="dxa"/>
            <w:vAlign w:val="bottom"/>
          </w:tcPr>
          <w:p>
            <w:pPr>
              <w:spacing w:after="0"/>
              <w:rPr>
                <w:sz w:val="24"/>
                <w:szCs w:val="24"/>
                <w:color w:val="auto"/>
              </w:rPr>
            </w:pPr>
          </w:p>
        </w:tc>
        <w:tc>
          <w:tcPr>
            <w:tcW w:w="52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20,155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vMerge w:val="restart"/>
          </w:tcPr>
          <w:p>
            <w:pPr>
              <w:jc w:val="right"/>
              <w:ind w:right="19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jc w:val="right"/>
              <w:ind w:right="158"/>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jc w:val="right"/>
              <w:ind w:right="181"/>
              <w:spacing w:after="0"/>
              <w:rPr>
                <w:sz w:val="20"/>
                <w:szCs w:val="20"/>
                <w:color w:val="auto"/>
              </w:rPr>
            </w:pPr>
            <w:r>
              <w:rPr>
                <w:rFonts w:ascii="Arial" w:cs="Arial" w:eastAsia="Arial" w:hAnsi="Arial"/>
                <w:sz w:val="16"/>
                <w:szCs w:val="16"/>
                <w:color w:val="auto"/>
                <w:w w:val="74"/>
              </w:rPr>
              <w:t>)</w:t>
            </w: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183"/>
        </w:trPr>
        <w:tc>
          <w:tcPr>
            <w:tcW w:w="260" w:type="dxa"/>
            <w:vAlign w:val="bottom"/>
            <w:tcBorders>
              <w:bottom w:val="single" w:sz="8" w:color="auto"/>
            </w:tcBorders>
          </w:tcPr>
          <w:p>
            <w:pPr>
              <w:jc w:val="right"/>
              <w:ind w:right="70"/>
              <w:spacing w:after="0" w:line="183"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(1.53</w:t>
            </w:r>
          </w:p>
        </w:tc>
        <w:tc>
          <w:tcPr>
            <w:tcW w:w="360" w:type="dxa"/>
            <w:vAlign w:val="bottom"/>
            <w:vMerge w:val="continue"/>
          </w:tcPr>
          <w:p>
            <w:pPr>
              <w:spacing w:after="0"/>
              <w:rPr>
                <w:sz w:val="15"/>
                <w:szCs w:val="15"/>
                <w:color w:val="auto"/>
              </w:rPr>
            </w:pPr>
          </w:p>
        </w:tc>
        <w:tc>
          <w:tcPr>
            <w:tcW w:w="200" w:type="dxa"/>
            <w:vAlign w:val="bottom"/>
            <w:tcBorders>
              <w:bottom w:val="single" w:sz="8" w:color="auto"/>
            </w:tcBorders>
          </w:tcPr>
          <w:p>
            <w:pPr>
              <w:jc w:val="right"/>
              <w:ind w:right="10"/>
              <w:spacing w:after="0" w:line="183"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(1.19</w:t>
            </w:r>
          </w:p>
        </w:tc>
        <w:tc>
          <w:tcPr>
            <w:tcW w:w="320" w:type="dxa"/>
            <w:vAlign w:val="bottom"/>
            <w:vMerge w:val="continue"/>
          </w:tcPr>
          <w:p>
            <w:pPr>
              <w:spacing w:after="0"/>
              <w:rPr>
                <w:sz w:val="15"/>
                <w:szCs w:val="15"/>
                <w:color w:val="auto"/>
              </w:rPr>
            </w:pPr>
          </w:p>
        </w:tc>
        <w:tc>
          <w:tcPr>
            <w:tcW w:w="300" w:type="dxa"/>
            <w:vAlign w:val="bottom"/>
            <w:tcBorders>
              <w:bottom w:val="single" w:sz="8" w:color="auto"/>
            </w:tcBorders>
          </w:tcPr>
          <w:p>
            <w:pPr>
              <w:jc w:val="right"/>
              <w:ind w:right="94"/>
              <w:spacing w:after="0" w:line="183" w:lineRule="exact"/>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(4.64</w:t>
            </w:r>
          </w:p>
        </w:tc>
        <w:tc>
          <w:tcPr>
            <w:tcW w:w="320" w:type="dxa"/>
            <w:vAlign w:val="bottom"/>
            <w:vMerge w:val="continue"/>
          </w:tcPr>
          <w:p>
            <w:pPr>
              <w:spacing w:after="0"/>
              <w:rPr>
                <w:sz w:val="15"/>
                <w:szCs w:val="15"/>
                <w:color w:val="auto"/>
              </w:rPr>
            </w:pPr>
          </w:p>
        </w:tc>
        <w:tc>
          <w:tcPr>
            <w:tcW w:w="520" w:type="dxa"/>
            <w:vAlign w:val="bottom"/>
            <w:tcBorders>
              <w:bottom w:val="single" w:sz="8" w:color="auto"/>
            </w:tcBorders>
          </w:tcPr>
          <w:p>
            <w:pPr>
              <w:jc w:val="right"/>
              <w:ind w:right="330"/>
              <w:spacing w:after="0" w:line="183"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(2.70</w:t>
            </w:r>
          </w:p>
        </w:tc>
        <w:tc>
          <w:tcPr>
            <w:tcW w:w="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4,582</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4,322</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5,558</w:t>
            </w: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6,468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-3296285</wp:posOffset>
            </wp:positionH>
            <wp:positionV relativeFrom="paragraph">
              <wp:posOffset>-2493645</wp:posOffset>
            </wp:positionV>
            <wp:extent cx="7132320" cy="1289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-2236470</wp:posOffset>
            </wp:positionV>
            <wp:extent cx="7132320" cy="1543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-1953895</wp:posOffset>
            </wp:positionV>
            <wp:extent cx="7132320" cy="24003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-1559560</wp:posOffset>
            </wp:positionV>
            <wp:extent cx="7132320" cy="12890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-1302385</wp:posOffset>
            </wp:positionV>
            <wp:extent cx="7132320" cy="1543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-1019175</wp:posOffset>
            </wp:positionV>
            <wp:extent cx="7132320" cy="24003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-642620</wp:posOffset>
            </wp:positionV>
            <wp:extent cx="7132320" cy="24003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-248285</wp:posOffset>
            </wp:positionV>
            <wp:extent cx="7132320" cy="24003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80" w:space="720"/>
            <w:col w:w="6040"/>
          </w:cols>
          <w:pgMar w:left="320" w:top="634" w:right="339" w:bottom="1440" w:gutter="0" w:footer="0" w:header="0"/>
          <w:type w:val="continuous"/>
        </w:sectPr>
      </w:pP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type w:val="continuous"/>
        </w:sectPr>
      </w:pPr>
    </w:p>
    <w:bookmarkStart w:id="13" w:name="page14"/>
    <w:bookmarkEnd w:id="13"/>
    <w:p>
      <w:pPr>
        <w:ind w:right="260"/>
        <w:spacing w:after="0" w:line="261" w:lineRule="auto"/>
        <w:rPr>
          <w:sz w:val="20"/>
          <w:szCs w:val="20"/>
          <w:color w:val="auto"/>
        </w:rPr>
      </w:pPr>
      <w:r>
        <w:rPr>
          <w:rFonts w:ascii="Arial" w:cs="Arial" w:eastAsia="Arial" w:hAnsi="Arial"/>
          <w:sz w:val="18"/>
          <w:szCs w:val="18"/>
          <w:color w:val="auto"/>
        </w:rPr>
        <w:t>The impact of certain common stock equivalents was excluded from the computation of diluted net loss per share for the periods in which the Company incurred a net loss since the impact of such common stock equivalents would have been anti-dilutive.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108"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color w:val="auto"/>
        </w:rPr>
        <w:t>For the three and nine months ended June 30, 2022, the Company recorded an income tax benefit of $447 due to release of a state tax reserve during the period. For the three and nine months ended June 30,2021, the Company recorded an income tax benefit of $9,384 and $19,788, respectively, due to the Company’s ability and intent to carryback its 2021 fiscal year tax loss under the Coronavirus Aid, Relief and Economic Security Act (the “CARES Act”), which was signed into law in March 2020. As of June 30, 2022, the Company recorded an income tax receivable of $28,728 consisting of an estimated federal net operating loss carryback for fiscal 2021 for which the Company has filed for a refund.</w:t>
      </w:r>
    </w:p>
    <w:p>
      <w:pPr>
        <w:spacing w:after="0" w:line="66" w:lineRule="exact"/>
        <w:rPr>
          <w:sz w:val="20"/>
          <w:szCs w:val="20"/>
          <w:color w:val="auto"/>
        </w:rPr>
      </w:pPr>
    </w:p>
    <w:p>
      <w:pPr>
        <w:jc w:val="both"/>
        <w:ind w:right="80"/>
        <w:spacing w:after="0" w:line="243" w:lineRule="auto"/>
        <w:rPr>
          <w:sz w:val="20"/>
          <w:szCs w:val="20"/>
          <w:color w:val="auto"/>
        </w:rPr>
      </w:pPr>
      <w:r>
        <w:rPr>
          <w:rFonts w:ascii="Arial" w:cs="Arial" w:eastAsia="Arial" w:hAnsi="Arial"/>
          <w:sz w:val="18"/>
          <w:szCs w:val="18"/>
          <w:color w:val="auto"/>
        </w:rPr>
        <w:t>As of June 30, 2022, the Company has recorded a valuation allowance against all of its net deferred tax assets. The Company continues to believe it more likely that it will not have sufficient taxable income in the future that will allow it to realize all of its existing deferred tax assets. This is due to the fact the Company’s expenses are increasing as it continues to progress its wholly-owned research and development programs, while its royalty revenues from the AbbVie Agreement are not increasing.</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and Contingencies Related to Use of Intellectual Property</w:t>
      </w:r>
    </w:p>
    <w:p>
      <w:pPr>
        <w:spacing w:after="0" w:line="108"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From time to time, the Company may become subject to legal proceedings, claims and litigation arising in the ordinary course of business. For example, third parties might allege that the Company or its collaborators are infringing their patent rights or that the Company is otherwise violating their intellectual property rights. Such third parties may resort to litigation against the Company or its collaborators, which the Company has agreed to indemnify. With respect to some of these patents, the Company expects that it will be required to obtain licenses and could be required to pay license fees or royalties, or both. These licenses may not be available on acceptable terms, or at all. A costly license, or inability to obtain a necessary license, would have a material adverse effect on the Company’s financial condition, results of operations or cash flows. The Company accrues contingent liabilities when it is probable that future expenditures will be made and such expenditures can be reasonably estimated.</w:t>
      </w:r>
    </w:p>
    <w:p>
      <w:pPr>
        <w:spacing w:after="0" w:line="72" w:lineRule="exact"/>
        <w:rPr>
          <w:sz w:val="20"/>
          <w:szCs w:val="20"/>
          <w:color w:val="auto"/>
        </w:rPr>
      </w:pPr>
    </w:p>
    <w:p>
      <w:pPr>
        <w:ind w:right="100"/>
        <w:spacing w:after="0" w:line="243" w:lineRule="auto"/>
        <w:rPr>
          <w:sz w:val="20"/>
          <w:szCs w:val="20"/>
          <w:color w:val="auto"/>
        </w:rPr>
      </w:pPr>
      <w:r>
        <w:rPr>
          <w:rFonts w:ascii="Arial" w:cs="Arial" w:eastAsia="Arial" w:hAnsi="Arial"/>
          <w:sz w:val="17"/>
          <w:szCs w:val="17"/>
          <w:color w:val="auto"/>
        </w:rPr>
        <w:t>In June 2022, the Company announced that it filed suit in the United States District Court for the District of Massachusetts against Pfizer, Inc. seeking damages for infringement of U.S. Patent No. 11,358,953 (the ’953 Patent) in the manufacture, use and sale of Pfizer’s COVID-19 antiviral, Paxlovid</w:t>
      </w:r>
      <w:r>
        <w:rPr>
          <w:rFonts w:ascii="Arial" w:cs="Arial" w:eastAsia="Arial" w:hAnsi="Arial"/>
          <w:sz w:val="23"/>
          <w:szCs w:val="23"/>
          <w:color w:val="auto"/>
          <w:vertAlign w:val="superscript"/>
        </w:rPr>
        <w:t>™</w:t>
      </w:r>
      <w:r>
        <w:rPr>
          <w:rFonts w:ascii="Arial" w:cs="Arial" w:eastAsia="Arial" w:hAnsi="Arial"/>
          <w:sz w:val="17"/>
          <w:szCs w:val="17"/>
          <w:color w:val="auto"/>
        </w:rPr>
        <w:t xml:space="preserve"> (nirmatrelvir tablets; ritonavir tablets). The United States Patent and Trademark Office awarded the '953 Patent to the Company in June 2022 based on the Company's July 2020 patent application describing coronavirus protease inhibitors invented by the Company. The Company is seeking fair compensation for Pfizer’s use of a coronavirus protease inhibitor claimed in the ‘953 patent. The Company records all legal expenses associated with the patent infringement suit as incurred in the consolidated statements of operations.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Company currently is not a party to any other litigation.</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08" w:lineRule="exact"/>
        <w:rPr>
          <w:sz w:val="20"/>
          <w:szCs w:val="20"/>
          <w:color w:val="auto"/>
        </w:rPr>
      </w:pPr>
    </w:p>
    <w:p>
      <w:pPr>
        <w:ind w:right="140"/>
        <w:spacing w:after="0" w:line="271" w:lineRule="auto"/>
        <w:rPr>
          <w:sz w:val="20"/>
          <w:szCs w:val="20"/>
          <w:color w:val="auto"/>
        </w:rPr>
      </w:pPr>
      <w:r>
        <w:rPr>
          <w:rFonts w:ascii="Arial" w:cs="Arial" w:eastAsia="Arial" w:hAnsi="Arial"/>
          <w:sz w:val="16"/>
          <w:szCs w:val="16"/>
          <w:color w:val="auto"/>
        </w:rPr>
        <w:t>In the ordinary course of business, the Company may provide indemnifications of varying scope and terms to customers, vendors, lessors, business partners, and other parties with respect to certain matters including, but not limited to, losses arising out of breach of such agreements or from services to be provided to the Company, or from intellectual property infringement claims made by third parties. In addition, the Company has entered into indemnification agreements with members of its board of directors and its executive officers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In addition, the Company maintains officers and directors insurance coverage. The Company does not believe that the outcome of any claims under indemnification arrangements will have a material effect on its financial position, results of operations or cash flows, and it has not accrued any liabilities related to such obligations in its financial statements as of June 30, 2022.</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Leases</w:t>
      </w:r>
    </w:p>
    <w:p>
      <w:pPr>
        <w:spacing w:after="0" w:line="108"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On November 19, 2021, the Company exercised its option to extend the lease term of its existing office and laboratory space at 500 Arsenal Street for an additional 5 years through September 1, 2027. The Company accounted for the extension as a modification and re-assessed the classification of the lease as an operating lease. The total remeasurement of the lease resulted in an increase in the</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8" w:right="379" w:bottom="1440" w:gutter="0" w:footer="0" w:header="0"/>
        </w:sectPr>
      </w:pPr>
    </w:p>
    <w:bookmarkStart w:id="14" w:name="page15"/>
    <w:bookmarkEnd w:id="14"/>
    <w:p>
      <w:pPr>
        <w:ind w:right="240"/>
        <w:spacing w:after="0" w:line="261" w:lineRule="auto"/>
        <w:rPr>
          <w:sz w:val="20"/>
          <w:szCs w:val="20"/>
          <w:color w:val="auto"/>
        </w:rPr>
      </w:pPr>
      <w:r>
        <w:rPr>
          <w:rFonts w:ascii="Arial" w:cs="Arial" w:eastAsia="Arial" w:hAnsi="Arial"/>
          <w:sz w:val="18"/>
          <w:szCs w:val="18"/>
          <w:color w:val="auto"/>
        </w:rPr>
        <w:t>right-of-use asset and lease liability of $15,076. The updated minimum lease payments related to the 500 Arsenal Street lease as a result of the extension totaled $20,342.</w:t>
      </w:r>
    </w:p>
    <w:p>
      <w:pPr>
        <w:spacing w:after="0" w:line="265"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On May 12, 2022, the Company entered into a new lease agreement with its existing landlord for laboratory and office space in Watertown, Massachusetts adjacent to its 400 Talcott Avenue premises in order to accommodate its growing headcount. The new lab and office space will be located at Arsenal on the Charles in Watertown, Massachusetts at a to-be-constructed facility. The Company will rent approximately seventy-three thousand square feet of space over a ten-year period. The Company expects to gain access to the space to perform tenant improvements beginning in October 2023. The lease also contains a tenant improvement allowance of $15,194. The estimated minimum lease payments as a result of the new lease total $76,470. The Company will account for the lease as a right-of-use asset and lease liability upon obtaining access to the building. During the three months ended June 30, 2022, the Company paid a lease deposit of $560 which was classified as a long-term asset on the consolidated balance sheet. In addition, during the three months ended June 30, 2022, the Company established a money market account collateralizing a letter of credit issued as a security deposit of $3,360 which is classified as long-term restricted cash on the consolidated balance sheet.</w:t>
      </w:r>
    </w:p>
    <w:p>
      <w:pPr>
        <w:spacing w:after="0" w:line="155" w:lineRule="exact"/>
        <w:rPr>
          <w:sz w:val="20"/>
          <w:szCs w:val="20"/>
          <w:color w:val="auto"/>
        </w:rPr>
      </w:pPr>
    </w:p>
    <w:p>
      <w:pPr>
        <w:ind w:right="140"/>
        <w:spacing w:after="0" w:line="259" w:lineRule="auto"/>
        <w:rPr>
          <w:sz w:val="20"/>
          <w:szCs w:val="20"/>
          <w:color w:val="auto"/>
        </w:rPr>
      </w:pPr>
      <w:r>
        <w:rPr>
          <w:rFonts w:ascii="Arial" w:cs="Arial" w:eastAsia="Arial" w:hAnsi="Arial"/>
          <w:sz w:val="17"/>
          <w:szCs w:val="17"/>
          <w:color w:val="auto"/>
        </w:rPr>
        <w:t>In conjunction with the new lease agreement at Arsenal on the Charles, the Company amended its 500 Arsenal Street lease to shorten the term of the lease from September 2027 to the date when the Arsenal on the Charles facility is completed and ready for the Company's occupancy. The construction of the Arsenal on the Charles facility is being conducted by the landlord and it is expected that the facility will be ready for the Company's tenant improvement buildout in October 2023. As the construction of the facility and the timing of completion is not in the control of the Company, the Company will remeasure the lease term for financial accounting purposes at the time the contingency regarding occupancy lapses.</w:t>
      </w:r>
    </w:p>
    <w:p>
      <w:pPr>
        <w:spacing w:after="0" w:line="160"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During the three months ended June 30, 2022, the Company also amended its existing lease at 400 Talcott Avenue, which is part of the Arsenal on the Charles campus, to add approximately twenty thousand square feet of additional office space and extend the lease term through May 2034 to coincide with the lease end date of the to-be-constructed facility at Arsenal on the Charles. The amended lease also includes a tenant improvement allowance from the landlord of up to $2,574. The lease amendment was accounted for as a modification during the three months ended June 30, 2022 and resulted in an increase in the right-of-use asset and liability of $7,425 to reflect occupancy in the first-floor space and the extension of the lease term through May 2034. The Company obtained access to the third-floor space in July 2022 at which point, the Company will capitalize a right-of-use asset and liability of approximately $749.</w:t>
      </w:r>
    </w:p>
    <w:p>
      <w:pPr>
        <w:spacing w:after="0" w:line="17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Future annual minimum lease payments under the Company's leases as of June 30, 2022, including the Arsenal on the Charles to be constructed facility,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8420" w:type="dxa"/>
            <w:vAlign w:val="bottom"/>
            <w:gridSpan w:val="2"/>
          </w:tcPr>
          <w:p>
            <w:pPr>
              <w:spacing w:after="0"/>
              <w:rPr>
                <w:sz w:val="20"/>
                <w:szCs w:val="20"/>
                <w:color w:val="auto"/>
              </w:rPr>
            </w:pPr>
            <w:r>
              <w:rPr>
                <w:rFonts w:ascii="Arial" w:cs="Arial" w:eastAsia="Arial" w:hAnsi="Arial"/>
                <w:sz w:val="14"/>
                <w:szCs w:val="14"/>
                <w:b w:val="1"/>
                <w:bCs w:val="1"/>
                <w:color w:val="auto"/>
              </w:rPr>
              <w:t>Years ended September 30,</w:t>
            </w:r>
          </w:p>
        </w:tc>
        <w:tc>
          <w:tcPr>
            <w:tcW w:w="500" w:type="dxa"/>
            <w:vAlign w:val="bottom"/>
          </w:tcPr>
          <w:p>
            <w:pPr>
              <w:spacing w:after="0"/>
              <w:rPr>
                <w:sz w:val="16"/>
                <w:szCs w:val="16"/>
                <w:color w:val="auto"/>
              </w:rPr>
            </w:pPr>
          </w:p>
        </w:tc>
        <w:tc>
          <w:tcPr>
            <w:tcW w:w="2200" w:type="dxa"/>
            <w:vAlign w:val="bottom"/>
          </w:tcPr>
          <w:p>
            <w:pPr>
              <w:jc w:val="right"/>
              <w:ind w:right="832"/>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6"/>
                <w:szCs w:val="16"/>
                <w:color w:val="auto"/>
              </w:rPr>
            </w:pPr>
          </w:p>
        </w:tc>
      </w:tr>
      <w:tr>
        <w:trPr>
          <w:trHeight w:val="217"/>
        </w:trPr>
        <w:tc>
          <w:tcPr>
            <w:tcW w:w="20" w:type="dxa"/>
            <w:vAlign w:val="bottom"/>
          </w:tcPr>
          <w:p>
            <w:pPr>
              <w:spacing w:after="0"/>
              <w:rPr>
                <w:sz w:val="18"/>
                <w:szCs w:val="18"/>
                <w:color w:val="auto"/>
              </w:rPr>
            </w:pPr>
          </w:p>
        </w:tc>
        <w:tc>
          <w:tcPr>
            <w:tcW w:w="16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2023</w:t>
            </w:r>
          </w:p>
        </w:tc>
        <w:tc>
          <w:tcPr>
            <w:tcW w:w="676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4,738</w:t>
            </w:r>
          </w:p>
        </w:tc>
        <w:tc>
          <w:tcPr>
            <w:tcW w:w="100" w:type="dxa"/>
            <w:vAlign w:val="bottom"/>
          </w:tcPr>
          <w:p>
            <w:pPr>
              <w:spacing w:after="0"/>
              <w:rPr>
                <w:sz w:val="18"/>
                <w:szCs w:val="18"/>
                <w:color w:val="auto"/>
              </w:rPr>
            </w:pPr>
          </w:p>
        </w:tc>
      </w:tr>
      <w:tr>
        <w:trPr>
          <w:trHeight w:val="202"/>
        </w:trPr>
        <w:tc>
          <w:tcPr>
            <w:tcW w:w="1680" w:type="dxa"/>
            <w:vAlign w:val="bottom"/>
            <w:gridSpan w:val="2"/>
            <w:shd w:val="clear" w:color="auto" w:fill="CFF2FC"/>
          </w:tcPr>
          <w:p>
            <w:pPr>
              <w:ind w:left="20"/>
              <w:spacing w:after="0" w:line="202" w:lineRule="exact"/>
              <w:rPr>
                <w:sz w:val="20"/>
                <w:szCs w:val="20"/>
                <w:color w:val="auto"/>
              </w:rPr>
            </w:pPr>
            <w:r>
              <w:rPr>
                <w:rFonts w:ascii="Arial" w:cs="Arial" w:eastAsia="Arial" w:hAnsi="Arial"/>
                <w:sz w:val="18"/>
                <w:szCs w:val="18"/>
                <w:color w:val="auto"/>
              </w:rPr>
              <w:t>2024</w:t>
            </w:r>
          </w:p>
        </w:tc>
        <w:tc>
          <w:tcPr>
            <w:tcW w:w="6760" w:type="dxa"/>
            <w:vAlign w:val="bottom"/>
            <w:shd w:val="clear" w:color="auto" w:fill="CFF2FC"/>
          </w:tcPr>
          <w:p>
            <w:pPr>
              <w:spacing w:after="0"/>
              <w:rPr>
                <w:sz w:val="17"/>
                <w:szCs w:val="17"/>
                <w:color w:val="auto"/>
              </w:rPr>
            </w:pPr>
          </w:p>
        </w:tc>
        <w:tc>
          <w:tcPr>
            <w:tcW w:w="500" w:type="dxa"/>
            <w:vAlign w:val="bottom"/>
            <w:shd w:val="clear" w:color="auto" w:fill="CFF2FC"/>
          </w:tcPr>
          <w:p>
            <w:pPr>
              <w:spacing w:after="0"/>
              <w:rPr>
                <w:sz w:val="17"/>
                <w:szCs w:val="17"/>
                <w:color w:val="auto"/>
              </w:rPr>
            </w:pPr>
          </w:p>
        </w:tc>
        <w:tc>
          <w:tcPr>
            <w:tcW w:w="2200" w:type="dxa"/>
            <w:vAlign w:val="bottom"/>
            <w:shd w:val="clear" w:color="auto" w:fill="CFF2FC"/>
          </w:tcPr>
          <w:p>
            <w:pPr>
              <w:jc w:val="right"/>
              <w:spacing w:after="0" w:line="202" w:lineRule="exact"/>
              <w:rPr>
                <w:sz w:val="20"/>
                <w:szCs w:val="20"/>
                <w:color w:val="auto"/>
              </w:rPr>
            </w:pPr>
            <w:r>
              <w:rPr>
                <w:rFonts w:ascii="Arial" w:cs="Arial" w:eastAsia="Arial" w:hAnsi="Arial"/>
                <w:sz w:val="18"/>
                <w:szCs w:val="18"/>
                <w:color w:val="auto"/>
              </w:rPr>
              <w:t>6,690</w:t>
            </w:r>
          </w:p>
        </w:tc>
        <w:tc>
          <w:tcPr>
            <w:tcW w:w="100" w:type="dxa"/>
            <w:vAlign w:val="bottom"/>
            <w:shd w:val="clear" w:color="auto" w:fill="CFF2FC"/>
          </w:tcPr>
          <w:p>
            <w:pPr>
              <w:spacing w:after="0"/>
              <w:rPr>
                <w:sz w:val="17"/>
                <w:szCs w:val="17"/>
                <w:color w:val="auto"/>
              </w:rPr>
            </w:pPr>
          </w:p>
        </w:tc>
      </w:tr>
      <w:tr>
        <w:trPr>
          <w:trHeight w:val="203"/>
        </w:trPr>
        <w:tc>
          <w:tcPr>
            <w:tcW w:w="16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2025</w:t>
            </w:r>
          </w:p>
        </w:tc>
        <w:tc>
          <w:tcPr>
            <w:tcW w:w="6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0" w:type="dxa"/>
            <w:vAlign w:val="bottom"/>
          </w:tcPr>
          <w:p>
            <w:pPr>
              <w:jc w:val="right"/>
              <w:spacing w:after="0" w:line="202" w:lineRule="exact"/>
              <w:rPr>
                <w:sz w:val="20"/>
                <w:szCs w:val="20"/>
                <w:color w:val="auto"/>
              </w:rPr>
            </w:pPr>
            <w:r>
              <w:rPr>
                <w:rFonts w:ascii="Arial" w:cs="Arial" w:eastAsia="Arial" w:hAnsi="Arial"/>
                <w:sz w:val="18"/>
                <w:szCs w:val="18"/>
                <w:color w:val="auto"/>
              </w:rPr>
              <w:t>12,003</w:t>
            </w:r>
          </w:p>
        </w:tc>
        <w:tc>
          <w:tcPr>
            <w:tcW w:w="100" w:type="dxa"/>
            <w:vAlign w:val="bottom"/>
          </w:tcPr>
          <w:p>
            <w:pPr>
              <w:spacing w:after="0"/>
              <w:rPr>
                <w:sz w:val="17"/>
                <w:szCs w:val="17"/>
                <w:color w:val="auto"/>
              </w:rPr>
            </w:pPr>
          </w:p>
        </w:tc>
      </w:tr>
      <w:tr>
        <w:trPr>
          <w:trHeight w:val="203"/>
        </w:trPr>
        <w:tc>
          <w:tcPr>
            <w:tcW w:w="1680" w:type="dxa"/>
            <w:vAlign w:val="bottom"/>
            <w:gridSpan w:val="2"/>
            <w:shd w:val="clear" w:color="auto" w:fill="CFF2FC"/>
          </w:tcPr>
          <w:p>
            <w:pPr>
              <w:ind w:left="20"/>
              <w:spacing w:after="0" w:line="202" w:lineRule="exact"/>
              <w:rPr>
                <w:sz w:val="20"/>
                <w:szCs w:val="20"/>
                <w:color w:val="auto"/>
              </w:rPr>
            </w:pPr>
            <w:r>
              <w:rPr>
                <w:rFonts w:ascii="Arial" w:cs="Arial" w:eastAsia="Arial" w:hAnsi="Arial"/>
                <w:sz w:val="18"/>
                <w:szCs w:val="18"/>
                <w:color w:val="auto"/>
              </w:rPr>
              <w:t>2026</w:t>
            </w:r>
          </w:p>
        </w:tc>
        <w:tc>
          <w:tcPr>
            <w:tcW w:w="6760" w:type="dxa"/>
            <w:vAlign w:val="bottom"/>
            <w:shd w:val="clear" w:color="auto" w:fill="CFF2FC"/>
          </w:tcPr>
          <w:p>
            <w:pPr>
              <w:spacing w:after="0"/>
              <w:rPr>
                <w:sz w:val="17"/>
                <w:szCs w:val="17"/>
                <w:color w:val="auto"/>
              </w:rPr>
            </w:pPr>
          </w:p>
        </w:tc>
        <w:tc>
          <w:tcPr>
            <w:tcW w:w="500" w:type="dxa"/>
            <w:vAlign w:val="bottom"/>
            <w:shd w:val="clear" w:color="auto" w:fill="CFF2FC"/>
          </w:tcPr>
          <w:p>
            <w:pPr>
              <w:spacing w:after="0"/>
              <w:rPr>
                <w:sz w:val="17"/>
                <w:szCs w:val="17"/>
                <w:color w:val="auto"/>
              </w:rPr>
            </w:pPr>
          </w:p>
        </w:tc>
        <w:tc>
          <w:tcPr>
            <w:tcW w:w="2200" w:type="dxa"/>
            <w:vAlign w:val="bottom"/>
            <w:shd w:val="clear" w:color="auto" w:fill="CFF2FC"/>
          </w:tcPr>
          <w:p>
            <w:pPr>
              <w:jc w:val="right"/>
              <w:spacing w:after="0" w:line="202" w:lineRule="exact"/>
              <w:rPr>
                <w:sz w:val="20"/>
                <w:szCs w:val="20"/>
                <w:color w:val="auto"/>
              </w:rPr>
            </w:pPr>
            <w:r>
              <w:rPr>
                <w:rFonts w:ascii="Arial" w:cs="Arial" w:eastAsia="Arial" w:hAnsi="Arial"/>
                <w:sz w:val="18"/>
                <w:szCs w:val="18"/>
                <w:color w:val="auto"/>
              </w:rPr>
              <w:t>12,363</w:t>
            </w:r>
          </w:p>
        </w:tc>
        <w:tc>
          <w:tcPr>
            <w:tcW w:w="100" w:type="dxa"/>
            <w:vAlign w:val="bottom"/>
            <w:shd w:val="clear" w:color="auto" w:fill="CFF2FC"/>
          </w:tcPr>
          <w:p>
            <w:pPr>
              <w:spacing w:after="0"/>
              <w:rPr>
                <w:sz w:val="17"/>
                <w:szCs w:val="17"/>
                <w:color w:val="auto"/>
              </w:rPr>
            </w:pPr>
          </w:p>
        </w:tc>
      </w:tr>
      <w:tr>
        <w:trPr>
          <w:trHeight w:val="203"/>
        </w:trPr>
        <w:tc>
          <w:tcPr>
            <w:tcW w:w="16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2027</w:t>
            </w:r>
          </w:p>
        </w:tc>
        <w:tc>
          <w:tcPr>
            <w:tcW w:w="6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0" w:type="dxa"/>
            <w:vAlign w:val="bottom"/>
          </w:tcPr>
          <w:p>
            <w:pPr>
              <w:jc w:val="right"/>
              <w:spacing w:after="0" w:line="202" w:lineRule="exact"/>
              <w:rPr>
                <w:sz w:val="20"/>
                <w:szCs w:val="20"/>
                <w:color w:val="auto"/>
              </w:rPr>
            </w:pPr>
            <w:r>
              <w:rPr>
                <w:rFonts w:ascii="Arial" w:cs="Arial" w:eastAsia="Arial" w:hAnsi="Arial"/>
                <w:sz w:val="18"/>
                <w:szCs w:val="18"/>
                <w:color w:val="auto"/>
              </w:rPr>
              <w:t>12,396</w:t>
            </w:r>
          </w:p>
        </w:tc>
        <w:tc>
          <w:tcPr>
            <w:tcW w:w="100" w:type="dxa"/>
            <w:vAlign w:val="bottom"/>
          </w:tcPr>
          <w:p>
            <w:pPr>
              <w:spacing w:after="0"/>
              <w:rPr>
                <w:sz w:val="17"/>
                <w:szCs w:val="17"/>
                <w:color w:val="auto"/>
              </w:rPr>
            </w:pPr>
          </w:p>
        </w:tc>
      </w:tr>
      <w:tr>
        <w:trPr>
          <w:trHeight w:val="203"/>
        </w:trPr>
        <w:tc>
          <w:tcPr>
            <w:tcW w:w="20" w:type="dxa"/>
            <w:vAlign w:val="bottom"/>
            <w:tcBorders>
              <w:bottom w:val="single" w:sz="8" w:color="CFF2FC"/>
            </w:tcBorders>
            <w:shd w:val="clear" w:color="auto" w:fill="CFF2FC"/>
          </w:tcPr>
          <w:p>
            <w:pPr>
              <w:spacing w:after="0"/>
              <w:rPr>
                <w:sz w:val="17"/>
                <w:szCs w:val="17"/>
                <w:color w:val="auto"/>
              </w:rPr>
            </w:pPr>
          </w:p>
        </w:tc>
        <w:tc>
          <w:tcPr>
            <w:tcW w:w="8420" w:type="dxa"/>
            <w:vAlign w:val="bottom"/>
            <w:tcBorders>
              <w:bottom w:val="single" w:sz="8" w:color="CFF2FC"/>
            </w:tcBorders>
            <w:gridSpan w:val="2"/>
            <w:shd w:val="clear" w:color="auto" w:fill="CFF2FC"/>
          </w:tcPr>
          <w:p>
            <w:pPr>
              <w:spacing w:after="0" w:line="202" w:lineRule="exact"/>
              <w:rPr>
                <w:sz w:val="20"/>
                <w:szCs w:val="20"/>
                <w:color w:val="auto"/>
              </w:rPr>
            </w:pPr>
            <w:r>
              <w:rPr>
                <w:rFonts w:ascii="Arial" w:cs="Arial" w:eastAsia="Arial" w:hAnsi="Arial"/>
                <w:sz w:val="18"/>
                <w:szCs w:val="18"/>
                <w:color w:val="auto"/>
              </w:rPr>
              <w:t>Thereafter</w:t>
            </w:r>
          </w:p>
        </w:tc>
        <w:tc>
          <w:tcPr>
            <w:tcW w:w="500" w:type="dxa"/>
            <w:vAlign w:val="bottom"/>
            <w:tcBorders>
              <w:bottom w:val="single" w:sz="8" w:color="auto"/>
            </w:tcBorders>
            <w:shd w:val="clear" w:color="auto" w:fill="CFF2FC"/>
          </w:tcPr>
          <w:p>
            <w:pPr>
              <w:spacing w:after="0"/>
              <w:rPr>
                <w:sz w:val="17"/>
                <w:szCs w:val="17"/>
                <w:color w:val="auto"/>
              </w:rPr>
            </w:pPr>
          </w:p>
        </w:tc>
        <w:tc>
          <w:tcPr>
            <w:tcW w:w="2200" w:type="dxa"/>
            <w:vAlign w:val="bottom"/>
            <w:tcBorders>
              <w:bottom w:val="single" w:sz="8" w:color="auto"/>
            </w:tcBorders>
            <w:shd w:val="clear" w:color="auto" w:fill="CFF2FC"/>
          </w:tcPr>
          <w:p>
            <w:pPr>
              <w:jc w:val="right"/>
              <w:spacing w:after="0" w:line="202" w:lineRule="exact"/>
              <w:rPr>
                <w:sz w:val="20"/>
                <w:szCs w:val="20"/>
                <w:color w:val="auto"/>
              </w:rPr>
            </w:pPr>
            <w:r>
              <w:rPr>
                <w:rFonts w:ascii="Arial" w:cs="Arial" w:eastAsia="Arial" w:hAnsi="Arial"/>
                <w:sz w:val="18"/>
                <w:szCs w:val="18"/>
                <w:color w:val="auto"/>
              </w:rPr>
              <w:t>65,726</w:t>
            </w:r>
          </w:p>
        </w:tc>
        <w:tc>
          <w:tcPr>
            <w:tcW w:w="100" w:type="dxa"/>
            <w:vAlign w:val="bottom"/>
            <w:tcBorders>
              <w:bottom w:val="single" w:sz="8" w:color="CFF2FC"/>
            </w:tcBorders>
            <w:shd w:val="clear" w:color="auto" w:fill="CFF2FC"/>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8420" w:type="dxa"/>
            <w:vAlign w:val="bottom"/>
            <w:gridSpan w:val="2"/>
          </w:tcPr>
          <w:p>
            <w:pPr>
              <w:spacing w:after="0" w:line="196" w:lineRule="exact"/>
              <w:rPr>
                <w:sz w:val="20"/>
                <w:szCs w:val="20"/>
                <w:color w:val="auto"/>
              </w:rPr>
            </w:pPr>
            <w:r>
              <w:rPr>
                <w:rFonts w:ascii="Arial" w:cs="Arial" w:eastAsia="Arial" w:hAnsi="Arial"/>
                <w:sz w:val="18"/>
                <w:szCs w:val="18"/>
                <w:color w:val="auto"/>
              </w:rPr>
              <w:t>Total future minimum lease payments</w:t>
            </w:r>
          </w:p>
        </w:tc>
        <w:tc>
          <w:tcPr>
            <w:tcW w:w="50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color w:val="auto"/>
                <w:w w:val="79"/>
              </w:rPr>
              <w:t>$</w:t>
            </w:r>
          </w:p>
        </w:tc>
        <w:tc>
          <w:tcPr>
            <w:tcW w:w="2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113,916</w:t>
            </w:r>
          </w:p>
        </w:tc>
        <w:tc>
          <w:tcPr>
            <w:tcW w:w="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1600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160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08" w:lineRule="exact"/>
        <w:rPr>
          <w:sz w:val="20"/>
          <w:szCs w:val="20"/>
          <w:color w:val="auto"/>
        </w:rPr>
      </w:pPr>
    </w:p>
    <w:p>
      <w:pPr>
        <w:ind w:right="180"/>
        <w:spacing w:after="0" w:line="241"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the unaudited consolidated financial statements and notes thereto included elsewhere in this Quarterly Report on Form 10-Q, or Form 10-Q, and the audited consolidated financial statements and notes thereto for our fiscal year ended September 30, 2021 included in our Annual Report on Form 10-K for that fiscal year which is referred to as our 2021 Form 10-K. Please refer to our note regarding forward-looking statements on page 2 of this Form 10-Q, which is incorporated herein by this reference.</w:t>
      </w:r>
    </w:p>
    <w:p>
      <w:pPr>
        <w:spacing w:after="0" w:line="81"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i w:val="1"/>
          <w:iCs w:val="1"/>
          <w:color w:val="auto"/>
        </w:rPr>
        <w:t>The Enanta name and logo are our trademarks. This Form 10-Q also includes trademarks, trade names and service marks of other persons. All other trademarks, trade names and service marks appearing in this Form 10-Q are the property of their respective owners.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8"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color w:val="auto"/>
        </w:rPr>
        <w:t>We are a biotechnology company that uses our robust, chemistry-driven approach and drug discovery capabilities to become a leader in the discovery and development of small molecule drugs for the treatment of viral infections and liver diseases. We discovered glecaprevir, the second of two protease inhibitors discovered and developed through our collaboration with AbbVie for the treatment of chronic hepatitis C virus, or HCV. Glecaprevir is co-formulated as part of AbbVie’s leading brand of direct-acting antiviral, or DAA, combination treatment for HCV, which is marketed under the tradenames MAVYRET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(U.S.) and MAVIRET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(ex-U.S.) (glecaprevir/pibrentasvir). Our royalties from our AbbVie collaboration provide us funding to support our wholly-owned research and development programs, which are primarily focused on the following disease targets:</w:t>
      </w:r>
    </w:p>
    <w:p>
      <w:pPr>
        <w:spacing w:after="0" w:line="79" w:lineRule="exact"/>
        <w:rPr>
          <w:sz w:val="20"/>
          <w:szCs w:val="20"/>
          <w:color w:val="auto"/>
        </w:rPr>
      </w:pPr>
    </w:p>
    <w:p>
      <w:pPr>
        <w:jc w:val="both"/>
        <w:ind w:left="1020" w:right="300" w:hanging="503"/>
        <w:spacing w:after="0" w:line="270" w:lineRule="auto"/>
        <w:tabs>
          <w:tab w:leader="none" w:pos="10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Respiratory syncytial virus, or RSV, the most common cause of bronchiolitis and pneumonia in young children and a significant cause of respiratory illness in older adults, with estimates suggesting that on average each year RSV leads to 3 million hospitalizations globally in children under 5 years old and 177,000 hospitalizations in the U.S. in adults over the age of 65;</w:t>
      </w:r>
    </w:p>
    <w:p>
      <w:pPr>
        <w:spacing w:after="0" w:line="55" w:lineRule="exact"/>
        <w:rPr>
          <w:rFonts w:ascii="Arial" w:cs="Arial" w:eastAsia="Arial" w:hAnsi="Arial"/>
          <w:sz w:val="17"/>
          <w:szCs w:val="17"/>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SARS-CoV-2, the virus that causes COVID-19, as well as other coronaviruses;</w:t>
      </w:r>
    </w:p>
    <w:p>
      <w:pPr>
        <w:spacing w:after="0" w:line="103" w:lineRule="exact"/>
        <w:rPr>
          <w:rFonts w:ascii="Arial" w:cs="Arial" w:eastAsia="Arial" w:hAnsi="Arial"/>
          <w:sz w:val="18"/>
          <w:szCs w:val="18"/>
          <w:color w:val="auto"/>
        </w:rPr>
      </w:pPr>
    </w:p>
    <w:p>
      <w:pPr>
        <w:ind w:left="1020" w:right="160" w:hanging="503"/>
        <w:spacing w:after="0" w:line="261"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Hepatitis B virus, or HBV, the most prevalent chronic hepatitis, which is estimated by the World Health Organization to affect close to 300 million individuals worldwide; and</w:t>
      </w:r>
    </w:p>
    <w:p>
      <w:pPr>
        <w:spacing w:after="0" w:line="62" w:lineRule="exact"/>
        <w:rPr>
          <w:rFonts w:ascii="Arial" w:cs="Arial" w:eastAsia="Arial" w:hAnsi="Arial"/>
          <w:sz w:val="18"/>
          <w:szCs w:val="18"/>
          <w:color w:val="auto"/>
        </w:rPr>
      </w:pPr>
    </w:p>
    <w:p>
      <w:pPr>
        <w:ind w:left="1020" w:right="220" w:hanging="503"/>
        <w:spacing w:after="0" w:line="261"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Human metapneumovirus, or hMPV, a virus that is the second most common cause of lower respiratory tract infections in children behind RSV, with reinfection occurring throughout life.</w:t>
      </w:r>
    </w:p>
    <w:p>
      <w:pPr>
        <w:spacing w:after="0" w:line="63" w:lineRule="exact"/>
        <w:rPr>
          <w:sz w:val="20"/>
          <w:szCs w:val="20"/>
          <w:color w:val="auto"/>
        </w:rPr>
      </w:pPr>
    </w:p>
    <w:p>
      <w:pPr>
        <w:ind w:right="340"/>
        <w:spacing w:after="0" w:line="243" w:lineRule="auto"/>
        <w:rPr>
          <w:sz w:val="20"/>
          <w:szCs w:val="20"/>
          <w:color w:val="auto"/>
        </w:rPr>
      </w:pPr>
      <w:r>
        <w:rPr>
          <w:rFonts w:ascii="Arial" w:cs="Arial" w:eastAsia="Arial" w:hAnsi="Arial"/>
          <w:sz w:val="18"/>
          <w:szCs w:val="18"/>
          <w:color w:val="auto"/>
        </w:rPr>
        <w:t>We had $292.7 million in cash, cash equivalents and short-term and long-term marketable securities at June 30, 2022. In fiscal 2021, we earned $97.1 million and $65.8 million during the nine months ended June 30,2022 in product royalties on AbbVie’s net sales of its HCV regimens. We expect cash flows from our continuing HCV royalties and our existing financial resources will allow us to continue to fund our wholly-owned research and development programs for the next two years.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Wholly-Owned Programs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Our primary wholly-owned research and development programs are in virology, namely RSV, SARS-CoV-2, HBV and hMPV:</w:t>
      </w:r>
    </w:p>
    <w:p>
      <w:pPr>
        <w:spacing w:after="0" w:line="104" w:lineRule="exact"/>
        <w:rPr>
          <w:sz w:val="20"/>
          <w:szCs w:val="20"/>
          <w:color w:val="auto"/>
        </w:rPr>
      </w:pPr>
    </w:p>
    <w:p>
      <w:pPr>
        <w:ind w:left="1020" w:right="160" w:hanging="503"/>
        <w:spacing w:after="0" w:line="248"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RSV:</w:t>
      </w:r>
      <w:r>
        <w:rPr>
          <w:rFonts w:ascii="Arial" w:cs="Arial" w:eastAsia="Arial" w:hAnsi="Arial"/>
          <w:sz w:val="18"/>
          <w:szCs w:val="18"/>
          <w:color w:val="auto"/>
        </w:rPr>
        <w:t xml:space="preserve"> We have a clinical stage program for RSV, for which the lead asset is EDP-938, a potent N-protein inhibitor of activity of both major subgroups of RSV. EDP-938 has Fast Track designation from the U.S. Food and Drug Administration (FDA). In addition, we recently announced a clinical candidate, EDP-323, which is an inhibitor of the RSV L-protein.</w:t>
      </w:r>
    </w:p>
    <w:p>
      <w:pPr>
        <w:spacing w:after="0" w:line="74" w:lineRule="exact"/>
        <w:rPr>
          <w:sz w:val="20"/>
          <w:szCs w:val="20"/>
          <w:color w:val="auto"/>
        </w:rPr>
      </w:pPr>
    </w:p>
    <w:p>
      <w:pPr>
        <w:ind w:left="1800" w:hanging="384"/>
        <w:spacing w:after="0" w:line="252" w:lineRule="auto"/>
        <w:tabs>
          <w:tab w:leader="none" w:pos="1800" w:val="left"/>
        </w:tabs>
        <w:numPr>
          <w:ilvl w:val="0"/>
          <w:numId w:val="14"/>
        </w:numPr>
        <w:rPr>
          <w:rFonts w:ascii="Arial" w:cs="Arial" w:eastAsia="Arial" w:hAnsi="Arial"/>
          <w:sz w:val="17"/>
          <w:szCs w:val="17"/>
          <w:color w:val="auto"/>
        </w:rPr>
      </w:pPr>
      <w:r>
        <w:rPr>
          <w:rFonts w:ascii="Arial" w:cs="Arial" w:eastAsia="Arial" w:hAnsi="Arial"/>
          <w:sz w:val="17"/>
          <w:szCs w:val="17"/>
          <w:i w:val="1"/>
          <w:iCs w:val="1"/>
          <w:u w:val="single" w:color="auto"/>
          <w:color w:val="auto"/>
        </w:rPr>
        <w:t>EDP-938 - N-protein Inhibitor Candidate:</w:t>
      </w:r>
      <w:r>
        <w:rPr>
          <w:rFonts w:ascii="Arial" w:cs="Arial" w:eastAsia="Arial" w:hAnsi="Arial"/>
          <w:sz w:val="17"/>
          <w:szCs w:val="17"/>
          <w:i w:val="1"/>
          <w:iCs w:val="1"/>
          <w:color w:val="auto"/>
        </w:rPr>
        <w:t xml:space="preserve"> </w:t>
      </w:r>
      <w:r>
        <w:rPr>
          <w:rFonts w:ascii="Arial" w:cs="Arial" w:eastAsia="Arial" w:hAnsi="Arial"/>
          <w:sz w:val="17"/>
          <w:szCs w:val="17"/>
          <w:color w:val="auto"/>
        </w:rPr>
        <w:t>We have studied EDP-938 in two Phase 2 studies that were designed to be proof-of-concept and exploratory to understand better viral response in the context of RSV infection. These studies were conducted in otherwise healthy adults. The first study was the challenge study, which was reported out in mid-2019. The second study, known as RSVP, was designed to confirm the challenge study findings in an adult outpatient population with community-acquired RSV infection in order to provide us additional information on symptom alleviation and viral load decline. In May 2022, we announced topline results for RSVP, noting that EDP-938 did not meet the primary endpoint of reduction in total symptom score compared to placebo, or the secondary antiviral endpoints. However, a statistically significant difference in the number of subjects achieving undetectable RSV RNA at the end of treatment at Day 5 was observed with EDP-938 compared to placebo (p=0.033). Further, EDP-938 demonstrated a favorable safety profile, consistent with that observed in approximately 500 subjects exposed to date. Based on the growing safety profile of EDP-938 and differences in the range of the course of RSV infection in higher risk populations, which have always been our target populations, we believe that EDP-938 merits further study. We continue to believe that EDP-938 has the</w:t>
      </w: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24" w:right="399" w:bottom="1440" w:gutter="0" w:footer="0" w:header="0"/>
        </w:sectPr>
      </w:pPr>
    </w:p>
    <w:bookmarkStart w:id="16" w:name="page17"/>
    <w:bookmarkEnd w:id="16"/>
    <w:p>
      <w:pPr>
        <w:ind w:left="1137"/>
        <w:spacing w:after="0" w:line="241" w:lineRule="auto"/>
        <w:rPr>
          <w:sz w:val="20"/>
          <w:szCs w:val="20"/>
          <w:color w:val="auto"/>
        </w:rPr>
      </w:pPr>
      <w:r>
        <w:rPr>
          <w:rFonts w:ascii="Arial" w:cs="Arial" w:eastAsia="Arial" w:hAnsi="Arial"/>
          <w:sz w:val="18"/>
          <w:szCs w:val="18"/>
          <w:color w:val="auto"/>
        </w:rPr>
        <w:t>greatest potential to show optimal efficacy in high-risk populations, as these patients have reduced RSV immunity which manifests in a higher and longer duration of viral load and greater disease severity, allowing a bigger window to realize the full potential of EDP-938. We are continuing to evaluate EDP-938 in high-risk populations in the following ongoing and planned clinical studies, including pediatric patients, adult hematopoietic stem cell recipients and high-risk adults, all of which have the most significant unmet need:</w:t>
      </w:r>
    </w:p>
    <w:p>
      <w:pPr>
        <w:spacing w:after="0" w:line="81" w:lineRule="exact"/>
        <w:rPr>
          <w:sz w:val="20"/>
          <w:szCs w:val="20"/>
          <w:color w:val="auto"/>
        </w:rPr>
      </w:pPr>
    </w:p>
    <w:p>
      <w:pPr>
        <w:ind w:left="1877" w:hanging="375"/>
        <w:spacing w:after="0" w:line="239" w:lineRule="auto"/>
        <w:tabs>
          <w:tab w:leader="none" w:pos="1877" w:val="left"/>
        </w:tabs>
        <w:numPr>
          <w:ilvl w:val="0"/>
          <w:numId w:val="15"/>
        </w:numPr>
        <w:rPr>
          <w:rFonts w:ascii="Arial" w:cs="Arial" w:eastAsia="Arial" w:hAnsi="Arial"/>
          <w:sz w:val="18"/>
          <w:szCs w:val="18"/>
          <w:color w:val="auto"/>
        </w:rPr>
      </w:pPr>
      <w:r>
        <w:rPr>
          <w:rFonts w:ascii="Arial" w:cs="Arial" w:eastAsia="Arial" w:hAnsi="Arial"/>
          <w:sz w:val="18"/>
          <w:szCs w:val="18"/>
          <w:i w:val="1"/>
          <w:iCs w:val="1"/>
          <w:u w:val="single" w:color="auto"/>
          <w:color w:val="auto"/>
        </w:rPr>
        <w:t>RSVPEDs:</w:t>
      </w:r>
      <w:r>
        <w:rPr>
          <w:rFonts w:ascii="Arial" w:cs="Arial" w:eastAsia="Arial" w:hAnsi="Arial"/>
          <w:sz w:val="18"/>
          <w:szCs w:val="18"/>
          <w:i w:val="1"/>
          <w:iCs w:val="1"/>
          <w:color w:val="auto"/>
        </w:rPr>
        <w:t xml:space="preserve"> </w:t>
      </w:r>
      <w:r>
        <w:rPr>
          <w:rFonts w:ascii="Arial" w:cs="Arial" w:eastAsia="Arial" w:hAnsi="Arial"/>
          <w:sz w:val="18"/>
          <w:szCs w:val="18"/>
          <w:color w:val="auto"/>
        </w:rPr>
        <w:t>We have initiated a Phase 2 RSV study called RSVPEDs in pediatric patients. In this dose-ranging,</w:t>
      </w:r>
      <w:r>
        <w:rPr>
          <w:rFonts w:ascii="Arial" w:cs="Arial" w:eastAsia="Arial" w:hAnsi="Arial"/>
          <w:sz w:val="18"/>
          <w:szCs w:val="18"/>
          <w:i w:val="1"/>
          <w:iCs w:val="1"/>
          <w:color w:val="auto"/>
        </w:rPr>
        <w:t xml:space="preserve"> </w:t>
      </w:r>
      <w:r>
        <w:rPr>
          <w:rFonts w:ascii="Arial" w:cs="Arial" w:eastAsia="Arial" w:hAnsi="Arial"/>
          <w:sz w:val="18"/>
          <w:szCs w:val="18"/>
          <w:color w:val="auto"/>
        </w:rPr>
        <w:t>randomized, double-blind, placebo-controlled study, we plan to enroll 90 infants and children aged 28 days to 36 months with RSV-associated respiratory tract infection, including both hospitalized and non-hospitalized patients who will be dosed in up to four age cohorts and will receive EDP-938 or a placebo for five days. The study will be conducted in two parts. Part 1 will evaluate multiple ascending doses in each age cohort, with a primary endpoint of safety, tolerability, and pharmacokinetics. Part 2 will evaluate the selected dose from Part 1 across the age cohorts, with a primary endpoint of antiviral activity.</w:t>
      </w:r>
    </w:p>
    <w:p>
      <w:pPr>
        <w:spacing w:after="0" w:line="82" w:lineRule="exact"/>
        <w:rPr>
          <w:rFonts w:ascii="Arial" w:cs="Arial" w:eastAsia="Arial" w:hAnsi="Arial"/>
          <w:sz w:val="18"/>
          <w:szCs w:val="18"/>
          <w:color w:val="auto"/>
        </w:rPr>
      </w:pPr>
    </w:p>
    <w:p>
      <w:pPr>
        <w:ind w:left="1877" w:right="320" w:hanging="375"/>
        <w:spacing w:after="0" w:line="279" w:lineRule="auto"/>
        <w:tabs>
          <w:tab w:leader="none" w:pos="1877" w:val="left"/>
        </w:tabs>
        <w:numPr>
          <w:ilvl w:val="0"/>
          <w:numId w:val="15"/>
        </w:numPr>
        <w:rPr>
          <w:rFonts w:ascii="Arial" w:cs="Arial" w:eastAsia="Arial" w:hAnsi="Arial"/>
          <w:sz w:val="16"/>
          <w:szCs w:val="16"/>
          <w:color w:val="auto"/>
        </w:rPr>
      </w:pPr>
      <w:r>
        <w:rPr>
          <w:rFonts w:ascii="Arial" w:cs="Arial" w:eastAsia="Arial" w:hAnsi="Arial"/>
          <w:sz w:val="16"/>
          <w:szCs w:val="16"/>
          <w:i w:val="1"/>
          <w:iCs w:val="1"/>
          <w:u w:val="single" w:color="auto"/>
          <w:color w:val="auto"/>
        </w:rPr>
        <w:t>RSVTx:</w:t>
      </w:r>
      <w:r>
        <w:rPr>
          <w:rFonts w:ascii="Arial" w:cs="Arial" w:eastAsia="Arial" w:hAnsi="Arial"/>
          <w:sz w:val="16"/>
          <w:szCs w:val="16"/>
          <w:i w:val="1"/>
          <w:iCs w:val="1"/>
          <w:color w:val="auto"/>
        </w:rPr>
        <w:t xml:space="preserve"> </w:t>
      </w:r>
      <w:r>
        <w:rPr>
          <w:rFonts w:ascii="Arial" w:cs="Arial" w:eastAsia="Arial" w:hAnsi="Arial"/>
          <w:sz w:val="16"/>
          <w:szCs w:val="16"/>
          <w:color w:val="auto"/>
        </w:rPr>
        <w:t>We have also initiated a Phase 2b study called RSVTx in adult hematopoietic cell transplant recipients with</w:t>
      </w:r>
      <w:r>
        <w:rPr>
          <w:rFonts w:ascii="Arial" w:cs="Arial" w:eastAsia="Arial" w:hAnsi="Arial"/>
          <w:sz w:val="16"/>
          <w:szCs w:val="16"/>
          <w:i w:val="1"/>
          <w:iCs w:val="1"/>
          <w:color w:val="auto"/>
        </w:rPr>
        <w:t xml:space="preserve"> </w:t>
      </w:r>
      <w:r>
        <w:rPr>
          <w:rFonts w:ascii="Arial" w:cs="Arial" w:eastAsia="Arial" w:hAnsi="Arial"/>
          <w:sz w:val="16"/>
          <w:szCs w:val="16"/>
          <w:color w:val="auto"/>
        </w:rPr>
        <w:t>acute RSV infection and symptoms of upper respiratory tract infection. We plan to enroll approximately 200 adult subjects 18 to 75 years of age, within 72 hours of symptom onset, who will receive EDP-938 or placebo for 21 days. The primary endpoint is the incidence of lower respiratory tract complications within 28 days of enrollment, while secondary endpoints include change from baseline in RSV RNA viral load, safety and pharmacokinetics.</w:t>
      </w:r>
    </w:p>
    <w:p>
      <w:pPr>
        <w:spacing w:after="0" w:line="51" w:lineRule="exact"/>
        <w:rPr>
          <w:rFonts w:ascii="Arial" w:cs="Arial" w:eastAsia="Arial" w:hAnsi="Arial"/>
          <w:sz w:val="16"/>
          <w:szCs w:val="16"/>
          <w:color w:val="auto"/>
        </w:rPr>
      </w:pPr>
    </w:p>
    <w:p>
      <w:pPr>
        <w:ind w:left="1877" w:right="460" w:hanging="375"/>
        <w:spacing w:after="0" w:line="324" w:lineRule="auto"/>
        <w:tabs>
          <w:tab w:leader="none" w:pos="1877" w:val="left"/>
        </w:tabs>
        <w:numPr>
          <w:ilvl w:val="0"/>
          <w:numId w:val="15"/>
        </w:numPr>
        <w:rPr>
          <w:rFonts w:ascii="Arial" w:cs="Arial" w:eastAsia="Arial" w:hAnsi="Arial"/>
          <w:sz w:val="16"/>
          <w:szCs w:val="16"/>
          <w:color w:val="auto"/>
        </w:rPr>
      </w:pPr>
      <w:r>
        <w:rPr>
          <w:rFonts w:ascii="Arial" w:cs="Arial" w:eastAsia="Arial" w:hAnsi="Arial"/>
          <w:sz w:val="16"/>
          <w:szCs w:val="16"/>
          <w:i w:val="1"/>
          <w:iCs w:val="1"/>
          <w:u w:val="single" w:color="auto"/>
          <w:color w:val="auto"/>
        </w:rPr>
        <w:t>RSV-High Risk:</w:t>
      </w:r>
      <w:r>
        <w:rPr>
          <w:rFonts w:ascii="Arial" w:cs="Arial" w:eastAsia="Arial" w:hAnsi="Arial"/>
          <w:sz w:val="16"/>
          <w:szCs w:val="16"/>
          <w:i w:val="1"/>
          <w:iCs w:val="1"/>
          <w:color w:val="auto"/>
        </w:rPr>
        <w:t xml:space="preserve"> </w:t>
      </w:r>
      <w:r>
        <w:rPr>
          <w:rFonts w:ascii="Arial" w:cs="Arial" w:eastAsia="Arial" w:hAnsi="Arial"/>
          <w:sz w:val="16"/>
          <w:szCs w:val="16"/>
          <w:color w:val="auto"/>
        </w:rPr>
        <w:t>Later this year we are planning to initiate another Phase 2b study in high-risk adults, including the</w:t>
      </w:r>
      <w:r>
        <w:rPr>
          <w:rFonts w:ascii="Arial" w:cs="Arial" w:eastAsia="Arial" w:hAnsi="Arial"/>
          <w:sz w:val="16"/>
          <w:szCs w:val="16"/>
          <w:i w:val="1"/>
          <w:iCs w:val="1"/>
          <w:color w:val="auto"/>
        </w:rPr>
        <w:t xml:space="preserve"> </w:t>
      </w:r>
      <w:r>
        <w:rPr>
          <w:rFonts w:ascii="Arial" w:cs="Arial" w:eastAsia="Arial" w:hAnsi="Arial"/>
          <w:sz w:val="16"/>
          <w:szCs w:val="16"/>
          <w:color w:val="auto"/>
        </w:rPr>
        <w:t>elderly and those who have asthma, chronic obstructive pulmonary disease (COPD), or congestive heart failure.</w:t>
      </w:r>
    </w:p>
    <w:p>
      <w:pPr>
        <w:spacing w:after="0" w:line="16" w:lineRule="exact"/>
        <w:rPr>
          <w:sz w:val="20"/>
          <w:szCs w:val="20"/>
          <w:color w:val="auto"/>
        </w:rPr>
      </w:pPr>
    </w:p>
    <w:p>
      <w:pPr>
        <w:ind w:left="1137" w:hanging="384"/>
        <w:spacing w:after="0" w:line="248" w:lineRule="auto"/>
        <w:tabs>
          <w:tab w:leader="none" w:pos="1137"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prevalence of RSV has not yet returned to typical levels nor is it following any normal seasonal pattern since the COVID-19 pandemic began. The future incidence and timing of RSV infections remains highly unpredictable and thus may continue to impact enrollment in our ongoing RSV trials.</w:t>
      </w:r>
    </w:p>
    <w:p>
      <w:pPr>
        <w:spacing w:after="0" w:line="73" w:lineRule="exact"/>
        <w:rPr>
          <w:rFonts w:ascii="Arial" w:cs="Arial" w:eastAsia="Arial" w:hAnsi="Arial"/>
          <w:sz w:val="18"/>
          <w:szCs w:val="18"/>
          <w:color w:val="auto"/>
        </w:rPr>
      </w:pPr>
    </w:p>
    <w:p>
      <w:pPr>
        <w:ind w:left="1137" w:right="20" w:hanging="384"/>
        <w:spacing w:after="0"/>
        <w:tabs>
          <w:tab w:leader="none" w:pos="1137" w:val="left"/>
        </w:tabs>
        <w:numPr>
          <w:ilvl w:val="1"/>
          <w:numId w:val="16"/>
        </w:numPr>
        <w:rPr>
          <w:rFonts w:ascii="Arial" w:cs="Arial" w:eastAsia="Arial" w:hAnsi="Arial"/>
          <w:sz w:val="18"/>
          <w:szCs w:val="18"/>
          <w:color w:val="auto"/>
        </w:rPr>
      </w:pPr>
      <w:r>
        <w:rPr>
          <w:rFonts w:ascii="Arial" w:cs="Arial" w:eastAsia="Arial" w:hAnsi="Arial"/>
          <w:sz w:val="18"/>
          <w:szCs w:val="18"/>
          <w:i w:val="1"/>
          <w:iCs w:val="1"/>
          <w:u w:val="single" w:color="auto"/>
          <w:color w:val="auto"/>
        </w:rPr>
        <w:t>EDP-323 - L-protein Inhibitor Candidate:</w:t>
      </w:r>
      <w:r>
        <w:rPr>
          <w:rFonts w:ascii="Arial" w:cs="Arial" w:eastAsia="Arial" w:hAnsi="Arial"/>
          <w:sz w:val="18"/>
          <w:szCs w:val="18"/>
          <w:i w:val="1"/>
          <w:iCs w:val="1"/>
          <w:color w:val="auto"/>
        </w:rPr>
        <w:t xml:space="preserve"> </w:t>
      </w:r>
      <w:r>
        <w:rPr>
          <w:rFonts w:ascii="Arial" w:cs="Arial" w:eastAsia="Arial" w:hAnsi="Arial"/>
          <w:sz w:val="18"/>
          <w:szCs w:val="18"/>
          <w:color w:val="auto"/>
        </w:rPr>
        <w:t>Our newest clinical candidate for RSV is a novel oral, direct-acting antiviral selectively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targeting the RSV L-protein, a viral RNA-dependent RNA polymerase enzyme that contains multiple enzymatic activities required for RSV replication. EDP-323 has shown nanomolar potency against RSV-A and RSV-B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is not expected to have cross-resistance to other classes of inhibitors. EDP-323 has the potential to be used alone or in combination with other RSV mechanisms, such as EDP-938, to broaden the treatment window or addressable patient populations. We plan to initiate a Phase 1 study of EDP-323 in the second half of calendar 2022.</w:t>
      </w:r>
    </w:p>
    <w:p>
      <w:pPr>
        <w:spacing w:after="0" w:line="81" w:lineRule="exact"/>
        <w:rPr>
          <w:rFonts w:ascii="Arial" w:cs="Arial" w:eastAsia="Arial" w:hAnsi="Arial"/>
          <w:sz w:val="18"/>
          <w:szCs w:val="18"/>
          <w:color w:val="auto"/>
        </w:rPr>
      </w:pPr>
    </w:p>
    <w:p>
      <w:pPr>
        <w:ind w:left="377" w:right="140" w:hanging="377"/>
        <w:spacing w:after="0" w:line="279" w:lineRule="auto"/>
        <w:tabs>
          <w:tab w:leader="none" w:pos="377"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t>COVID-19</w:t>
      </w:r>
      <w:r>
        <w:rPr>
          <w:rFonts w:ascii="Arial" w:cs="Arial" w:eastAsia="Arial" w:hAnsi="Arial"/>
          <w:sz w:val="16"/>
          <w:szCs w:val="16"/>
          <w:color w:val="auto"/>
        </w:rPr>
        <w:t>: We have been leveraging our expertise in protease inhibitors to discover new compounds specifically designed to target the SARS-CoV-2 virus and potentially other coronaviruses. Our first clinical candidate for COVID-19 is EDP-235, an oral inhibitor of coronavirus 3CL protease, also referred to as the main coronavirus protease, or Mpro, which has been granted Fast Track designation from the FDA. In addition to SARS-CoV-2, EDP-235 has potent antiviral activity against other human coronaviruses, enabling the potential for a pan-coronavirus treatment, including possibly coronaviruses that may infect human populations in the future.</w:t>
      </w:r>
    </w:p>
    <w:p>
      <w:pPr>
        <w:spacing w:after="0" w:line="51" w:lineRule="exact"/>
        <w:rPr>
          <w:rFonts w:ascii="Arial" w:cs="Arial" w:eastAsia="Arial" w:hAnsi="Arial"/>
          <w:sz w:val="16"/>
          <w:szCs w:val="16"/>
          <w:color w:val="auto"/>
        </w:rPr>
      </w:pPr>
    </w:p>
    <w:p>
      <w:pPr>
        <w:ind w:left="1137" w:right="20" w:hanging="384"/>
        <w:spacing w:after="0" w:line="243" w:lineRule="auto"/>
        <w:tabs>
          <w:tab w:leader="none" w:pos="1137" w:val="left"/>
        </w:tabs>
        <w:numPr>
          <w:ilvl w:val="1"/>
          <w:numId w:val="16"/>
        </w:numPr>
        <w:rPr>
          <w:rFonts w:ascii="Arial" w:cs="Arial" w:eastAsia="Arial" w:hAnsi="Arial"/>
          <w:sz w:val="17"/>
          <w:szCs w:val="17"/>
          <w:color w:val="auto"/>
        </w:rPr>
      </w:pPr>
      <w:r>
        <w:rPr>
          <w:rFonts w:ascii="Arial" w:cs="Arial" w:eastAsia="Arial" w:hAnsi="Arial"/>
          <w:sz w:val="17"/>
          <w:szCs w:val="17"/>
          <w:i w:val="1"/>
          <w:iCs w:val="1"/>
          <w:u w:val="single" w:color="auto"/>
          <w:color w:val="auto"/>
        </w:rPr>
        <w:t>EDP-235</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w:t>
      </w:r>
      <w:r>
        <w:rPr>
          <w:rFonts w:ascii="Arial" w:cs="Arial" w:eastAsia="Arial" w:hAnsi="Arial"/>
          <w:sz w:val="17"/>
          <w:szCs w:val="17"/>
          <w:i w:val="1"/>
          <w:iCs w:val="1"/>
          <w:color w:val="auto"/>
        </w:rPr>
        <w:t xml:space="preserve"> </w:t>
      </w:r>
      <w:r>
        <w:rPr>
          <w:rFonts w:ascii="Arial" w:cs="Arial" w:eastAsia="Arial" w:hAnsi="Arial"/>
          <w:sz w:val="17"/>
          <w:szCs w:val="17"/>
          <w:i w:val="1"/>
          <w:iCs w:val="1"/>
          <w:u w:val="single" w:color="auto"/>
          <w:color w:val="auto"/>
        </w:rPr>
        <w:t>Protease Inhibitor Candidate</w:t>
      </w:r>
      <w:r>
        <w:rPr>
          <w:rFonts w:ascii="Arial" w:cs="Arial" w:eastAsia="Arial" w:hAnsi="Arial"/>
          <w:sz w:val="17"/>
          <w:szCs w:val="17"/>
          <w:i w:val="1"/>
          <w:iCs w:val="1"/>
          <w:color w:val="auto"/>
        </w:rPr>
        <w:t xml:space="preserve"> </w:t>
      </w:r>
      <w:r>
        <w:rPr>
          <w:rFonts w:ascii="Arial" w:cs="Arial" w:eastAsia="Arial" w:hAnsi="Arial"/>
          <w:sz w:val="17"/>
          <w:szCs w:val="17"/>
          <w:color w:val="auto"/>
        </w:rPr>
        <w:t>– In July 2022, we completed a Phase 1 study and reported positive topline results. This</w:t>
      </w:r>
      <w:r>
        <w:rPr>
          <w:rFonts w:ascii="Arial" w:cs="Arial" w:eastAsia="Arial" w:hAnsi="Arial"/>
          <w:sz w:val="17"/>
          <w:szCs w:val="17"/>
          <w:i w:val="1"/>
          <w:iCs w:val="1"/>
          <w:color w:val="auto"/>
        </w:rPr>
        <w:t xml:space="preserve"> </w:t>
      </w:r>
      <w:r>
        <w:rPr>
          <w:rFonts w:ascii="Arial" w:cs="Arial" w:eastAsia="Arial" w:hAnsi="Arial"/>
          <w:sz w:val="17"/>
          <w:szCs w:val="17"/>
          <w:color w:val="auto"/>
        </w:rPr>
        <w:t>first-in-human, randomized, double-blind, placebo-controlled study enrolled healthy volunteers to evaluate the safety, tolerability, and pharmacokinetics, or PK, of oral EDP-235 in single ascending doses (SAD) and multiple ascending doses (MAD) for seven days, and the effect of food. Data from the Phase 1 study demonstrated EDP-235 was generally safe and well-tolerated up to 400 mg for seven days with strong exposure multiples over the EC</w:t>
      </w:r>
      <w:r>
        <w:rPr>
          <w:rFonts w:ascii="Arial" w:cs="Arial" w:eastAsia="Arial" w:hAnsi="Arial"/>
          <w:sz w:val="23"/>
          <w:szCs w:val="23"/>
          <w:color w:val="auto"/>
          <w:vertAlign w:val="subscript"/>
        </w:rPr>
        <w:t>90</w:t>
      </w:r>
      <w:r>
        <w:rPr>
          <w:rFonts w:ascii="Arial" w:cs="Arial" w:eastAsia="Arial" w:hAnsi="Arial"/>
          <w:sz w:val="17"/>
          <w:szCs w:val="17"/>
          <w:color w:val="auto"/>
        </w:rPr>
        <w:t xml:space="preserve">, which is a measure of potency, specifically the concentration of drug that results in 90% inhibition of viral replication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EDP-235 200 mg taken once daily with food resulted in mean trough plasma levels at steady state that were 3-fold and 6-fold over the plasma-protein-adjusted EC</w:t>
      </w:r>
      <w:r>
        <w:rPr>
          <w:rFonts w:ascii="Arial" w:cs="Arial" w:eastAsia="Arial" w:hAnsi="Arial"/>
          <w:sz w:val="23"/>
          <w:szCs w:val="23"/>
          <w:color w:val="auto"/>
          <w:vertAlign w:val="subscript"/>
        </w:rPr>
        <w:t>90</w:t>
      </w:r>
      <w:r>
        <w:rPr>
          <w:rFonts w:ascii="Arial" w:cs="Arial" w:eastAsia="Arial" w:hAnsi="Arial"/>
          <w:sz w:val="17"/>
          <w:szCs w:val="17"/>
          <w:color w:val="auto"/>
        </w:rPr>
        <w:t xml:space="preserve"> for the Alpha variant and Delta variant, respectively, while 400 mg resulted in levels that were 6-fold and 12-fold over the plasma-protein-adjusted EC</w:t>
      </w:r>
      <w:r>
        <w:rPr>
          <w:rFonts w:ascii="Arial" w:cs="Arial" w:eastAsia="Arial" w:hAnsi="Arial"/>
          <w:sz w:val="23"/>
          <w:szCs w:val="23"/>
          <w:color w:val="auto"/>
          <w:vertAlign w:val="subscript"/>
        </w:rPr>
        <w:t>90</w:t>
      </w:r>
      <w:r>
        <w:rPr>
          <w:rFonts w:ascii="Arial" w:cs="Arial" w:eastAsia="Arial" w:hAnsi="Arial"/>
          <w:sz w:val="17"/>
          <w:szCs w:val="17"/>
          <w:color w:val="auto"/>
        </w:rPr>
        <w:t xml:space="preserve"> for the respective variants. These target exposure multiples were achieved without the need for ritonavir boosting and its associated drug-drug interactions. EDP-235 is projected to have four times higher drug levels in lung tissue compared to plasma, which would be expected to drive the 400 mg multiples to 24-fold and 48-fold for the respective variants. Adverse events were infrequent and mild. Based on these positive data, we are targeting a fourth quarter initiation of a Phase 2 study exploring doses of 200 mg and 400 mg once-daily, pending review with the FDA.</w:t>
      </w:r>
    </w:p>
    <w:p>
      <w:pPr>
        <w:spacing w:after="0" w:line="79" w:lineRule="exact"/>
        <w:rPr>
          <w:rFonts w:ascii="Arial" w:cs="Arial" w:eastAsia="Arial" w:hAnsi="Arial"/>
          <w:sz w:val="17"/>
          <w:szCs w:val="17"/>
          <w:color w:val="auto"/>
        </w:rPr>
      </w:pPr>
    </w:p>
    <w:p>
      <w:pPr>
        <w:ind w:left="377" w:right="440" w:hanging="373"/>
        <w:spacing w:after="0" w:line="261" w:lineRule="auto"/>
        <w:tabs>
          <w:tab w:leader="none" w:pos="377"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HBV:</w:t>
      </w:r>
      <w:r>
        <w:rPr>
          <w:rFonts w:ascii="Arial" w:cs="Arial" w:eastAsia="Arial" w:hAnsi="Arial"/>
          <w:sz w:val="18"/>
          <w:szCs w:val="18"/>
          <w:color w:val="auto"/>
        </w:rPr>
        <w:t xml:space="preserve"> Our lead clinical candidate for the treatment of chronic infection with hepatitis B virus, or HBV, is EDP-514, a core inhibitor that displays potent anti-HBV activity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at multiple points in the HBV lifecycle. Our goal is to develop a</w:t>
      </w:r>
    </w:p>
    <w:p>
      <w:pPr>
        <w:spacing w:after="0" w:line="171" w:lineRule="exact"/>
        <w:rPr>
          <w:sz w:val="20"/>
          <w:szCs w:val="20"/>
          <w:color w:val="auto"/>
        </w:rPr>
      </w:pPr>
    </w:p>
    <w:p>
      <w:pPr>
        <w:ind w:left="4877"/>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-427990</wp:posOffset>
            </wp:positionH>
            <wp:positionV relativeFrom="paragraph">
              <wp:posOffset>62230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77"/>
          </w:cols>
          <w:pgMar w:left="983" w:top="436" w:right="339" w:bottom="1440" w:gutter="0" w:footer="0" w:header="0"/>
        </w:sectPr>
      </w:pPr>
    </w:p>
    <w:bookmarkStart w:id="17" w:name="page18"/>
    <w:bookmarkEnd w:id="17"/>
    <w:p>
      <w:pPr>
        <w:ind w:left="1040"/>
        <w:spacing w:after="0" w:line="291" w:lineRule="auto"/>
        <w:rPr>
          <w:sz w:val="20"/>
          <w:szCs w:val="20"/>
          <w:color w:val="auto"/>
        </w:rPr>
      </w:pPr>
      <w:r>
        <w:rPr>
          <w:rFonts w:ascii="Arial" w:cs="Arial" w:eastAsia="Arial" w:hAnsi="Arial"/>
          <w:sz w:val="17"/>
          <w:szCs w:val="17"/>
          <w:color w:val="auto"/>
        </w:rPr>
        <w:t>combination therapy approach, including existing approved treatments such as a nucleoside reverse transcriptase inhibitor (NUC), with EDP-514 and one or more other mechanisms, which could lead to a functional cure for patients with chronic HBV infection.</w:t>
      </w:r>
    </w:p>
    <w:p>
      <w:pPr>
        <w:spacing w:after="0" w:line="39" w:lineRule="exact"/>
        <w:rPr>
          <w:sz w:val="20"/>
          <w:szCs w:val="20"/>
          <w:color w:val="auto"/>
        </w:rPr>
      </w:pPr>
    </w:p>
    <w:p>
      <w:pPr>
        <w:ind w:left="1800" w:right="80" w:hanging="384"/>
        <w:spacing w:after="0" w:line="267" w:lineRule="auto"/>
        <w:tabs>
          <w:tab w:leader="none" w:pos="1800" w:val="left"/>
        </w:tabs>
        <w:numPr>
          <w:ilvl w:val="1"/>
          <w:numId w:val="17"/>
        </w:numPr>
        <w:rPr>
          <w:rFonts w:ascii="Arial" w:cs="Arial" w:eastAsia="Arial" w:hAnsi="Arial"/>
          <w:sz w:val="16"/>
          <w:szCs w:val="16"/>
          <w:color w:val="auto"/>
        </w:rPr>
      </w:pPr>
      <w:r>
        <w:rPr>
          <w:rFonts w:ascii="Arial" w:cs="Arial" w:eastAsia="Arial" w:hAnsi="Arial"/>
          <w:sz w:val="16"/>
          <w:szCs w:val="16"/>
          <w:i w:val="1"/>
          <w:iCs w:val="1"/>
          <w:u w:val="single" w:color="auto"/>
          <w:color w:val="auto"/>
        </w:rPr>
        <w:t>EDP-514 - Core Inhibitor Candidate</w:t>
      </w:r>
      <w:r>
        <w:rPr>
          <w:rFonts w:ascii="Arial" w:cs="Arial" w:eastAsia="Arial" w:hAnsi="Arial"/>
          <w:sz w:val="16"/>
          <w:szCs w:val="16"/>
          <w:i w:val="1"/>
          <w:iCs w:val="1"/>
          <w:color w:val="auto"/>
        </w:rPr>
        <w:t xml:space="preserve"> </w:t>
      </w:r>
      <w:r>
        <w:rPr>
          <w:rFonts w:ascii="Arial" w:cs="Arial" w:eastAsia="Arial" w:hAnsi="Arial"/>
          <w:sz w:val="16"/>
          <w:szCs w:val="16"/>
          <w:color w:val="auto"/>
        </w:rPr>
        <w:t>- In June 2022, final data from two of our Phase 1b studies of EDP-514 were presented at</w:t>
      </w:r>
      <w:r>
        <w:rPr>
          <w:rFonts w:ascii="Arial" w:cs="Arial" w:eastAsia="Arial" w:hAnsi="Arial"/>
          <w:sz w:val="16"/>
          <w:szCs w:val="16"/>
          <w:i w:val="1"/>
          <w:iCs w:val="1"/>
          <w:color w:val="auto"/>
        </w:rPr>
        <w:t xml:space="preserve"> </w:t>
      </w:r>
      <w:r>
        <w:rPr>
          <w:rFonts w:ascii="Arial" w:cs="Arial" w:eastAsia="Arial" w:hAnsi="Arial"/>
          <w:sz w:val="16"/>
          <w:szCs w:val="16"/>
          <w:color w:val="auto"/>
        </w:rPr>
        <w:t>The International Liver Congress</w:t>
      </w:r>
      <w:r>
        <w:rPr>
          <w:rFonts w:ascii="Arial" w:cs="Arial" w:eastAsia="Arial" w:hAnsi="Arial"/>
          <w:sz w:val="21"/>
          <w:szCs w:val="21"/>
          <w:color w:val="auto"/>
          <w:vertAlign w:val="superscript"/>
        </w:rPr>
        <w:t>TM</w:t>
      </w:r>
      <w:r>
        <w:rPr>
          <w:rFonts w:ascii="Arial" w:cs="Arial" w:eastAsia="Arial" w:hAnsi="Arial"/>
          <w:sz w:val="16"/>
          <w:szCs w:val="16"/>
          <w:color w:val="auto"/>
        </w:rPr>
        <w:t xml:space="preserve"> 2022. EDP-514, which has Fast Track designation from the FDA, has been shown to be safe and potent in two different chronic HBV patient populations – those who have a high viral load, whom we refer to as viremic patients, and those who are on a treatment with a nucleoside reverse transcriptase inhibitor, whom we refer to as NUC-suppressed patients. Based on these data, we remain convinced that EDP-514 has the potential to be a best-in-class core inhibitor for HBV.</w:t>
      </w:r>
    </w:p>
    <w:p>
      <w:pPr>
        <w:spacing w:after="0" w:line="60" w:lineRule="exact"/>
        <w:rPr>
          <w:rFonts w:ascii="Arial" w:cs="Arial" w:eastAsia="Arial" w:hAnsi="Arial"/>
          <w:sz w:val="16"/>
          <w:szCs w:val="16"/>
          <w:color w:val="auto"/>
        </w:rPr>
      </w:pPr>
    </w:p>
    <w:p>
      <w:pPr>
        <w:ind w:left="1020" w:right="100" w:hanging="503"/>
        <w:spacing w:after="0" w:line="248"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hMPV</w:t>
      </w:r>
      <w:r>
        <w:rPr>
          <w:rFonts w:ascii="Arial" w:cs="Arial" w:eastAsia="Arial" w:hAnsi="Arial"/>
          <w:sz w:val="18"/>
          <w:szCs w:val="18"/>
          <w:color w:val="auto"/>
        </w:rPr>
        <w:t>: Since announcing our new drug discovery effort for human metapneumovirus, or hMPV, in January 2020, we have been optimizing nanomolar inhibitor leads against this virus and are working toward selecting our first clinical candidate for this indication later in the first half of 2023.</w:t>
      </w:r>
    </w:p>
    <w:p>
      <w:pPr>
        <w:spacing w:after="0" w:line="168"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We have utilized our internal chemistry and drug discovery capabilities to generate all of our development-stage programs. We continue to invest substantial resources in research programs to discover back-up compounds as well as new compounds targeting different mechanisms of action, both in our disease areas of focus as well as potentially in other disease areas.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product development pipeline in our virology and liver disease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6172200" cy="32404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172200" cy="3240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Royalty Revenue Collaboration</w:t>
      </w:r>
    </w:p>
    <w:p>
      <w:pPr>
        <w:spacing w:after="0" w:line="104"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auto"/>
        </w:rPr>
        <w:t>Our royalty revenue is generated through our Collaborative Development and License Agreement with AbbVie, under which we have discovered and out-licensed to AbbVie two protease inhibitor compounds that have been clinically tested, manufactured, and commercialized by AbbVie as part of its combination regimens for HCV.</w:t>
      </w:r>
    </w:p>
    <w:p>
      <w:pPr>
        <w:spacing w:after="0" w:line="74" w:lineRule="exact"/>
        <w:rPr>
          <w:sz w:val="20"/>
          <w:szCs w:val="20"/>
          <w:color w:val="auto"/>
        </w:rPr>
      </w:pPr>
    </w:p>
    <w:p>
      <w:pPr>
        <w:spacing w:after="0" w:line="218" w:lineRule="auto"/>
        <w:rPr>
          <w:sz w:val="20"/>
          <w:szCs w:val="20"/>
          <w:color w:val="auto"/>
        </w:rPr>
      </w:pPr>
      <w:r>
        <w:rPr>
          <w:rFonts w:ascii="Arial" w:cs="Arial" w:eastAsia="Arial" w:hAnsi="Arial"/>
          <w:sz w:val="18"/>
          <w:szCs w:val="18"/>
          <w:color w:val="auto"/>
        </w:rPr>
        <w:t>Glecaprevir is the protease inhibitor we discovered that was developed by AbbVie in a fixed-dose combination with its NS5A inhibitor, pibrentasvir, for the treatment of HCV. This patented combination, currently marketed under the brand names MAVYRET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(U.S.) and MAVIRET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(ex-U.S.), is referred to in this report as MAVYRET/MAVIRET. Since August 2017, substantially all of our royalty revenue has been derived from AbbVie’s net sales of MAVYRET/MAVIRET. Our ongoing royalty revenues from this regimen consist of annually tiered, double-digit, per-product royalties on 50% of the calendar year net sales of the 2-DAA glecaprevir/pibrentasvir combination in MAVYRET/MAVIRET. The annual royalty tiers return to the lowest tier for sales on and after each January 1.</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COVID-19 Update</w:t>
      </w:r>
    </w:p>
    <w:p>
      <w:pPr>
        <w:spacing w:after="0" w:line="108"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The current COVID-19 pandemic has presented substantial challenges for public health and economies around the world, and it is affecting our clinical trials, our royalty revenues received from AbbVie, and our business operations. The full extent to which the COVID-19 pandemic will directly or indirectly impact our business, results of operations and financial condition will depend on future developments that are highly uncertain and cannot be accurately predicted, including new information that may emerge concerning COVID-19 and public health actions taken to contain it and roll out vaccinations worldwide, as well as the cumulative economic impact of all of these factors. Additionally, as new, more infectious variants emerge, such as the Omicron variants, it is possible that the impact of the pandemic on our business may continue or change.</w:t>
      </w:r>
    </w:p>
    <w:p>
      <w:pPr>
        <w:spacing w:after="0" w:line="67"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We are continuing to assess and manage the potential impact of the COVID-19 pandemic on our business and operations, including our expenses, clinical trials and royalty revenue. While the majority of our employees were working from home during the first 18 months of the pandemic, as we prepare to transition back to working on site, the majority of our employees are now working hybrid schedules while our scientific personnel are working full-time in our laboratories.</w:t>
      </w:r>
    </w:p>
    <w:p>
      <w:pPr>
        <w:spacing w:after="0" w:line="80"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Our third-party contract manufacturing partners continue to operate at or near normal levels producing drug substance and drug product for our research and clinical development programs, so we currently do not anticipate any material interruptions in our supply chain, but it is possible that may change. In addition, the mitigation steps to manage the COVID-19 pandemic in the past two years have suppressed the global incidence of RSV and respiratory illnesses other than COVID-19, which has adversely affected enrollment in our RSV studies. We also continue to experience a variety of more minor interruptions and complications in our clinical trials, such as limitations in clinical trial supplies other than drug product, as well as local changes in COVID-19 impacts at individual trial sites. While our ongoing trials are proceeding, it is unclear what further impact, if any, the COVID-19 pandemic may have on the timeline for enrollment and/or completion of all or any of our clinical trials.</w:t>
      </w:r>
    </w:p>
    <w:p>
      <w:pPr>
        <w:spacing w:after="0" w:line="72"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Regarding our royalty revenue, we have continued to report lower royalty revenue during our fiscal 2021 and into 2022 as compared to periods ending before March 2020 due to the worldwide impact of the COVID-19 pandemic. The pandemic resulted in a decline in patient volumes, HCV diagnoses, HCV prescriptions and sales of MAVYRET/MAVIRET.</w:t>
      </w:r>
    </w:p>
    <w:p>
      <w:pPr>
        <w:spacing w:after="0" w:line="74" w:lineRule="exact"/>
        <w:rPr>
          <w:sz w:val="20"/>
          <w:szCs w:val="20"/>
          <w:color w:val="auto"/>
        </w:rPr>
      </w:pPr>
    </w:p>
    <w:p>
      <w:pPr>
        <w:ind w:right="180"/>
        <w:spacing w:after="0" w:line="248" w:lineRule="auto"/>
        <w:rPr>
          <w:sz w:val="20"/>
          <w:szCs w:val="20"/>
          <w:color w:val="auto"/>
        </w:rPr>
      </w:pPr>
      <w:r>
        <w:rPr>
          <w:rFonts w:ascii="Arial" w:cs="Arial" w:eastAsia="Arial" w:hAnsi="Arial"/>
          <w:sz w:val="18"/>
          <w:szCs w:val="18"/>
          <w:color w:val="auto"/>
        </w:rPr>
        <w:t>While the evolving impact of COVID-19 will likely continue to affect aspects of our business, including those described above, we remain capable of funding our research and development programs for the next two years with the current level of royalty revenue and our existing cash and short-term and long-term investments, which totaled $292.7 million at June 30, 2022.</w:t>
      </w:r>
    </w:p>
    <w:p>
      <w:pPr>
        <w:spacing w:after="0" w:line="74"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Please see Item 1A “Risk Factors” in this Form 10-Q for additional discussion of risks and potential risks of the COVID-19 pandemic on our business, results of operations and financial condition.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08"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We are currently funding all research and development for our wholly-owned programs, which are targeted toward the discovery and development of novel compounds for the treatment of viral infections and liver diseases. We currently have two Phase 2 studies ongoing for our wholly-owned program in RSV and one Phase 1 study in our SARS-CoV-2 program. We are also progressing other compounds into preclinical development in our RSV, SARS-CoV-2 and HBV programs, as well as pursuing drug discovery efforts in hMPV.</w:t>
      </w:r>
    </w:p>
    <w:p>
      <w:pPr>
        <w:spacing w:after="0" w:line="80"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During fiscal 2021 and into 2022, our business has been impacted by the COVID-19 pandemic. Specifically, AbbVie continues to report lower HCV revenues as a result of lower treated patient volumes. In addition, we have experienced slower enrollment in the clinical studies in our RSV program as a result of suppression of the incidence of respiratory illnesses globally (other than COVID-19) due to mitigation measures intended to suppress SARS-CoV-2.</w:t>
      </w:r>
    </w:p>
    <w:p>
      <w:pPr>
        <w:spacing w:after="0" w:line="80" w:lineRule="exact"/>
        <w:rPr>
          <w:sz w:val="20"/>
          <w:szCs w:val="20"/>
          <w:color w:val="auto"/>
        </w:rPr>
      </w:pPr>
    </w:p>
    <w:p>
      <w:pPr>
        <w:jc w:val="both"/>
        <w:ind w:right="100"/>
        <w:spacing w:after="0" w:line="324" w:lineRule="auto"/>
        <w:rPr>
          <w:sz w:val="20"/>
          <w:szCs w:val="20"/>
          <w:color w:val="auto"/>
        </w:rPr>
      </w:pPr>
      <w:r>
        <w:rPr>
          <w:rFonts w:ascii="Arial" w:cs="Arial" w:eastAsia="Arial" w:hAnsi="Arial"/>
          <w:sz w:val="16"/>
          <w:szCs w:val="16"/>
          <w:color w:val="auto"/>
        </w:rPr>
        <w:t>As a result of the timing of our clinical and preclinical development programs, we expect our research and development expenses to fluctuate from period to period. However, in the coming years, we expect our research and development expenses generally to increase as our wholly-owned programs advance.</w:t>
      </w:r>
    </w:p>
    <w:p>
      <w:pPr>
        <w:spacing w:after="0" w:line="16"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We are funding our operations primarily through royalty payments received under our collaboration agreement with AbbVie and our existing cash, cash equivalents, and short-term and long-term marketable securities. Our revenue is currently dependent on royalty payments we receive from AbbVie on its sales of MAVYRET/MAVIRET. Absent a significant increase in the level of AbbVie’s MAVYRET/MAVIRET sales that generate our royalty revenue and, given the planned levels of our future expenditures for the advancement of our internally developed compounds, we expect to continue to have net losses in fiscal 2022.</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 Programs</w:t>
      </w:r>
    </w:p>
    <w:p>
      <w:pPr>
        <w:spacing w:after="0" w:line="104" w:lineRule="exact"/>
        <w:rPr>
          <w:sz w:val="20"/>
          <w:szCs w:val="20"/>
          <w:color w:val="auto"/>
        </w:rPr>
      </w:pPr>
    </w:p>
    <w:p>
      <w:pPr>
        <w:spacing w:after="0" w:line="324" w:lineRule="auto"/>
        <w:rPr>
          <w:sz w:val="20"/>
          <w:szCs w:val="20"/>
          <w:color w:val="auto"/>
        </w:rPr>
      </w:pPr>
      <w:r>
        <w:rPr>
          <w:rFonts w:ascii="Arial" w:cs="Arial" w:eastAsia="Arial" w:hAnsi="Arial"/>
          <w:sz w:val="16"/>
          <w:szCs w:val="16"/>
          <w:color w:val="auto"/>
        </w:rPr>
        <w:t>As our internal product candidates are currently in Phase 1 or Phase 2 clinical development, we have not generated any revenue from our own product sales and do not expect to generate any revenue from product sales derived from these product candidates for at least the next several years.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8" w:right="35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The following table summarizes our operating expenses for the three and nine months ended June 30, 2022 and 2021:</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80" w:type="dxa"/>
            <w:vAlign w:val="bottom"/>
            <w:gridSpan w:val="4"/>
          </w:tcPr>
          <w:p>
            <w:pPr>
              <w:jc w:val="right"/>
              <w:ind w:right="537"/>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60" w:type="dxa"/>
            <w:vAlign w:val="bottom"/>
            <w:gridSpan w:val="4"/>
          </w:tcPr>
          <w:p>
            <w:pPr>
              <w:jc w:val="right"/>
              <w:ind w:right="635"/>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r>
      <w:tr>
        <w:trPr>
          <w:trHeight w:val="185"/>
        </w:trPr>
        <w:tc>
          <w:tcPr>
            <w:tcW w:w="57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7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w w:val="96"/>
              </w:rPr>
              <w:t>2022</w:t>
            </w:r>
          </w:p>
        </w:tc>
        <w:tc>
          <w:tcPr>
            <w:tcW w:w="2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5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ind w:right="17"/>
              <w:spacing w:after="0"/>
              <w:rPr>
                <w:sz w:val="20"/>
                <w:szCs w:val="20"/>
                <w:color w:val="auto"/>
              </w:rPr>
            </w:pPr>
            <w:r>
              <w:rPr>
                <w:rFonts w:ascii="Arial" w:cs="Arial" w:eastAsia="Arial" w:hAnsi="Arial"/>
                <w:sz w:val="14"/>
                <w:szCs w:val="14"/>
                <w:b w:val="1"/>
                <w:bCs w:val="1"/>
                <w:color w:val="auto"/>
              </w:rPr>
              <w:t>(in</w:t>
            </w:r>
          </w:p>
        </w:tc>
        <w:tc>
          <w:tcPr>
            <w:tcW w:w="6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2"/>
              </w:rPr>
              <w:t>thousands)</w:t>
            </w: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3"/>
        </w:trPr>
        <w:tc>
          <w:tcPr>
            <w:tcW w:w="57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39,090</w:t>
            </w:r>
          </w:p>
        </w:tc>
        <w:tc>
          <w:tcPr>
            <w:tcW w:w="56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46,994</w:t>
            </w:r>
          </w:p>
        </w:tc>
        <w:tc>
          <w:tcPr>
            <w:tcW w:w="640" w:type="dxa"/>
            <w:vAlign w:val="bottom"/>
            <w:gridSpan w:val="2"/>
            <w:shd w:val="clear" w:color="auto" w:fill="CFF0FC"/>
          </w:tcPr>
          <w:p>
            <w:pPr>
              <w:jc w:val="center"/>
              <w:spacing w:after="0" w:line="202" w:lineRule="exact"/>
              <w:rPr>
                <w:sz w:val="20"/>
                <w:szCs w:val="20"/>
                <w:color w:val="auto"/>
              </w:rPr>
            </w:pPr>
            <w:r>
              <w:rPr>
                <w:rFonts w:ascii="Arial" w:cs="Arial" w:eastAsia="Arial" w:hAnsi="Arial"/>
                <w:sz w:val="18"/>
                <w:szCs w:val="18"/>
                <w:color w:val="auto"/>
                <w:w w:val="99"/>
              </w:rPr>
              <w:t>$</w:t>
            </w: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129,726</w:t>
            </w:r>
          </w:p>
        </w:tc>
        <w:tc>
          <w:tcPr>
            <w:tcW w:w="560" w:type="dxa"/>
            <w:vAlign w:val="bottom"/>
            <w:gridSpan w:val="2"/>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125,165</w:t>
            </w:r>
          </w:p>
        </w:tc>
        <w:tc>
          <w:tcPr>
            <w:tcW w:w="100" w:type="dxa"/>
            <w:vAlign w:val="bottom"/>
            <w:shd w:val="clear" w:color="auto" w:fill="CFF0FC"/>
          </w:tcPr>
          <w:p>
            <w:pPr>
              <w:spacing w:after="0"/>
              <w:rPr>
                <w:sz w:val="17"/>
                <w:szCs w:val="17"/>
                <w:color w:val="auto"/>
              </w:rPr>
            </w:pPr>
          </w:p>
        </w:tc>
      </w:tr>
      <w:tr>
        <w:trPr>
          <w:trHeight w:val="203"/>
        </w:trPr>
        <w:tc>
          <w:tcPr>
            <w:tcW w:w="5700" w:type="dxa"/>
            <w:vAlign w:val="bottom"/>
          </w:tcPr>
          <w:p>
            <w:pPr>
              <w:ind w:left="200"/>
              <w:spacing w:after="0" w:line="202" w:lineRule="exact"/>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12,929</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8,477</w:t>
            </w:r>
          </w:p>
        </w:tc>
        <w:tc>
          <w:tcPr>
            <w:tcW w:w="2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32,913</w:t>
            </w:r>
          </w:p>
        </w:tc>
        <w:tc>
          <w:tcPr>
            <w:tcW w:w="2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24,180</w:t>
            </w:r>
          </w:p>
        </w:tc>
        <w:tc>
          <w:tcPr>
            <w:tcW w:w="100" w:type="dxa"/>
            <w:vAlign w:val="bottom"/>
          </w:tcPr>
          <w:p>
            <w:pPr>
              <w:spacing w:after="0"/>
              <w:rPr>
                <w:sz w:val="17"/>
                <w:szCs w:val="17"/>
                <w:color w:val="auto"/>
              </w:rPr>
            </w:pPr>
          </w:p>
        </w:tc>
      </w:tr>
      <w:tr>
        <w:trPr>
          <w:trHeight w:val="236"/>
        </w:trPr>
        <w:tc>
          <w:tcPr>
            <w:tcW w:w="5700" w:type="dxa"/>
            <w:vAlign w:val="bottom"/>
            <w:tcBorders>
              <w:bottom w:val="single" w:sz="8" w:color="CFF0FC"/>
            </w:tcBorders>
            <w:shd w:val="clear" w:color="auto" w:fill="CFF0FC"/>
          </w:tcPr>
          <w:p>
            <w:pPr>
              <w:ind w:left="380"/>
              <w:spacing w:after="0" w:line="182" w:lineRule="exact"/>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shd w:val="clear" w:color="auto" w:fill="CFF0FC"/>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52,019</w:t>
            </w:r>
          </w:p>
        </w:tc>
        <w:tc>
          <w:tcPr>
            <w:tcW w:w="2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55,471</w:t>
            </w:r>
          </w:p>
        </w:tc>
        <w:tc>
          <w:tcPr>
            <w:tcW w:w="24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jc w:val="center"/>
              <w:ind w:right="210"/>
              <w:spacing w:after="0" w:line="182" w:lineRule="exact"/>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162,639</w:t>
            </w:r>
          </w:p>
        </w:tc>
        <w:tc>
          <w:tcPr>
            <w:tcW w:w="22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149,345</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-25400</wp:posOffset>
            </wp:positionV>
            <wp:extent cx="7747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-8255</wp:posOffset>
            </wp:positionV>
            <wp:extent cx="7747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-25400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-8255</wp:posOffset>
            </wp:positionV>
            <wp:extent cx="685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-25400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-8255</wp:posOffset>
            </wp:positionV>
            <wp:extent cx="6858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04"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Research and development expenses consist of costs incurred to conduct basic research, such as the discovery and development of novel small molecules as therapeutics, as well as any external expenses of preclinical and clinical development activities. We expense all costs of research and development as incurred. These expenses consist primarily of:</w:t>
      </w:r>
    </w:p>
    <w:p>
      <w:pPr>
        <w:spacing w:after="0" w:line="74" w:lineRule="exact"/>
        <w:rPr>
          <w:sz w:val="20"/>
          <w:szCs w:val="20"/>
          <w:color w:val="auto"/>
        </w:rPr>
      </w:pPr>
    </w:p>
    <w:p>
      <w:pPr>
        <w:ind w:left="1020" w:right="760" w:hanging="503"/>
        <w:spacing w:after="0" w:line="261"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personnel costs, including salaries, related benefits and stock-based compensation for employees engaged in scientific research and development functions;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third-party contract costs relating to research, formulation, manufacturing, preclinical study and clinical trial activities;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laboratory consumables;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allocated facility-related costs;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third-party license fees.</w:t>
      </w:r>
    </w:p>
    <w:p>
      <w:pPr>
        <w:spacing w:after="0" w:line="104" w:lineRule="exact"/>
        <w:rPr>
          <w:sz w:val="20"/>
          <w:szCs w:val="20"/>
          <w:color w:val="auto"/>
        </w:rPr>
      </w:pPr>
    </w:p>
    <w:p>
      <w:pPr>
        <w:ind w:right="140"/>
        <w:spacing w:after="0" w:line="276" w:lineRule="auto"/>
        <w:rPr>
          <w:sz w:val="20"/>
          <w:szCs w:val="20"/>
          <w:color w:val="auto"/>
        </w:rPr>
      </w:pPr>
      <w:r>
        <w:rPr>
          <w:rFonts w:ascii="Arial" w:cs="Arial" w:eastAsia="Arial" w:hAnsi="Arial"/>
          <w:sz w:val="16"/>
          <w:szCs w:val="16"/>
          <w:color w:val="auto"/>
        </w:rPr>
        <w:t>Project-specific expenses reflect costs directly attributable to our clinical development candidates and preclinical candidates nominated and selected for further development. The remaining research and development expenses are reflected in research and drug discovery, which represents early-stage drug discovery programs. At any given time, we typically have several active early-stage research and drug discovery projects. Our internal resources, employees, and infrastructure are not directly tied to any individual research or drug discovery project and are typically deployed across multiple projects. As such, we do not report information regarding costs incurred for our early-stage research and drug discovery programs on a project-specific basis. We expect that our research and development expenses will continue to increase in the future as we advance our research and development programs.</w:t>
      </w:r>
    </w:p>
    <w:p>
      <w:pPr>
        <w:spacing w:after="0" w:line="53"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Our research and drug discovery and development programs are in the early stages; therefore, the successful development of our product candidates is highly uncertain and may not result in approved products. Completion dates and completion costs can vary significantly for each product candidate and are difficult to predict. Given the uncertainty associated with clinical trial enrollments, particularly in the context of the COVID-19 pandemic, and the risks inherent in the development process, we are unable to determine the duration and completion costs of the current or future clinical trials of our product candidates or if, or to what extent, we will generate revenue from the commercialization and sale of any of our product candidates. We anticipate that we will make determinations as to which development programs to pursue and how much funding to direct to each program on an ongoing basis in response to the preclinical and clinical success and prospects of each product candidate, as well as ongoing assessments of the commercial potential of each product candidate.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04"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General and administrative expenses consist primarily of personnel costs, which include salaries, related benefits, and stock-based compensation, for our executive, finance, business and corporate development, and other administrative functions. General and administrative expenses also include travel expenses, allocated facility-related costs not otherwise included in research and development expenses, directors and officers’ liability insurance premiums, and professional fees for auditing, tax, and legal services and patent expenses.</w:t>
      </w:r>
    </w:p>
    <w:p>
      <w:pPr>
        <w:spacing w:after="0" w:line="64" w:lineRule="exact"/>
        <w:rPr>
          <w:sz w:val="20"/>
          <w:szCs w:val="20"/>
          <w:color w:val="auto"/>
        </w:rPr>
      </w:pPr>
    </w:p>
    <w:p>
      <w:pPr>
        <w:ind w:right="80"/>
        <w:spacing w:after="0" w:line="324" w:lineRule="auto"/>
        <w:rPr>
          <w:sz w:val="20"/>
          <w:szCs w:val="20"/>
          <w:color w:val="auto"/>
        </w:rPr>
      </w:pPr>
      <w:r>
        <w:rPr>
          <w:rFonts w:ascii="Arial" w:cs="Arial" w:eastAsia="Arial" w:hAnsi="Arial"/>
          <w:sz w:val="16"/>
          <w:szCs w:val="16"/>
          <w:color w:val="auto"/>
        </w:rPr>
        <w:t>We expect that general and administrative expenses will increase in the future primarily due to the ongoing expansion of our operating activities in support of our research and development programs, as well as potential additional costs associated with operating a growing publicly traded company.</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04"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Other income, net consists of interest and investment income and any change in fair value of our outstanding Series 1 nonconvertible preferred stock. Interest income consists of interest earned on our cash equivalents and short-term and long-term marketable securities balances as well as interest earned on any refunds received from tax authorities. Investment income consists of the amortization or accretion of any purchased premium or discount on our short-term and long-term marketable securities. The change in fair value of</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0" w:name="page21"/>
    <w:bookmarkEnd w:id="20"/>
    <w:p>
      <w:pPr>
        <w:ind w:right="400"/>
        <w:spacing w:after="0" w:line="261" w:lineRule="auto"/>
        <w:rPr>
          <w:sz w:val="20"/>
          <w:szCs w:val="20"/>
          <w:color w:val="auto"/>
        </w:rPr>
      </w:pPr>
      <w:r>
        <w:rPr>
          <w:rFonts w:ascii="Arial" w:cs="Arial" w:eastAsia="Arial" w:hAnsi="Arial"/>
          <w:sz w:val="18"/>
          <w:szCs w:val="18"/>
          <w:color w:val="auto"/>
        </w:rPr>
        <w:t>our Series 1 nonconvertible preferred stock relates to the remeasurement of these financial instruments from period to period as these instruments may require a transfer of assets because of the liquidation preference features of the underlying instrument.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w:t>
      </w:r>
    </w:p>
    <w:p>
      <w:pPr>
        <w:spacing w:after="0" w:line="104" w:lineRule="exact"/>
        <w:rPr>
          <w:sz w:val="20"/>
          <w:szCs w:val="20"/>
          <w:color w:val="auto"/>
        </w:rPr>
      </w:pPr>
    </w:p>
    <w:p>
      <w:pPr>
        <w:jc w:val="both"/>
        <w:ind w:right="60"/>
        <w:spacing w:after="0" w:line="248" w:lineRule="auto"/>
        <w:rPr>
          <w:sz w:val="20"/>
          <w:szCs w:val="20"/>
          <w:color w:val="auto"/>
        </w:rPr>
      </w:pPr>
      <w:r>
        <w:rPr>
          <w:rFonts w:ascii="Arial" w:cs="Arial" w:eastAsia="Arial" w:hAnsi="Arial"/>
          <w:sz w:val="18"/>
          <w:szCs w:val="18"/>
          <w:color w:val="auto"/>
        </w:rPr>
        <w:t>The income tax benefit is generally the result of federal and state tax benefits, releases of tax reserves or tax refunds due as a result of tax losses generated in the period which are able to be carried back to prior years under the Coronavirus Aid, Relief and Economic Security Act (“CARES Act”). The benefit of the CARES Act is not available beginning in fiscal 2022.</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2022 and 2021</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5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5"/>
        </w:trPr>
        <w:tc>
          <w:tcPr>
            <w:tcW w:w="76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64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7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9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7"/>
              </w:rPr>
              <w:t>thousands)</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3"/>
        </w:trPr>
        <w:tc>
          <w:tcPr>
            <w:tcW w:w="76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Royalty revenue</w:t>
            </w:r>
          </w:p>
        </w:tc>
        <w:tc>
          <w:tcPr>
            <w:tcW w:w="960" w:type="dxa"/>
            <w:vAlign w:val="bottom"/>
            <w:shd w:val="clear" w:color="auto" w:fill="CFF0FC"/>
          </w:tcPr>
          <w:p>
            <w:pPr>
              <w:jc w:val="right"/>
              <w:ind w:right="759"/>
              <w:spacing w:after="0" w:line="202" w:lineRule="exact"/>
              <w:rPr>
                <w:sz w:val="20"/>
                <w:szCs w:val="20"/>
                <w:color w:val="auto"/>
              </w:rPr>
            </w:pPr>
            <w:r>
              <w:rPr>
                <w:rFonts w:ascii="Arial" w:cs="Arial" w:eastAsia="Arial" w:hAnsi="Arial"/>
                <w:sz w:val="18"/>
                <w:szCs w:val="18"/>
                <w:color w:val="auto"/>
                <w:w w:val="99"/>
              </w:rPr>
              <w:t>$</w:t>
            </w:r>
          </w:p>
        </w:tc>
        <w:tc>
          <w:tcPr>
            <w:tcW w:w="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4"/>
              </w:rPr>
              <w:t>19,479</w:t>
            </w:r>
          </w:p>
        </w:tc>
        <w:tc>
          <w:tcPr>
            <w:tcW w:w="940" w:type="dxa"/>
            <w:vAlign w:val="bottom"/>
            <w:gridSpan w:val="3"/>
            <w:shd w:val="clear" w:color="auto" w:fill="CFF0FC"/>
          </w:tcPr>
          <w:p>
            <w:pPr>
              <w:jc w:val="right"/>
              <w:ind w:right="56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21,624</w:t>
            </w:r>
          </w:p>
        </w:tc>
        <w:tc>
          <w:tcPr>
            <w:tcW w:w="100" w:type="dxa"/>
            <w:vAlign w:val="bottom"/>
            <w:shd w:val="clear" w:color="auto" w:fill="CFF0FC"/>
          </w:tcPr>
          <w:p>
            <w:pPr>
              <w:spacing w:after="0"/>
              <w:rPr>
                <w:sz w:val="17"/>
                <w:szCs w:val="17"/>
                <w:color w:val="auto"/>
              </w:rPr>
            </w:pPr>
          </w:p>
        </w:tc>
      </w:tr>
      <w:tr>
        <w:trPr>
          <w:trHeight w:val="203"/>
        </w:trPr>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Research and development</w:t>
            </w:r>
          </w:p>
        </w:tc>
        <w:tc>
          <w:tcPr>
            <w:tcW w:w="96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w w:val="94"/>
              </w:rPr>
              <w:t>39,090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46,994</w:t>
            </w:r>
          </w:p>
        </w:tc>
        <w:tc>
          <w:tcPr>
            <w:tcW w:w="100" w:type="dxa"/>
            <w:vAlign w:val="bottom"/>
          </w:tcPr>
          <w:p>
            <w:pPr>
              <w:spacing w:after="0"/>
              <w:rPr>
                <w:sz w:val="17"/>
                <w:szCs w:val="17"/>
                <w:color w:val="auto"/>
              </w:rPr>
            </w:pPr>
          </w:p>
        </w:tc>
      </w:tr>
      <w:tr>
        <w:trPr>
          <w:trHeight w:val="203"/>
        </w:trPr>
        <w:tc>
          <w:tcPr>
            <w:tcW w:w="76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General and administrative</w:t>
            </w:r>
          </w:p>
        </w:tc>
        <w:tc>
          <w:tcPr>
            <w:tcW w:w="96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4"/>
              </w:rPr>
              <w:t>12,929</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8,477</w:t>
            </w:r>
          </w:p>
        </w:tc>
        <w:tc>
          <w:tcPr>
            <w:tcW w:w="100" w:type="dxa"/>
            <w:vAlign w:val="bottom"/>
            <w:shd w:val="clear" w:color="auto" w:fill="CFF0FC"/>
          </w:tcPr>
          <w:p>
            <w:pPr>
              <w:spacing w:after="0"/>
              <w:rPr>
                <w:sz w:val="17"/>
                <w:szCs w:val="17"/>
                <w:color w:val="auto"/>
              </w:rPr>
            </w:pPr>
          </w:p>
        </w:tc>
      </w:tr>
      <w:tr>
        <w:trPr>
          <w:trHeight w:val="203"/>
        </w:trPr>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Other income, net</w:t>
            </w:r>
          </w:p>
        </w:tc>
        <w:tc>
          <w:tcPr>
            <w:tcW w:w="96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393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439</w:t>
            </w:r>
          </w:p>
        </w:tc>
        <w:tc>
          <w:tcPr>
            <w:tcW w:w="100" w:type="dxa"/>
            <w:vAlign w:val="bottom"/>
          </w:tcPr>
          <w:p>
            <w:pPr>
              <w:spacing w:after="0"/>
              <w:rPr>
                <w:sz w:val="17"/>
                <w:szCs w:val="17"/>
                <w:color w:val="auto"/>
              </w:rPr>
            </w:pPr>
          </w:p>
        </w:tc>
      </w:tr>
      <w:tr>
        <w:trPr>
          <w:trHeight w:val="203"/>
        </w:trPr>
        <w:tc>
          <w:tcPr>
            <w:tcW w:w="76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Income tax benefit</w:t>
            </w:r>
          </w:p>
        </w:tc>
        <w:tc>
          <w:tcPr>
            <w:tcW w:w="960" w:type="dxa"/>
            <w:vAlign w:val="bottom"/>
            <w:shd w:val="clear" w:color="auto" w:fill="CFF2FC"/>
          </w:tcPr>
          <w:p>
            <w:pPr>
              <w:spacing w:after="0"/>
              <w:rPr>
                <w:sz w:val="17"/>
                <w:szCs w:val="17"/>
                <w:color w:val="auto"/>
              </w:rPr>
            </w:pPr>
          </w:p>
        </w:tc>
        <w:tc>
          <w:tcPr>
            <w:tcW w:w="560" w:type="dxa"/>
            <w:vAlign w:val="bottom"/>
            <w:shd w:val="clear" w:color="auto" w:fill="CFF2FC"/>
          </w:tcPr>
          <w:p>
            <w:pPr>
              <w:jc w:val="right"/>
              <w:spacing w:after="0" w:line="202" w:lineRule="exact"/>
              <w:rPr>
                <w:sz w:val="20"/>
                <w:szCs w:val="20"/>
                <w:color w:val="auto"/>
              </w:rPr>
            </w:pPr>
            <w:r>
              <w:rPr>
                <w:rFonts w:ascii="Arial" w:cs="Arial" w:eastAsia="Arial" w:hAnsi="Arial"/>
                <w:sz w:val="18"/>
                <w:szCs w:val="18"/>
                <w:color w:val="auto"/>
              </w:rPr>
              <w:t>447</w:t>
            </w:r>
          </w:p>
        </w:tc>
        <w:tc>
          <w:tcPr>
            <w:tcW w:w="100" w:type="dxa"/>
            <w:vAlign w:val="bottom"/>
            <w:shd w:val="clear" w:color="auto" w:fill="CFF2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9,384</w:t>
            </w:r>
          </w:p>
        </w:tc>
        <w:tc>
          <w:tcPr>
            <w:tcW w:w="100" w:type="dxa"/>
            <w:vAlign w:val="bottom"/>
            <w:shd w:val="clear" w:color="auto" w:fill="CFF0FC"/>
          </w:tcPr>
          <w:p>
            <w:pPr>
              <w:spacing w:after="0"/>
              <w:rPr>
                <w:sz w:val="17"/>
                <w:szCs w:val="17"/>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Royalty Revenue</w:t>
      </w:r>
    </w:p>
    <w:p>
      <w:pPr>
        <w:spacing w:after="0" w:line="104" w:lineRule="exact"/>
        <w:rPr>
          <w:sz w:val="20"/>
          <w:szCs w:val="20"/>
          <w:color w:val="auto"/>
        </w:rPr>
      </w:pPr>
    </w:p>
    <w:p>
      <w:pPr>
        <w:ind w:right="380"/>
        <w:spacing w:after="0" w:line="259" w:lineRule="auto"/>
        <w:rPr>
          <w:sz w:val="20"/>
          <w:szCs w:val="20"/>
          <w:color w:val="auto"/>
        </w:rPr>
      </w:pPr>
      <w:r>
        <w:rPr>
          <w:rFonts w:ascii="Arial" w:cs="Arial" w:eastAsia="Arial" w:hAnsi="Arial"/>
          <w:sz w:val="17"/>
          <w:szCs w:val="17"/>
          <w:color w:val="auto"/>
        </w:rPr>
        <w:t>Our revenue consists of royalties received under our collaboration agreement with AbbVie, substantially all of which are now derived from sales of MAVYRET/MAVIRET. We are entitled to annually tiered, double-digit, per-product royalties on 50% of all net sales of MAVYRET/MAVIRET. Our royalty revenues eligible to be earned in the future will potentially fluctuate depending on AbbVie’s HCV market share, the pricing of the MAVYRET/MAVIRET regimen and the number of patients treated with that regimen. Beginning with each January 1, the cumulative net sales of each royalty-bearing product start at zero for purposes of calculating the tiered royalties on a product-by-product basis.</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We recognized royalty revenue of $19.5 million during the three months ended June 30,2022 as compared to $21.6 million during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June 30, 2021. The $2.1 million decrease in royalty revenue was due to AbbVie’s lower reported HCV sales as compared to the comparable period in 2021.</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HCV patient volumes continue to remain below pre-COVID-19 levels.</w:t>
      </w:r>
    </w:p>
    <w:p>
      <w:pPr>
        <w:sectPr>
          <w:pgSz w:w="11900" w:h="16838" w:orient="portrait"/>
          <w:cols w:equalWidth="0" w:num="1">
            <w:col w:w="11240"/>
          </w:cols>
          <w:pgMar w:left="320" w:top="436" w:right="339" w:bottom="1440" w:gutter="0" w:footer="0" w:header="0"/>
        </w:sectPr>
      </w:pP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R&amp;D programs:</w:t>
      </w:r>
    </w:p>
    <w:p>
      <w:pPr>
        <w:spacing w:after="0" w:line="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Virology</w:t>
      </w:r>
    </w:p>
    <w:p>
      <w:pPr>
        <w:ind w:left="200"/>
        <w:spacing w:after="0"/>
        <w:rPr>
          <w:sz w:val="20"/>
          <w:szCs w:val="20"/>
          <w:color w:val="auto"/>
        </w:rPr>
      </w:pPr>
      <w:r>
        <w:rPr>
          <w:rFonts w:ascii="Arial" w:cs="Arial" w:eastAsia="Arial" w:hAnsi="Arial"/>
          <w:sz w:val="18"/>
          <w:szCs w:val="18"/>
          <w:color w:val="auto"/>
        </w:rPr>
        <w:t>Liver disease (non-viral)</w:t>
      </w:r>
    </w:p>
    <w:p>
      <w:pPr>
        <w:spacing w:after="0" w:line="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Other</w:t>
      </w:r>
    </w:p>
    <w:p>
      <w:pPr>
        <w:spacing w:after="0" w:line="22" w:lineRule="exact"/>
        <w:rPr>
          <w:sz w:val="20"/>
          <w:szCs w:val="20"/>
          <w:color w:val="auto"/>
        </w:rPr>
      </w:pPr>
    </w:p>
    <w:p>
      <w:pPr>
        <w:ind w:left="200"/>
        <w:spacing w:after="0"/>
        <w:rPr>
          <w:sz w:val="20"/>
          <w:szCs w:val="20"/>
          <w:color w:val="auto"/>
        </w:rPr>
      </w:pPr>
      <w:r>
        <w:rPr>
          <w:rFonts w:ascii="Arial" w:cs="Arial" w:eastAsia="Arial" w:hAnsi="Arial"/>
          <w:sz w:val="15"/>
          <w:szCs w:val="15"/>
          <w:color w:val="auto"/>
        </w:rPr>
        <w:t>Total research and development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00"/>
        <w:spacing w:after="0"/>
        <w:rPr>
          <w:sz w:val="20"/>
          <w:szCs w:val="20"/>
          <w:color w:val="auto"/>
        </w:rPr>
      </w:pPr>
      <w:r>
        <w:rPr>
          <w:rFonts w:ascii="Arial" w:cs="Arial" w:eastAsia="Arial" w:hAnsi="Arial"/>
          <w:sz w:val="14"/>
          <w:szCs w:val="14"/>
          <w:b w:val="1"/>
          <w:bCs w:val="1"/>
          <w:color w:val="auto"/>
        </w:rPr>
        <w:t>Three Months Ended</w:t>
      </w:r>
    </w:p>
    <w:p>
      <w:pPr>
        <w:spacing w:after="0" w:line="25" w:lineRule="exact"/>
        <w:rPr>
          <w:sz w:val="20"/>
          <w:szCs w:val="20"/>
          <w:color w:val="auto"/>
        </w:rPr>
      </w:pPr>
    </w:p>
    <w:p>
      <w:pPr>
        <w:jc w:val="center"/>
        <w:ind w:right="100"/>
        <w:spacing w:after="0"/>
        <w:rPr>
          <w:sz w:val="20"/>
          <w:szCs w:val="20"/>
          <w:color w:val="auto"/>
        </w:rPr>
      </w:pPr>
      <w:r>
        <w:rPr>
          <w:rFonts w:ascii="Arial" w:cs="Arial" w:eastAsia="Arial" w:hAnsi="Arial"/>
          <w:sz w:val="14"/>
          <w:szCs w:val="14"/>
          <w:b w:val="1"/>
          <w:bCs w:val="1"/>
          <w:color w:val="auto"/>
        </w:rPr>
        <w:t>June 30,</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6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top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2021</w:t>
            </w:r>
          </w:p>
        </w:tc>
      </w:tr>
      <w:tr>
        <w:trPr>
          <w:trHeight w:val="180"/>
        </w:trPr>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820" w:type="dxa"/>
            <w:vAlign w:val="bottom"/>
            <w:gridSpan w:val="2"/>
          </w:tcPr>
          <w:p>
            <w:pPr>
              <w:jc w:val="center"/>
              <w:ind w:right="70"/>
              <w:spacing w:after="0"/>
              <w:rPr>
                <w:sz w:val="20"/>
                <w:szCs w:val="20"/>
                <w:color w:val="auto"/>
              </w:rPr>
            </w:pPr>
            <w:r>
              <w:rPr>
                <w:rFonts w:ascii="Arial" w:cs="Arial" w:eastAsia="Arial" w:hAnsi="Arial"/>
                <w:sz w:val="14"/>
                <w:szCs w:val="14"/>
                <w:b w:val="1"/>
                <w:bCs w:val="1"/>
                <w:color w:val="auto"/>
                <w:w w:val="87"/>
              </w:rPr>
              <w:t>thousands)</w:t>
            </w:r>
          </w:p>
        </w:tc>
        <w:tc>
          <w:tcPr>
            <w:tcW w:w="1160" w:type="dxa"/>
            <w:vAlign w:val="bottom"/>
          </w:tcPr>
          <w:p>
            <w:pPr>
              <w:spacing w:after="0"/>
              <w:rPr>
                <w:sz w:val="15"/>
                <w:szCs w:val="15"/>
                <w:color w:val="auto"/>
              </w:rPr>
            </w:pPr>
          </w:p>
        </w:tc>
      </w:tr>
      <w:tr>
        <w:trPr>
          <w:trHeight w:val="380"/>
        </w:trPr>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34,042</w:t>
            </w:r>
          </w:p>
        </w:tc>
        <w:tc>
          <w:tcPr>
            <w:tcW w:w="820" w:type="dxa"/>
            <w:vAlign w:val="bottom"/>
            <w:gridSpan w:val="2"/>
          </w:tcPr>
          <w:p>
            <w:pPr>
              <w:jc w:val="center"/>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34,947</w:t>
            </w:r>
          </w:p>
        </w:tc>
      </w:tr>
      <w:tr>
        <w:trPr>
          <w:trHeight w:val="202"/>
        </w:trPr>
        <w:tc>
          <w:tcPr>
            <w:tcW w:w="36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4,540</w:t>
            </w: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11,442</w:t>
            </w:r>
          </w:p>
        </w:tc>
      </w:tr>
      <w:tr>
        <w:trPr>
          <w:trHeight w:val="217"/>
        </w:trPr>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w:t>
            </w:r>
          </w:p>
        </w:tc>
        <w:tc>
          <w:tcPr>
            <w:tcW w:w="28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w:t>
            </w:r>
          </w:p>
        </w:tc>
      </w:tr>
      <w:tr>
        <w:trPr>
          <w:trHeight w:val="196"/>
        </w:trPr>
        <w:tc>
          <w:tcPr>
            <w:tcW w:w="36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39,090</w:t>
            </w:r>
          </w:p>
        </w:tc>
        <w:tc>
          <w:tcPr>
            <w:tcW w:w="280" w:type="dxa"/>
            <w:vAlign w:val="bottom"/>
          </w:tcPr>
          <w:p>
            <w:pPr>
              <w:spacing w:after="0"/>
              <w:rPr>
                <w:sz w:val="17"/>
                <w:szCs w:val="17"/>
                <w:color w:val="auto"/>
              </w:rPr>
            </w:pPr>
          </w:p>
        </w:tc>
        <w:tc>
          <w:tcPr>
            <w:tcW w:w="540" w:type="dxa"/>
            <w:vAlign w:val="bottom"/>
            <w:tcBorders>
              <w:bottom w:val="single" w:sz="8" w:color="auto"/>
            </w:tcBorders>
          </w:tcPr>
          <w:p>
            <w:pPr>
              <w:jc w:val="center"/>
              <w:ind w:right="33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46,994</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-4845685</wp:posOffset>
            </wp:positionH>
            <wp:positionV relativeFrom="paragraph">
              <wp:posOffset>-676275</wp:posOffset>
            </wp:positionV>
            <wp:extent cx="7132320" cy="1289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-4845685</wp:posOffset>
            </wp:positionH>
            <wp:positionV relativeFrom="paragraph">
              <wp:posOffset>-419100</wp:posOffset>
            </wp:positionV>
            <wp:extent cx="7132320" cy="12890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-4845685</wp:posOffset>
            </wp:positionH>
            <wp:positionV relativeFrom="paragraph">
              <wp:posOffset>-153670</wp:posOffset>
            </wp:positionV>
            <wp:extent cx="7132320" cy="15430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920" w:space="720"/>
            <w:col w:w="3600"/>
          </w:cols>
          <w:pgMar w:left="320" w:top="436" w:right="339" w:bottom="1440" w:gutter="0" w:footer="0" w:header="0"/>
          <w:type w:val="continuous"/>
        </w:sect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type w:val="continuous"/>
        </w:sectPr>
      </w:pPr>
    </w:p>
    <w:bookmarkStart w:id="21" w:name="page22"/>
    <w:bookmarkEnd w:id="21"/>
    <w:p>
      <w:pPr>
        <w:ind w:right="60"/>
        <w:spacing w:after="0" w:line="256" w:lineRule="auto"/>
        <w:rPr>
          <w:sz w:val="20"/>
          <w:szCs w:val="20"/>
          <w:color w:val="auto"/>
        </w:rPr>
      </w:pPr>
      <w:r>
        <w:rPr>
          <w:rFonts w:ascii="Arial" w:cs="Arial" w:eastAsia="Arial" w:hAnsi="Arial"/>
          <w:sz w:val="16"/>
          <w:szCs w:val="16"/>
          <w:color w:val="auto"/>
        </w:rPr>
        <w:t>The level of research and development expenses for the three months ended June 30,2022 decreased by $7.9 million compared to the same period in 2021. The decrease was primarily driven by a decrease in clinical trial costs due to timing of our studies in our virology and liver disease programs. For our virology program, we had two Phase 2 studies of EDP-938 in RSV during the quarter and one Phase 1 study of EDP-235 in our COVID-19 program which was initiated during the second quarter of 2022. For our liver disease program, we announced in October 2021 that we would not continue to develop our FXR agonists for non-alcoholic steatohepatitis and instead are pursuing an out-license strategy for further development. Expenses related to this program are expected to continue to decline as we close out the development program. In the prior year, we had two Phase 1 clinical studies of EDP-514 in chronic HBV patients and three Phase 2 studies of EDP-938 in RSV in our virology program as well as two clinical studies in our liver disease program.</w:t>
      </w:r>
    </w:p>
    <w:p>
      <w:pPr>
        <w:spacing w:after="0" w:line="138" w:lineRule="exact"/>
        <w:rPr>
          <w:sz w:val="20"/>
          <w:szCs w:val="20"/>
          <w:color w:val="auto"/>
        </w:rPr>
      </w:pPr>
    </w:p>
    <w:p>
      <w:pPr>
        <w:jc w:val="both"/>
        <w:ind w:right="500"/>
        <w:spacing w:after="0" w:line="235" w:lineRule="auto"/>
        <w:rPr>
          <w:sz w:val="20"/>
          <w:szCs w:val="20"/>
          <w:color w:val="auto"/>
        </w:rPr>
      </w:pPr>
      <w:r>
        <w:rPr>
          <w:rFonts w:ascii="Arial" w:cs="Arial" w:eastAsia="Arial" w:hAnsi="Arial"/>
          <w:sz w:val="18"/>
          <w:szCs w:val="18"/>
          <w:color w:val="auto"/>
        </w:rPr>
        <w:t>In the near term, our clinical trial expenses could fluctuate if the impact of the COVID-19 pandemic continues through calendar 2022 and negatively impacts patient recruitment and monitoring. In the coming years, we expect our research and development expenses to increase as our wholly-owned programs advance, subject to any longer-term impact of the COVID-19 pandemic.</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90" w:lineRule="exact"/>
        <w:rPr>
          <w:sz w:val="20"/>
          <w:szCs w:val="20"/>
          <w:color w:val="auto"/>
        </w:rPr>
      </w:pPr>
    </w:p>
    <w:p>
      <w:pPr>
        <w:ind w:right="20"/>
        <w:spacing w:after="0" w:line="307" w:lineRule="auto"/>
        <w:rPr>
          <w:sz w:val="20"/>
          <w:szCs w:val="20"/>
          <w:color w:val="auto"/>
        </w:rPr>
      </w:pPr>
      <w:r>
        <w:rPr>
          <w:rFonts w:ascii="Arial" w:cs="Arial" w:eastAsia="Arial" w:hAnsi="Arial"/>
          <w:sz w:val="16"/>
          <w:szCs w:val="16"/>
          <w:color w:val="auto"/>
        </w:rPr>
        <w:t>General and administrative expenses increased by $4.5 million for the three months ended June 30,2022 compared to the same period in 2021. The increase was primarily due to increases in headcount and related compensation expense in support of expansion of our research and development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90"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Other income, net, decreased less than $0.1 million for the three months ended June 30, 2022 as compared to the same period in 2021. The decrease was due to lower invested cash balances as of June 30, 2022 as compared to the prior year.</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w:t>
      </w:r>
    </w:p>
    <w:p>
      <w:pPr>
        <w:spacing w:after="0" w:line="90" w:lineRule="exact"/>
        <w:rPr>
          <w:sz w:val="20"/>
          <w:szCs w:val="20"/>
          <w:color w:val="auto"/>
        </w:rPr>
      </w:pPr>
    </w:p>
    <w:p>
      <w:pPr>
        <w:ind w:right="80"/>
        <w:spacing w:after="0" w:line="228" w:lineRule="auto"/>
        <w:rPr>
          <w:sz w:val="20"/>
          <w:szCs w:val="20"/>
          <w:color w:val="auto"/>
        </w:rPr>
      </w:pPr>
      <w:r>
        <w:rPr>
          <w:rFonts w:ascii="Arial" w:cs="Arial" w:eastAsia="Arial" w:hAnsi="Arial"/>
          <w:sz w:val="18"/>
          <w:szCs w:val="18"/>
          <w:color w:val="auto"/>
        </w:rPr>
        <w:t>For the three months ended June 30, 2022 and 2021, we recorded an income tax benefit of $0.4 million and $9.4 million, respectively. We recorded an income tax benefit in the three months ended June 30, 2022 due to a release of a state tax reserve during the period while in the prior period, we recorded a tax benefit due to a federal net operating loss carryback available under the CARES Act for our fiscal year 2021, which is no longer available after September 30, 2021. We continue to record a valuation allowance against substantially all of our deferred tax assets as it is more likely than not that those tax benefits will not be realized in the future.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June 30, 2022 and 2021</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4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560" w:type="dxa"/>
            <w:vAlign w:val="bottom"/>
            <w:gridSpan w:val="3"/>
          </w:tcPr>
          <w:p>
            <w:pPr>
              <w:jc w:val="center"/>
              <w:ind w:left="57"/>
              <w:spacing w:after="0"/>
              <w:rPr>
                <w:sz w:val="20"/>
                <w:szCs w:val="20"/>
                <w:color w:val="auto"/>
              </w:rPr>
            </w:pPr>
            <w:r>
              <w:rPr>
                <w:rFonts w:ascii="Arial" w:cs="Arial" w:eastAsia="Arial" w:hAnsi="Arial"/>
                <w:sz w:val="14"/>
                <w:szCs w:val="14"/>
                <w:b w:val="1"/>
                <w:bCs w:val="1"/>
                <w:color w:val="auto"/>
                <w:w w:val="93"/>
              </w:rPr>
              <w:t>Nine Months Ended</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5"/>
        </w:trPr>
        <w:tc>
          <w:tcPr>
            <w:tcW w:w="748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center"/>
              <w:ind w:left="57"/>
              <w:spacing w:after="0"/>
              <w:rPr>
                <w:sz w:val="20"/>
                <w:szCs w:val="20"/>
                <w:color w:val="auto"/>
              </w:rPr>
            </w:pPr>
            <w:r>
              <w:rPr>
                <w:rFonts w:ascii="Arial" w:cs="Arial" w:eastAsia="Arial" w:hAnsi="Arial"/>
                <w:sz w:val="14"/>
                <w:szCs w:val="14"/>
                <w:b w:val="1"/>
                <w:bCs w:val="1"/>
                <w:color w:val="auto"/>
                <w:w w:val="89"/>
              </w:rPr>
              <w:t>June 30,</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48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7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4"/>
              </w:rPr>
              <w:t>thousands)</w:t>
            </w: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3"/>
        </w:trPr>
        <w:tc>
          <w:tcPr>
            <w:tcW w:w="74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Royalty Revenue</w:t>
            </w:r>
          </w:p>
        </w:tc>
        <w:tc>
          <w:tcPr>
            <w:tcW w:w="980" w:type="dxa"/>
            <w:vAlign w:val="bottom"/>
            <w:shd w:val="clear" w:color="auto" w:fill="CFF0FC"/>
          </w:tcPr>
          <w:p>
            <w:pPr>
              <w:jc w:val="right"/>
              <w:ind w:right="779"/>
              <w:spacing w:after="0" w:line="202" w:lineRule="exact"/>
              <w:rPr>
                <w:sz w:val="20"/>
                <w:szCs w:val="20"/>
                <w:color w:val="auto"/>
              </w:rPr>
            </w:pPr>
            <w:r>
              <w:rPr>
                <w:rFonts w:ascii="Arial" w:cs="Arial" w:eastAsia="Arial" w:hAnsi="Arial"/>
                <w:sz w:val="18"/>
                <w:szCs w:val="18"/>
                <w:color w:val="auto"/>
                <w:w w:val="99"/>
              </w:rPr>
              <w:t>$</w:t>
            </w:r>
          </w:p>
        </w:tc>
        <w:tc>
          <w:tcPr>
            <w:tcW w:w="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65,843</w:t>
            </w:r>
          </w:p>
        </w:tc>
        <w:tc>
          <w:tcPr>
            <w:tcW w:w="920" w:type="dxa"/>
            <w:vAlign w:val="bottom"/>
            <w:gridSpan w:val="2"/>
            <w:shd w:val="clear" w:color="auto" w:fill="CFF0FC"/>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73,499</w:t>
            </w:r>
          </w:p>
        </w:tc>
        <w:tc>
          <w:tcPr>
            <w:tcW w:w="100" w:type="dxa"/>
            <w:vAlign w:val="bottom"/>
            <w:shd w:val="clear" w:color="auto" w:fill="CFF0FC"/>
          </w:tcPr>
          <w:p>
            <w:pPr>
              <w:spacing w:after="0"/>
              <w:rPr>
                <w:sz w:val="17"/>
                <w:szCs w:val="17"/>
                <w:color w:val="auto"/>
              </w:rPr>
            </w:pPr>
          </w:p>
        </w:tc>
      </w:tr>
      <w:tr>
        <w:trPr>
          <w:trHeight w:val="203"/>
        </w:trPr>
        <w:tc>
          <w:tcPr>
            <w:tcW w:w="7480" w:type="dxa"/>
            <w:vAlign w:val="bottom"/>
          </w:tcPr>
          <w:p>
            <w:pPr>
              <w:ind w:left="20"/>
              <w:spacing w:after="0" w:line="202" w:lineRule="exact"/>
              <w:rPr>
                <w:sz w:val="20"/>
                <w:szCs w:val="20"/>
                <w:color w:val="auto"/>
              </w:rPr>
            </w:pPr>
            <w:r>
              <w:rPr>
                <w:rFonts w:ascii="Arial" w:cs="Arial" w:eastAsia="Arial" w:hAnsi="Arial"/>
                <w:sz w:val="18"/>
                <w:szCs w:val="18"/>
                <w:color w:val="auto"/>
              </w:rPr>
              <w:t>Research and development</w:t>
            </w:r>
          </w:p>
        </w:tc>
        <w:tc>
          <w:tcPr>
            <w:tcW w:w="98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w w:val="92"/>
              </w:rPr>
              <w:t>129,726</w:t>
            </w: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125,165</w:t>
            </w:r>
          </w:p>
        </w:tc>
        <w:tc>
          <w:tcPr>
            <w:tcW w:w="100" w:type="dxa"/>
            <w:vAlign w:val="bottom"/>
          </w:tcPr>
          <w:p>
            <w:pPr>
              <w:spacing w:after="0"/>
              <w:rPr>
                <w:sz w:val="17"/>
                <w:szCs w:val="17"/>
                <w:color w:val="auto"/>
              </w:rPr>
            </w:pPr>
          </w:p>
        </w:tc>
      </w:tr>
      <w:tr>
        <w:trPr>
          <w:trHeight w:val="203"/>
        </w:trPr>
        <w:tc>
          <w:tcPr>
            <w:tcW w:w="74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General and administrative</w:t>
            </w:r>
          </w:p>
        </w:tc>
        <w:tc>
          <w:tcPr>
            <w:tcW w:w="98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32,913</w:t>
            </w:r>
          </w:p>
        </w:tc>
        <w:tc>
          <w:tcPr>
            <w:tcW w:w="2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24,180</w:t>
            </w:r>
          </w:p>
        </w:tc>
        <w:tc>
          <w:tcPr>
            <w:tcW w:w="100" w:type="dxa"/>
            <w:vAlign w:val="bottom"/>
            <w:shd w:val="clear" w:color="auto" w:fill="CFF0FC"/>
          </w:tcPr>
          <w:p>
            <w:pPr>
              <w:spacing w:after="0"/>
              <w:rPr>
                <w:sz w:val="17"/>
                <w:szCs w:val="17"/>
                <w:color w:val="auto"/>
              </w:rPr>
            </w:pPr>
          </w:p>
        </w:tc>
      </w:tr>
      <w:tr>
        <w:trPr>
          <w:trHeight w:val="203"/>
        </w:trPr>
        <w:tc>
          <w:tcPr>
            <w:tcW w:w="7480" w:type="dxa"/>
            <w:vAlign w:val="bottom"/>
          </w:tcPr>
          <w:p>
            <w:pPr>
              <w:ind w:left="20"/>
              <w:spacing w:after="0" w:line="202" w:lineRule="exact"/>
              <w:rPr>
                <w:sz w:val="20"/>
                <w:szCs w:val="20"/>
                <w:color w:val="auto"/>
              </w:rPr>
            </w:pPr>
            <w:r>
              <w:rPr>
                <w:rFonts w:ascii="Arial" w:cs="Arial" w:eastAsia="Arial" w:hAnsi="Arial"/>
                <w:sz w:val="18"/>
                <w:szCs w:val="18"/>
                <w:color w:val="auto"/>
              </w:rPr>
              <w:t>Other income, net</w:t>
            </w:r>
          </w:p>
        </w:tc>
        <w:tc>
          <w:tcPr>
            <w:tcW w:w="98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942</w:t>
            </w: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1,661</w:t>
            </w:r>
          </w:p>
        </w:tc>
        <w:tc>
          <w:tcPr>
            <w:tcW w:w="100" w:type="dxa"/>
            <w:vAlign w:val="bottom"/>
          </w:tcPr>
          <w:p>
            <w:pPr>
              <w:spacing w:after="0"/>
              <w:rPr>
                <w:sz w:val="17"/>
                <w:szCs w:val="17"/>
                <w:color w:val="auto"/>
              </w:rPr>
            </w:pPr>
          </w:p>
        </w:tc>
      </w:tr>
      <w:tr>
        <w:trPr>
          <w:trHeight w:val="203"/>
        </w:trPr>
        <w:tc>
          <w:tcPr>
            <w:tcW w:w="74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Income tax benefit</w:t>
            </w:r>
          </w:p>
        </w:tc>
        <w:tc>
          <w:tcPr>
            <w:tcW w:w="98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447</w:t>
            </w:r>
          </w:p>
        </w:tc>
        <w:tc>
          <w:tcPr>
            <w:tcW w:w="2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19,788</w:t>
            </w:r>
          </w:p>
        </w:tc>
        <w:tc>
          <w:tcPr>
            <w:tcW w:w="100" w:type="dxa"/>
            <w:vAlign w:val="bottom"/>
            <w:shd w:val="clear" w:color="auto" w:fill="CFF0FC"/>
          </w:tcPr>
          <w:p>
            <w:pPr>
              <w:spacing w:after="0"/>
              <w:rPr>
                <w:sz w:val="17"/>
                <w:szCs w:val="17"/>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Royalty Revenue</w:t>
      </w:r>
    </w:p>
    <w:p>
      <w:pPr>
        <w:spacing w:after="0" w:line="104" w:lineRule="exact"/>
        <w:rPr>
          <w:sz w:val="20"/>
          <w:szCs w:val="20"/>
          <w:color w:val="auto"/>
        </w:rPr>
      </w:pPr>
    </w:p>
    <w:p>
      <w:pPr>
        <w:ind w:right="220"/>
        <w:spacing w:after="0" w:line="248" w:lineRule="auto"/>
        <w:rPr>
          <w:sz w:val="20"/>
          <w:szCs w:val="20"/>
          <w:color w:val="auto"/>
        </w:rPr>
      </w:pPr>
      <w:r>
        <w:rPr>
          <w:rFonts w:ascii="Arial" w:cs="Arial" w:eastAsia="Arial" w:hAnsi="Arial"/>
          <w:sz w:val="18"/>
          <w:szCs w:val="18"/>
          <w:color w:val="auto"/>
        </w:rPr>
        <w:t>We recognized royalty revenue of $65.8 million during the nine months ended June 30, 2022 as compared to $73.5 million during the nine months ended June 30, 2021. The $7.7 million decrease in royalty revenue was due to AbbVie’s lower reported HCV sales on a year to date basis as compared to the comparable period in 2021.</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22" w:name="page23"/>
    <w:bookmarkEnd w:id="22"/>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R&amp;D programs:</w:t>
      </w:r>
    </w:p>
    <w:p>
      <w:pPr>
        <w:spacing w:after="0" w:line="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Virology</w:t>
      </w:r>
    </w:p>
    <w:p>
      <w:pPr>
        <w:ind w:left="200"/>
        <w:spacing w:after="0"/>
        <w:rPr>
          <w:sz w:val="20"/>
          <w:szCs w:val="20"/>
          <w:color w:val="auto"/>
        </w:rPr>
      </w:pPr>
      <w:r>
        <w:rPr>
          <w:rFonts w:ascii="Arial" w:cs="Arial" w:eastAsia="Arial" w:hAnsi="Arial"/>
          <w:sz w:val="18"/>
          <w:szCs w:val="18"/>
          <w:color w:val="auto"/>
        </w:rPr>
        <w:t>Liver disease (non-viral)</w:t>
      </w:r>
    </w:p>
    <w:p>
      <w:pPr>
        <w:spacing w:after="0" w:line="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Other</w:t>
      </w:r>
    </w:p>
    <w:p>
      <w:pPr>
        <w:spacing w:after="0" w:line="22" w:lineRule="exact"/>
        <w:rPr>
          <w:sz w:val="20"/>
          <w:szCs w:val="20"/>
          <w:color w:val="auto"/>
        </w:rPr>
      </w:pPr>
    </w:p>
    <w:p>
      <w:pPr>
        <w:ind w:left="200"/>
        <w:spacing w:after="0"/>
        <w:rPr>
          <w:sz w:val="20"/>
          <w:szCs w:val="20"/>
          <w:color w:val="auto"/>
        </w:rPr>
      </w:pPr>
      <w:r>
        <w:rPr>
          <w:rFonts w:ascii="Arial" w:cs="Arial" w:eastAsia="Arial" w:hAnsi="Arial"/>
          <w:sz w:val="15"/>
          <w:szCs w:val="15"/>
          <w:color w:val="auto"/>
        </w:rPr>
        <w:t>Total research and development expenses</w:t>
      </w:r>
    </w:p>
    <w:p>
      <w:pPr>
        <w:spacing w:after="0" w:line="20" w:lineRule="exact"/>
        <w:rPr>
          <w:sz w:val="20"/>
          <w:szCs w:val="20"/>
          <w:color w:val="auto"/>
        </w:rPr>
      </w:pPr>
      <w:r>
        <w:rPr>
          <w:sz w:val="20"/>
          <w:szCs w:val="20"/>
          <w:color w:val="auto"/>
        </w:rPr>
        <w:br w:type="column"/>
      </w:r>
    </w:p>
    <w:p>
      <w:pPr>
        <w:jc w:val="center"/>
        <w:ind w:right="100"/>
        <w:spacing w:after="0"/>
        <w:rPr>
          <w:sz w:val="20"/>
          <w:szCs w:val="20"/>
          <w:color w:val="auto"/>
        </w:rPr>
      </w:pPr>
      <w:r>
        <w:rPr>
          <w:rFonts w:ascii="Arial" w:cs="Arial" w:eastAsia="Arial" w:hAnsi="Arial"/>
          <w:sz w:val="14"/>
          <w:szCs w:val="14"/>
          <w:b w:val="1"/>
          <w:bCs w:val="1"/>
          <w:color w:val="auto"/>
        </w:rPr>
        <w:t>Nine Months Ended</w:t>
      </w:r>
    </w:p>
    <w:p>
      <w:pPr>
        <w:spacing w:after="0" w:line="25" w:lineRule="exact"/>
        <w:rPr>
          <w:sz w:val="20"/>
          <w:szCs w:val="20"/>
          <w:color w:val="auto"/>
        </w:rPr>
      </w:pPr>
    </w:p>
    <w:p>
      <w:pPr>
        <w:jc w:val="center"/>
        <w:ind w:right="100"/>
        <w:spacing w:after="0"/>
        <w:rPr>
          <w:sz w:val="20"/>
          <w:szCs w:val="20"/>
          <w:color w:val="auto"/>
        </w:rPr>
      </w:pPr>
      <w:r>
        <w:rPr>
          <w:rFonts w:ascii="Arial" w:cs="Arial" w:eastAsia="Arial" w:hAnsi="Arial"/>
          <w:sz w:val="14"/>
          <w:szCs w:val="14"/>
          <w:b w:val="1"/>
          <w:bCs w:val="1"/>
          <w:color w:val="auto"/>
        </w:rPr>
        <w:t>June 30,</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8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top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2021</w:t>
            </w:r>
          </w:p>
        </w:tc>
      </w:tr>
      <w:tr>
        <w:trPr>
          <w:trHeight w:val="197"/>
        </w:trPr>
        <w:tc>
          <w:tcPr>
            <w:tcW w:w="380" w:type="dxa"/>
            <w:vAlign w:val="bottom"/>
          </w:tcPr>
          <w:p>
            <w:pPr>
              <w:spacing w:after="0"/>
              <w:rPr>
                <w:sz w:val="17"/>
                <w:szCs w:val="17"/>
                <w:color w:val="auto"/>
              </w:rPr>
            </w:pPr>
          </w:p>
        </w:tc>
        <w:tc>
          <w:tcPr>
            <w:tcW w:w="206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rPr>
              <w:t>(in thousands)</w:t>
            </w:r>
          </w:p>
        </w:tc>
        <w:tc>
          <w:tcPr>
            <w:tcW w:w="1220" w:type="dxa"/>
            <w:vAlign w:val="bottom"/>
          </w:tcPr>
          <w:p>
            <w:pPr>
              <w:spacing w:after="0"/>
              <w:rPr>
                <w:sz w:val="17"/>
                <w:szCs w:val="17"/>
                <w:color w:val="auto"/>
              </w:rPr>
            </w:pPr>
          </w:p>
        </w:tc>
      </w:tr>
      <w:tr>
        <w:trPr>
          <w:trHeight w:val="389"/>
        </w:trPr>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112,476</w:t>
            </w:r>
          </w:p>
        </w:tc>
        <w:tc>
          <w:tcPr>
            <w:tcW w:w="82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89,416</w:t>
            </w:r>
          </w:p>
        </w:tc>
      </w:tr>
      <w:tr>
        <w:trPr>
          <w:trHeight w:val="203"/>
        </w:trPr>
        <w:tc>
          <w:tcPr>
            <w:tcW w:w="38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15,641</w:t>
            </w: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33,527</w:t>
            </w:r>
          </w:p>
        </w:tc>
      </w:tr>
      <w:tr>
        <w:trPr>
          <w:trHeight w:val="217"/>
        </w:trPr>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1,609</w:t>
            </w:r>
          </w:p>
        </w:tc>
        <w:tc>
          <w:tcPr>
            <w:tcW w:w="28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2,222</w:t>
            </w:r>
          </w:p>
        </w:tc>
      </w:tr>
      <w:tr>
        <w:trPr>
          <w:trHeight w:val="196"/>
        </w:trPr>
        <w:tc>
          <w:tcPr>
            <w:tcW w:w="38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129,726</w:t>
            </w:r>
          </w:p>
        </w:tc>
        <w:tc>
          <w:tcPr>
            <w:tcW w:w="280" w:type="dxa"/>
            <w:vAlign w:val="bottom"/>
          </w:tcPr>
          <w:p>
            <w:pPr>
              <w:spacing w:after="0"/>
              <w:rPr>
                <w:sz w:val="17"/>
                <w:szCs w:val="17"/>
                <w:color w:val="auto"/>
              </w:rPr>
            </w:pPr>
          </w:p>
        </w:tc>
        <w:tc>
          <w:tcPr>
            <w:tcW w:w="54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125,165</w:t>
            </w: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-4744085</wp:posOffset>
            </wp:positionH>
            <wp:positionV relativeFrom="paragraph">
              <wp:posOffset>-676910</wp:posOffset>
            </wp:positionV>
            <wp:extent cx="7132320" cy="1289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-4744085</wp:posOffset>
            </wp:positionH>
            <wp:positionV relativeFrom="paragraph">
              <wp:posOffset>-419735</wp:posOffset>
            </wp:positionV>
            <wp:extent cx="7132320" cy="12890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-4744085</wp:posOffset>
            </wp:positionH>
            <wp:positionV relativeFrom="paragraph">
              <wp:posOffset>-153670</wp:posOffset>
            </wp:positionV>
            <wp:extent cx="7132320" cy="15430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1" w:lineRule="exact"/>
        <w:rPr>
          <w:sz w:val="20"/>
          <w:szCs w:val="20"/>
          <w:color w:val="auto"/>
        </w:rPr>
      </w:pPr>
    </w:p>
    <w:p>
      <w:pPr>
        <w:sectPr>
          <w:pgSz w:w="11900" w:h="16838" w:orient="portrait"/>
          <w:cols w:equalWidth="0" w:num="2">
            <w:col w:w="6760" w:space="720"/>
            <w:col w:w="3760"/>
          </w:cols>
          <w:pgMar w:left="320" w:top="333" w:right="339" w:bottom="1440" w:gutter="0" w:footer="0" w:header="0"/>
        </w:sectPr>
      </w:pPr>
    </w:p>
    <w:p>
      <w:pPr>
        <w:ind w:right="140"/>
        <w:spacing w:after="0" w:line="235" w:lineRule="auto"/>
        <w:rPr>
          <w:sz w:val="20"/>
          <w:szCs w:val="20"/>
          <w:color w:val="auto"/>
        </w:rPr>
      </w:pPr>
      <w:r>
        <w:rPr>
          <w:rFonts w:ascii="Arial" w:cs="Arial" w:eastAsia="Arial" w:hAnsi="Arial"/>
          <w:sz w:val="18"/>
          <w:szCs w:val="18"/>
          <w:color w:val="auto"/>
        </w:rPr>
        <w:t>The level of research and development expenses for the nine months ended June 30, 2022 increased by $4.6 million compared to the same period in 2021. The increase was primarily driven by an increase in manufacturing costs in support of our clinical studies in our virology program, partially offset by a decrease in clinical trial expenses in our virology and liver disease programs.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90" w:lineRule="exact"/>
        <w:rPr>
          <w:sz w:val="20"/>
          <w:szCs w:val="20"/>
          <w:color w:val="auto"/>
        </w:rPr>
      </w:pPr>
    </w:p>
    <w:p>
      <w:pPr>
        <w:ind w:right="20"/>
        <w:spacing w:after="0" w:line="307" w:lineRule="auto"/>
        <w:rPr>
          <w:sz w:val="20"/>
          <w:szCs w:val="20"/>
          <w:color w:val="auto"/>
        </w:rPr>
      </w:pPr>
      <w:r>
        <w:rPr>
          <w:rFonts w:ascii="Arial" w:cs="Arial" w:eastAsia="Arial" w:hAnsi="Arial"/>
          <w:sz w:val="16"/>
          <w:szCs w:val="16"/>
          <w:color w:val="auto"/>
        </w:rPr>
        <w:t>General and administrative expenses increased by $8.7 million for the nine months ended June 30, 2022 compared to the same period in 2021. The increase was primarily due to an increase in headcount and related compensation expense in support of expansion of our research and development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w:t>
      </w:r>
    </w:p>
    <w:p>
      <w:pPr>
        <w:spacing w:after="0" w:line="90" w:lineRule="exact"/>
        <w:rPr>
          <w:sz w:val="20"/>
          <w:szCs w:val="20"/>
          <w:color w:val="auto"/>
        </w:rPr>
      </w:pPr>
    </w:p>
    <w:p>
      <w:pPr>
        <w:ind w:right="260"/>
        <w:spacing w:after="0" w:line="231" w:lineRule="auto"/>
        <w:rPr>
          <w:sz w:val="20"/>
          <w:szCs w:val="20"/>
          <w:color w:val="auto"/>
        </w:rPr>
      </w:pPr>
      <w:r>
        <w:rPr>
          <w:rFonts w:ascii="Arial" w:cs="Arial" w:eastAsia="Arial" w:hAnsi="Arial"/>
          <w:sz w:val="18"/>
          <w:szCs w:val="18"/>
          <w:color w:val="auto"/>
        </w:rPr>
        <w:t>For the nine months ended June 30, 2022 and 2021, we recorded an income tax benefit of $0.4 million and $19.8 million, respectively. We recorded an income tax benefit in the nine months ended June 30, 2022 due to a release of a state tax reserve during the period and recorded an income tax benefit in the prior period due to a federal net operating loss carryback available under the CARES Act for our fiscal year 2021, which is no longer available after September 30, 2021.</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8" w:lineRule="exact"/>
        <w:rPr>
          <w:sz w:val="20"/>
          <w:szCs w:val="20"/>
          <w:color w:val="auto"/>
        </w:rPr>
      </w:pPr>
    </w:p>
    <w:p>
      <w:pPr>
        <w:ind w:right="20"/>
        <w:spacing w:after="0" w:line="324" w:lineRule="auto"/>
        <w:rPr>
          <w:sz w:val="20"/>
          <w:szCs w:val="20"/>
          <w:color w:val="auto"/>
        </w:rPr>
      </w:pPr>
      <w:r>
        <w:rPr>
          <w:rFonts w:ascii="Arial" w:cs="Arial" w:eastAsia="Arial" w:hAnsi="Arial"/>
          <w:sz w:val="16"/>
          <w:szCs w:val="16"/>
          <w:color w:val="auto"/>
        </w:rPr>
        <w:t>We fund our operations with cash flows from our royalty revenue and our existing financial resources. At June 30, 2022, our principal sources of liquidity were cash, cash equivalents and short-term and long-term marketable securities totaling $292.7 million, compared to $352.4 million at September 30, 2021.</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a summary of our cash flows for the nine months ended June 30, 2022 and 2021:</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54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Nine Months Ended</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5"/>
        </w:trPr>
        <w:tc>
          <w:tcPr>
            <w:tcW w:w="748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4"/>
                <w:szCs w:val="14"/>
                <w:b w:val="1"/>
                <w:bCs w:val="1"/>
                <w:color w:val="auto"/>
              </w:rPr>
              <w:t>June 30,</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48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7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92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w w:val="82"/>
              </w:rPr>
              <w:t>thousands)</w:t>
            </w: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3"/>
        </w:trPr>
        <w:tc>
          <w:tcPr>
            <w:tcW w:w="74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Cash provided by (used in):</w:t>
            </w:r>
          </w:p>
        </w:tc>
        <w:tc>
          <w:tcPr>
            <w:tcW w:w="10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480" w:type="dxa"/>
            <w:vAlign w:val="bottom"/>
          </w:tcPr>
          <w:p>
            <w:pPr>
              <w:ind w:left="380"/>
              <w:spacing w:after="0" w:line="202" w:lineRule="exact"/>
              <w:rPr>
                <w:sz w:val="20"/>
                <w:szCs w:val="20"/>
                <w:color w:val="auto"/>
              </w:rPr>
            </w:pPr>
            <w:r>
              <w:rPr>
                <w:rFonts w:ascii="Arial" w:cs="Arial" w:eastAsia="Arial" w:hAnsi="Arial"/>
                <w:sz w:val="18"/>
                <w:szCs w:val="18"/>
                <w:color w:val="auto"/>
              </w:rPr>
              <w:t>Operating activities</w:t>
            </w:r>
          </w:p>
        </w:tc>
        <w:tc>
          <w:tcPr>
            <w:tcW w:w="1000" w:type="dxa"/>
            <w:vAlign w:val="bottom"/>
          </w:tcPr>
          <w:p>
            <w:pPr>
              <w:jc w:val="right"/>
              <w:ind w:right="796"/>
              <w:spacing w:after="0" w:line="202" w:lineRule="exact"/>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139"/>
              <w:spacing w:after="0" w:line="202" w:lineRule="exact"/>
              <w:rPr>
                <w:sz w:val="20"/>
                <w:szCs w:val="20"/>
                <w:color w:val="auto"/>
              </w:rPr>
            </w:pPr>
            <w:r>
              <w:rPr>
                <w:rFonts w:ascii="Arial" w:cs="Arial" w:eastAsia="Arial" w:hAnsi="Arial"/>
                <w:sz w:val="18"/>
                <w:szCs w:val="18"/>
                <w:color w:val="auto"/>
                <w:w w:val="94"/>
              </w:rPr>
              <w:t>(69,248 )</w:t>
            </w:r>
          </w:p>
        </w:tc>
        <w:tc>
          <w:tcPr>
            <w:tcW w:w="620" w:type="dxa"/>
            <w:vAlign w:val="bottom"/>
          </w:tcPr>
          <w:p>
            <w:pPr>
              <w:jc w:val="right"/>
              <w:ind w:right="430"/>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(48,975 )</w:t>
            </w:r>
          </w:p>
        </w:tc>
      </w:tr>
      <w:tr>
        <w:trPr>
          <w:trHeight w:val="203"/>
        </w:trPr>
        <w:tc>
          <w:tcPr>
            <w:tcW w:w="748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Investing activities</w:t>
            </w:r>
          </w:p>
        </w:tc>
        <w:tc>
          <w:tcPr>
            <w:tcW w:w="10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26,666</w:t>
            </w:r>
          </w:p>
        </w:tc>
        <w:tc>
          <w:tcPr>
            <w:tcW w:w="3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(35,692 )</w:t>
            </w:r>
          </w:p>
        </w:tc>
      </w:tr>
      <w:tr>
        <w:trPr>
          <w:trHeight w:val="203"/>
        </w:trPr>
        <w:tc>
          <w:tcPr>
            <w:tcW w:w="7480" w:type="dxa"/>
            <w:vAlign w:val="bottom"/>
          </w:tcPr>
          <w:p>
            <w:pPr>
              <w:ind w:left="380"/>
              <w:spacing w:after="0" w:line="202" w:lineRule="exact"/>
              <w:rPr>
                <w:sz w:val="20"/>
                <w:szCs w:val="20"/>
                <w:color w:val="auto"/>
              </w:rPr>
            </w:pPr>
            <w:r>
              <w:rPr>
                <w:rFonts w:ascii="Arial" w:cs="Arial" w:eastAsia="Arial" w:hAnsi="Arial"/>
                <w:sz w:val="18"/>
                <w:szCs w:val="18"/>
                <w:color w:val="auto"/>
              </w:rPr>
              <w:t>Financing activities</w:t>
            </w:r>
          </w:p>
        </w:tc>
        <w:tc>
          <w:tcPr>
            <w:tcW w:w="10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17,103</w:t>
            </w:r>
          </w:p>
        </w:tc>
        <w:tc>
          <w:tcPr>
            <w:tcW w:w="30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2,137</w:t>
            </w:r>
          </w:p>
        </w:tc>
        <w:tc>
          <w:tcPr>
            <w:tcW w:w="100" w:type="dxa"/>
            <w:vAlign w:val="bottom"/>
          </w:tcPr>
          <w:p>
            <w:pPr>
              <w:spacing w:after="0"/>
              <w:rPr>
                <w:sz w:val="17"/>
                <w:szCs w:val="17"/>
                <w:color w:val="auto"/>
              </w:rPr>
            </w:pPr>
          </w:p>
        </w:tc>
      </w:tr>
      <w:tr>
        <w:trPr>
          <w:trHeight w:val="236"/>
        </w:trPr>
        <w:tc>
          <w:tcPr>
            <w:tcW w:w="7480" w:type="dxa"/>
            <w:vAlign w:val="bottom"/>
            <w:tcBorders>
              <w:bottom w:val="single" w:sz="8" w:color="CFF0FC"/>
            </w:tcBorders>
            <w:shd w:val="clear" w:color="auto" w:fill="CFF0FC"/>
          </w:tcPr>
          <w:p>
            <w:pPr>
              <w:ind w:left="380"/>
              <w:spacing w:after="0" w:line="182" w:lineRule="exact"/>
              <w:rPr>
                <w:sz w:val="20"/>
                <w:szCs w:val="20"/>
                <w:color w:val="auto"/>
              </w:rPr>
            </w:pPr>
            <w:r>
              <w:rPr>
                <w:rFonts w:ascii="Arial" w:cs="Arial" w:eastAsia="Arial" w:hAnsi="Arial"/>
                <w:sz w:val="18"/>
                <w:szCs w:val="18"/>
                <w:color w:val="auto"/>
              </w:rPr>
              <w:t>Net decrease in cash, cash equivalents and restricted cash</w:t>
            </w:r>
          </w:p>
        </w:tc>
        <w:tc>
          <w:tcPr>
            <w:tcW w:w="1000" w:type="dxa"/>
            <w:vAlign w:val="bottom"/>
            <w:tcBorders>
              <w:bottom w:val="single" w:sz="8" w:color="auto"/>
            </w:tcBorders>
            <w:shd w:val="clear" w:color="auto" w:fill="CFF0FC"/>
          </w:tcPr>
          <w:p>
            <w:pPr>
              <w:jc w:val="right"/>
              <w:ind w:right="796"/>
              <w:spacing w:after="0" w:line="182" w:lineRule="exact"/>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8"/>
              </w:rPr>
              <w:t>(25,479</w:t>
            </w:r>
          </w:p>
        </w:tc>
        <w:tc>
          <w:tcPr>
            <w:tcW w:w="300" w:type="dxa"/>
            <w:vAlign w:val="bottom"/>
            <w:tcBorders>
              <w:bottom w:val="single" w:sz="8" w:color="CFF0FC"/>
            </w:tcBorders>
            <w:shd w:val="clear" w:color="auto" w:fill="CFF0FC"/>
          </w:tcPr>
          <w:p>
            <w:pPr>
              <w:jc w:val="right"/>
              <w:ind w:right="139"/>
              <w:spacing w:after="0" w:line="182" w:lineRule="exact"/>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FF0FC"/>
          </w:tcPr>
          <w:p>
            <w:pPr>
              <w:jc w:val="right"/>
              <w:ind w:right="430"/>
              <w:spacing w:after="0" w:line="182"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(82,530</w:t>
            </w:r>
          </w:p>
        </w:tc>
        <w:tc>
          <w:tcPr>
            <w:tcW w:w="100" w:type="dxa"/>
            <w:vAlign w:val="bottom"/>
            <w:tcBorders>
              <w:bottom w:val="single" w:sz="8" w:color="CFF0FC"/>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-24765</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-7620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104"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Cash used in operating activities was $69.2 million for the nine months ended June 30, 2022 as compared to cash used in operating activities of $49.0 million for the same period in 2021. Our cash used in operating activities increased $20.3 million, driven by an increase in research and development costs incurred year-over-year which was partially offset by a federal tax refund of $8.5 million received in 2022.</w:t>
      </w:r>
    </w:p>
    <w:p>
      <w:pPr>
        <w:spacing w:after="0" w:line="74" w:lineRule="exact"/>
        <w:rPr>
          <w:sz w:val="20"/>
          <w:szCs w:val="20"/>
          <w:color w:val="auto"/>
        </w:rPr>
      </w:pPr>
    </w:p>
    <w:p>
      <w:pPr>
        <w:ind w:right="760"/>
        <w:spacing w:after="0" w:line="261" w:lineRule="auto"/>
        <w:rPr>
          <w:sz w:val="20"/>
          <w:szCs w:val="20"/>
          <w:color w:val="auto"/>
        </w:rPr>
      </w:pPr>
      <w:r>
        <w:rPr>
          <w:rFonts w:ascii="Arial" w:cs="Arial" w:eastAsia="Arial" w:hAnsi="Arial"/>
          <w:sz w:val="18"/>
          <w:szCs w:val="18"/>
          <w:color w:val="auto"/>
        </w:rPr>
        <w:t>For the foreseeable future, we expect to continue to incur substantial costs associated with research and development for our internally developed programs.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Net cash provided by (used in) investing activities</w:t>
      </w:r>
    </w:p>
    <w:p>
      <w:pPr>
        <w:spacing w:after="0" w:line="104" w:lineRule="exact"/>
        <w:rPr>
          <w:sz w:val="20"/>
          <w:szCs w:val="20"/>
          <w:color w:val="auto"/>
        </w:rPr>
      </w:pPr>
    </w:p>
    <w:p>
      <w:pPr>
        <w:jc w:val="both"/>
        <w:ind w:right="120"/>
        <w:spacing w:after="0" w:line="248" w:lineRule="auto"/>
        <w:rPr>
          <w:sz w:val="20"/>
          <w:szCs w:val="20"/>
          <w:color w:val="auto"/>
        </w:rPr>
      </w:pPr>
      <w:r>
        <w:rPr>
          <w:rFonts w:ascii="Arial" w:cs="Arial" w:eastAsia="Arial" w:hAnsi="Arial"/>
          <w:sz w:val="18"/>
          <w:szCs w:val="18"/>
          <w:color w:val="auto"/>
        </w:rPr>
        <w:t>Cash provided by investing activities was $26.7 million for the nine months ended June 30, 2022 as compared to cash used in investing activities of $35.7 million for the same period in 2021. Our cash provided by investing activities increased $62.4 million, driven by timing of purchases, sales and maturities of marketable securities in 2022 compared to 2021.</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104"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Cash provided by financing activities was $17.1 million for the nine months ended June 30, 2022 as compared to cash provided by financing activities of $2.1 million for the same period in 2021. Our cash provided by financing activities increased $15.0 million, driven by an increase in stock option exercises due to an increase in our stock price during the first half of 2022 compared to 2021.</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04"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As of June 30, 2022 we had $292.7 million in cash, cash equivalents and short-term and long-term marketable securities. We believe that our existing cash, cash equivalents and marketable securities as of June 30, 2022 will be sufficient to meet our anticipated cash requirements for the next two years. However, our forecast of the period of time through which our financial resources will be adequate to support our operations is a forward-looking statement that involves risks and uncertainties, and actual results could vary materially.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are difficult to forecast and will depend on many factors, including:</w:t>
      </w:r>
    </w:p>
    <w:p>
      <w:pPr>
        <w:spacing w:after="0" w:line="104" w:lineRule="exact"/>
        <w:rPr>
          <w:sz w:val="20"/>
          <w:szCs w:val="20"/>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amount of royalties generated from MAVYRET/MAVIRET sales under our existing collaboration with AbbVie;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continuing impact of the COVID-19 pandemic on the numbers of treated HCV patients;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number and characteristics of our research and development programs;</w:t>
      </w:r>
    </w:p>
    <w:p>
      <w:pPr>
        <w:spacing w:after="0" w:line="103" w:lineRule="exact"/>
        <w:rPr>
          <w:rFonts w:ascii="Arial" w:cs="Arial" w:eastAsia="Arial" w:hAnsi="Arial"/>
          <w:sz w:val="18"/>
          <w:szCs w:val="18"/>
          <w:color w:val="auto"/>
        </w:rPr>
      </w:pPr>
    </w:p>
    <w:p>
      <w:pPr>
        <w:ind w:left="1020" w:right="680" w:hanging="503"/>
        <w:spacing w:after="0" w:line="261"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any of our product candidates on our own, including conducting advanced clinical trials;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and additional expense in our clinical trials as a result of the COVID-19 pandemic continuing;</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cost of manufacturing our product candidates for clinical development and any products we successfully commercialize independently;</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establish new collaborations, licensing or other arrangements, if any, and the financial terms of such arrangements;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opportunities to in-license or otherwise acquire new technologies and therapeutic candidates;</w:t>
      </w:r>
    </w:p>
    <w:p>
      <w:pPr>
        <w:spacing w:after="0" w:line="103" w:lineRule="exact"/>
        <w:rPr>
          <w:rFonts w:ascii="Arial" w:cs="Arial" w:eastAsia="Arial" w:hAnsi="Arial"/>
          <w:sz w:val="18"/>
          <w:szCs w:val="18"/>
          <w:color w:val="auto"/>
        </w:rPr>
      </w:pPr>
    </w:p>
    <w:p>
      <w:pPr>
        <w:ind w:left="1020" w:right="360" w:hanging="503"/>
        <w:spacing w:after="0" w:line="261"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costs associated with prosecuting our patent infringement suit regarding use of a coronavirus 3CL protease inhibitor in Paxlovid, Pfizer's antiviral treatment for COVID-19;</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of, and the costs involved in, obtaining regulatory approvals for any product candidates we develop independently;</w:t>
      </w:r>
    </w:p>
    <w:p>
      <w:pPr>
        <w:spacing w:after="0" w:line="103" w:lineRule="exact"/>
        <w:rPr>
          <w:rFonts w:ascii="Arial" w:cs="Arial" w:eastAsia="Arial" w:hAnsi="Arial"/>
          <w:sz w:val="18"/>
          <w:szCs w:val="18"/>
          <w:color w:val="auto"/>
        </w:rPr>
      </w:pPr>
    </w:p>
    <w:p>
      <w:pPr>
        <w:ind w:left="1020" w:right="360" w:hanging="503"/>
        <w:spacing w:after="0" w:line="261"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 of commercialization activities, if any, of any product candidates we develop independently that are approved for sale, including marketing, sales and distribution costs;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and amount of any sales of our product candidates, if any, or royalties thereon;</w:t>
      </w:r>
    </w:p>
    <w:p>
      <w:pPr>
        <w:spacing w:after="0" w:line="103" w:lineRule="exact"/>
        <w:rPr>
          <w:rFonts w:ascii="Arial" w:cs="Arial" w:eastAsia="Arial" w:hAnsi="Arial"/>
          <w:sz w:val="18"/>
          <w:szCs w:val="18"/>
          <w:color w:val="auto"/>
        </w:rPr>
      </w:pPr>
    </w:p>
    <w:p>
      <w:pPr>
        <w:ind w:left="1020" w:right="460" w:hanging="503"/>
        <w:spacing w:after="0" w:line="261"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defending and enforcing patents, including any litigation costs and the outcomes of any such litigation;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 fluctuations in foreign currency exchange rates.</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08"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We do not engage in any off-balance sheet financing activities. We do not have any interest in entities referred to as variable interest entities, which include special purpose entities and other structured finance entities.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08"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In our 2021 Form 10-K Part II, Item 7, Management’s Discussion and Analysis of Financial Conditions and Results of Operations, under the heading “Contractual Obligations and Commitments”, we have described our commitments and contingencies.</w:t>
      </w:r>
    </w:p>
    <w:p>
      <w:pPr>
        <w:spacing w:after="0" w:line="265" w:lineRule="exact"/>
        <w:rPr>
          <w:sz w:val="20"/>
          <w:szCs w:val="20"/>
          <w:color w:val="auto"/>
        </w:rPr>
      </w:pPr>
    </w:p>
    <w:p>
      <w:pPr>
        <w:ind w:right="60"/>
        <w:spacing w:after="0" w:line="324" w:lineRule="auto"/>
        <w:rPr>
          <w:sz w:val="20"/>
          <w:szCs w:val="20"/>
          <w:color w:val="auto"/>
        </w:rPr>
      </w:pPr>
      <w:r>
        <w:rPr>
          <w:rFonts w:ascii="Arial" w:cs="Arial" w:eastAsia="Arial" w:hAnsi="Arial"/>
          <w:sz w:val="16"/>
          <w:szCs w:val="16"/>
          <w:color w:val="auto"/>
        </w:rPr>
        <w:t>During the nine months ended June 30, 2022, we exercised our option to extend our lease located at 500 Arsenal Street in Watertown, Massachusetts for an additional 5 years through September 1, 2027. The updated minimum lease payments through the remainder of the lease totaled $20.3 million.</w:t>
      </w:r>
    </w:p>
    <w:p>
      <w:pPr>
        <w:spacing w:after="0" w:line="111"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We also entered into a new lease agreement for lab and office space in Watertown, Massachusetts in order to accommodate our growing headcount and amended our existing lease agreement at 400 Talcott Avenue for additional office space. The new lab and office space will be located at Arsenal on the Charles in Watertown, Massachusetts at a to-be-constructed facility. We will rent approximately seventy-three thousand square feet of space over a 10 year period which we expect to gain access to perform tenant improvements in October 2023. The lease also contains a tenant improvement allowance of $15.2 million. The estimated minimum lease payments as a result of the new lease total $76.5 million.</w:t>
      </w:r>
    </w:p>
    <w:p>
      <w:pPr>
        <w:spacing w:after="0" w:line="160" w:lineRule="exact"/>
        <w:rPr>
          <w:sz w:val="20"/>
          <w:szCs w:val="20"/>
          <w:color w:val="auto"/>
        </w:rPr>
      </w:pPr>
    </w:p>
    <w:p>
      <w:pPr>
        <w:jc w:val="both"/>
        <w:ind w:right="280"/>
        <w:spacing w:after="0" w:line="243" w:lineRule="auto"/>
        <w:rPr>
          <w:sz w:val="20"/>
          <w:szCs w:val="20"/>
          <w:color w:val="auto"/>
        </w:rPr>
      </w:pPr>
      <w:r>
        <w:rPr>
          <w:rFonts w:ascii="Arial" w:cs="Arial" w:eastAsia="Arial" w:hAnsi="Arial"/>
          <w:sz w:val="18"/>
          <w:szCs w:val="18"/>
          <w:color w:val="auto"/>
        </w:rPr>
        <w:t>The 400 Talcott Avenue lease was also amended to add approximately twenty thousand square feet of additional office space and extend the lease term through May 2034 to coincide with the lease end date of the to be constructed facility at Arsenal on the Charles. We expect to spend approximately $7.6 million in capital expenses for the additional space, which primarily relate to tenant improvements. We are also eligible to receive a tenant improvement allowance from the landlord of up to $2.5 million.</w:t>
      </w:r>
    </w:p>
    <w:p>
      <w:pPr>
        <w:spacing w:after="0" w:line="28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Total estimated minimum lease payments for the next 5 years and thereafter under our existing facility and leased equipment agreements and subject to the completion of the to-be-constructed facility at Arsenal on the Charles are $4.7 million in 2023, $6.7 million in 2024, $12.0 million in 2025, $12.4 million in 2026, $12.4 million in 2027 and $65.7 million thereafter.</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08"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 xml:space="preserve">Our consolidated financial statements are prepared in accordance with accounting principles generally accepted in the United States of America. The preparation of our consolidated financial statements and related disclosures requires us to make estimates and assumptions that affect the reported amount of assets, liabilities, revenue, costs and expenses, and related disclosures. We evaluate our estimates and assumptions on an ongoing basis. Our actual results may differ from these estimates under different assumptions and conditions. See our Annual Report on Form 10-K for the fiscal year ended September 30, 2021 (referred to as our 2021 Form 10-K) for </w:t>
      </w:r>
      <w:r>
        <w:rPr>
          <w:rFonts w:ascii="Arial" w:cs="Arial" w:eastAsia="Arial" w:hAnsi="Arial"/>
          <w:sz w:val="18"/>
          <w:szCs w:val="18"/>
          <w:color w:val="212529"/>
        </w:rPr>
        <w:t>information about critical accounting policies as well as a description of our other significant</w:t>
      </w:r>
      <w:r>
        <w:rPr>
          <w:rFonts w:ascii="Arial" w:cs="Arial" w:eastAsia="Arial" w:hAnsi="Arial"/>
          <w:sz w:val="18"/>
          <w:szCs w:val="18"/>
          <w:color w:val="auto"/>
        </w:rPr>
        <w:t xml:space="preserve"> </w:t>
      </w:r>
      <w:r>
        <w:rPr>
          <w:rFonts w:ascii="Arial" w:cs="Arial" w:eastAsia="Arial" w:hAnsi="Arial"/>
          <w:sz w:val="18"/>
          <w:szCs w:val="18"/>
          <w:color w:val="212529"/>
        </w:rPr>
        <w:t>accounting policies</w:t>
      </w:r>
      <w:r>
        <w:rPr>
          <w:rFonts w:ascii="Arial" w:cs="Arial" w:eastAsia="Arial" w:hAnsi="Arial"/>
          <w:sz w:val="18"/>
          <w:szCs w:val="18"/>
          <w:color w:val="000000"/>
        </w:rPr>
        <w: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08"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A description of recently issued accounting pronouncements that may potentially impact our financial position and results of operations is set forth in Note 2 to the consolidated financial statements included in this Form 10-Q.</w:t>
      </w:r>
    </w:p>
    <w:p>
      <w:pPr>
        <w:spacing w:after="0" w:line="275" w:lineRule="exact"/>
        <w:rPr>
          <w:sz w:val="20"/>
          <w:szCs w:val="20"/>
          <w:color w:val="auto"/>
        </w:rPr>
      </w:pPr>
    </w:p>
    <w:p>
      <w:pPr>
        <w:ind w:right="4160"/>
        <w:spacing w:after="0" w:line="362" w:lineRule="auto"/>
        <w:rPr>
          <w:sz w:val="20"/>
          <w:szCs w:val="20"/>
          <w:color w:val="auto"/>
        </w:rPr>
      </w:pPr>
      <w:r>
        <w:rPr>
          <w:rFonts w:ascii="Arial" w:cs="Arial" w:eastAsia="Arial" w:hAnsi="Arial"/>
          <w:sz w:val="18"/>
          <w:szCs w:val="18"/>
          <w:b w:val="1"/>
          <w:bCs w:val="1"/>
          <w:color w:val="auto"/>
        </w:rPr>
        <w:t xml:space="preserve">ITEM 3. QUANTITATIVE AND QUALITATIVE DISCLOSURE ABOUT MARKET RISK </w:t>
      </w:r>
      <w:r>
        <w:rPr>
          <w:rFonts w:ascii="Arial" w:cs="Arial" w:eastAsia="Arial" w:hAnsi="Arial"/>
          <w:sz w:val="18"/>
          <w:szCs w:val="18"/>
          <w:b w:val="1"/>
          <w:bCs w:val="1"/>
          <w:i w:val="1"/>
          <w:iCs w:val="1"/>
          <w:color w:val="auto"/>
        </w:rPr>
        <w:t>Interest Rate Sensitivity</w:t>
      </w:r>
    </w:p>
    <w:p>
      <w:pPr>
        <w:spacing w:after="0" w:line="1" w:lineRule="exact"/>
        <w:rPr>
          <w:sz w:val="20"/>
          <w:szCs w:val="20"/>
          <w:color w:val="auto"/>
        </w:rPr>
      </w:pPr>
    </w:p>
    <w:p>
      <w:pPr>
        <w:ind w:right="180"/>
        <w:spacing w:after="0" w:line="243" w:lineRule="auto"/>
        <w:rPr>
          <w:sz w:val="20"/>
          <w:szCs w:val="20"/>
          <w:color w:val="auto"/>
        </w:rPr>
      </w:pPr>
      <w:r>
        <w:rPr>
          <w:rFonts w:ascii="Arial" w:cs="Arial" w:eastAsia="Arial" w:hAnsi="Arial"/>
          <w:sz w:val="18"/>
          <w:szCs w:val="18"/>
          <w:color w:val="auto"/>
        </w:rPr>
        <w:t>We had cash, cash equivalents and short-term and long-term marketable securities of $292.7 million at June 30, 2022 consisting of cash, money market funds, commercial paper, treasury notes and corporate bonds. Interest income is sensitive to changes in the general level of interest rates; however, due to the nature of these investments, a change in market interest rates of 100 basis points would not be expected to have a material impact on our financial condition or results of operations.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Risk</w:t>
      </w:r>
    </w:p>
    <w:p>
      <w:pPr>
        <w:spacing w:after="0" w:line="104"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As we continue to progress our wholly-owned programs into clinical development we will conduct clinical trials outside of the U.S. and thus will face exposure to movements in foreign currency exchange rates, primarily the British Pound and Euro, against the U.S. Dollar, arising from our accounts payable and accrued expenses. During the nine months ended June 30, 2022, the impact of foreign currency exposure was immaterial and thus did not have a significant impact on our consolidated financial statements. Our operations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25" w:name="page26"/>
    <w:bookmarkEnd w:id="25"/>
    <w:p>
      <w:pPr>
        <w:ind w:right="100"/>
        <w:spacing w:after="0" w:line="261" w:lineRule="auto"/>
        <w:rPr>
          <w:sz w:val="20"/>
          <w:szCs w:val="20"/>
          <w:color w:val="auto"/>
        </w:rPr>
      </w:pPr>
      <w:r>
        <w:rPr>
          <w:rFonts w:ascii="Arial" w:cs="Arial" w:eastAsia="Arial" w:hAnsi="Arial"/>
          <w:sz w:val="18"/>
          <w:szCs w:val="18"/>
          <w:color w:val="auto"/>
        </w:rPr>
        <w:t>may become subject to more significant fluctuations in foreign currency exchange rates in the future if we continue to contract with vendors outside of the U.S.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08" w:lineRule="exact"/>
        <w:rPr>
          <w:sz w:val="20"/>
          <w:szCs w:val="20"/>
          <w:color w:val="auto"/>
        </w:rPr>
      </w:pPr>
    </w:p>
    <w:p>
      <w:pPr>
        <w:ind w:left="360" w:hanging="352"/>
        <w:spacing w:after="0"/>
        <w:tabs>
          <w:tab w:leader="none" w:pos="36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Conclusion Regarding the Effectiveness of Disclosure Controls and Procedures.</w:t>
      </w:r>
    </w:p>
    <w:p>
      <w:pPr>
        <w:spacing w:after="0" w:line="104" w:lineRule="exact"/>
        <w:rPr>
          <w:sz w:val="20"/>
          <w:szCs w:val="20"/>
          <w:color w:val="auto"/>
        </w:rPr>
      </w:pPr>
    </w:p>
    <w:p>
      <w:pPr>
        <w:ind w:right="160"/>
        <w:spacing w:after="0" w:line="279" w:lineRule="auto"/>
        <w:rPr>
          <w:sz w:val="20"/>
          <w:szCs w:val="20"/>
          <w:color w:val="auto"/>
        </w:rPr>
      </w:pPr>
      <w:r>
        <w:rPr>
          <w:rFonts w:ascii="Arial" w:cs="Arial" w:eastAsia="Arial" w:hAnsi="Arial"/>
          <w:sz w:val="16"/>
          <w:szCs w:val="16"/>
          <w:color w:val="auto"/>
        </w:rPr>
        <w:t>Our management, with the participation of the principal executive officer and principal financial officer, has evaluated the effectiveness of the design and operation of our disclosure controls and procedures (as defined in Rules 13a-15(e) and 15d-15(e) under the Securities Exchange Act of 1934, as amended (the “Exchange Act”)) as of the end of the period covered by this quarterly report. Based on this evaluation, the principal executive officer and principal financial officer concluded that these disclosure controls and procedures are effective and designed to ensure that the information required to be disclosed in our reports filed or submitted under the Exchange Act is recorded, processed, summarized and reported within the requisite time periods.</w:t>
      </w:r>
    </w:p>
    <w:p>
      <w:pPr>
        <w:spacing w:after="0" w:line="267" w:lineRule="exact"/>
        <w:rPr>
          <w:sz w:val="20"/>
          <w:szCs w:val="20"/>
          <w:color w:val="auto"/>
        </w:rPr>
      </w:pPr>
    </w:p>
    <w:p>
      <w:pPr>
        <w:ind w:left="360" w:hanging="352"/>
        <w:spacing w:after="0"/>
        <w:tabs>
          <w:tab w:leader="none" w:pos="36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Changes in Internal Control Over Financial Reporting.</w:t>
      </w:r>
    </w:p>
    <w:p>
      <w:pPr>
        <w:spacing w:after="0" w:line="104" w:lineRule="exact"/>
        <w:rPr>
          <w:sz w:val="20"/>
          <w:szCs w:val="20"/>
          <w:color w:val="auto"/>
        </w:rPr>
      </w:pPr>
    </w:p>
    <w:p>
      <w:pPr>
        <w:spacing w:after="0" w:line="208" w:lineRule="exact"/>
        <w:rPr>
          <w:sz w:val="20"/>
          <w:szCs w:val="20"/>
          <w:color w:val="auto"/>
        </w:rPr>
      </w:pPr>
      <w:r>
        <w:rPr>
          <w:rFonts w:ascii="Arial" w:cs="Arial" w:eastAsia="Arial" w:hAnsi="Arial"/>
          <w:sz w:val="18"/>
          <w:szCs w:val="18"/>
          <w:color w:val="auto"/>
        </w:rPr>
        <w:t>During the three months ended June 30, 2022, we completed the migration of our legacy accounting system to an Oracle platform. In connection with this implementation, we updated the processes that constitute our internal control over financial reporting, as necessary, to accommodate related changes in our business processes. There were no other material changes in our internal control over financial reporting (as defined in Rules 13a</w:t>
      </w:r>
      <w:r>
        <w:rPr>
          <w:rFonts w:ascii="MS PGothic" w:cs="MS PGothic" w:eastAsia="MS PGothic" w:hAnsi="MS PGothic"/>
          <w:sz w:val="18"/>
          <w:szCs w:val="18"/>
          <w:color w:val="auto"/>
        </w:rPr>
        <w:t>‑</w:t>
      </w:r>
      <w:r>
        <w:rPr>
          <w:rFonts w:ascii="Arial" w:cs="Arial" w:eastAsia="Arial" w:hAnsi="Arial"/>
          <w:sz w:val="18"/>
          <w:szCs w:val="18"/>
          <w:color w:val="auto"/>
        </w:rPr>
        <w:t>15(f) and 15d</w:t>
      </w:r>
      <w:r>
        <w:rPr>
          <w:rFonts w:ascii="MS PGothic" w:cs="MS PGothic" w:eastAsia="MS PGothic" w:hAnsi="MS PGothic"/>
          <w:sz w:val="18"/>
          <w:szCs w:val="18"/>
          <w:color w:val="auto"/>
        </w:rPr>
        <w:t>‑</w:t>
      </w:r>
      <w:r>
        <w:rPr>
          <w:rFonts w:ascii="Arial" w:cs="Arial" w:eastAsia="Arial" w:hAnsi="Arial"/>
          <w:sz w:val="18"/>
          <w:szCs w:val="18"/>
          <w:color w:val="auto"/>
        </w:rPr>
        <w:t>15(f) under the Exchange Act) during the period covered by this Quarterly Report that has materially affected, or would be reasonably likely to materially affect, our internal control over financial reporting.</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PART II —OTHER INFORMATION</w:t>
      </w:r>
    </w:p>
    <w:p>
      <w:pPr>
        <w:spacing w:after="0" w:line="198"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108"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i w:val="1"/>
          <w:iCs w:val="1"/>
          <w:color w:val="auto"/>
        </w:rPr>
        <w:t>Our business faces significant risks and uncertainties. Certain factors may have a material adverse effect on our business prospects, financial condition and results of operations, and you should carefully consider them. Accordingly, in evaluating our business, we encourage you to consider the following discussion of risk factors, in its entirety, in addition to other information contained in or incorporated by reference into this Quarterly Report on Form 10-Q and our other public filings with the SEC. Other events that we do not currently anticipate or that we currently deem immaterial may also affect our business, prospects, financial condition and results of operations.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PRINCIPAL RISK FACTORS</w:t>
      </w:r>
    </w:p>
    <w:p>
      <w:pPr>
        <w:spacing w:after="0" w:line="202" w:lineRule="exact"/>
        <w:rPr>
          <w:sz w:val="20"/>
          <w:szCs w:val="20"/>
          <w:color w:val="auto"/>
        </w:rPr>
      </w:pPr>
    </w:p>
    <w:p>
      <w:pPr>
        <w:spacing w:after="0" w:line="243" w:lineRule="auto"/>
        <w:rPr>
          <w:sz w:val="20"/>
          <w:szCs w:val="20"/>
          <w:color w:val="auto"/>
        </w:rPr>
      </w:pPr>
      <w:r>
        <w:rPr>
          <w:rFonts w:ascii="Arial" w:cs="Arial" w:eastAsia="Arial" w:hAnsi="Arial"/>
          <w:sz w:val="18"/>
          <w:szCs w:val="18"/>
          <w:i w:val="1"/>
          <w:iCs w:val="1"/>
          <w:color w:val="auto"/>
        </w:rPr>
        <w:t>This summary briefly states the principal risks and uncertainties facing our business that could affect our common stock, which are only a select portion of those risks. A more complete statement of those risks and uncertainties is set forth immediately following this summary, which is qualified in its entirety by that more complete statement. You should carefully read the entire statement and “Risk Factors” when considering the risks and uncertainties as part of your evaluation of an investment in our common stock.</w:t>
      </w:r>
    </w:p>
    <w:p>
      <w:pPr>
        <w:spacing w:after="0" w:line="76" w:lineRule="exact"/>
        <w:rPr>
          <w:sz w:val="20"/>
          <w:szCs w:val="20"/>
          <w:color w:val="auto"/>
        </w:rPr>
      </w:pPr>
    </w:p>
    <w:p>
      <w:pPr>
        <w:ind w:left="1020" w:right="20" w:hanging="503"/>
        <w:spacing w:after="0" w:line="266"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Our financial prospects for the next several years are substantially dependent upon AbbVie’s success selling MAVYRET/MAVIRET, which includes our protease inhibitor, glecaprevir, for the treatment of HCV</w:t>
      </w:r>
      <w:r>
        <w:rPr>
          <w:rFonts w:ascii="Arial" w:cs="Arial" w:eastAsia="Arial" w:hAnsi="Arial"/>
          <w:sz w:val="18"/>
          <w:szCs w:val="18"/>
          <w:color w:val="auto"/>
        </w:rPr>
        <w:t>.</w:t>
      </w:r>
    </w:p>
    <w:p>
      <w:pPr>
        <w:spacing w:after="0" w:line="58" w:lineRule="exact"/>
        <w:rPr>
          <w:rFonts w:ascii="Arial" w:cs="Arial" w:eastAsia="Arial" w:hAnsi="Arial"/>
          <w:sz w:val="18"/>
          <w:szCs w:val="18"/>
          <w:color w:val="auto"/>
        </w:rPr>
      </w:pPr>
    </w:p>
    <w:p>
      <w:pPr>
        <w:ind w:left="1540" w:right="20" w:hanging="514"/>
        <w:spacing w:after="0" w:line="291" w:lineRule="auto"/>
        <w:tabs>
          <w:tab w:leader="none" w:pos="1540" w:val="left"/>
        </w:tabs>
        <w:numPr>
          <w:ilvl w:val="1"/>
          <w:numId w:val="22"/>
        </w:numPr>
        <w:rPr>
          <w:rFonts w:ascii="Arial" w:cs="Arial" w:eastAsia="Arial" w:hAnsi="Arial"/>
          <w:sz w:val="17"/>
          <w:szCs w:val="17"/>
          <w:color w:val="auto"/>
        </w:rPr>
      </w:pPr>
      <w:r>
        <w:rPr>
          <w:rFonts w:ascii="Arial" w:cs="Arial" w:eastAsia="Arial" w:hAnsi="Arial"/>
          <w:sz w:val="17"/>
          <w:szCs w:val="17"/>
          <w:color w:val="auto"/>
        </w:rPr>
        <w:t>AbbVie may continue to experience lower sales volume in future quarters due to a reduction in diagnoses and treatment rates of HCV if doctor visits and other routine healthcare activities remain at below normal levels as a result of the COVID-19 pandemic.</w:t>
      </w:r>
    </w:p>
    <w:p>
      <w:pPr>
        <w:spacing w:after="0" w:line="38" w:lineRule="exact"/>
        <w:rPr>
          <w:rFonts w:ascii="Arial" w:cs="Arial" w:eastAsia="Arial" w:hAnsi="Arial"/>
          <w:sz w:val="17"/>
          <w:szCs w:val="17"/>
          <w:color w:val="auto"/>
        </w:rPr>
      </w:pPr>
    </w:p>
    <w:p>
      <w:pPr>
        <w:ind w:left="1540" w:right="360" w:hanging="514"/>
        <w:spacing w:after="0" w:line="248" w:lineRule="auto"/>
        <w:tabs>
          <w:tab w:leader="none" w:pos="15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AbbVie’s MAVYRET/MAVIRET regimen will have to continue to compete successfully against other products and therapies for HCV, including competition for exclusive arrangements with third-party payors and governmental entities as well as price competition, both in the U.S. and in other markets worldwide.</w:t>
      </w:r>
    </w:p>
    <w:p>
      <w:pPr>
        <w:spacing w:after="0" w:line="69" w:lineRule="exact"/>
        <w:rPr>
          <w:rFonts w:ascii="Arial" w:cs="Arial" w:eastAsia="Arial" w:hAnsi="Arial"/>
          <w:sz w:val="18"/>
          <w:szCs w:val="18"/>
          <w:color w:val="auto"/>
        </w:rPr>
      </w:pPr>
    </w:p>
    <w:p>
      <w:pPr>
        <w:ind w:left="1020" w:right="500" w:hanging="503"/>
        <w:spacing w:after="0" w:line="296" w:lineRule="auto"/>
        <w:tabs>
          <w:tab w:leader="none" w:pos="1020" w:val="left"/>
        </w:tabs>
        <w:numPr>
          <w:ilvl w:val="0"/>
          <w:numId w:val="22"/>
        </w:numPr>
        <w:rPr>
          <w:rFonts w:ascii="Arial" w:cs="Arial" w:eastAsia="Arial" w:hAnsi="Arial"/>
          <w:sz w:val="17"/>
          <w:szCs w:val="17"/>
          <w:color w:val="auto"/>
        </w:rPr>
      </w:pPr>
      <w:r>
        <w:rPr>
          <w:rFonts w:ascii="Arial" w:cs="Arial" w:eastAsia="Arial" w:hAnsi="Arial"/>
          <w:sz w:val="17"/>
          <w:szCs w:val="17"/>
          <w:b w:val="1"/>
          <w:bCs w:val="1"/>
          <w:color w:val="auto"/>
        </w:rPr>
        <w:t>There are many companies developing potential therapies for RSV, SARS-CoV-2, HBV and hMPV, which may result in others discovering, developing or commercializing products before we do or doing so more successfully than we do.</w:t>
      </w:r>
    </w:p>
    <w:p>
      <w:pPr>
        <w:spacing w:after="0" w:line="34" w:lineRule="exact"/>
        <w:rPr>
          <w:rFonts w:ascii="Arial" w:cs="Arial" w:eastAsia="Arial" w:hAnsi="Arial"/>
          <w:sz w:val="17"/>
          <w:szCs w:val="17"/>
          <w:color w:val="auto"/>
        </w:rPr>
      </w:pPr>
    </w:p>
    <w:p>
      <w:pPr>
        <w:ind w:left="1540" w:right="320" w:hanging="514"/>
        <w:spacing w:after="0" w:line="261" w:lineRule="auto"/>
        <w:tabs>
          <w:tab w:leader="none" w:pos="15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In most of the disease areas currently the subject of our research and development efforts, there are other companies with product candidates that are more advanced than ours.</w:t>
      </w:r>
    </w:p>
    <w:p>
      <w:pPr>
        <w:spacing w:after="0" w:line="62" w:lineRule="exact"/>
        <w:rPr>
          <w:rFonts w:ascii="Arial" w:cs="Arial" w:eastAsia="Arial" w:hAnsi="Arial"/>
          <w:sz w:val="18"/>
          <w:szCs w:val="18"/>
          <w:color w:val="auto"/>
        </w:rPr>
      </w:pPr>
    </w:p>
    <w:p>
      <w:pPr>
        <w:ind w:left="1540" w:right="20" w:hanging="514"/>
        <w:spacing w:after="0" w:line="248" w:lineRule="auto"/>
        <w:tabs>
          <w:tab w:leader="none" w:pos="15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If we are not “first to market” with one of our product candidates in one or more of our targeted disease indications, our competitive position could be compromised because it may be more difficult for us to obtain marketing approval for that product candidate and/or market acceptance of that product candidate as a follow-on competitor.</w:t>
      </w:r>
    </w:p>
    <w:p>
      <w:pPr>
        <w:spacing w:after="0" w:line="69" w:lineRule="exact"/>
        <w:rPr>
          <w:rFonts w:ascii="Arial" w:cs="Arial" w:eastAsia="Arial" w:hAnsi="Arial"/>
          <w:sz w:val="18"/>
          <w:szCs w:val="18"/>
          <w:color w:val="auto"/>
        </w:rPr>
      </w:pPr>
    </w:p>
    <w:p>
      <w:pPr>
        <w:ind w:left="1020" w:right="180" w:hanging="503"/>
        <w:spacing w:after="0" w:line="266"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The COVID-19 pandemic has had an impact on our business operations and our business could continue to be materially affected, directly or indirectly, by the ongoing COVID-19 pandemic.</w:t>
      </w:r>
    </w:p>
    <w:p>
      <w:pPr>
        <w:spacing w:after="0" w:line="58" w:lineRule="exact"/>
        <w:rPr>
          <w:rFonts w:ascii="Arial" w:cs="Arial" w:eastAsia="Arial" w:hAnsi="Arial"/>
          <w:sz w:val="18"/>
          <w:szCs w:val="18"/>
          <w:color w:val="auto"/>
        </w:rPr>
      </w:pPr>
    </w:p>
    <w:p>
      <w:pPr>
        <w:ind w:left="1540" w:right="80" w:hanging="514"/>
        <w:spacing w:after="0" w:line="294" w:lineRule="auto"/>
        <w:tabs>
          <w:tab w:leader="none" w:pos="1540" w:val="left"/>
        </w:tabs>
        <w:numPr>
          <w:ilvl w:val="1"/>
          <w:numId w:val="22"/>
        </w:numPr>
        <w:rPr>
          <w:rFonts w:ascii="Arial" w:cs="Arial" w:eastAsia="Arial" w:hAnsi="Arial"/>
          <w:sz w:val="16"/>
          <w:szCs w:val="16"/>
          <w:color w:val="auto"/>
        </w:rPr>
      </w:pPr>
      <w:r>
        <w:rPr>
          <w:rFonts w:ascii="Arial" w:cs="Arial" w:eastAsia="Arial" w:hAnsi="Arial"/>
          <w:sz w:val="16"/>
          <w:szCs w:val="16"/>
          <w:color w:val="auto"/>
        </w:rPr>
        <w:t>The extent and severity of the continuing impact of the pandemic on our business and clinical trials will be determined largely by the extent of delays in the conduct and recruitment of current and future clinical trials, reductions in the number of patients accessing AbbVie’s MAVYRET/MAVIRET HCV regimen, and disruptions in the supply chains for our research and clinical trial materials.</w:t>
      </w:r>
    </w:p>
    <w:p>
      <w:pPr>
        <w:spacing w:after="0" w:line="35" w:lineRule="exact"/>
        <w:rPr>
          <w:rFonts w:ascii="Arial" w:cs="Arial" w:eastAsia="Arial" w:hAnsi="Arial"/>
          <w:sz w:val="16"/>
          <w:szCs w:val="16"/>
          <w:color w:val="auto"/>
        </w:rPr>
      </w:pPr>
    </w:p>
    <w:p>
      <w:pPr>
        <w:ind w:left="1020" w:right="40" w:hanging="503"/>
        <w:spacing w:after="0" w:line="310" w:lineRule="auto"/>
        <w:tabs>
          <w:tab w:leader="none" w:pos="1020" w:val="left"/>
        </w:tabs>
        <w:numPr>
          <w:ilvl w:val="0"/>
          <w:numId w:val="22"/>
        </w:numPr>
        <w:rPr>
          <w:rFonts w:ascii="Arial" w:cs="Arial" w:eastAsia="Arial" w:hAnsi="Arial"/>
          <w:sz w:val="15"/>
          <w:szCs w:val="15"/>
          <w:color w:val="auto"/>
        </w:rPr>
      </w:pPr>
      <w:r>
        <w:rPr>
          <w:rFonts w:ascii="Arial" w:cs="Arial" w:eastAsia="Arial" w:hAnsi="Arial"/>
          <w:sz w:val="15"/>
          <w:szCs w:val="15"/>
          <w:b w:val="1"/>
          <w:bCs w:val="1"/>
          <w:color w:val="auto"/>
        </w:rPr>
        <w:t>Continued changes in royalty revenue earned under our AbbVie agreement or in the level of expenses associated with our clinical development programs, or both, will cause our results of operations to fluctuate from period to period. Any continuation of the recent trend of reducing royalty revenue, combined with increasing research and development expenses in support of our advancing programs, will result in continuing operating losses in fiscal 2022 and in future periods unless we develop other sources of revenue.</w:t>
      </w:r>
    </w:p>
    <w:p>
      <w:pPr>
        <w:spacing w:after="0" w:line="30" w:lineRule="exact"/>
        <w:rPr>
          <w:rFonts w:ascii="Arial" w:cs="Arial" w:eastAsia="Arial" w:hAnsi="Arial"/>
          <w:sz w:val="15"/>
          <w:szCs w:val="15"/>
          <w:color w:val="auto"/>
        </w:rPr>
      </w:pPr>
    </w:p>
    <w:p>
      <w:pPr>
        <w:ind w:left="1540" w:right="20" w:hanging="514"/>
        <w:spacing w:after="0" w:line="270" w:lineRule="auto"/>
        <w:tabs>
          <w:tab w:leader="none" w:pos="1540" w:val="left"/>
        </w:tabs>
        <w:numPr>
          <w:ilvl w:val="1"/>
          <w:numId w:val="22"/>
        </w:numPr>
        <w:rPr>
          <w:rFonts w:ascii="Arial" w:cs="Arial" w:eastAsia="Arial" w:hAnsi="Arial"/>
          <w:sz w:val="17"/>
          <w:szCs w:val="17"/>
          <w:color w:val="auto"/>
        </w:rPr>
      </w:pPr>
      <w:r>
        <w:rPr>
          <w:rFonts w:ascii="Arial" w:cs="Arial" w:eastAsia="Arial" w:hAnsi="Arial"/>
          <w:sz w:val="17"/>
          <w:szCs w:val="17"/>
          <w:color w:val="auto"/>
        </w:rPr>
        <w:t>Many of the preclinical and clinical development activities required for our product candidates must be contracted out to contract research organizations, or CROs, at significant expense. We expect these expenses to increase substantially in the coming years as we advance compounds and conduct more clinical studies, which will likely result in continuing operating losses.</w:t>
      </w:r>
    </w:p>
    <w:p>
      <w:pPr>
        <w:spacing w:after="0" w:line="51" w:lineRule="exact"/>
        <w:rPr>
          <w:rFonts w:ascii="Arial" w:cs="Arial" w:eastAsia="Arial" w:hAnsi="Arial"/>
          <w:sz w:val="17"/>
          <w:szCs w:val="17"/>
          <w:color w:val="auto"/>
        </w:rPr>
      </w:pPr>
    </w:p>
    <w:p>
      <w:pPr>
        <w:ind w:left="1020" w:right="180" w:hanging="503"/>
        <w:spacing w:after="0" w:line="266"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Clinical drug development for viral infections and liver diseases involves a lengthy and expensive process with uncertain timelines, uncertain outcomes and evolving clinical endpoints for regulatory approvals. If clinical trials</w:t>
      </w:r>
    </w:p>
    <w:p>
      <w:pPr>
        <w:spacing w:after="0" w:line="16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24" w:right="399" w:bottom="1440" w:gutter="0" w:footer="0" w:header="0"/>
        </w:sectPr>
      </w:pPr>
    </w:p>
    <w:bookmarkStart w:id="27" w:name="page28"/>
    <w:bookmarkEnd w:id="27"/>
    <w:p>
      <w:pPr>
        <w:ind w:left="1020" w:right="140"/>
        <w:spacing w:after="0" w:line="266" w:lineRule="auto"/>
        <w:rPr>
          <w:sz w:val="20"/>
          <w:szCs w:val="20"/>
          <w:color w:val="auto"/>
        </w:rPr>
      </w:pPr>
      <w:r>
        <w:rPr>
          <w:rFonts w:ascii="Arial" w:cs="Arial" w:eastAsia="Arial" w:hAnsi="Arial"/>
          <w:sz w:val="18"/>
          <w:szCs w:val="18"/>
          <w:b w:val="1"/>
          <w:bCs w:val="1"/>
          <w:color w:val="auto"/>
        </w:rPr>
        <w:t>of any of our proprietary product candidates are prolonged or delayed, we may be unable to commercialize our product candidates on a timely basis</w:t>
      </w:r>
      <w:r>
        <w:rPr>
          <w:rFonts w:ascii="Arial" w:cs="Arial" w:eastAsia="Arial" w:hAnsi="Arial"/>
          <w:sz w:val="18"/>
          <w:szCs w:val="18"/>
          <w:b w:val="1"/>
          <w:bCs w:val="1"/>
          <w:i w:val="1"/>
          <w:iCs w:val="1"/>
          <w:color w:val="auto"/>
        </w:rPr>
        <w:t>.</w:t>
      </w:r>
    </w:p>
    <w:p>
      <w:pPr>
        <w:spacing w:after="0" w:line="58" w:lineRule="exact"/>
        <w:rPr>
          <w:sz w:val="20"/>
          <w:szCs w:val="20"/>
          <w:color w:val="auto"/>
        </w:rPr>
      </w:pPr>
    </w:p>
    <w:p>
      <w:pPr>
        <w:ind w:left="1540" w:hanging="514"/>
        <w:spacing w:after="0"/>
        <w:tabs>
          <w:tab w:leader="none" w:pos="1540" w:val="left"/>
        </w:tabs>
        <w:numPr>
          <w:ilvl w:val="1"/>
          <w:numId w:val="23"/>
        </w:numPr>
        <w:rPr>
          <w:rFonts w:ascii="Arial" w:cs="Arial" w:eastAsia="Arial" w:hAnsi="Arial"/>
          <w:sz w:val="16"/>
          <w:szCs w:val="16"/>
          <w:color w:val="auto"/>
        </w:rPr>
      </w:pPr>
      <w:r>
        <w:rPr>
          <w:rFonts w:ascii="Arial" w:cs="Arial" w:eastAsia="Arial" w:hAnsi="Arial"/>
          <w:sz w:val="16"/>
          <w:szCs w:val="16"/>
          <w:color w:val="auto"/>
        </w:rPr>
        <w:t>None of our product candidates in our clinical development pipeline has yet to advance beyond completion of Phase 2 clinical trials.</w:t>
      </w:r>
    </w:p>
    <w:p>
      <w:pPr>
        <w:spacing w:after="0" w:line="126" w:lineRule="exact"/>
        <w:rPr>
          <w:rFonts w:ascii="Arial" w:cs="Arial" w:eastAsia="Arial" w:hAnsi="Arial"/>
          <w:sz w:val="16"/>
          <w:szCs w:val="16"/>
          <w:color w:val="auto"/>
        </w:rPr>
      </w:pPr>
    </w:p>
    <w:p>
      <w:pPr>
        <w:ind w:left="1540" w:right="420" w:hanging="514"/>
        <w:spacing w:after="0" w:line="324" w:lineRule="auto"/>
        <w:tabs>
          <w:tab w:leader="none" w:pos="1540" w:val="left"/>
        </w:tabs>
        <w:numPr>
          <w:ilvl w:val="1"/>
          <w:numId w:val="23"/>
        </w:numPr>
        <w:rPr>
          <w:rFonts w:ascii="Arial" w:cs="Arial" w:eastAsia="Arial" w:hAnsi="Arial"/>
          <w:sz w:val="16"/>
          <w:szCs w:val="16"/>
          <w:color w:val="auto"/>
        </w:rPr>
      </w:pPr>
      <w:r>
        <w:rPr>
          <w:rFonts w:ascii="Arial" w:cs="Arial" w:eastAsia="Arial" w:hAnsi="Arial"/>
          <w:sz w:val="16"/>
          <w:szCs w:val="16"/>
          <w:color w:val="auto"/>
        </w:rPr>
        <w:t>Some of our clinical trials may be delayed due to the continuing impact of COVID-19 on the ability of trial sites to conduct their operations and recruit trial subjects, as well as its potential impact on the future incidence of RSV during the pandemic.</w:t>
      </w:r>
    </w:p>
    <w:p>
      <w:pPr>
        <w:spacing w:after="0" w:line="16" w:lineRule="exact"/>
        <w:rPr>
          <w:rFonts w:ascii="Arial" w:cs="Arial" w:eastAsia="Arial" w:hAnsi="Arial"/>
          <w:sz w:val="16"/>
          <w:szCs w:val="16"/>
          <w:color w:val="auto"/>
        </w:rPr>
      </w:pPr>
    </w:p>
    <w:p>
      <w:pPr>
        <w:ind w:left="1540" w:right="60" w:hanging="514"/>
        <w:spacing w:after="0" w:line="248" w:lineRule="auto"/>
        <w:tabs>
          <w:tab w:leader="none" w:pos="15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Changes in regulatory requirements, policies and guidelines, including guidelines specifically addressing requirements for the development of treatments for RSV, SARS-CoV-2 or HBV, could also delay the time required to reach approval of one or more of our product candidates.</w:t>
      </w:r>
    </w:p>
    <w:p>
      <w:pPr>
        <w:spacing w:after="0" w:line="69" w:lineRule="exact"/>
        <w:rPr>
          <w:rFonts w:ascii="Arial" w:cs="Arial" w:eastAsia="Arial" w:hAnsi="Arial"/>
          <w:sz w:val="18"/>
          <w:szCs w:val="18"/>
          <w:color w:val="auto"/>
        </w:rPr>
      </w:pPr>
    </w:p>
    <w:p>
      <w:pPr>
        <w:ind w:left="1020" w:right="420" w:hanging="503"/>
        <w:spacing w:after="0" w:line="250"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The results of clinical trials are inherently uncertain. The results of preclinical studies and early clinical trials of our product candidates may not be predictive of the results of later-stage clinical trials, if any, including sufficient efficacy and an acceptable safety and tolerability profile</w:t>
      </w:r>
      <w:r>
        <w:rPr>
          <w:rFonts w:ascii="Arial" w:cs="Arial" w:eastAsia="Arial" w:hAnsi="Arial"/>
          <w:sz w:val="18"/>
          <w:szCs w:val="18"/>
          <w:color w:val="auto"/>
        </w:rPr>
        <w:t>.</w:t>
      </w:r>
    </w:p>
    <w:p>
      <w:pPr>
        <w:spacing w:after="0" w:line="72" w:lineRule="exact"/>
        <w:rPr>
          <w:rFonts w:ascii="Arial" w:cs="Arial" w:eastAsia="Arial" w:hAnsi="Arial"/>
          <w:sz w:val="18"/>
          <w:szCs w:val="18"/>
          <w:color w:val="auto"/>
        </w:rPr>
      </w:pPr>
    </w:p>
    <w:p>
      <w:pPr>
        <w:ind w:left="1540" w:right="160" w:hanging="514"/>
        <w:spacing w:after="0" w:line="261" w:lineRule="auto"/>
        <w:tabs>
          <w:tab w:leader="none" w:pos="15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Several companies in the disease areas we are seeking to address have suffered significant setbacks in advanced clinical trials due to adverse safety profiles or lack of efficacy, notwithstanding promising results in earlier studies.</w:t>
      </w:r>
    </w:p>
    <w:p>
      <w:pPr>
        <w:spacing w:after="0" w:line="62" w:lineRule="exact"/>
        <w:rPr>
          <w:rFonts w:ascii="Arial" w:cs="Arial" w:eastAsia="Arial" w:hAnsi="Arial"/>
          <w:sz w:val="18"/>
          <w:szCs w:val="18"/>
          <w:color w:val="auto"/>
        </w:rPr>
      </w:pPr>
    </w:p>
    <w:p>
      <w:pPr>
        <w:ind w:left="1540" w:right="260" w:hanging="514"/>
        <w:spacing w:after="0" w:line="248" w:lineRule="auto"/>
        <w:tabs>
          <w:tab w:leader="none" w:pos="15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Clinical trials involving our product candidates may be suspended or terminated at any time for a number of safety-related reasons. For example, administering any product candidate to humans may produce undesirable side effects not identified in preclinical studies.</w:t>
      </w:r>
    </w:p>
    <w:p>
      <w:pPr>
        <w:spacing w:after="0" w:line="73" w:lineRule="exact"/>
        <w:rPr>
          <w:rFonts w:ascii="Arial" w:cs="Arial" w:eastAsia="Arial" w:hAnsi="Arial"/>
          <w:sz w:val="18"/>
          <w:szCs w:val="18"/>
          <w:color w:val="auto"/>
        </w:rPr>
      </w:pPr>
    </w:p>
    <w:p>
      <w:pPr>
        <w:ind w:left="1540" w:hanging="514"/>
        <w:spacing w:after="0" w:line="243" w:lineRule="auto"/>
        <w:tabs>
          <w:tab w:leader="none" w:pos="15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We may choose to test any of our clinical candidates preclinically and/or clinically in combination with other compounds with different mechanisms of action, and any adverse results from such testing may have adverse consequences for the further development potential of not only the combination but also the clinical candidate itself as a monotherapy or in combination with other mechanisms of action.</w:t>
      </w:r>
    </w:p>
    <w:p>
      <w:pPr>
        <w:spacing w:after="0" w:line="75" w:lineRule="exact"/>
        <w:rPr>
          <w:rFonts w:ascii="Arial" w:cs="Arial" w:eastAsia="Arial" w:hAnsi="Arial"/>
          <w:sz w:val="18"/>
          <w:szCs w:val="18"/>
          <w:color w:val="auto"/>
        </w:rPr>
      </w:pPr>
    </w:p>
    <w:p>
      <w:pPr>
        <w:ind w:left="1020" w:right="300" w:hanging="503"/>
        <w:spacing w:after="0" w:line="266"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We may delay or terminate the development of a product candidate at any time if we believe the perceived market or commercial opportunity does not justify further investment.</w:t>
      </w:r>
    </w:p>
    <w:p>
      <w:pPr>
        <w:spacing w:after="0" w:line="54"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7"/>
          <w:szCs w:val="17"/>
          <w:color w:val="auto"/>
        </w:rPr>
      </w:pPr>
      <w:r>
        <w:rPr>
          <w:rFonts w:ascii="Arial" w:cs="Arial" w:eastAsia="Arial" w:hAnsi="Arial"/>
          <w:sz w:val="17"/>
          <w:szCs w:val="17"/>
          <w:b w:val="1"/>
          <w:bCs w:val="1"/>
          <w:color w:val="auto"/>
        </w:rPr>
        <w:t>We could be unsuccessful in obtaining or maintaining adequate patent protection for one or more of our product candidates.</w:t>
      </w:r>
    </w:p>
    <w:p>
      <w:pPr>
        <w:spacing w:after="0" w:line="119" w:lineRule="exact"/>
        <w:rPr>
          <w:rFonts w:ascii="Arial" w:cs="Arial" w:eastAsia="Arial" w:hAnsi="Arial"/>
          <w:sz w:val="17"/>
          <w:szCs w:val="17"/>
          <w:color w:val="auto"/>
        </w:rPr>
      </w:pPr>
    </w:p>
    <w:p>
      <w:pPr>
        <w:ind w:left="1540" w:hanging="514"/>
        <w:spacing w:after="0"/>
        <w:tabs>
          <w:tab w:leader="none" w:pos="1540" w:val="left"/>
        </w:tabs>
        <w:numPr>
          <w:ilvl w:val="1"/>
          <w:numId w:val="23"/>
        </w:numPr>
        <w:rPr>
          <w:rFonts w:ascii="Arial" w:cs="Arial" w:eastAsia="Arial" w:hAnsi="Arial"/>
          <w:sz w:val="17"/>
          <w:szCs w:val="17"/>
          <w:color w:val="auto"/>
        </w:rPr>
      </w:pPr>
      <w:r>
        <w:rPr>
          <w:rFonts w:ascii="Arial" w:cs="Arial" w:eastAsia="Arial" w:hAnsi="Arial"/>
          <w:sz w:val="17"/>
          <w:szCs w:val="17"/>
          <w:color w:val="auto"/>
        </w:rPr>
        <w:t>We are competing to develop intellectual property in areas of small-molecule drug development that are highly competitive.</w:t>
      </w:r>
    </w:p>
    <w:p>
      <w:pPr>
        <w:spacing w:after="0" w:line="115" w:lineRule="exact"/>
        <w:rPr>
          <w:rFonts w:ascii="Arial" w:cs="Arial" w:eastAsia="Arial" w:hAnsi="Arial"/>
          <w:sz w:val="17"/>
          <w:szCs w:val="17"/>
          <w:color w:val="auto"/>
        </w:rPr>
      </w:pPr>
    </w:p>
    <w:p>
      <w:pPr>
        <w:ind w:left="1540" w:right="260" w:hanging="514"/>
        <w:spacing w:after="0" w:line="248" w:lineRule="auto"/>
        <w:tabs>
          <w:tab w:leader="none" w:pos="15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We cannot be certain that patents will be issued or granted with respect to our patent applications that are currently pending, or that issued or granted patents will not later be found to be invalid and/or unenforceable, be interpreted in a manner that does not adequately protect our products, or otherwise fail to provide us with any competitive advantage.</w:t>
      </w:r>
    </w:p>
    <w:p>
      <w:pPr>
        <w:spacing w:after="0" w:line="69" w:lineRule="exact"/>
        <w:rPr>
          <w:rFonts w:ascii="Arial" w:cs="Arial" w:eastAsia="Arial" w:hAnsi="Arial"/>
          <w:sz w:val="18"/>
          <w:szCs w:val="18"/>
          <w:color w:val="auto"/>
        </w:rPr>
      </w:pPr>
    </w:p>
    <w:p>
      <w:pPr>
        <w:ind w:left="1020" w:right="340" w:hanging="503"/>
        <w:spacing w:after="0" w:line="266"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We rely on third parties to manufacture our clinical drug supplies, monitor, support, conduct and/or oversee clinical trials of our product candidates that we develop independently.</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08" w:lineRule="exact"/>
        <w:rPr>
          <w:sz w:val="20"/>
          <w:szCs w:val="20"/>
          <w:color w:val="auto"/>
        </w:rPr>
      </w:pPr>
    </w:p>
    <w:p>
      <w:pPr>
        <w:ind w:right="300"/>
        <w:spacing w:after="0"/>
        <w:rPr>
          <w:sz w:val="20"/>
          <w:szCs w:val="20"/>
          <w:color w:val="auto"/>
        </w:rPr>
      </w:pPr>
      <w:r>
        <w:rPr>
          <w:rFonts w:ascii="Arial" w:cs="Arial" w:eastAsia="Arial" w:hAnsi="Arial"/>
          <w:sz w:val="18"/>
          <w:szCs w:val="18"/>
          <w:b w:val="1"/>
          <w:bCs w:val="1"/>
          <w:i w:val="1"/>
          <w:iCs w:val="1"/>
          <w:color w:val="auto"/>
        </w:rPr>
        <w:t>Our financial prospects for the next several years are dependent upon AbbVie’s success selling MAVYRET/MAVIRET, which includes our protease inhibitor, glecaprevir, for the treatment of HCV. AbbVie may continue to experience lower sales volume in future quarters due to a reduction in diagnoses and treatment of HCV, which could adversely affect our business.</w:t>
      </w:r>
    </w:p>
    <w:p>
      <w:pPr>
        <w:spacing w:after="0" w:line="3"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We rely on AbbVie to commercialize its regimen containing glecaprevir (our second protease inhibitor, which is one of the two DAAs in AbbVie’s MAVYRET/MAVIRET treatment), over which we have granted AbbVie complete control. Our ability to continue to generate revenue in the short term will depend primarily on the success of AbbVie’s efforts to maintain sales of MAVYRET/MAVIRET. Such success is subject to uncertainty, and we have no control over the resources, time and effort that AbbVie may devote to sales of this regimen. Any of several events or factors could have a material adverse effect on our ability to continue to generate revenue from AbbVie’s sales of MAVYRET/MAVIRET. For example, AbbVie:</w:t>
      </w:r>
    </w:p>
    <w:p>
      <w:pPr>
        <w:spacing w:after="0" w:line="70" w:lineRule="exact"/>
        <w:rPr>
          <w:sz w:val="20"/>
          <w:szCs w:val="20"/>
          <w:color w:val="auto"/>
        </w:rPr>
      </w:pPr>
    </w:p>
    <w:p>
      <w:pPr>
        <w:ind w:left="1020" w:right="180" w:hanging="503"/>
        <w:spacing w:after="0" w:line="261"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may continue to experience lower sales volume in future quarters due to a reduction in diagnoses and treatment of HCV if doctor visits and other routine healthcare activities remain at below normal levels as a result of the COVID-19 pandemic;</w:t>
      </w:r>
    </w:p>
    <w:p>
      <w:pPr>
        <w:spacing w:after="0" w:line="62" w:lineRule="exact"/>
        <w:rPr>
          <w:rFonts w:ascii="Arial" w:cs="Arial" w:eastAsia="Arial" w:hAnsi="Arial"/>
          <w:sz w:val="18"/>
          <w:szCs w:val="18"/>
          <w:color w:val="auto"/>
        </w:rPr>
      </w:pPr>
    </w:p>
    <w:p>
      <w:pPr>
        <w:ind w:left="1020" w:right="120" w:hanging="503"/>
        <w:spacing w:after="0" w:line="261"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may not maintain satisfactory levels of prescriptions by physicians and reimbursement by third-party payors for the MAVYRET/MAVIRET regimen in the various markets of the world where it is being sold;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28" w:name="page29"/>
    <w:bookmarkEnd w:id="28"/>
    <w:p>
      <w:pPr>
        <w:ind w:left="1020" w:right="60" w:hanging="503"/>
        <w:spacing w:after="0" w:line="261"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may not compete successfully with its MAVYRET/MAVIRET regimen against other products and therapies for HCV, including competition for exclusive arrangements with third-party payors and governmental entities as well as price competition;</w:t>
      </w:r>
    </w:p>
    <w:p>
      <w:pPr>
        <w:spacing w:after="0" w:line="62" w:lineRule="exact"/>
        <w:rPr>
          <w:rFonts w:ascii="Arial" w:cs="Arial" w:eastAsia="Arial" w:hAnsi="Arial"/>
          <w:sz w:val="18"/>
          <w:szCs w:val="18"/>
          <w:color w:val="auto"/>
        </w:rPr>
      </w:pPr>
    </w:p>
    <w:p>
      <w:pPr>
        <w:ind w:left="1020" w:right="320" w:hanging="503"/>
        <w:spacing w:after="0" w:line="261"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may have to comply with additional requests and recommendations from the FDA, including label restrictions for its regimen containing glecaprevir;</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may not obtain all commercially necessary reimbursement approvals;</w:t>
      </w:r>
    </w:p>
    <w:p>
      <w:pPr>
        <w:spacing w:after="0" w:line="103" w:lineRule="exact"/>
        <w:rPr>
          <w:rFonts w:ascii="Arial" w:cs="Arial" w:eastAsia="Arial" w:hAnsi="Arial"/>
          <w:sz w:val="18"/>
          <w:szCs w:val="18"/>
          <w:color w:val="auto"/>
        </w:rPr>
      </w:pPr>
    </w:p>
    <w:p>
      <w:pPr>
        <w:ind w:left="1020" w:right="520" w:hanging="503"/>
        <w:spacing w:after="0" w:line="261"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may not commit sufficient resources to the marketing and distribution of MAVYRET/MAVIRET, whether for competitive or strategic reasons or otherwise due to a change in business priorities;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may cease to perform its obligations under the terms of our collaboration agreement;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may unilaterally terminate our collaboration agreement on specified prior notice without any reason and without any further commitment.</w:t>
      </w:r>
    </w:p>
    <w:p>
      <w:pPr>
        <w:spacing w:after="0" w:line="221"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We do not have access to all information regarding AbbVie’s MAVYRET/MAVIRET, including certain information about spontaneous safety reports for any marketed product, regulatory affairs, process development, manufacturing, marketing, sales and other areas known by AbbVie. Thus, our ability to keep our stockholders informed about the status of the marketed products licensed under our collaboration is limited by the degree to which AbbVie keeps us informed. If AbbVie does not perform in the manner we expect or fulfill its responsibilities in a timely manner, or at all, the global commercialization of MAVYRET/MAVIRET could be terminated in selected jurisdictions or be commercially unsuccessful. In addition, AbbVie has the right to make decisions regarding the commercialization of licensed products without consulting us. For example, in 2018 AbbVie entered into a royalty-free licensing agreement with the Medicines Patent Pool to accelerate access to generic versions of MAVYRET/MAVIRET in 99 low- and middle-income countries and territories. AbbVie may also make decisions with which we do not agree. If AbbVie acts in a manner that is not in our best interest, then it could adversely affect our business and prospects.</w:t>
      </w:r>
    </w:p>
    <w:p>
      <w:pPr>
        <w:spacing w:after="0" w:line="170"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i w:val="1"/>
          <w:iCs w:val="1"/>
          <w:color w:val="auto"/>
        </w:rPr>
        <w:t>Our royalty revenues are derived from AbbVie’s net sales of its MAVYRET/MAVIRET regimen for HCV. If AbbVie is unable to maintain sales of this regimen at or above current levels of sales, our royalty revenues will be adversely affected.</w:t>
      </w:r>
    </w:p>
    <w:p>
      <w:pPr>
        <w:spacing w:after="0" w:line="157"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AbbVie’s MAVYRET/MAVIRET regimen continues to be the leading HCV treatment in the U.S. and several market geographies in developed countries where it is approved. While commercialization of this regimen is exclusively in AbbVie’s control without any required input from us, we believe it is possible that prices will decline further due to payors obtaining additional discounts or competitive market dynamics. For example, the states of Louisiana and Washington have negotiated a blanket price for one of the HCV drug companies to treat all patients in one or more state programs (e.g. Medicaid). Gilead was awarded the contract in Louisiana and AbbVie was awarded the contract in Washington. In addition, Gilead has been able to access the Medicaid market at a lower price point to build its market share by using an authorized generic version of its HCV regimen branded as Epclusa®. It is unknown whether these programs or other programs that states may adopt could have any further impact on MAVYRET/MAVIRET sales. There may also be fluctuations in AbbVie’s market share over time due to these and other competitive actions by Gilead.</w:t>
      </w:r>
    </w:p>
    <w:p>
      <w:pPr>
        <w:spacing w:after="0" w:line="5" w:lineRule="exact"/>
        <w:rPr>
          <w:sz w:val="20"/>
          <w:szCs w:val="20"/>
          <w:color w:val="auto"/>
        </w:rPr>
      </w:pPr>
    </w:p>
    <w:p>
      <w:pPr>
        <w:ind w:right="180"/>
        <w:spacing w:after="0" w:line="253" w:lineRule="auto"/>
        <w:rPr>
          <w:sz w:val="20"/>
          <w:szCs w:val="20"/>
          <w:color w:val="auto"/>
        </w:rPr>
      </w:pPr>
      <w:r>
        <w:rPr>
          <w:rFonts w:ascii="Arial" w:cs="Arial" w:eastAsia="Arial" w:hAnsi="Arial"/>
          <w:sz w:val="17"/>
          <w:szCs w:val="17"/>
          <w:color w:val="auto"/>
        </w:rPr>
        <w:t>In addition, in light of continued fiscal crises experienced by several countries in the European Union and Japan, governments have announced or implemented measures to manage and reduce healthcare expenditures. AbbVie may experience global pricing pressure for its MAVYRET/MAVIRET regimen from such measures, which may be reflected in larger discounts or rebates on its regimens or delayed reimbursement. Also, private and public payors may choose to exclude AbbVie’s MAVYRET/MAVIRET regimen from their formulary coverage lists or limit the types of patients for whom coverage will be provided. Any such change in formulary coverage, discounts or rebates or reimbursement for MAVYRET/MAVIRET would negatively affect the demand for this regimen and our royalty revenue derived from its sales.</w:t>
      </w:r>
    </w:p>
    <w:p>
      <w:pPr>
        <w:spacing w:after="0" w:line="165"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Furthermore, we expect that the COVID-19 pandemic will continue to adversely affect AbbVie’s sales of MAVYRET/MAVIRET in the United States and the rest of the world if healthcare systems continue to experience varying levels of shut-down and diagnoses and treatment rates of HCV infections remain at below-normal levels. At this point in time we do not know the extent and duration of this adverse effect. We note, however, that the HCV patient pool will continue to carry the viral infection until treated.</w:t>
      </w:r>
    </w:p>
    <w:p>
      <w:pPr>
        <w:spacing w:after="0" w:line="147" w:lineRule="exact"/>
        <w:rPr>
          <w:sz w:val="20"/>
          <w:szCs w:val="20"/>
          <w:color w:val="auto"/>
        </w:rPr>
      </w:pPr>
    </w:p>
    <w:p>
      <w:pPr>
        <w:ind w:right="340"/>
        <w:spacing w:after="0" w:line="235" w:lineRule="auto"/>
        <w:rPr>
          <w:sz w:val="20"/>
          <w:szCs w:val="20"/>
          <w:color w:val="auto"/>
        </w:rPr>
      </w:pPr>
      <w:r>
        <w:rPr>
          <w:rFonts w:ascii="Arial" w:cs="Arial" w:eastAsia="Arial" w:hAnsi="Arial"/>
          <w:sz w:val="18"/>
          <w:szCs w:val="18"/>
          <w:b w:val="1"/>
          <w:bCs w:val="1"/>
          <w:i w:val="1"/>
          <w:iCs w:val="1"/>
          <w:color w:val="auto"/>
        </w:rPr>
        <w:t>We and AbbVie face substantial competition in the markets for HCV drugs, and there are many companies developing potential therapies for RSV, SARS-CoV-2, HBV and hMPV which may result in others discovering, developing or commercializing products before we do or doing so more successfully than we do.</w:t>
      </w:r>
    </w:p>
    <w:p>
      <w:pPr>
        <w:spacing w:after="0" w:line="161" w:lineRule="exact"/>
        <w:rPr>
          <w:sz w:val="20"/>
          <w:szCs w:val="20"/>
          <w:color w:val="auto"/>
        </w:rPr>
      </w:pPr>
    </w:p>
    <w:p>
      <w:pPr>
        <w:ind w:right="680"/>
        <w:spacing w:after="0" w:line="248" w:lineRule="auto"/>
        <w:rPr>
          <w:sz w:val="20"/>
          <w:szCs w:val="20"/>
          <w:color w:val="auto"/>
        </w:rPr>
      </w:pPr>
      <w:r>
        <w:rPr>
          <w:rFonts w:ascii="Arial" w:cs="Arial" w:eastAsia="Arial" w:hAnsi="Arial"/>
          <w:sz w:val="18"/>
          <w:szCs w:val="18"/>
          <w:color w:val="auto"/>
        </w:rPr>
        <w:t>The pharmaceutical and biotechnology industries are intensely competitive and rapidly changing. Many large pharmaceutical and biotechnology companies, academic institutions, governmental agencies and other public and private research organizations are commercializing or pursuing the development of products that target HCV, RSV, SARS-CoV-2, HBV and hMPV and other viral</w:t>
      </w:r>
    </w:p>
    <w:p>
      <w:pPr>
        <w:spacing w:after="0" w:line="18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36" w:right="399" w:bottom="1440" w:gutter="0" w:footer="0" w:header="0"/>
        </w:sectPr>
      </w:pPr>
    </w:p>
    <w:bookmarkStart w:id="29" w:name="page30"/>
    <w:bookmarkEnd w:id="29"/>
    <w:p>
      <w:pPr>
        <w:ind w:right="80"/>
        <w:spacing w:after="0" w:line="261" w:lineRule="auto"/>
        <w:rPr>
          <w:sz w:val="20"/>
          <w:szCs w:val="20"/>
          <w:color w:val="auto"/>
        </w:rPr>
      </w:pPr>
      <w:r>
        <w:rPr>
          <w:rFonts w:ascii="Arial" w:cs="Arial" w:eastAsia="Arial" w:hAnsi="Arial"/>
          <w:sz w:val="18"/>
          <w:szCs w:val="18"/>
          <w:color w:val="auto"/>
        </w:rPr>
        <w:t>infections or diseases that we may target in the future. Many of our competitors have substantially greater commercial infrastructure and greater financial, technical and personnel resources than we have, as well as drug candidates in late-stage clinical development.</w:t>
      </w:r>
    </w:p>
    <w:p>
      <w:pPr>
        <w:spacing w:after="0" w:line="157" w:lineRule="exact"/>
        <w:rPr>
          <w:sz w:val="20"/>
          <w:szCs w:val="20"/>
          <w:color w:val="auto"/>
        </w:rPr>
      </w:pPr>
    </w:p>
    <w:p>
      <w:pPr>
        <w:ind w:right="60"/>
        <w:spacing w:after="0" w:line="255" w:lineRule="auto"/>
        <w:rPr>
          <w:sz w:val="20"/>
          <w:szCs w:val="20"/>
          <w:color w:val="auto"/>
        </w:rPr>
      </w:pPr>
      <w:r>
        <w:rPr>
          <w:rFonts w:ascii="Arial" w:cs="Arial" w:eastAsia="Arial" w:hAnsi="Arial"/>
          <w:sz w:val="17"/>
          <w:szCs w:val="17"/>
          <w:color w:val="auto"/>
        </w:rPr>
        <w:t>In all the disease areas currently under the focus of our research and development efforts, there are other companies with product candidates that are more advanced than ours. Our competitors may succeed in developing these product candidates or others and obtaining regulatory approval before we can do so with any of our product candidates. If we are not “first to market” with one of our product candidates in one or more of these disease indications, our competitive position could be compromised because it may be more difficult for us to obtain marketing approval for that product candidate and market acceptance of that product candidate as a follow-on competitor. In addition, any new product that competes with an approved product typically must demonstrate compelling advantages in efficacy, convenience, tolerability or safety, or some combination of these factors, in order to gain regulatory approvals, overcome price competition and be commercially successful.</w:t>
      </w:r>
    </w:p>
    <w:p>
      <w:pPr>
        <w:spacing w:after="0" w:line="166"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We expect AbbVie’s MAVYRET/MAVIRET to continue to face intense competition due to existing approved products in the HCV market. AbbVie’s MAVYRET/MAVIRET regimen currently faces competition in various world markets and subpopulations of HCV from Gilead’s Epclusa® (a fixed dose combination of sofosbuvir and velpatasvir), Vosevi® (a triple combination therapy of sofosbuvir, velpatasvir and voxilaprevir approved by the FDA for specified sofosbuvir -treatment failures and NS5A-inhibitor treatment failures) and Harvoni® (a fixed-dose combination of sofosbuvir and ledipasvir); and to a lesser extent - Merck’s Zepatier® (a fixed-dose combination of grazoprevir and elbasvir). Gilead launched authorized generic versions of Epclusa and Harvoni through its subsidiary, Asegua Therapeutics, LLC, which have had an impact on the competitive landscape. For example, the state of Louisiana selected Asegua as their HCV subscription model pharmaceutical partner to provide the state with unrestricted access to its direct-acting antiviral medication.</w:t>
      </w:r>
    </w:p>
    <w:p>
      <w:pPr>
        <w:spacing w:after="0" w:line="180"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Other competitive products in the form of other treatment methods or a vaccine for HCV may render MAVYRET/MAVIRET obsolete or noncompetitive. MAVYRET/MAVIRET will face competition based on its safety and effectiveness, reimbursement coverage, price, patent position, AbbVie’s marketing and sales capabilities, and other factors. If MAVYRET/MAVIRET faces competition from generic products other than authorized generic versions by the manufacturer of the branded product (i.e. Gilead and Asegua Therapeutics), our collaboration agreement provides that the royalty rate applicable to our protease product contained in the regimen is reduced significantly by a specified percentage on a product-by-product, country-by-country basis. If AbbVie is not able to compete effectively against its competitors in HCV, our business will not grow and our financial condition, operations and stock price will suffer.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Similarly, HBV, RSV and COVID-19 represent competitive therapeutic areas. While there are antiviral medications prescribed for HBV that can suppress HBV DNA, they generally have low cure rates, resulting in the need for lifelong treatment. Many companies are seeking to develop new HBV drugs that alone or in combination with other mechanisms could lead to a functional cure of HBV. Altimmune, Antios, Arbutus, Ascletis, Assembly, GIGB, Gilead, Green Cross, GSK/Ionis, HEC Pharma, Johnson &amp; Johnson/Janssen, Replicor, Roche, Vaccitech, VBI Vaccines and Vir Biotechnology have Phase 2 programs in progress, with many of these companies conducting earlier stage programs as well. In addition, a number of companies have Phase 1 or earlier stage HBV programs.</w:t>
      </w:r>
    </w:p>
    <w:p>
      <w:pPr>
        <w:spacing w:after="0" w:line="176" w:lineRule="exact"/>
        <w:rPr>
          <w:sz w:val="20"/>
          <w:szCs w:val="20"/>
          <w:color w:val="auto"/>
        </w:rPr>
      </w:pPr>
    </w:p>
    <w:p>
      <w:pPr>
        <w:ind w:right="80"/>
        <w:spacing w:after="0" w:line="274" w:lineRule="auto"/>
        <w:rPr>
          <w:sz w:val="20"/>
          <w:szCs w:val="20"/>
          <w:color w:val="auto"/>
        </w:rPr>
      </w:pPr>
      <w:r>
        <w:rPr>
          <w:rFonts w:ascii="Arial" w:cs="Arial" w:eastAsia="Arial" w:hAnsi="Arial"/>
          <w:sz w:val="16"/>
          <w:szCs w:val="16"/>
          <w:color w:val="auto"/>
        </w:rPr>
        <w:t>For RSV, there are currently no safe and effective therapies for already established RSV infection. Several companies are seeking to develop antiviral treatments for RSV infection in adult and pediatric patients. Ark Biosciences and ReViral (acquired by Pfizer in June 2022) each have compounds in clinical development. A prophylactic, monoclonal-antibody-based treatment from MedImmune, which is commercialized by AbbVie outside the U.S., is approved for infants considered at high risk for RSV infection; however, studies have found that most young children with RSV infection were previously healthy, and thus would not normally be prescribed prophylactic treatment. AstraZeneca/Sanofi and Merck are developing long-acting versions of the monoclonal antibody for prophylaxis use in infants. In addition, a number of companies have RSV vaccines in development, primarily directed at prevention of RSV infection, and some companies are also evaluating vaccines in a therapeutic mode for treatment of established RSV infection.</w:t>
      </w:r>
    </w:p>
    <w:p>
      <w:pPr>
        <w:spacing w:after="0" w:line="150"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Currently, there are two Emergency Use Authorizations of oral antiviral treatments for non-hospitalized, high-risk patients with SARS-CoV-2 infection: Paxlovid, a 3CL protease inhibitor, and Molnupiravir, a polymerase inhibitor. Additionally, there are companies developing oral direct acting antivirals for SARS-CoV-2 that are currently in Phase 2 or 3 studies including Atea, Shionogi, Toyama, and Todos as well as compounds in Phase 1 studies, including those from Pardes, Sorrento, Ascletis and Gilead and others in development in Asia.</w:t>
      </w:r>
    </w:p>
    <w:p>
      <w:pPr>
        <w:spacing w:after="0" w:line="174"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If we are not able to develop new products that can compete effectively against our current and future competitors, our business will not grow and our financial condition, operations and stock price will suffer.</w:t>
      </w:r>
    </w:p>
    <w:p>
      <w:pPr>
        <w:spacing w:after="0" w:line="157"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b w:val="1"/>
          <w:bCs w:val="1"/>
          <w:i w:val="1"/>
          <w:iCs w:val="1"/>
          <w:color w:val="auto"/>
        </w:rPr>
        <w:t>The ongoing COVID-19 pandemic has had an impact on our business operations and clinical trials and could continue, directly or indirectly, to adversely affect our business, results of operations and financial condition and our stock price.</w:t>
      </w:r>
    </w:p>
    <w:p>
      <w:pPr>
        <w:spacing w:after="0" w:line="37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28" w:right="399" w:bottom="1440" w:gutter="0" w:footer="0" w:header="0"/>
        </w:sectPr>
      </w:pPr>
    </w:p>
    <w:bookmarkStart w:id="30" w:name="page31"/>
    <w:bookmarkEnd w:id="30"/>
    <w:p>
      <w:pPr>
        <w:ind w:right="20"/>
        <w:spacing w:after="0" w:line="268" w:lineRule="auto"/>
        <w:rPr>
          <w:sz w:val="20"/>
          <w:szCs w:val="20"/>
          <w:color w:val="auto"/>
        </w:rPr>
      </w:pPr>
      <w:r>
        <w:rPr>
          <w:rFonts w:ascii="Arial" w:cs="Arial" w:eastAsia="Arial" w:hAnsi="Arial"/>
          <w:sz w:val="16"/>
          <w:szCs w:val="16"/>
          <w:color w:val="auto"/>
        </w:rPr>
        <w:t>The COVID-19 pandemic has had an impact on our business operations and we continue to monitor applicable government recommendations. We had to make modifications to our normal operations because of the COVID-19 pandemic, including allowing certain of our employees to work remotely and conducting our laboratory operations at reduced capacity. Now that almost all of our employees are vaccinated and levels of COVID-19 infection in Eastern Massachusetts have declined substantially, we have our laboratory operations back at full capacity and other operations have started to return to more on-site activity. Notwithstanding these recent trends, the COVID-19 pandemic, including insufficient vaccination of the general population and the emergence of new SARS-CoV-2 variants, including the Omicron and Omicron BA.2 variants, could affect the health and availability of our workforce as well as those of the third parties whom we are relying on to take similar measures. As a result, we may experience new disruptions to our business operations and our business could be materially adversely affected further, directly or indirectly, by the ongoing COVID-19 pandemic, which has spread to the countries in which we, our contract manufacturers, our preclinical and clinical research contractors and our collaborators in clinical research do business. National, state and local governments in affected regions have implemented and may continue to implement varying safety precautions, including quarantines, border closures, increased border controls, travel restrictions, shelter-in-place orders and shutdowns, business closures, cancellations of public gatherings and other measures. Organizations and individuals may continue to take additional steps to avoid or reduce infection, including limiting travel and staying home from work. These measures may continue to disrupt normal business operations both inside and outside of affected areas and have had significant negative impacts on healthcare and other businesses worldwide.</w:t>
      </w:r>
    </w:p>
    <w:p>
      <w:pPr>
        <w:spacing w:after="0" w:line="161"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The extent and severity of the impact on our business and clinical trials will be determined largely by the extent of disruptions in the supply chains for our research and clinical trial materials, delays in the conduct and recruitment of current and future clinical trials and reductions in the number of patients accessing AbbVie’s HCV regimens. For example, we paused recruitment for our Phase 2b ARGON-2 study of EDP-305 in NASH patients and Part 2 of our Phase 1a/1b study of EDP-514 in NUC-suppressed HBV patients in March 2020, but we were able to resume recruitment of these studies in July 2020. In addition, the public health response to the COVID-19 pandemic, including lock-downs, mask mandates, social distancing and other mitigation steps to manage the COVID-19 pandemic have significantly reduced the incidence of RSV and other respiratory illnesses worldwide. We have made extensive efforts to expand our clinical sites beyond North America, including sites across Europe, the Asia-Pacific and the Southern Hemisphere, to be ready when RSV infection fully re-emerges, but we cannot predict when that may occur. These impacts of COVID-19 could continue to affect the future course of our RSV studies and delay their timelines.</w:t>
      </w:r>
    </w:p>
    <w:p>
      <w:pPr>
        <w:spacing w:after="0" w:line="170"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During 2022 and 2021, COVID-19 has also impacted new HCV patient starts in both the United States and the rest of the world, resulting in a decline in sales of HCV treatments compared with pre-COVID-19 levels. While new HCV infections are continuing, at this time it is uncertain when and the extent to which treatment of new HCV patients and revenues will return to pre-COVID-19 levels.</w:t>
      </w:r>
    </w:p>
    <w:p>
      <w:pPr>
        <w:spacing w:after="0" w:line="168"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In addition, the impact of the COVID-19 pandemic on the operations of the FDA and other health authorities may delay potential approvals of our clinical trial protocols.</w:t>
      </w:r>
    </w:p>
    <w:p>
      <w:pPr>
        <w:spacing w:after="0" w:line="157"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color w:val="auto"/>
        </w:rPr>
        <w:t>Although it is not possible at this time to estimate the entirety of the impact that the COVID-19 pandemic will have on our business, operations and employees, our contract manufacturers, our preclinical and clinical research contractors, and our collaborators in clinical research, any continued spread of COVID-19, measures taken by governments, actions taken to protect employees from this disease, and the broad impact of the pandemic on all business activities, may materially and adversely affect our business, results of operations and financial condition and our stock price. Additionally, as new, more infectious variants emerge, it is possible that the impact of the pandemic on our business may increase or lengthen in duration.</w:t>
      </w:r>
    </w:p>
    <w:p>
      <w:pPr>
        <w:spacing w:after="0" w:line="146"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b w:val="1"/>
          <w:bCs w:val="1"/>
          <w:i w:val="1"/>
          <w:iCs w:val="1"/>
          <w:color w:val="auto"/>
        </w:rPr>
        <w:t>We have not developed independently any approved products and we have limited clinical development experience, which makes it difficult to assess our ability to develop and commercialize our product candidates.</w:t>
      </w:r>
    </w:p>
    <w:p>
      <w:pPr>
        <w:spacing w:after="0" w:line="157"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AbbVie has been responsible for all of the clinical development of our HCV protease inhibitor products. We have not yet demonstrated an ability to address successfully many of the risks and uncertainties associated with late-stage clinical development, regulatory approval and commercialization of therapeutic products such as the ones we plan to develop independently. For example, to execute our business plan for the development of our independent RSV and HBV programs, we will need to successfully:</w:t>
      </w:r>
    </w:p>
    <w:p>
      <w:pPr>
        <w:spacing w:after="0" w:line="80" w:lineRule="exact"/>
        <w:rPr>
          <w:sz w:val="20"/>
          <w:szCs w:val="20"/>
          <w:color w:val="auto"/>
        </w:rPr>
      </w:pPr>
    </w:p>
    <w:p>
      <w:pPr>
        <w:ind w:left="1020" w:hanging="503"/>
        <w:spacing w:after="0" w:line="261"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execute clinical development of our product candidates and demonstrate acceptable safety and efficacy for them alone or in combination with other drugs or drug candidates;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 required regulatory approvals for the development and commercialization of our product candidates;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develop and maintain any future collaborations we may enter into for any of these programs;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obtain and maintain patent protection for our product candidates and freedom from infringement of intellectual property of others;</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31" w:name="page32"/>
    <w:bookmarkEnd w:id="31"/>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establish acceptable commercial manufacturing arrangements with third-party manufacturers;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build and maintain robust sales, distribution and marketing capabilities, either independently or in collaboration with future collaborators;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gain market acceptance for our product candidates among physicians, payors and patients;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manage our spending as costs and expenses increase due to clinical trials, regulatory approvals and commercialization.</w:t>
      </w:r>
    </w:p>
    <w:p>
      <w:pPr>
        <w:spacing w:after="0" w:line="198"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If we are unsuccessful in accomplishing these objectives, we may not be able to successfully develop and commercialize our product candidates and expand our business or continue our operations.</w:t>
      </w:r>
    </w:p>
    <w:p>
      <w:pPr>
        <w:spacing w:after="0" w:line="157"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b w:val="1"/>
          <w:bCs w:val="1"/>
          <w:i w:val="1"/>
          <w:iCs w:val="1"/>
          <w:color w:val="auto"/>
        </w:rPr>
        <w:t>If we are not successful in developing EDP-938, EDP-235, EDP-514, and/or EDP-323 or in discovering further product candidates, our ability to expand our business and achieve our strategic objectives will be impaired.</w:t>
      </w:r>
    </w:p>
    <w:p>
      <w:pPr>
        <w:spacing w:after="0" w:line="157"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Much of our internal research is at preclinical stages. Research programs designed to identify product candidates require substantial technical, financial and human resources, whether or not any product candidates are ultimately identified. Our research programs may initially show promise in identifying additional potential product candidates, yet fail to yield product candidates for clinical development or commercialization for many reasons, including the following:</w:t>
      </w:r>
    </w:p>
    <w:p>
      <w:pPr>
        <w:spacing w:after="0" w:line="80" w:lineRule="exact"/>
        <w:rPr>
          <w:sz w:val="20"/>
          <w:szCs w:val="20"/>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research methodology used may not be successful in identifying additional potential product candidates;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competitors may develop alternatives that render our product candidates less commercially viable or obsolete;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competitors may obtain intellectual property protection that effectively prevents us from developing a product candidate;</w:t>
      </w:r>
    </w:p>
    <w:p>
      <w:pPr>
        <w:spacing w:after="0" w:line="103" w:lineRule="exact"/>
        <w:rPr>
          <w:rFonts w:ascii="Arial" w:cs="Arial" w:eastAsia="Arial" w:hAnsi="Arial"/>
          <w:sz w:val="18"/>
          <w:szCs w:val="18"/>
          <w:color w:val="auto"/>
        </w:rPr>
      </w:pPr>
    </w:p>
    <w:p>
      <w:pPr>
        <w:ind w:left="1020" w:right="520" w:hanging="503"/>
        <w:spacing w:after="0" w:line="291" w:lineRule="auto"/>
        <w:tabs>
          <w:tab w:leader="none" w:pos="10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 product candidate may, on further study, be shown not to be an effective treatment in humans or to have harmful side effects or other characteristics that indicate it is unlikely to be effective or otherwise does not meet applicable regulatory criteria; and</w:t>
      </w:r>
    </w:p>
    <w:p>
      <w:pPr>
        <w:spacing w:after="0" w:line="38" w:lineRule="exact"/>
        <w:rPr>
          <w:rFonts w:ascii="Arial" w:cs="Arial" w:eastAsia="Arial" w:hAnsi="Arial"/>
          <w:sz w:val="17"/>
          <w:szCs w:val="17"/>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product candidate may not be capable of being produced in commercial quantities at an acceptable cost, or at all.</w:t>
      </w:r>
    </w:p>
    <w:p>
      <w:pPr>
        <w:spacing w:after="0" w:line="198"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Additional drug candidates that we may develop will require significant research, preclinical and clinical studies, regulatory approvals and commitments of resources before they can be commercialized. We cannot give assurance that our research will lead to the discovery of any additional drug candidates that will generate additional revenue for us. If we are unable to identify additional compounds suitable for preclinical and clinical development, we may not be able to obtain sufficient product revenue in future periods, which likely would result in significant harm to our financial position and adversely impact our stock price.</w:t>
      </w:r>
    </w:p>
    <w:p>
      <w:pPr>
        <w:spacing w:after="0" w:line="176" w:lineRule="exact"/>
        <w:rPr>
          <w:sz w:val="20"/>
          <w:szCs w:val="20"/>
          <w:color w:val="auto"/>
        </w:rPr>
      </w:pPr>
    </w:p>
    <w:p>
      <w:pPr>
        <w:ind w:right="40"/>
        <w:spacing w:after="0" w:line="276" w:lineRule="auto"/>
        <w:rPr>
          <w:sz w:val="20"/>
          <w:szCs w:val="20"/>
          <w:color w:val="auto"/>
        </w:rPr>
      </w:pPr>
      <w:r>
        <w:rPr>
          <w:rFonts w:ascii="Arial" w:cs="Arial" w:eastAsia="Arial" w:hAnsi="Arial"/>
          <w:sz w:val="16"/>
          <w:szCs w:val="16"/>
          <w:b w:val="1"/>
          <w:bCs w:val="1"/>
          <w:i w:val="1"/>
          <w:iCs w:val="1"/>
          <w:color w:val="auto"/>
        </w:rPr>
        <w:t>We reported a net loss for the nine months ended June 30, 2022 and for the fiscal year ended September 30, 2021, primarily due to the impact of COVID-19 on our royalty revenues and increased levels of research and development expense as we progress our wholly-owned programs. Continued changes in royalty revenue earned under our AbbVie agreement or changes in the level of expenses associated with development of our product candidates, or both, may cause our results of operations to fluctuate from period to period. Any continuation of the recent trend of diminishing royalty revenue, combined with increasing research and development expenses in support of our advancing programs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will result in continued operating losses in this fiscal year and in future periods unless we develop other sources of revenue.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As discussed above, our principal source of revenue continues to be our royalty revenue earned under the AbbVie collaboration agreement. There is uncertainty regarding this future revenue stream given the competitive nature of the market for HCV therapies, which reflects price competition, the changing nature of payer contracts of AbbVie and others, the varying rates of reimbursement in different countries and the impact of the COVID-19 pandemic on AbbVie’s HCV sales. Changes in royalty revenue earned under the AbbVie collaboration agreement, including those that occur from period to period due to the annually tiered structure of our royalties, may cause our revenues and operating results to fluctuate significantly from quarter to quarter and could have an adverse effect on our stock price.</w:t>
      </w:r>
    </w:p>
    <w:p>
      <w:pPr>
        <w:spacing w:after="0" w:line="176" w:lineRule="exact"/>
        <w:rPr>
          <w:sz w:val="20"/>
          <w:szCs w:val="20"/>
          <w:color w:val="auto"/>
        </w:rPr>
      </w:pPr>
    </w:p>
    <w:p>
      <w:pPr>
        <w:ind w:right="60"/>
        <w:spacing w:after="0" w:line="274" w:lineRule="auto"/>
        <w:rPr>
          <w:sz w:val="20"/>
          <w:szCs w:val="20"/>
          <w:color w:val="auto"/>
        </w:rPr>
      </w:pPr>
      <w:r>
        <w:rPr>
          <w:rFonts w:ascii="Arial" w:cs="Arial" w:eastAsia="Arial" w:hAnsi="Arial"/>
          <w:sz w:val="16"/>
          <w:szCs w:val="16"/>
          <w:color w:val="auto"/>
        </w:rPr>
        <w:t>Additionally, many of the preclinical and clinical development activities required for our product candidates must be contracted out to contract research organizations, or CROs, at significant expense. We expect these expenses to increase substantially in the coming years as we advance compounds and conduct more clinical studies. However, the global impact of COVID-19 has had, and is likely to continue to have, an adverse effect on the ability of our CROs to conduct preclinical and clinical studies. At this point in time we do not know to what extent these studies will be further impacted by the pandemic. Therefore, now more than ever it is difficult to accurately predict the timing and amounts of these expenses, and we expect that they will vary from quarter to quarter. In addition, the FDA or other regulatory agencies may require more preclinical or clinical testing than we originally anticipated for any of our product candidates. We may also be required to purchase expensive competitor drugs for use in our trials, either to demonstrate potential</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32" w:name="page33"/>
    <w:bookmarkEnd w:id="32"/>
    <w:p>
      <w:pPr>
        <w:ind w:right="60"/>
        <w:spacing w:after="0" w:line="284" w:lineRule="auto"/>
        <w:rPr>
          <w:sz w:val="20"/>
          <w:szCs w:val="20"/>
          <w:color w:val="auto"/>
        </w:rPr>
      </w:pPr>
      <w:r>
        <w:rPr>
          <w:rFonts w:ascii="Arial" w:cs="Arial" w:eastAsia="Arial" w:hAnsi="Arial"/>
          <w:sz w:val="16"/>
          <w:szCs w:val="16"/>
          <w:color w:val="auto"/>
        </w:rPr>
        <w:t>treatment combinations or as comparators to our product candidates. We also conduct clinical development activities outside the U.S. and are therefore exposed to foreign currency fluctuations for payments made to CROs in currencies other than the U.S. dollar. As a result, the expenses of our development programs and our operating results may fluctuate significantly from quarter to quarter. If combined with any continuation of the recent trend of reduced royalty revenue, such a trend would likely result in operating losses in the coming year and in future periods, unless we develop other sources of revenue.</w:t>
      </w:r>
    </w:p>
    <w:p>
      <w:pPr>
        <w:spacing w:after="0" w:line="142"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b w:val="1"/>
          <w:bCs w:val="1"/>
          <w:i w:val="1"/>
          <w:iCs w:val="1"/>
          <w:color w:val="auto"/>
        </w:rPr>
        <w:t>If we fail to attract and keep senior management and key scientific personnel, we may be unable to successfully develop our product candidates, conduct our clinical trials and commercialize our product candidates.</w:t>
      </w:r>
    </w:p>
    <w:p>
      <w:pPr>
        <w:spacing w:after="0" w:line="157"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Our success depends in part on our continued ability to attract, retain and motivate highly qualified management, clinical and scientific personnel. We are highly dependent upon our senior management, particularly Jay R. Luly, Ph.D., our Chief Executive Officer and President, Yat Sun Or, Ph.D., our Senior Vice President, Research and Development and Chief Scientific Officer, as well as other employees and consultants. For example, Nathalie Adda, M.D., our Senior Vice President and Chief Medical Officer retired in April 2022, and she has agreed to be available on a consulting basis for a brief period thereafter. While we have initiated a search for her replacement, it is uncertain when we will recruit that person. Although neither Dr. Luly nor Dr. Or has informed us to date that either individual expects to retire or resign in the near future, the loss of the services of either of these individuals or one or more of our other members of senior management could delay or prevent the successful development of our product candidates.</w:t>
      </w:r>
    </w:p>
    <w:p>
      <w:pPr>
        <w:spacing w:after="0" w:line="150"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While we have not historically experienced unique difficulties attracting and retaining qualified employees, we could experience such problems in the future. For example, competition for qualified personnel in the biotechnology and pharmaceutical fields is intense. In addition, we will need to hire additional personnel as we expand our clinical development and ultimately seek regulatory approvals and prepare for commercial activities. We may not be able to attract and retain quality personnel on acceptable terms.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encounter difficulties in managing our growth and expanding our operations successfully.</w:t>
      </w:r>
    </w:p>
    <w:p>
      <w:pPr>
        <w:spacing w:after="0" w:line="198"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As we expand our research efforts and seek to advance our product candidates through clinical trials, we will need to expand our development, regulatory, manufacturing, marketing and sales capabilities or contract with third parties to obtain these capabilities. As our operations expand, we expect that we will need to manage additional relationships with various strategic partners, suppliers and other third parties. Future growth will impose significant added responsibilities on members of management. Our future financial performance and our ability to commercialize our product candidates and to compete effectively will depend, in part, on our ability to manage any future growth effectively. To that end, we must be able to manage our development efforts and clinical trials effectively and hire, train and integrate additional management, administrative and sales and marketing personnel. We may not be able to accomplish these tasks, and our failure to accomplish any of them could prevent us from successfully growing our company.</w:t>
      </w:r>
    </w:p>
    <w:p>
      <w:pPr>
        <w:spacing w:after="0" w:line="150" w:lineRule="exact"/>
        <w:rPr>
          <w:sz w:val="20"/>
          <w:szCs w:val="20"/>
          <w:color w:val="auto"/>
        </w:rPr>
      </w:pPr>
    </w:p>
    <w:p>
      <w:pPr>
        <w:jc w:val="both"/>
        <w:ind w:right="180"/>
        <w:spacing w:after="0" w:line="362" w:lineRule="auto"/>
        <w:rPr>
          <w:sz w:val="20"/>
          <w:szCs w:val="20"/>
          <w:color w:val="auto"/>
        </w:rPr>
      </w:pPr>
      <w:r>
        <w:rPr>
          <w:rFonts w:ascii="Arial" w:cs="Arial" w:eastAsia="Arial" w:hAnsi="Arial"/>
          <w:sz w:val="15"/>
          <w:szCs w:val="15"/>
          <w:b w:val="1"/>
          <w:bCs w:val="1"/>
          <w:i w:val="1"/>
          <w:iCs w:val="1"/>
          <w:color w:val="auto"/>
        </w:rPr>
        <w:t>We may require substantial additional financing in the longer term to achieve our goals if the sales of MAVYRET/MAVIRET decline substantially. A failure to obtain this necessary capital when needed could force us to delay, limit, reduce or terminate some or all of our product development efforts.</w:t>
      </w:r>
    </w:p>
    <w:p>
      <w:pPr>
        <w:spacing w:after="0" w:line="87"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Since our inception, most of our resources have been dedicated to the discovery and preclinical development of our product candidates. In particular, we have expended, and believe that we will continue to expend for the foreseeable future, substantial resources discovering and developing our proprietary product candidates. These expenditures will include costs associated with research and development, preclinical manufacturing of product candidates, conducting preclinical experiments and clinical trials and obtaining regulatory approvals, as well as commercializing any products later approved for sale. For the foreseeable future, we expect to incur substantial additional costs associated with research and development for our internally developed programs. In addition, we may seek opportunities to in-license or otherwise acquire new therapeutic candidates and therapies. Our future capital requirements depend on many factors, including:</w:t>
      </w:r>
    </w:p>
    <w:p>
      <w:pPr>
        <w:spacing w:after="0" w:line="83" w:lineRule="exact"/>
        <w:rPr>
          <w:sz w:val="20"/>
          <w:szCs w:val="20"/>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amount of royalties generated from MAVYRET/MAVIRET sales under our existing collaboration with AbbVie;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continuing impact of the COVID-19 pandemic on the numbers of treated HCV patients;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number and characteristics of our research and development programs;</w:t>
      </w:r>
    </w:p>
    <w:p>
      <w:pPr>
        <w:spacing w:after="0" w:line="103" w:lineRule="exact"/>
        <w:rPr>
          <w:rFonts w:ascii="Arial" w:cs="Arial" w:eastAsia="Arial" w:hAnsi="Arial"/>
          <w:sz w:val="18"/>
          <w:szCs w:val="18"/>
          <w:color w:val="auto"/>
        </w:rPr>
      </w:pPr>
    </w:p>
    <w:p>
      <w:pPr>
        <w:ind w:left="1020" w:right="680" w:hanging="503"/>
        <w:spacing w:after="0" w:line="261"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any of our product candidates on our own, including conducting advanced clinical trials;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delays and additional expense in our clinical trials as a result of the COVID-19 pandemic;</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cost of manufacturing our product candidates for clinical development and any products we successfully commercialize independently;</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29"/>
        </w:numPr>
        <w:rPr>
          <w:rFonts w:ascii="Arial" w:cs="Arial" w:eastAsia="Arial" w:hAnsi="Arial"/>
          <w:sz w:val="18"/>
          <w:szCs w:val="18"/>
          <w:color w:val="212529"/>
        </w:rPr>
      </w:pPr>
      <w:r>
        <w:rPr>
          <w:rFonts w:ascii="Arial" w:cs="Arial" w:eastAsia="Arial" w:hAnsi="Arial"/>
          <w:sz w:val="18"/>
          <w:szCs w:val="18"/>
          <w:color w:val="212529"/>
        </w:rPr>
        <w:t>opportunities to in-license or otherwise acquire new technologies, therapeutic candidates and therapies</w:t>
      </w:r>
      <w:r>
        <w:rPr>
          <w:rFonts w:ascii="Arial" w:cs="Arial" w:eastAsia="Arial" w:hAnsi="Arial"/>
          <w:sz w:val="18"/>
          <w:szCs w:val="18"/>
          <w:color w:val="000000"/>
        </w:rPr>
        <w:t>;</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33" w:name="page34"/>
    <w:bookmarkEnd w:id="33"/>
    <w:p>
      <w:pPr>
        <w:ind w:left="1020" w:right="40" w:hanging="503"/>
        <w:spacing w:after="0" w:line="261" w:lineRule="auto"/>
        <w:tabs>
          <w:tab w:leader="none" w:pos="1020" w:val="left"/>
        </w:tabs>
        <w:numPr>
          <w:ilvl w:val="0"/>
          <w:numId w:val="30"/>
        </w:numPr>
        <w:rPr>
          <w:rFonts w:ascii="Arial" w:cs="Arial" w:eastAsia="Arial" w:hAnsi="Arial"/>
          <w:sz w:val="18"/>
          <w:szCs w:val="18"/>
          <w:color w:val="212529"/>
        </w:rPr>
      </w:pPr>
      <w:r>
        <w:rPr>
          <w:rFonts w:ascii="Arial" w:cs="Arial" w:eastAsia="Arial" w:hAnsi="Arial"/>
          <w:sz w:val="18"/>
          <w:szCs w:val="18"/>
          <w:color w:val="212529"/>
        </w:rPr>
        <w:t>costs associated with prosecuting our patent infringement suit regarding the use of a coronavirus 3CL protease inhibitor in Paxlovid, Pfizer’s antiviral treatment for COVID-19;</w:t>
      </w:r>
    </w:p>
    <w:p>
      <w:pPr>
        <w:spacing w:after="0" w:line="62" w:lineRule="exact"/>
        <w:rPr>
          <w:rFonts w:ascii="Arial" w:cs="Arial" w:eastAsia="Arial" w:hAnsi="Arial"/>
          <w:sz w:val="18"/>
          <w:szCs w:val="18"/>
          <w:color w:val="212529"/>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timing of, and the costs involved in, obtaining regulatory approvals for any product candidates we develop independently;</w:t>
      </w:r>
    </w:p>
    <w:p>
      <w:pPr>
        <w:spacing w:after="0" w:line="103" w:lineRule="exact"/>
        <w:rPr>
          <w:rFonts w:ascii="Arial" w:cs="Arial" w:eastAsia="Arial" w:hAnsi="Arial"/>
          <w:sz w:val="18"/>
          <w:szCs w:val="18"/>
          <w:color w:val="auto"/>
        </w:rPr>
      </w:pPr>
    </w:p>
    <w:p>
      <w:pPr>
        <w:ind w:left="1020" w:right="340" w:hanging="503"/>
        <w:spacing w:after="0" w:line="261"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cost of commercialization activities, if any, of any product candidates we develop independently that are approved for sale, including marketing, sales and distribution costs;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212529"/>
        </w:rPr>
      </w:pPr>
      <w:r>
        <w:rPr>
          <w:rFonts w:ascii="Arial" w:cs="Arial" w:eastAsia="Arial" w:hAnsi="Arial"/>
          <w:sz w:val="18"/>
          <w:szCs w:val="18"/>
          <w:color w:val="212529"/>
        </w:rPr>
        <w:t>the timing and amount of any sales of our product candidates, if any, or royalties thereon</w:t>
      </w:r>
      <w:r>
        <w:rPr>
          <w:rFonts w:ascii="Arial" w:cs="Arial" w:eastAsia="Arial" w:hAnsi="Arial"/>
          <w:sz w:val="18"/>
          <w:szCs w:val="18"/>
          <w:color w:val="000000"/>
        </w:rPr>
        <w:t>;</w:t>
      </w:r>
    </w:p>
    <w:p>
      <w:pPr>
        <w:spacing w:after="0" w:line="103" w:lineRule="exact"/>
        <w:rPr>
          <w:rFonts w:ascii="Arial" w:cs="Arial" w:eastAsia="Arial" w:hAnsi="Arial"/>
          <w:sz w:val="18"/>
          <w:szCs w:val="18"/>
          <w:color w:val="212529"/>
        </w:rPr>
      </w:pPr>
    </w:p>
    <w:p>
      <w:pPr>
        <w:ind w:left="1020" w:hanging="503"/>
        <w:spacing w:after="0"/>
        <w:tabs>
          <w:tab w:leader="none" w:pos="10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our ability to establish new collaborations, licensing or other arrangements, if any, and the financial terms of such arrangements;</w:t>
      </w:r>
    </w:p>
    <w:p>
      <w:pPr>
        <w:spacing w:after="0" w:line="115" w:lineRule="exact"/>
        <w:rPr>
          <w:rFonts w:ascii="Arial" w:cs="Arial" w:eastAsia="Arial" w:hAnsi="Arial"/>
          <w:sz w:val="17"/>
          <w:szCs w:val="17"/>
          <w:color w:val="auto"/>
        </w:rPr>
      </w:pPr>
    </w:p>
    <w:p>
      <w:pPr>
        <w:ind w:left="1020" w:right="440" w:hanging="503"/>
        <w:spacing w:after="0" w:line="261" w:lineRule="auto"/>
        <w:tabs>
          <w:tab w:leader="none" w:pos="1020" w:val="left"/>
        </w:tabs>
        <w:numPr>
          <w:ilvl w:val="0"/>
          <w:numId w:val="30"/>
        </w:numPr>
        <w:rPr>
          <w:rFonts w:ascii="Arial" w:cs="Arial" w:eastAsia="Arial" w:hAnsi="Arial"/>
          <w:sz w:val="18"/>
          <w:szCs w:val="18"/>
          <w:color w:val="212529"/>
        </w:rPr>
      </w:pPr>
      <w:r>
        <w:rPr>
          <w:rFonts w:ascii="Arial" w:cs="Arial" w:eastAsia="Arial" w:hAnsi="Arial"/>
          <w:sz w:val="18"/>
          <w:szCs w:val="18"/>
          <w:color w:val="212529"/>
        </w:rPr>
        <w:t>the costs involved in preparing, filing, prosecuting, maintaining, defending and enforcing patents, including any litigation costs and the outcomes of any such litigation</w:t>
      </w:r>
      <w:r>
        <w:rPr>
          <w:rFonts w:ascii="Arial" w:cs="Arial" w:eastAsia="Arial" w:hAnsi="Arial"/>
          <w:sz w:val="18"/>
          <w:szCs w:val="18"/>
          <w:color w:val="000000"/>
        </w:rPr>
        <w:t>; and</w:t>
      </w:r>
    </w:p>
    <w:p>
      <w:pPr>
        <w:spacing w:after="0" w:line="62" w:lineRule="exact"/>
        <w:rPr>
          <w:rFonts w:ascii="Arial" w:cs="Arial" w:eastAsia="Arial" w:hAnsi="Arial"/>
          <w:sz w:val="18"/>
          <w:szCs w:val="18"/>
          <w:color w:val="212529"/>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potential fluctuations in foreign currency exchange rates.</w:t>
      </w:r>
    </w:p>
    <w:p>
      <w:pPr>
        <w:spacing w:after="0" w:line="198"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Additional funds may not be available if and when we need them, on terms that are acceptable to us, or at all. Our ability to raise funds will depend on financial, economic and market conditions and other factors, many of which are beyond our control. If adequate funds are not available to us on a timely basis, we may be required to delay, limit, reduce or terminate preclinical studies, clinical trials or other research and development activities for one or more of our product candidates.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Development, Clinical Testing and Regulatory Approval of Our Product Candidates</w:t>
      </w:r>
    </w:p>
    <w:p>
      <w:pPr>
        <w:spacing w:after="0" w:line="202" w:lineRule="exact"/>
        <w:rPr>
          <w:sz w:val="20"/>
          <w:szCs w:val="20"/>
          <w:color w:val="auto"/>
        </w:rPr>
      </w:pPr>
    </w:p>
    <w:p>
      <w:pPr>
        <w:jc w:val="both"/>
        <w:ind w:right="60"/>
        <w:spacing w:after="0" w:line="294" w:lineRule="auto"/>
        <w:rPr>
          <w:sz w:val="20"/>
          <w:szCs w:val="20"/>
          <w:color w:val="auto"/>
        </w:rPr>
      </w:pPr>
      <w:r>
        <w:rPr>
          <w:rFonts w:ascii="Arial" w:cs="Arial" w:eastAsia="Arial" w:hAnsi="Arial"/>
          <w:sz w:val="16"/>
          <w:szCs w:val="16"/>
          <w:b w:val="1"/>
          <w:bCs w:val="1"/>
          <w:i w:val="1"/>
          <w:iCs w:val="1"/>
          <w:color w:val="auto"/>
        </w:rPr>
        <w:t>Clinical drug development involves a lengthy and expensive process with uncertain timelines and uncertain outcomes. Any ongoing or future clinical trials of our product candidates may fail to demonstrate sufficient safety and efficacy. If clinical trials of any of our proprietary product candidates are prolonged or delayed or fail, we may be unable to commercialize our product candidates on a timely basis or ever.</w:t>
      </w:r>
    </w:p>
    <w:p>
      <w:pPr>
        <w:spacing w:after="0" w:line="13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Clinical testing is expensive and, depending on the stage of development, can take a substantial time period to complete. Its outcome is inherently uncertain, and failure can occur at any time during clinical development. None of our product candidates in our pipeline other than glecaprevir, which was clinically developed by AbbVie, has yet to advance beyond completion of Phase 2 clinical trials. Any ongoing or future clinical trials of our product candidates may fail to demonstrate sufficient safety and efficacy. Moreover, regulatory and administrative delays, including those caused by the COVID-19 pandemic, for any product candidate in our pipeline may adversely affect our or any future collaborator’s clinical development plans and jeopardize our or any future collaborator’s ability to attain product approval, commence product sales and compete successfully against other therapies. Clinical trials can be delayed for a variety of reasons, including delays related to:</w:t>
      </w:r>
    </w:p>
    <w:p>
      <w:pPr>
        <w:spacing w:after="0" w:line="83" w:lineRule="exact"/>
        <w:rPr>
          <w:sz w:val="20"/>
          <w:szCs w:val="20"/>
          <w:color w:val="auto"/>
        </w:rPr>
      </w:pPr>
    </w:p>
    <w:p>
      <w:pPr>
        <w:ind w:left="1020" w:right="260" w:hanging="503"/>
        <w:spacing w:after="0" w:line="291" w:lineRule="auto"/>
        <w:tabs>
          <w:tab w:leader="none" w:pos="10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reaching an agreement on acceptable terms with prospective contract research organizations, or CROs, and clinical trial sites, the terms of which can be subject to extensive negotiation and may vary significantly among different CROs and trial sites;</w:t>
      </w:r>
    </w:p>
    <w:p>
      <w:pPr>
        <w:spacing w:after="0" w:line="38" w:lineRule="exact"/>
        <w:rPr>
          <w:rFonts w:ascii="Arial" w:cs="Arial" w:eastAsia="Arial" w:hAnsi="Arial"/>
          <w:sz w:val="17"/>
          <w:szCs w:val="17"/>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failure of third-party contractors, such as CROs, or investigators to comply with regulatory requirements;</w:t>
      </w:r>
    </w:p>
    <w:p>
      <w:pPr>
        <w:spacing w:after="0" w:line="103" w:lineRule="exact"/>
        <w:rPr>
          <w:rFonts w:ascii="Arial" w:cs="Arial" w:eastAsia="Arial" w:hAnsi="Arial"/>
          <w:sz w:val="18"/>
          <w:szCs w:val="18"/>
          <w:color w:val="auto"/>
        </w:rPr>
      </w:pPr>
    </w:p>
    <w:p>
      <w:pPr>
        <w:ind w:left="1020" w:right="520" w:hanging="503"/>
        <w:spacing w:after="0" w:line="291" w:lineRule="auto"/>
        <w:tabs>
          <w:tab w:leader="none" w:pos="10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failure to obtain on a timely basis, or at all, the necessary approvals from regulators or institutional review boards, or IRBs, in order to commence a clinical trial at a prospective trial site, or their suspension or termination of a clinical trial once commenced;</w:t>
      </w:r>
    </w:p>
    <w:p>
      <w:pPr>
        <w:spacing w:after="0" w:line="38" w:lineRule="exact"/>
        <w:rPr>
          <w:rFonts w:ascii="Arial" w:cs="Arial" w:eastAsia="Arial" w:hAnsi="Arial"/>
          <w:sz w:val="17"/>
          <w:szCs w:val="17"/>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difficulty in recruiting suitable patients to participate in a trial;</w:t>
      </w:r>
    </w:p>
    <w:p>
      <w:pPr>
        <w:spacing w:after="0" w:line="103" w:lineRule="exact"/>
        <w:rPr>
          <w:rFonts w:ascii="Arial" w:cs="Arial" w:eastAsia="Arial" w:hAnsi="Arial"/>
          <w:sz w:val="18"/>
          <w:szCs w:val="18"/>
          <w:color w:val="auto"/>
        </w:rPr>
      </w:pPr>
    </w:p>
    <w:p>
      <w:pPr>
        <w:ind w:left="1020" w:right="240" w:hanging="503"/>
        <w:spacing w:after="0" w:line="261"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impact of the COVID-19 pandemic on the ability of CROs to conduct their own operations, resulting in, among other things, delays in recruitment or dosing of our clinical trials;</w:t>
      </w:r>
    </w:p>
    <w:p>
      <w:pPr>
        <w:spacing w:after="0" w:line="62"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broader impact of the COVID-19 pandemic on the incidence of other viruses (e.g., RSV and hMPV), the economic challenges for clinical trial sites and the political and socio-economic stability affecting their operations generally;</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seasonality and variations in incidence of infection year to year (e.g. RSV) affecting enrollment in clinical trials;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difficulty in having patients complete a trial or return for post-treatment follow-up;</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clinical sites deviating from trial protocol or dropping out of a trial;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problems with drug product or drug substance storage and distribution;</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34" w:name="page35"/>
    <w:bookmarkEnd w:id="34"/>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having to add new clinical trial sites;</w:t>
      </w:r>
    </w:p>
    <w:p>
      <w:pPr>
        <w:spacing w:after="0" w:line="103" w:lineRule="exact"/>
        <w:rPr>
          <w:rFonts w:ascii="Arial" w:cs="Arial" w:eastAsia="Arial" w:hAnsi="Arial"/>
          <w:sz w:val="18"/>
          <w:szCs w:val="18"/>
          <w:color w:val="auto"/>
        </w:rPr>
      </w:pPr>
    </w:p>
    <w:p>
      <w:pPr>
        <w:ind w:left="1020" w:right="180" w:hanging="503"/>
        <w:spacing w:after="0" w:line="261"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inability to manufacture, or obtain from third parties, adequate supply of drug product sufficient to complete our preclinical studies and clinical trials;</w:t>
      </w:r>
    </w:p>
    <w:p>
      <w:pPr>
        <w:spacing w:after="0" w:line="62" w:lineRule="exact"/>
        <w:rPr>
          <w:rFonts w:ascii="Arial" w:cs="Arial" w:eastAsia="Arial" w:hAnsi="Arial"/>
          <w:sz w:val="18"/>
          <w:szCs w:val="18"/>
          <w:color w:val="auto"/>
        </w:rPr>
      </w:pPr>
    </w:p>
    <w:p>
      <w:pPr>
        <w:ind w:left="1020" w:right="400" w:hanging="503"/>
        <w:spacing w:after="0" w:line="261"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governmental or regulatory administration, including, for example, administrative delays due to the planned relocation of the EMA to the Netherlands;</w:t>
      </w:r>
    </w:p>
    <w:p>
      <w:pPr>
        <w:spacing w:after="0" w:line="62" w:lineRule="exact"/>
        <w:rPr>
          <w:rFonts w:ascii="Arial" w:cs="Arial" w:eastAsia="Arial" w:hAnsi="Arial"/>
          <w:sz w:val="18"/>
          <w:szCs w:val="18"/>
          <w:color w:val="auto"/>
        </w:rPr>
      </w:pPr>
    </w:p>
    <w:p>
      <w:pPr>
        <w:ind w:left="1020" w:right="120" w:hanging="503"/>
        <w:spacing w:after="0" w:line="261"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regulatory requirements, policy and guidelines, including guidelines specifically addressing requirements for the development of treatments for RSV, HBV, COVID-19 or hMPV infection;</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difficulty in obtaining and maintaining adequate insurance coverage;</w:t>
      </w:r>
    </w:p>
    <w:p>
      <w:pPr>
        <w:spacing w:after="0" w:line="103" w:lineRule="exact"/>
        <w:rPr>
          <w:rFonts w:ascii="Arial" w:cs="Arial" w:eastAsia="Arial" w:hAnsi="Arial"/>
          <w:sz w:val="18"/>
          <w:szCs w:val="18"/>
          <w:color w:val="auto"/>
        </w:rPr>
      </w:pPr>
    </w:p>
    <w:p>
      <w:pPr>
        <w:ind w:left="1020" w:right="140" w:hanging="503"/>
        <w:spacing w:after="0" w:line="324" w:lineRule="auto"/>
        <w:tabs>
          <w:tab w:leader="none" w:pos="10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program discontinuations or clinical holds for a program of a competitor, which could increase the level of regulatory scrutiny or delay data review or other response times by regulators with respect to one of our programs in the same class as the competitor’s program; or</w:t>
      </w:r>
    </w:p>
    <w:p>
      <w:pPr>
        <w:spacing w:after="0" w:line="16" w:lineRule="exact"/>
        <w:rPr>
          <w:rFonts w:ascii="Arial" w:cs="Arial" w:eastAsia="Arial" w:hAnsi="Arial"/>
          <w:sz w:val="16"/>
          <w:szCs w:val="16"/>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varying interpretations of data by the FDA, the EMA and similar foreign regulatory agencies.</w:t>
      </w:r>
    </w:p>
    <w:p>
      <w:pPr>
        <w:spacing w:after="0" w:line="198"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We could also encounter delays if a clinical trial is suspended or terminated by us, by the IRBs of the institutions in which such trial is being conducted, by any Data Safety Monitoring Board, or DSMB, for such trial, or by the FDA, the EMA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delays can occur due to safety concerns arising from trials or other clinical data regarding another company’s product candidate in the same compound class as one of ours. If we or any future collaborators experience delays in the completion of, or termination of, any clinical trial of one of our product candidates, the commercial prospects of the product candidate will be harmed, and our ability to commence product sales and generate product revenues from the product candidate will be delayed. In addition, any delays in completing our clinical trials will increase our costs in the long term and slow down our product candidate development and approval process. Any of these occurrences may harm our business, financial condition and prospects significantly. In addition, many of the factors that cause, or lead to, a delay in the commencement or completion of clinical trials may also ultimately lead to the denial of regulatory approval of our product candidates.</w:t>
      </w:r>
    </w:p>
    <w:p>
      <w:pPr>
        <w:spacing w:after="0" w:line="158" w:lineRule="exact"/>
        <w:rPr>
          <w:sz w:val="20"/>
          <w:szCs w:val="20"/>
          <w:color w:val="auto"/>
        </w:rPr>
      </w:pPr>
    </w:p>
    <w:p>
      <w:pPr>
        <w:jc w:val="both"/>
        <w:ind w:right="20"/>
        <w:spacing w:after="0" w:line="270" w:lineRule="auto"/>
        <w:rPr>
          <w:sz w:val="20"/>
          <w:szCs w:val="20"/>
          <w:color w:val="auto"/>
        </w:rPr>
      </w:pPr>
      <w:r>
        <w:rPr>
          <w:rFonts w:ascii="Arial" w:cs="Arial" w:eastAsia="Arial" w:hAnsi="Arial"/>
          <w:sz w:val="17"/>
          <w:szCs w:val="17"/>
          <w:b w:val="1"/>
          <w:bCs w:val="1"/>
          <w:i w:val="1"/>
          <w:iCs w:val="1"/>
          <w:color w:val="auto"/>
        </w:rPr>
        <w:t>We may choose to test any of our clinical candidates preclinically and/or clinically in combination with other compounds with different mechanisms of action, and any adverse results from such testing may have adverse consequences for the further development potential of not only the combination but also the clinical candidate itself as a monotherapy or in combination with other mechanisms of action.</w:t>
      </w:r>
    </w:p>
    <w:p>
      <w:pPr>
        <w:spacing w:after="0" w:line="150"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color w:val="auto"/>
        </w:rPr>
        <w:t>We expect that the further development of successful therapies in our principal disease area of HBV may require combining one or more of our compounds with other compounds with different mechanisms of action. To advance our programs and achieve favorable opportunities for any such combinations we may conduct preclinical testing, as well as clinical testing, with one of our other compounds or with a compound of a third party, with or without a longer-term collaboration with any such party. We may choose to disclose such testing in advance, but we can anticipate that some of the testing would be done without any public disclosure. If any such testing produces adverse results, we may have to disclose it to regulatory authorities as part of the data available with respect to our product candidate and the data may have adverse consequences for the further development and the ultimate conditions attached to any approved use of the product candidate, whether in the combination tested or even as a monotherapy or in combination with other mechanisms.</w:t>
      </w:r>
    </w:p>
    <w:p>
      <w:pPr>
        <w:spacing w:after="0" w:line="150" w:lineRule="exact"/>
        <w:rPr>
          <w:sz w:val="20"/>
          <w:szCs w:val="20"/>
          <w:color w:val="auto"/>
        </w:rPr>
      </w:pPr>
    </w:p>
    <w:p>
      <w:pPr>
        <w:jc w:val="both"/>
        <w:ind w:right="100"/>
        <w:spacing w:after="0" w:line="248" w:lineRule="auto"/>
        <w:rPr>
          <w:sz w:val="20"/>
          <w:szCs w:val="20"/>
          <w:color w:val="auto"/>
        </w:rPr>
      </w:pPr>
      <w:r>
        <w:rPr>
          <w:rFonts w:ascii="Arial" w:cs="Arial" w:eastAsia="Arial" w:hAnsi="Arial"/>
          <w:sz w:val="18"/>
          <w:szCs w:val="18"/>
          <w:b w:val="1"/>
          <w:bCs w:val="1"/>
          <w:i w:val="1"/>
          <w:iCs w:val="1"/>
          <w:color w:val="auto"/>
        </w:rPr>
        <w:t>EDP-938, EDP-235, EDP-514, or EDP-323 or any other product candidate emerging from our current research programs may have undesirable side effects which may delay or prevent marketing approval, or, if approval is received, require our product candidate to be taken off the market, require us to include safety warnings or otherwise limit sales.</w:t>
      </w:r>
    </w:p>
    <w:p>
      <w:pPr>
        <w:spacing w:after="0" w:line="168"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212121"/>
        </w:rPr>
        <w:t>In our RSV program, we are developing inhibitors of the N-protein and L-protein. No inhibitor of the RSV N or L-protein has progressed beyond a Phase 2 clinical trial, so we are not yet able to assess the potential liabilities of an N-protein or L-protein inhibitor in large scale studies or in the general population. In addition, the principal target populations in RSV, namely infants, the elderly, and the immunocompromised, represent sensitive patient populations that could be more prone to adverse effects of therapy.</w:t>
      </w:r>
    </w:p>
    <w:p>
      <w:pPr>
        <w:spacing w:after="0" w:line="174"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212121"/>
        </w:rPr>
        <w:t>In our HBV program, we have developed modulators of capsid assembly, also known as core inhibitors. No capsid assembly modulators have advanced beyond Phase 2 clinical studies, and thus we are not able to predict what adverse effects may arise in longer studies conducted in larger populations. In addition, no mechanisms or combination of mechanisms with a finite treatment duration have resulted in a sustained viral response, so it is unknown what role a core inhibitor mechanism may play in HBV therapy.</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35" w:name="page36"/>
    <w:bookmarkEnd w:id="35"/>
    <w:p>
      <w:pPr>
        <w:spacing w:after="0" w:line="243" w:lineRule="auto"/>
        <w:rPr>
          <w:sz w:val="20"/>
          <w:szCs w:val="20"/>
          <w:color w:val="auto"/>
        </w:rPr>
      </w:pPr>
      <w:r>
        <w:rPr>
          <w:rFonts w:ascii="Arial" w:cs="Arial" w:eastAsia="Arial" w:hAnsi="Arial"/>
          <w:sz w:val="18"/>
          <w:szCs w:val="18"/>
          <w:color w:val="212121"/>
        </w:rPr>
        <w:t>In our SARS-CoV-2 program, we have designed EDP-235 as a 3CL protease inhibitor specifically for the SARS-CoV-2 virus. We recently started testing EDP-235 in humans and, therefore, any short-term potential side effects are unknown. While scientific understanding of the longer-term effects of COVID-19 are still emerging and being studied, it may be difficult to determine whether any unexpected downstream effects after treatment with EDP-235 are due to that drug or the infection itself.</w:t>
      </w:r>
    </w:p>
    <w:p>
      <w:pPr>
        <w:spacing w:after="0" w:line="174"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212121"/>
        </w:rPr>
        <w:t>If any of our product candidates receives marketing approval and we or others later identify undesirable or unacceptable side effects caused by such products:</w:t>
      </w:r>
    </w:p>
    <w:p>
      <w:pPr>
        <w:spacing w:after="0" w:line="63" w:lineRule="exact"/>
        <w:rPr>
          <w:sz w:val="20"/>
          <w:szCs w:val="20"/>
          <w:color w:val="auto"/>
        </w:rPr>
      </w:pPr>
    </w:p>
    <w:p>
      <w:pPr>
        <w:ind w:left="1020" w:right="160" w:hanging="503"/>
        <w:spacing w:after="0" w:line="261"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specific warnings, a contraindication or field alerts to physicians and pharmacies;</w:t>
      </w:r>
    </w:p>
    <w:p>
      <w:pPr>
        <w:spacing w:after="0" w:line="62" w:lineRule="exact"/>
        <w:rPr>
          <w:rFonts w:ascii="Arial" w:cs="Arial" w:eastAsia="Arial" w:hAnsi="Arial"/>
          <w:sz w:val="18"/>
          <w:szCs w:val="18"/>
          <w:color w:val="auto"/>
        </w:rPr>
      </w:pPr>
    </w:p>
    <w:p>
      <w:pPr>
        <w:ind w:left="1020" w:right="360" w:hanging="503"/>
        <w:spacing w:after="0" w:line="261"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be required to change instructions regarding the way the product is administered, conduct additional clinical trials or change the labeling of the product;</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be subject to limitations on how we may promote the product;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sales of the product may decrease significantly;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regulatory authorities may require us to take our approved product off the market;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be subject to litigation or product liability claims;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reputation and our stock price may suffer.</w:t>
      </w:r>
    </w:p>
    <w:p>
      <w:pPr>
        <w:spacing w:after="0" w:line="198" w:lineRule="exact"/>
        <w:rPr>
          <w:sz w:val="20"/>
          <w:szCs w:val="20"/>
          <w:color w:val="auto"/>
        </w:rPr>
      </w:pPr>
    </w:p>
    <w:p>
      <w:pPr>
        <w:ind w:right="580"/>
        <w:spacing w:after="0" w:line="248" w:lineRule="auto"/>
        <w:rPr>
          <w:sz w:val="20"/>
          <w:szCs w:val="20"/>
          <w:color w:val="auto"/>
        </w:rPr>
      </w:pPr>
      <w:r>
        <w:rPr>
          <w:rFonts w:ascii="Arial" w:cs="Arial" w:eastAsia="Arial" w:hAnsi="Arial"/>
          <w:sz w:val="18"/>
          <w:szCs w:val="18"/>
          <w:color w:val="auto"/>
        </w:rPr>
        <w:t>Any of these events could prevent us from achieving or maintaining market acceptance of the affected product or could substantially increase commercialization costs and expenses, which in turn could delay or prevent us from generating significant revenue from the sale of any product we develop.</w:t>
      </w:r>
    </w:p>
    <w:p>
      <w:pPr>
        <w:spacing w:after="0" w:line="168" w:lineRule="exact"/>
        <w:rPr>
          <w:sz w:val="20"/>
          <w:szCs w:val="20"/>
          <w:color w:val="auto"/>
        </w:rPr>
      </w:pPr>
    </w:p>
    <w:p>
      <w:pPr>
        <w:ind w:right="180"/>
        <w:spacing w:after="0" w:line="248" w:lineRule="auto"/>
        <w:rPr>
          <w:sz w:val="20"/>
          <w:szCs w:val="20"/>
          <w:color w:val="auto"/>
        </w:rPr>
      </w:pPr>
      <w:r>
        <w:rPr>
          <w:rFonts w:ascii="Arial" w:cs="Arial" w:eastAsia="Arial" w:hAnsi="Arial"/>
          <w:sz w:val="18"/>
          <w:szCs w:val="18"/>
          <w:b w:val="1"/>
          <w:bCs w:val="1"/>
          <w:i w:val="1"/>
          <w:iCs w:val="1"/>
          <w:color w:val="auto"/>
        </w:rPr>
        <w:t>If we are required to suspend or discontinue clinical trials due to side effects or other safety risks associated with our product candidates, or if we are required to conduct studies on the long-term effects associated with the use of any of those product candidates, then commercialization any of those product candidates could be delayed or halted.</w:t>
      </w:r>
    </w:p>
    <w:p>
      <w:pPr>
        <w:spacing w:after="0" w:line="168"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Clinical trials involving our product candidates may be suspended or terminated at any time for a number of safety-related reasons. For example, we may voluntarily suspend or terminate clinical trials if at any time one of our product candidates, or a combination therapy including any of them, presents an unacceptable safety risk to the clinical trial patients. In addition, IRBs or regulatory agencies may order the temporary discontinuation or termination of clinical trials at any time if they believe that the clinical trials are not being conducted in accordance with applicable regulatory requirements, including if they present an unacceptable safety risk to patients. Administering any product candidate to humans may produce undesirable side effects. The existence of undesirable side effects resulting from any of our product candidates, or a combination therapy including any of them, could cause us or regulatory authorities, such as the FDA or EMA, to interrupt, delay or halt clinical trials of our product candidates and could result in the FDA or EMA or other regulatory agencies denying further development or approval of our product candidates for any or all targeted indications. This, in turn, could prevent us from commercializing our product candidates.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earlier clinical trials may not be predictive of the results of later-stage clinical trials.</w:t>
      </w:r>
    </w:p>
    <w:p>
      <w:pPr>
        <w:spacing w:after="0" w:line="198"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To date we have only tested our product candidates through initial Phase 2 studies. The results of preclinical studies and these early clinical trials of our product candidates may not be predictive of the results of later-stage clinical trials, if any. In addition, results of Phase 3 clinical trials in one or more ethnic groups are not necessarily indicative of results in other ethnic groups. Product candidates in later stages of clinical trials may fail to show the desired safety and efficacy results despite having progressed through preclinical studies and initial clinical trials. For example, several companies engaged in clinical development in the disease areas we are also engaged in have suffered significant setbacks in advanced clinical trials due to adverse safety profiles or lack of efficacy, notwithstanding promising results in earlier studies. Similarly, future clinical trial results may not be successful for these or other reasons.</w:t>
      </w:r>
    </w:p>
    <w:p>
      <w:pPr>
        <w:spacing w:after="0" w:line="148" w:lineRule="exact"/>
        <w:rPr>
          <w:sz w:val="20"/>
          <w:szCs w:val="20"/>
          <w:color w:val="auto"/>
        </w:rPr>
      </w:pPr>
    </w:p>
    <w:p>
      <w:pPr>
        <w:ind w:right="140"/>
        <w:spacing w:after="0" w:line="276" w:lineRule="auto"/>
        <w:rPr>
          <w:sz w:val="20"/>
          <w:szCs w:val="20"/>
          <w:color w:val="auto"/>
        </w:rPr>
      </w:pPr>
      <w:r>
        <w:rPr>
          <w:rFonts w:ascii="Arial" w:cs="Arial" w:eastAsia="Arial" w:hAnsi="Arial"/>
          <w:sz w:val="16"/>
          <w:szCs w:val="16"/>
          <w:color w:val="auto"/>
        </w:rPr>
        <w:t>Product candidate development risk is heightened by any changes in the planned clinical trials compared to the completed clinical trials. As product candidates are developed through preclinical studies and early-stage and late-stage clinical trials towards approval and commercialization, it is customary that various aspects of the development program, such as manufacturing and formulation, are altered along the way in an effort to optimize processes and results. Such changes carry the risk that they will not achieve these intended objectives. Any of these changes could make the results of planned clinical trials or other future clinical trials we may initiate less predictable and could cause our product candidates to perform differently, which could delay completion of clinical trials, delay approval of our product candidates and/or jeopardize our ability to commence product sales and generate revenues.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30" w:right="379" w:bottom="1440" w:gutter="0" w:footer="0" w:header="0"/>
        </w:sectPr>
      </w:pPr>
    </w:p>
    <w:bookmarkStart w:id="36" w:name="page37"/>
    <w:bookmarkEnd w:id="36"/>
    <w:p>
      <w:pPr>
        <w:jc w:val="both"/>
        <w:ind w:right="560"/>
        <w:spacing w:after="0" w:line="248" w:lineRule="auto"/>
        <w:rPr>
          <w:sz w:val="20"/>
          <w:szCs w:val="20"/>
          <w:color w:val="auto"/>
        </w:rPr>
      </w:pPr>
      <w:r>
        <w:rPr>
          <w:rFonts w:ascii="Arial" w:cs="Arial" w:eastAsia="Arial" w:hAnsi="Arial"/>
          <w:sz w:val="18"/>
          <w:szCs w:val="18"/>
          <w:b w:val="1"/>
          <w:bCs w:val="1"/>
          <w:i w:val="1"/>
          <w:iCs w:val="1"/>
          <w:color w:val="auto"/>
        </w:rPr>
        <w:t>The regulatory approval processes of the FDA, the EMA and other comparable foreign authorities are lengthy, time-consuming and inherently unpredictable, and if we are ultimately unable to obtain timely regulatory approval for our product candidates, our business will be substantially harmed.</w:t>
      </w:r>
    </w:p>
    <w:p>
      <w:pPr>
        <w:spacing w:after="0" w:line="168" w:lineRule="exact"/>
        <w:rPr>
          <w:sz w:val="20"/>
          <w:szCs w:val="20"/>
          <w:color w:val="auto"/>
        </w:rPr>
      </w:pPr>
    </w:p>
    <w:p>
      <w:pPr>
        <w:ind w:right="20"/>
        <w:spacing w:after="0" w:line="250" w:lineRule="auto"/>
        <w:rPr>
          <w:sz w:val="20"/>
          <w:szCs w:val="20"/>
          <w:color w:val="auto"/>
        </w:rPr>
      </w:pPr>
      <w:r>
        <w:rPr>
          <w:rFonts w:ascii="Arial" w:cs="Arial" w:eastAsia="Arial" w:hAnsi="Arial"/>
          <w:sz w:val="17"/>
          <w:szCs w:val="17"/>
          <w:color w:val="auto"/>
        </w:rPr>
        <w:t>The regulatory approval process is expensive and, while the time required to gain FDA and foreign regulatory approval is uncertain, it may take years. Regulatory approvals are unpredictable and depend upon numerous factors, including the substantial discretion of the regulatory authorities. In addition, approval policies, regulations, or the type and amount of preclinical and clinical data necessary to gain approval may change during the course of a product candidate’s clinical development and may vary among jurisdictions. We may be required to undertake and complete certain additional preclinical studies to generate toxicity and other data required to support the submission of a New Drug Application, or NDA, to the FDA or comparable application to other regulatory authorities. AbbVie obtained all regulatory approvals for its paritaprevir-containing regimens and for MAVYRET/MAVIRET, which contains glecaprevir. We have not obtained regulatory approval by ourselves for any of our wholly-owned product candidates and it is possible that none of our existing product candidates or any of our future product candidates will ever obtain regulatory approval. Furthermore, approval in the United States by the FDA does not ensure approval by regulatory authorities in other countries or jurisdictions, and approval by one foreign regulatory authority does not ensure approval by regulatory authorities in other foreign countries or by the FDA.</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Our product candidates could fail to receive regulatory approval for many reasons, including the following:</w:t>
      </w:r>
    </w:p>
    <w:p>
      <w:pPr>
        <w:spacing w:after="0" w:line="88" w:lineRule="exact"/>
        <w:rPr>
          <w:sz w:val="20"/>
          <w:szCs w:val="20"/>
          <w:color w:val="auto"/>
        </w:rPr>
      </w:pPr>
    </w:p>
    <w:p>
      <w:pPr>
        <w:ind w:left="1020" w:hanging="503"/>
        <w:spacing w:after="0"/>
        <w:tabs>
          <w:tab w:leader="none" w:pos="10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FDA, the EMA or other comparable foreign regulatory authorities may disagree with the design or implementation of our clinical trials;</w:t>
      </w:r>
    </w:p>
    <w:p>
      <w:pPr>
        <w:spacing w:after="0" w:line="126" w:lineRule="exact"/>
        <w:rPr>
          <w:rFonts w:ascii="Arial" w:cs="Arial" w:eastAsia="Arial" w:hAnsi="Arial"/>
          <w:sz w:val="16"/>
          <w:szCs w:val="16"/>
          <w:color w:val="auto"/>
        </w:rPr>
      </w:pPr>
    </w:p>
    <w:p>
      <w:pPr>
        <w:ind w:left="1020" w:right="180" w:hanging="503"/>
        <w:spacing w:after="0" w:line="261"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the EMA or other comparable foreign regulatory authorities that a product candidate is safe and effective for its proposed indication;</w:t>
      </w:r>
    </w:p>
    <w:p>
      <w:pPr>
        <w:spacing w:after="0" w:line="62" w:lineRule="exact"/>
        <w:rPr>
          <w:rFonts w:ascii="Arial" w:cs="Arial" w:eastAsia="Arial" w:hAnsi="Arial"/>
          <w:sz w:val="18"/>
          <w:szCs w:val="18"/>
          <w:color w:val="auto"/>
        </w:rPr>
      </w:pPr>
    </w:p>
    <w:p>
      <w:pPr>
        <w:ind w:left="1020" w:right="440" w:hanging="503"/>
        <w:spacing w:after="0" w:line="261"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the EMA or other comparable foreign regulatory authorities for approval;</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103" w:lineRule="exact"/>
        <w:rPr>
          <w:rFonts w:ascii="Arial" w:cs="Arial" w:eastAsia="Arial" w:hAnsi="Arial"/>
          <w:sz w:val="18"/>
          <w:szCs w:val="18"/>
          <w:color w:val="auto"/>
        </w:rPr>
      </w:pPr>
    </w:p>
    <w:p>
      <w:pPr>
        <w:ind w:left="1020" w:right="40" w:hanging="503"/>
        <w:spacing w:after="0" w:line="261"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FDA, the EMA or other comparable foreign regulatory authorities may disagree with our interpretation of data from preclinical studies or clinical trials;</w:t>
      </w:r>
    </w:p>
    <w:p>
      <w:pPr>
        <w:spacing w:after="0" w:line="62" w:lineRule="exact"/>
        <w:rPr>
          <w:rFonts w:ascii="Arial" w:cs="Arial" w:eastAsia="Arial" w:hAnsi="Arial"/>
          <w:sz w:val="18"/>
          <w:szCs w:val="18"/>
          <w:color w:val="auto"/>
        </w:rPr>
      </w:pPr>
    </w:p>
    <w:p>
      <w:pPr>
        <w:ind w:left="1020" w:right="800" w:hanging="503"/>
        <w:spacing w:after="0" w:line="261"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an NDA or other submissions or to obtain regulatory approval in the United States or elsewhere;</w:t>
      </w:r>
    </w:p>
    <w:p>
      <w:pPr>
        <w:spacing w:after="0" w:line="62" w:lineRule="exact"/>
        <w:rPr>
          <w:rFonts w:ascii="Arial" w:cs="Arial" w:eastAsia="Arial" w:hAnsi="Arial"/>
          <w:sz w:val="18"/>
          <w:szCs w:val="18"/>
          <w:color w:val="auto"/>
        </w:rPr>
      </w:pPr>
    </w:p>
    <w:p>
      <w:pPr>
        <w:ind w:left="1020" w:right="940" w:hanging="503"/>
        <w:spacing w:after="0" w:line="291" w:lineRule="auto"/>
        <w:tabs>
          <w:tab w:leader="none" w:pos="10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fail to approve the manufacturing processes or facilities of third-party manufacturers with which we contract for clinical and commercial supplies of any of our product candidates; and</w:t>
      </w:r>
    </w:p>
    <w:p>
      <w:pPr>
        <w:spacing w:after="0" w:line="38" w:lineRule="exact"/>
        <w:rPr>
          <w:rFonts w:ascii="Arial" w:cs="Arial" w:eastAsia="Arial" w:hAnsi="Arial"/>
          <w:sz w:val="17"/>
          <w:szCs w:val="17"/>
          <w:color w:val="auto"/>
        </w:rPr>
      </w:pPr>
    </w:p>
    <w:p>
      <w:pPr>
        <w:ind w:left="1020" w:right="240" w:hanging="503"/>
        <w:spacing w:after="0" w:line="261"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approval policies or regulations of the FDA, the EMA or other comparable foreign regulatory authorities may significantly change in a manner rendering our clinical data insufficient for approval.</w:t>
      </w:r>
    </w:p>
    <w:p>
      <w:pPr>
        <w:spacing w:after="0" w:line="157" w:lineRule="exact"/>
        <w:rPr>
          <w:sz w:val="20"/>
          <w:szCs w:val="20"/>
          <w:color w:val="auto"/>
        </w:rPr>
      </w:pPr>
    </w:p>
    <w:p>
      <w:pPr>
        <w:jc w:val="both"/>
        <w:ind w:right="60"/>
        <w:spacing w:after="0" w:line="271" w:lineRule="auto"/>
        <w:rPr>
          <w:sz w:val="20"/>
          <w:szCs w:val="20"/>
          <w:color w:val="auto"/>
        </w:rPr>
      </w:pPr>
      <w:r>
        <w:rPr>
          <w:rFonts w:ascii="Arial" w:cs="Arial" w:eastAsia="Arial" w:hAnsi="Arial"/>
          <w:sz w:val="16"/>
          <w:szCs w:val="16"/>
          <w:color w:val="auto"/>
        </w:rPr>
        <w:t>We cannot be assured that after spending substantial time and resources, we will obtain regulatory approvals in any desired jurisdiction. Even if we were to obtain approval, regulatory authorities may grant approval contingent on the performance of costly post-marketing clinical trials or may approve a product candidate with a label that does not include the labeling claims necessary or desirable for the successful commercialization of that product candidate.</w:t>
      </w:r>
    </w:p>
    <w:p>
      <w:pPr>
        <w:ind w:right="60"/>
        <w:spacing w:after="0" w:line="237" w:lineRule="auto"/>
        <w:rPr>
          <w:sz w:val="20"/>
          <w:szCs w:val="20"/>
          <w:color w:val="auto"/>
        </w:rPr>
      </w:pPr>
      <w:r>
        <w:rPr>
          <w:rFonts w:ascii="Arial" w:cs="Arial" w:eastAsia="Arial" w:hAnsi="Arial"/>
          <w:sz w:val="18"/>
          <w:szCs w:val="18"/>
          <w:color w:val="auto"/>
        </w:rPr>
        <w:t>Significant clinical trial delays could allow our competitors to obtain marketing approval before we do or could in effect shorten the patent protection period during which we may have the exclusive right to commercialize our product candidates. In addition, it may ultimately not be possible to achieve the prices intended for our products. In many foreign countries, including those in the European Union, a product candidate must be approved for reimbursement before it can be approved for sale in that country. Any of the foregoing scenarios could materially harm the commercial prospects for our product candidates and our business.</w:t>
      </w:r>
    </w:p>
    <w:p>
      <w:pPr>
        <w:spacing w:after="0" w:line="177"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i w:val="1"/>
          <w:iCs w:val="1"/>
          <w:color w:val="auto"/>
        </w:rPr>
        <w:t>The regulatory pathway for approval of a therapeutic treatment for COVID-19 such as EDP-235 is continually evolving and may result in unexpected or unforeseen challenges and longer timelines than seen for earlier COVID-19 vaccines and therapeutics.</w:t>
      </w:r>
    </w:p>
    <w:p>
      <w:pPr>
        <w:spacing w:after="0" w:line="157"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The FDA has the authority to grant an emergency use authorization, or EUA, to allow unapproved medical products to be used in an emergency to diagnose, treat, or prevent serious or life-threatening diseases or conditions when there are no adequate, approved, and available alternatives. To date, COVID-19 vaccines, therapeutic antibodies and other therapeutics that have demonstrated positive results in clinical trials have moved rapidly through the FDA regulatory review and EUA process, as well as the review and authorization process in a number of other jurisdictions, including the EU. The speed at which all parties are acting to create and test many therapeutics for COVID-19 is unusual, while evolving or changing plans or priorities within the FDA or the regulatory authorities in other jurisdictions, including changes based on new data regarding potential therapeutics of others, and new variants of the virus, may significantly affect the regulatory timeline for further authorizations or approvals for therapeutics such as EDP-235.</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37" w:name="page38"/>
    <w:bookmarkEnd w:id="37"/>
    <w:p>
      <w:pPr>
        <w:ind w:right="340"/>
        <w:spacing w:after="0" w:line="243" w:lineRule="auto"/>
        <w:rPr>
          <w:sz w:val="20"/>
          <w:szCs w:val="20"/>
          <w:color w:val="auto"/>
        </w:rPr>
      </w:pPr>
      <w:r>
        <w:rPr>
          <w:rFonts w:ascii="Arial" w:cs="Arial" w:eastAsia="Arial" w:hAnsi="Arial"/>
          <w:sz w:val="18"/>
          <w:szCs w:val="18"/>
          <w:color w:val="auto"/>
        </w:rPr>
        <w:t>Moreover, there is not yet any clear definition of the point at which the FDA will determine that the underlying COVID-19 health emergency no longer exists or warrants such authorizations. Accordingly, if there are successful clinical trials of EDP-235 demonstrating its therapeutic benefit and safety profile, it is still uncertain what will be the timelines or regulatory processes required for the authorization or approval of EDP-235 as a treatment for COVID-19.</w:t>
      </w:r>
    </w:p>
    <w:p>
      <w:pPr>
        <w:spacing w:after="0" w:line="174"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b w:val="1"/>
          <w:bCs w:val="1"/>
          <w:i w:val="1"/>
          <w:iCs w:val="1"/>
          <w:color w:val="auto"/>
        </w:rPr>
        <w:t>Even if we receive regulatory approval for any of our product candidates we develop independently, we will be subject to ongoing FDA obligations and continued regulatory review in other jurisdictions, which may result in significant additional expense. Additionally, our product candidates, if approved, could be subject to labeling and other restrictions and market withdrawal and we may be subject to penalties if we or our collaborators fail to comply with regulatory requirements or experience unanticipated problems with our products.</w:t>
      </w:r>
    </w:p>
    <w:p>
      <w:pPr>
        <w:spacing w:after="0" w:line="159"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Any regulatory approvals that we receive for our product candidates we develop independently may be subject to limitations on the approved indicated uses for which the product may be marketed or subject to certain conditions of approval, or may contain requirements for potentially costly post-marketing testing, including Phase 4 clinical trials, and surveillance to monitor the safety and efficacy of the product candidate.</w:t>
      </w:r>
    </w:p>
    <w:p>
      <w:pPr>
        <w:spacing w:after="0" w:line="168" w:lineRule="exact"/>
        <w:rPr>
          <w:sz w:val="20"/>
          <w:szCs w:val="20"/>
          <w:color w:val="auto"/>
        </w:rPr>
      </w:pPr>
    </w:p>
    <w:p>
      <w:pPr>
        <w:ind w:right="280"/>
        <w:spacing w:after="0" w:line="257" w:lineRule="auto"/>
        <w:rPr>
          <w:sz w:val="20"/>
          <w:szCs w:val="20"/>
          <w:color w:val="auto"/>
        </w:rPr>
      </w:pPr>
      <w:r>
        <w:rPr>
          <w:rFonts w:ascii="Arial" w:cs="Arial" w:eastAsia="Arial" w:hAnsi="Arial"/>
          <w:sz w:val="17"/>
          <w:szCs w:val="17"/>
          <w:color w:val="auto"/>
        </w:rPr>
        <w:t>In addition, if the FDA approves any of our product candidates, the manufacturing processes, labeling, packaging, distribution, adverse event reporting, storage, advertising, promotion and recordkeeping for the product will be subject to extensive and ongoing regulatory requirements. These requirements include submissions of safety and other post-marketing information and reports, as well as continued compliance with current good manufacturing practices, or cGMP, and good clinical practices, or GCP, for any clinical trials that we or our collaborators conduct post-approval. Later discovery of previously unknown problems with a product, including adverse events of unanticipated severity or frequency, or with third-party manufacturers or manufacturing processes, or failure to comply with regulatory requirements, may result in, among other things:</w:t>
      </w:r>
    </w:p>
    <w:p>
      <w:pPr>
        <w:spacing w:after="0" w:line="67" w:lineRule="exact"/>
        <w:rPr>
          <w:sz w:val="20"/>
          <w:szCs w:val="20"/>
          <w:color w:val="auto"/>
        </w:rPr>
      </w:pPr>
    </w:p>
    <w:p>
      <w:pPr>
        <w:ind w:left="1020" w:right="120" w:hanging="503"/>
        <w:spacing w:after="0" w:line="261"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withdrawal of the product from the market or voluntary or mandatory product recalls;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fines, warning letters or holds on any post-approval clinical trials;</w:t>
      </w:r>
    </w:p>
    <w:p>
      <w:pPr>
        <w:spacing w:after="0" w:line="103" w:lineRule="exact"/>
        <w:rPr>
          <w:rFonts w:ascii="Arial" w:cs="Arial" w:eastAsia="Arial" w:hAnsi="Arial"/>
          <w:sz w:val="18"/>
          <w:szCs w:val="18"/>
          <w:color w:val="auto"/>
        </w:rPr>
      </w:pPr>
    </w:p>
    <w:p>
      <w:pPr>
        <w:ind w:left="1020" w:right="460" w:hanging="503"/>
        <w:spacing w:after="0" w:line="261"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product license approvals;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98"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We cannot predict the likelihood, nature or extent of government regulation that may arise from future legislation or administrative action, either in the United States or abroad. If we, or AbbVie in the case of any licensed HCV product, are slow or unable to adapt to changes in existing requirements or the adoption of new requirements or policies, or if we or AbbVie are not able to maintain regulatory compliance, our product candidates or AbbVie’s licensed HCV products may lose any marketing approval that may have been obtained and we may not achieve or sustain profitability, which would adversely affect our business.</w:t>
      </w:r>
    </w:p>
    <w:p>
      <w:pPr>
        <w:spacing w:after="0" w:line="176"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b w:val="1"/>
          <w:bCs w:val="1"/>
          <w:i w:val="1"/>
          <w:iCs w:val="1"/>
          <w:color w:val="auto"/>
        </w:rPr>
        <w:t>We may delay or terminate the development of a product candidate at any time if we believe the perceived market or commercial opportunity does not justify further investment, which could materially harm our business and adversely affect our stock price.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Even though the results of preclinical studies and clinical trials that we have conducted or may conduct in the future may support further development of one or more of our product candidates, we may delay, suspend or terminate the future development of a product candidate at any time for strategic, business, financial or other reasons, including the determination or belief that the emerging profile of the product candidate is such that it may not receive regulatory approvals in key markets, gain meaningful market acceptance, otherwise provide any competitive advantages in its intended indication or market or generate a significant return to stockholders. Such a delay, suspension or termination could materially harm our business, results of operations or financial condition.</w:t>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Our Product Candidates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Unfavorable pricing regulations, third-party reimbursement practices or healthcare reform initiatives in the United States could harm our business.</w:t>
      </w:r>
    </w:p>
    <w:p>
      <w:pPr>
        <w:spacing w:after="0" w:line="208"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The regulations that govern marketing approvals, pricing and reimbursement for new drug products vary widely from country to country. In the United States, the Patient Protection and Affordable Care Act, as amended by the Health Care and Education Affordability Reconciliation Act of 2010, collectively referred to as the ACA, has significantly changed the way healthcare is financed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8" w:name="page39"/>
    <w:bookmarkEnd w:id="38"/>
    <w:p>
      <w:pPr>
        <w:ind w:right="140"/>
        <w:spacing w:after="0" w:line="252" w:lineRule="auto"/>
        <w:rPr>
          <w:sz w:val="20"/>
          <w:szCs w:val="20"/>
          <w:color w:val="auto"/>
        </w:rPr>
      </w:pPr>
      <w:r>
        <w:rPr>
          <w:rFonts w:ascii="Arial" w:cs="Arial" w:eastAsia="Arial" w:hAnsi="Arial"/>
          <w:sz w:val="17"/>
          <w:szCs w:val="17"/>
          <w:color w:val="auto"/>
        </w:rPr>
        <w:t>by both governmental and private insurers. While we cannot predict what impact on federal reimbursement policies this law or any amendment to it will continue to have in general or specifically on MAVYRET/MAVIRET or any product or regimen that we may commercialize, the ACA or any such amendment may result in downward pressure on pharmaceutical reimbursement, which could negatively affect market acceptance of new products. In addition, several states have not implemented certain sections of the ACA, including 14 that have rejected the expansion of Medicaid eligibility for low-income citizens. While the United States Supreme Court recently rejected the latest challenge to the constitutionality of the ACA, it is possible that other legislative efforts may seek to modify it. We cannot predict what effect any legislation may have on us or on AbbVie’s sales of MAVYRET/MAVIRET. In addition, other legislative changes have been proposed since the Affordable Care Act was enacted. There has been increasing legislative and enforcement interest in the United States with respect to drug pricing practices. Specifically, there have been several recent U.S. congressional inquiries and proposed bills designed to, among other things, bring more transparency to drug pricing, reduce the cost of prescription drugs under Medicare, review the relationship between pricing and manufacturer patient programs and reform government program reimbursement methodologies for drugs. We expect any healthcare reform measures that may be adopted in the future could result in more rigorous coverage criteria and an additional downward pressure on the price that AbbVie receives for MAVYRET/MAVIRET, which could seriously harm our future revenues, and the price of our common stock could be materially adversely affected.</w:t>
      </w:r>
    </w:p>
    <w:p>
      <w:pPr>
        <w:spacing w:after="0" w:line="153"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Our ability to commercialize any product candidate successfully, as well as AbbVie’s continued commercialization of MAVYRET/MAVIRET, will also depend in part on the extent to which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is cost containment. Government authorities and third-party payors have attempted to control costs by limiting coverage and the amount of reimbursement for particular medications. In the case of HCV, limitations of coverage have recently been used to limit access to HCV treatments for only those patients with more advanced fibrosis. Increasingly, third-party payors are requiring that drug companies provide them with predetermined discounts from list prices and, in many cases involving HCV drugs, seeking discounts in exchange for greater patient access to a particular HCV drug. In addition, there are private and public payors challenging the prices charged for medical products. We cannot be sure that reimbursement will be available for any product that we may commercialize and, if reimbursement is available, the level of reimbursement. In addition, reimbursement may impact the demand for, or the price of, MAVYRET/MAVIRET or any product candidate for which we may obtain marketing approval. If reimbursement is not available or is available only to limited levels, we may not be able to successfully commercialize any product candidate for which we may seek marketing approval.</w:t>
      </w:r>
    </w:p>
    <w:p>
      <w:pPr>
        <w:spacing w:after="0" w:line="3"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There may be significant delays in obtaining reimbursement for newly approved drugs, and coverage may be more limited than the purposes for which the drug is approved by the FDA or comparable authorities in other jurisdictions. Moreover, eligibility for reimbursement does not imply that any drug will be paid for in all cases or at a rate that covers our costs, including research, development, manufacture, sale and distribution. Interim reimbursement levels for new drugs, if applicable, may also be insufficient to cover our and any collaborator’s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AbbVie’s inability to continue to obtain coverage and profitable payment rates from both government-funded and private payors for MAVYRET/MAVIRET, or our inability to obtain the same for any product candidate that we develop, could have a material adverse effect on our operating results, our ability to raise capital needed to commercialize products and our overall financial condition.</w:t>
      </w:r>
    </w:p>
    <w:p>
      <w:pPr>
        <w:spacing w:after="0" w:line="144" w:lineRule="exact"/>
        <w:rPr>
          <w:sz w:val="20"/>
          <w:szCs w:val="20"/>
          <w:color w:val="auto"/>
        </w:rPr>
      </w:pPr>
    </w:p>
    <w:p>
      <w:pPr>
        <w:ind w:right="140"/>
        <w:spacing w:after="0" w:line="239" w:lineRule="auto"/>
        <w:rPr>
          <w:sz w:val="20"/>
          <w:szCs w:val="20"/>
          <w:color w:val="auto"/>
        </w:rPr>
      </w:pPr>
      <w:r>
        <w:rPr>
          <w:rFonts w:ascii="Arial" w:cs="Arial" w:eastAsia="Arial" w:hAnsi="Arial"/>
          <w:sz w:val="17"/>
          <w:szCs w:val="17"/>
          <w:color w:val="auto"/>
        </w:rPr>
        <w:t>In general, the United States and several other jurisdictions are considering a number of legislative and regulatory proposals to change the healthcare system in ways that could affect our ability to sell our products profitably. Among policy makers and payors in the United States and elsewhere, there is significant interest in promoting changes in healthcare systems with the stated goals of containing healthcare costs, improving quality and/or expanding access to healthcare. In the United States, the pharmaceutical industry has been a particular focus of these efforts and has been significantly affected by major legislative initiatives. We expect to experience pricing pressures in connection with the sale of any products that we develop or that are being commercialized under our collaboration with AbbVie. The implementation of cost containment measures or other healthcare reforms may limit our ability to generate revenue, maintain profitability or commercialize our product candidates.</w:t>
      </w:r>
    </w:p>
    <w:p>
      <w:pPr>
        <w:spacing w:after="0" w:line="163"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i w:val="1"/>
          <w:iCs w:val="1"/>
          <w:color w:val="auto"/>
        </w:rPr>
        <w:t>There is significant uncertainty around the future path of the COVID-19 pandemic which may impact opportunity of EDP-235 as a potential treatment for COVID-19.</w:t>
      </w:r>
    </w:p>
    <w:p>
      <w:pPr>
        <w:spacing w:after="0" w:line="157" w:lineRule="exact"/>
        <w:rPr>
          <w:sz w:val="20"/>
          <w:szCs w:val="20"/>
          <w:color w:val="auto"/>
        </w:rPr>
      </w:pPr>
    </w:p>
    <w:p>
      <w:pPr>
        <w:ind w:right="160"/>
        <w:spacing w:after="0" w:line="262" w:lineRule="auto"/>
        <w:rPr>
          <w:sz w:val="20"/>
          <w:szCs w:val="20"/>
          <w:color w:val="auto"/>
        </w:rPr>
      </w:pPr>
      <w:r>
        <w:rPr>
          <w:rFonts w:ascii="Arial" w:cs="Arial" w:eastAsia="Arial" w:hAnsi="Arial"/>
          <w:sz w:val="17"/>
          <w:szCs w:val="17"/>
          <w:color w:val="auto"/>
        </w:rPr>
        <w:t>COVID-19 is currently still an ongoing global pandemic and there is an urgent need for a safe and effective oral treatment for it. However, the longevity and extent of the ongoing COVID-19 pandemic is unpredictable, and it is uncertain whether SARS-CoV-2 will become an endemic seasonal respiratory disease, such as RSV or flu, after the current pandemic has subsided. If the pandemic were to end with a substantial decrease in new infections, due to the effectiveness of vaccines or otherwise, there would be a reduced opportunity for EDP-235.</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9" w:name="page40"/>
    <w:bookmarkEnd w:id="39"/>
    <w:p>
      <w:pPr>
        <w:ind w:right="80"/>
        <w:spacing w:after="0" w:line="262" w:lineRule="auto"/>
        <w:rPr>
          <w:sz w:val="20"/>
          <w:szCs w:val="20"/>
          <w:color w:val="auto"/>
        </w:rPr>
      </w:pPr>
      <w:r>
        <w:rPr>
          <w:rFonts w:ascii="Arial" w:cs="Arial" w:eastAsia="Arial" w:hAnsi="Arial"/>
          <w:sz w:val="17"/>
          <w:szCs w:val="17"/>
          <w:color w:val="auto"/>
        </w:rPr>
        <w:t>In order to prepare for the possibility that EDP-235 is successful in development and commercialization, we are currently devoting resources towards executing on an accelerated development path, including sufficient drug supply for advanced clinical trials and commercialization. If EDP-235 does not advance in development or is not approved for the treatment of COVID-19, or if infection rates decrease substantially, we may not be able to recover these costs and our results of operations and financial condition would be adversely affected.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governments tend to impose strict price controls, which may adversely affect our future profitability.</w:t>
      </w:r>
    </w:p>
    <w:p>
      <w:pPr>
        <w:spacing w:after="0" w:line="171"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In most foreign countries, particularly in the European Union and Japan, prescription drug pricing and/or reimbursement is subject to governmental control. In those countries that impose price controls,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w:t>
      </w:r>
    </w:p>
    <w:p>
      <w:pPr>
        <w:spacing w:after="0" w:line="148"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(or AbbVie in the case of MAVYRET/MAVIRET) might obtain marketing approval for a product in a particular country, but then be subject to price regulations that delay the commercial launch of the product, possibly for lengthy time periods, and negatively impact the revenues that are generated from the sale of the product in that country. If reimbursement of MAVYRET/MAVIRET or of any of our product candidates is unavailable or limited in scope or amount, or if pricing is set at unsatisfactory levels, or if there is competition from lower priced cross-border sales, our results of operations will be negatively affected.</w:t>
      </w:r>
    </w:p>
    <w:p>
      <w:pPr>
        <w:spacing w:after="0" w:line="163"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b w:val="1"/>
          <w:bCs w:val="1"/>
          <w:i w:val="1"/>
          <w:iCs w:val="1"/>
          <w:color w:val="auto"/>
        </w:rPr>
        <w:t>If, in the future, we are unable to establish our own sales, marketing and distribution capabilities or enter into licensing or collaboration agreements for these purposes, we may not be successful in commercializing any product candidates.</w:t>
      </w:r>
    </w:p>
    <w:p>
      <w:pPr>
        <w:spacing w:after="0" w:line="157" w:lineRule="exact"/>
        <w:rPr>
          <w:sz w:val="20"/>
          <w:szCs w:val="20"/>
          <w:color w:val="auto"/>
        </w:rPr>
      </w:pPr>
    </w:p>
    <w:p>
      <w:pPr>
        <w:ind w:right="380"/>
        <w:spacing w:after="0" w:line="243" w:lineRule="auto"/>
        <w:rPr>
          <w:sz w:val="20"/>
          <w:szCs w:val="20"/>
          <w:color w:val="auto"/>
        </w:rPr>
      </w:pPr>
      <w:r>
        <w:rPr>
          <w:rFonts w:ascii="Arial" w:cs="Arial" w:eastAsia="Arial" w:hAnsi="Arial"/>
          <w:sz w:val="18"/>
          <w:szCs w:val="18"/>
          <w:color w:val="auto"/>
        </w:rPr>
        <w:t>We do not have a sales or marketing infrastructure and have no sales, marketing or distribution experience. We will seek to either build our own commercial infrastructure to commercialize any products if and when they are approved, or enter into licensing or collaboration agreements where our collaborator is responsible for commercialization, as in the case of our collaboration with AbbVie, or where we have the right to assist in the future development and commercialization of such products.</w:t>
      </w:r>
    </w:p>
    <w:p>
      <w:pPr>
        <w:spacing w:after="0" w:line="174" w:lineRule="exact"/>
        <w:rPr>
          <w:sz w:val="20"/>
          <w:szCs w:val="20"/>
          <w:color w:val="auto"/>
        </w:rPr>
      </w:pPr>
    </w:p>
    <w:p>
      <w:pPr>
        <w:jc w:val="both"/>
        <w:ind w:right="40"/>
        <w:spacing w:after="0" w:line="270" w:lineRule="auto"/>
        <w:rPr>
          <w:sz w:val="20"/>
          <w:szCs w:val="20"/>
          <w:color w:val="auto"/>
        </w:rPr>
      </w:pPr>
      <w:r>
        <w:rPr>
          <w:rFonts w:ascii="Arial" w:cs="Arial" w:eastAsia="Arial" w:hAnsi="Arial"/>
          <w:sz w:val="17"/>
          <w:szCs w:val="17"/>
          <w:color w:val="auto"/>
        </w:rPr>
        <w:t>To develop internal sales, distribution and marketing capabilities, we will have to invest significant amounts of financial and management resources, some of which will be committed prior to any confirmation that any of our proprietary product candidates will be approved. For product candidates for which we decide to perform sales, marketing and distribution functions ourselves, we could face a number of additional risks, including:</w:t>
      </w:r>
    </w:p>
    <w:p>
      <w:pPr>
        <w:spacing w:after="0" w:line="56" w:lineRule="exact"/>
        <w:rPr>
          <w:sz w:val="20"/>
          <w:szCs w:val="20"/>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inability to recruit and retain adequate numbers of effective sales and marketing personnel;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inability of sales personnel to obtain access to physicians or persuade adequate numbers of physicians to prescribe any products;</w:t>
      </w:r>
    </w:p>
    <w:p>
      <w:pPr>
        <w:spacing w:after="0" w:line="115" w:lineRule="exact"/>
        <w:rPr>
          <w:rFonts w:ascii="Arial" w:cs="Arial" w:eastAsia="Arial" w:hAnsi="Arial"/>
          <w:sz w:val="17"/>
          <w:szCs w:val="17"/>
          <w:color w:val="auto"/>
        </w:rPr>
      </w:pPr>
    </w:p>
    <w:p>
      <w:pPr>
        <w:ind w:left="1020" w:right="160" w:hanging="503"/>
        <w:spacing w:after="0" w:line="261"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198" w:lineRule="exact"/>
        <w:rPr>
          <w:sz w:val="20"/>
          <w:szCs w:val="20"/>
          <w:color w:val="auto"/>
        </w:rPr>
      </w:pPr>
    </w:p>
    <w:p>
      <w:pPr>
        <w:ind w:right="80"/>
        <w:spacing w:after="0"/>
        <w:rPr>
          <w:sz w:val="20"/>
          <w:szCs w:val="20"/>
          <w:color w:val="auto"/>
        </w:rPr>
      </w:pPr>
      <w:r>
        <w:rPr>
          <w:rFonts w:ascii="Arial" w:cs="Arial" w:eastAsia="Arial" w:hAnsi="Arial"/>
          <w:sz w:val="18"/>
          <w:szCs w:val="18"/>
          <w:color w:val="auto"/>
        </w:rPr>
        <w:t>Where and when appropriate, we may elect to utilize contract sales forces or distribution partners to assist in the commercialization of our product candidates. If we enter into arrangements with third parties to perform sales, marketing and distribution services for our products, the resulting revenues or the profitability from these revenues to us are likely to be lower than if we had sold, marketed and distributed our products ourselves. In addition, we may not be successful in entering into arrangements with third parties to sell, market and distribute our product candidates or may be unable to do so on terms that are favorable to us. We likely will have little control over such third parties, and any of these third parties may fail to devote the necessary resources and attention to sell, market and distribute our products effectively.</w:t>
      </w:r>
    </w:p>
    <w:p>
      <w:pPr>
        <w:spacing w:after="0" w:line="176"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If we do not establish sales, marketing and distribution capabilities successfully, either on our own or in collaboration with third parties, we will not be successful in commercializing our product candidates.</w:t>
      </w:r>
    </w:p>
    <w:p>
      <w:pPr>
        <w:spacing w:after="0" w:line="157"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b w:val="1"/>
          <w:bCs w:val="1"/>
          <w:i w:val="1"/>
          <w:iCs w:val="1"/>
          <w:color w:val="auto"/>
        </w:rPr>
        <w:t>Commercial success of our product candidates depends upon significant market acceptance among physicians, patients and healthcare payors of any resulting approved drug.</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0" w:right="359" w:bottom="1440" w:gutter="0" w:footer="0" w:header="0"/>
        </w:sectPr>
      </w:pPr>
    </w:p>
    <w:bookmarkStart w:id="40" w:name="page41"/>
    <w:bookmarkEnd w:id="40"/>
    <w:p>
      <w:pPr>
        <w:ind w:right="60"/>
        <w:spacing w:after="0" w:line="294" w:lineRule="auto"/>
        <w:rPr>
          <w:sz w:val="20"/>
          <w:szCs w:val="20"/>
          <w:color w:val="auto"/>
        </w:rPr>
      </w:pPr>
      <w:r>
        <w:rPr>
          <w:rFonts w:ascii="Arial" w:cs="Arial" w:eastAsia="Arial" w:hAnsi="Arial"/>
          <w:sz w:val="16"/>
          <w:szCs w:val="16"/>
          <w:color w:val="auto"/>
        </w:rPr>
        <w:t>EDP-938, EDP-235, EDP-514 and EDP-323 and any other product candidate that we may develop in the future, whether as part of a combination therapy or as a monotherapy, are subject to market acceptance among physicians, healthcare payors, patients and the medical community. The degree of market acceptance of any product candidate for which we obtain approval for commercial sale, will depend on a number of factors, including:</w:t>
      </w:r>
    </w:p>
    <w:p>
      <w:pPr>
        <w:spacing w:after="0" w:line="39" w:lineRule="exact"/>
        <w:rPr>
          <w:sz w:val="20"/>
          <w:szCs w:val="20"/>
          <w:color w:val="auto"/>
        </w:rPr>
      </w:pPr>
    </w:p>
    <w:p>
      <w:pPr>
        <w:ind w:left="1020" w:right="140" w:hanging="503"/>
        <w:spacing w:after="0" w:line="291" w:lineRule="auto"/>
        <w:tabs>
          <w:tab w:leader="none" w:pos="10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efficacy and safety of treatment regimens containing one of our product candidates, as demonstrated in clinical trials, and the degree to which these regimens represent a clinically meaningful improvement in care as compared with other available therapies;</w:t>
      </w:r>
    </w:p>
    <w:p>
      <w:pPr>
        <w:spacing w:after="0" w:line="38" w:lineRule="exact"/>
        <w:rPr>
          <w:rFonts w:ascii="Arial" w:cs="Arial" w:eastAsia="Arial" w:hAnsi="Arial"/>
          <w:sz w:val="17"/>
          <w:szCs w:val="17"/>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clinical indications for which any treatment regimen containing one of our product candidates become approved;</w:t>
      </w:r>
    </w:p>
    <w:p>
      <w:pPr>
        <w:spacing w:after="0" w:line="103" w:lineRule="exact"/>
        <w:rPr>
          <w:rFonts w:ascii="Arial" w:cs="Arial" w:eastAsia="Arial" w:hAnsi="Arial"/>
          <w:sz w:val="18"/>
          <w:szCs w:val="18"/>
          <w:color w:val="auto"/>
        </w:rPr>
      </w:pPr>
    </w:p>
    <w:p>
      <w:pPr>
        <w:ind w:left="1020" w:right="540" w:hanging="503"/>
        <w:spacing w:after="0" w:line="261"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acceptance among physicians, major operators of clinics, payors and patients of any treatment regimen containing one of our product candidates;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potential and perceived advantages of treatment regimens containing one of our product candidates over alternative treatments;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cost of treatment of regimens containing one of our product candidates in relation to the cost of alternative treatments;</w:t>
      </w:r>
    </w:p>
    <w:p>
      <w:pPr>
        <w:spacing w:after="0" w:line="103" w:lineRule="exact"/>
        <w:rPr>
          <w:rFonts w:ascii="Arial" w:cs="Arial" w:eastAsia="Arial" w:hAnsi="Arial"/>
          <w:sz w:val="18"/>
          <w:szCs w:val="18"/>
          <w:color w:val="auto"/>
        </w:rPr>
      </w:pPr>
    </w:p>
    <w:p>
      <w:pPr>
        <w:jc w:val="both"/>
        <w:ind w:left="1020" w:right="160" w:hanging="503"/>
        <w:spacing w:after="0" w:line="270" w:lineRule="auto"/>
        <w:tabs>
          <w:tab w:leader="none" w:pos="10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availability of adequate reimbursement and pricing by third parties and government authorities and successful negotiation of favorable agreements with payors by us or any collaborator of ours, as well as the impact of any agreements among any of the foregoing and one or more of our competitors limiting access to our product in favor of one or more competitive products;</w:t>
      </w:r>
    </w:p>
    <w:p>
      <w:pPr>
        <w:spacing w:after="0" w:line="55" w:lineRule="exact"/>
        <w:rPr>
          <w:rFonts w:ascii="Arial" w:cs="Arial" w:eastAsia="Arial" w:hAnsi="Arial"/>
          <w:sz w:val="17"/>
          <w:szCs w:val="17"/>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continued longevity of any market for which we develop a drug;</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levels of funding provided by government-funded healthcare for treatment of any disease for which we develop a drug;</w:t>
      </w:r>
    </w:p>
    <w:p>
      <w:pPr>
        <w:spacing w:after="0" w:line="103" w:lineRule="exact"/>
        <w:rPr>
          <w:rFonts w:ascii="Arial" w:cs="Arial" w:eastAsia="Arial" w:hAnsi="Arial"/>
          <w:sz w:val="18"/>
          <w:szCs w:val="18"/>
          <w:color w:val="auto"/>
        </w:rPr>
      </w:pPr>
    </w:p>
    <w:p>
      <w:pPr>
        <w:ind w:left="1020" w:right="640" w:hanging="503"/>
        <w:spacing w:after="0" w:line="261"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relative convenience and ease of administration of any treatment regimen containing one of our product candidates compared to competitive regimens;</w:t>
      </w:r>
    </w:p>
    <w:p>
      <w:pPr>
        <w:spacing w:after="0" w:line="62" w:lineRule="exact"/>
        <w:rPr>
          <w:rFonts w:ascii="Arial" w:cs="Arial" w:eastAsia="Arial" w:hAnsi="Arial"/>
          <w:sz w:val="18"/>
          <w:szCs w:val="18"/>
          <w:color w:val="auto"/>
        </w:rPr>
      </w:pPr>
    </w:p>
    <w:p>
      <w:pPr>
        <w:ind w:left="1020" w:right="680" w:hanging="503"/>
        <w:spacing w:after="0" w:line="261"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prevalence and severity of adverse side effects, whether involving the use of treatment regimens containing one of our products candidates or similar, competitive treatment regimens;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w:t>
      </w:r>
    </w:p>
    <w:p>
      <w:pPr>
        <w:spacing w:after="0" w:line="198" w:lineRule="exact"/>
        <w:rPr>
          <w:sz w:val="20"/>
          <w:szCs w:val="20"/>
          <w:color w:val="auto"/>
        </w:rPr>
      </w:pPr>
    </w:p>
    <w:p>
      <w:pPr>
        <w:jc w:val="both"/>
        <w:ind w:right="100"/>
        <w:spacing w:after="0" w:line="248" w:lineRule="auto"/>
        <w:rPr>
          <w:sz w:val="20"/>
          <w:szCs w:val="20"/>
          <w:color w:val="auto"/>
        </w:rPr>
      </w:pPr>
      <w:r>
        <w:rPr>
          <w:rFonts w:ascii="Arial" w:cs="Arial" w:eastAsia="Arial" w:hAnsi="Arial"/>
          <w:sz w:val="18"/>
          <w:szCs w:val="18"/>
          <w:color w:val="auto"/>
        </w:rPr>
        <w:t>If treatment regimens containing one of our product candidates are approved and then fail to achieve market acceptance, we may not be able to generate significant additional revenue. Further, if new, more favorably received therapies are introduced after any such regimen achieves market acceptance, then we may not be able to maintain that market acceptance over time.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02" w:lineRule="exact"/>
        <w:rPr>
          <w:sz w:val="20"/>
          <w:szCs w:val="20"/>
          <w:color w:val="auto"/>
        </w:rPr>
      </w:pPr>
    </w:p>
    <w:p>
      <w:pPr>
        <w:ind w:right="300"/>
        <w:spacing w:after="0" w:line="362" w:lineRule="auto"/>
        <w:rPr>
          <w:sz w:val="20"/>
          <w:szCs w:val="20"/>
          <w:color w:val="auto"/>
        </w:rPr>
      </w:pPr>
      <w:r>
        <w:rPr>
          <w:rFonts w:ascii="Arial" w:cs="Arial" w:eastAsia="Arial" w:hAnsi="Arial"/>
          <w:sz w:val="15"/>
          <w:szCs w:val="15"/>
          <w:b w:val="1"/>
          <w:bCs w:val="1"/>
          <w:i w:val="1"/>
          <w:iCs w:val="1"/>
          <w:color w:val="auto"/>
        </w:rPr>
        <w:t>We may not be successful in establishing new product collaborations, which could adversely affect our ability to develop and commercialize one or more of our product candidates. If we are unsuccessful in maintaining or forming alliances on favorable terms, our business may not succeed.</w:t>
      </w:r>
    </w:p>
    <w:p>
      <w:pPr>
        <w:spacing w:after="0" w:line="87"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We may seek to enter into additional product collaborations in the future, including alliances with other biotechnology or pharmaceutical companies, to enhance and accelerate the development and commercialization of one or more of our product candidates. For example, we plan to out-license our FXR agonist candidates for combination therapy for NASH and are seeking potential partners for this program. We face significant competition in seeking appropriate collaborators and the negotiation process is time-consuming and complex. Moreover, we may not be successful in our efforts to establish other product collaborations or other alternative arrangements for any product candidates and programs because our research and development pipeline may be insufficient, our product candidates and programs may be deemed to be at too early of a stage of development for collaborative effort and/or third parties may not view our product candidates and programs as having the requisite potential to demonstrate safety and efficacy. Even if we are successful in our efforts to establish product collaborations, the terms that we agree upon may not be favorable to us and we may not be able to maintain such product collaborations if, for example, development or approval of a product candidate is delayed or sales of an approved product are disappointing.</w:t>
      </w:r>
    </w:p>
    <w:p>
      <w:pPr>
        <w:spacing w:after="0" w:line="155"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If our existing collaboration agreement with AbbVie is terminated, or if we determine that entering into other product collaborations is in our best interest but we either fail to enter into, experience a delay in entering into, or fail to maintain, such collaborations:</w:t>
      </w:r>
    </w:p>
    <w:p>
      <w:pPr>
        <w:spacing w:after="0" w:line="63" w:lineRule="exact"/>
        <w:rPr>
          <w:sz w:val="20"/>
          <w:szCs w:val="20"/>
          <w:color w:val="auto"/>
        </w:rPr>
      </w:pPr>
    </w:p>
    <w:p>
      <w:pPr>
        <w:ind w:left="5540" w:right="4080" w:hanging="5023"/>
        <w:spacing w:after="0" w:line="512" w:lineRule="auto"/>
        <w:tabs>
          <w:tab w:leader="none" w:pos="1032"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development of certain of our product candidates may be terminated or delayed;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28" w:right="439" w:bottom="1440" w:gutter="0" w:footer="0" w:header="0"/>
        </w:sectPr>
      </w:pPr>
    </w:p>
    <w:bookmarkStart w:id="41" w:name="page42"/>
    <w:bookmarkEnd w:id="41"/>
    <w:p>
      <w:pPr>
        <w:ind w:left="1020" w:right="140" w:hanging="503"/>
        <w:spacing w:after="0" w:line="261"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cash expenditures related to the development of certain of our product candidates would increase significantly and we may need to seek additional financing;</w:t>
      </w:r>
    </w:p>
    <w:p>
      <w:pPr>
        <w:spacing w:after="0" w:line="62" w:lineRule="exact"/>
        <w:rPr>
          <w:rFonts w:ascii="Arial" w:cs="Arial" w:eastAsia="Arial" w:hAnsi="Arial"/>
          <w:sz w:val="18"/>
          <w:szCs w:val="18"/>
          <w:color w:val="auto"/>
        </w:rPr>
      </w:pPr>
    </w:p>
    <w:p>
      <w:pPr>
        <w:ind w:left="1020" w:right="160" w:hanging="503"/>
        <w:spacing w:after="0" w:line="261"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may be required to hire additional employees or otherwise develop expertise, such as clinical, regulatory, sales and marketing expertise, which we do not currently have;</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will bear all of the risk related to the development of any such product candidates;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competitiveness of any product candidate that is commercialized could be reduced.</w:t>
      </w:r>
    </w:p>
    <w:p>
      <w:pPr>
        <w:spacing w:after="0" w:line="198"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b w:val="1"/>
          <w:bCs w:val="1"/>
          <w:i w:val="1"/>
          <w:iCs w:val="1"/>
          <w:color w:val="auto"/>
        </w:rPr>
        <w:t>We intend to rely on third-party manufacturers to produce our development-stage product candidate supplies and any commercial supplies of any approved product candidates. Any failure by a third-party manufacturer to produce acceptable supplies for us may delay or impair our ability to initiate or complete our clinical trials or sell any resulting product.</w:t>
      </w:r>
    </w:p>
    <w:p>
      <w:pPr>
        <w:spacing w:after="0" w:line="168"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We do not currently own or operate any manufacturing facilities. We plan to continue to work with third-party contract manufacturers to produce sufficient quantities of any product candidates for preclinical testing, clinical trials and commercialization. If we are unable to arrange for such a third-party manufacturing source for any of our product candidates, or fail to do so on commercially reasonable terms, we may not be able to successfully produce, develop and market one or more of our product candidates, or we may be delayed in doing so.</w:t>
      </w:r>
    </w:p>
    <w:p>
      <w:pPr>
        <w:spacing w:after="0" w:line="174"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Reliance on third-party manufacturers entails risks to which we would not be subject if we manufactured product candidates ourselves, including reliance on the third party for regulatory compliance and quality control and assurance, volume production, the possibility of breach of the manufacturing agreement by the third party because of factors beyond our control (including a failure to synthesize and manufacture our product candidates in accordance with our product specifications), shutdowns of manufacturing sites or other supply chain constraints resulting from the COVID-19 pandemic, and the possibility of termination or nonrenewal of the agreement by the third party at a time that is costly or damaging to us. In addition, the FDA and other regulatory authorities require that our product candidates be manufactured according to cGMP and similar foreign standards. Pharmaceutical manufacturers and their subcontractors are required to register their facilities and/or products manufactured at the time of submission of the marketing application and then annually thereafter with the FDA and certain state and foreign agencies. They are also subject to periodic unannounced inspections by the FDA, state and other foreign authorities. Any subsequent discovery of problems with a product, or a manufacturing or laboratory facility used by us or our collaborators, may result in restrictions on the product or on the manufacturing or laboratory facility, including marketed product recall, suspension of manufacturing, product seizure, or a voluntary withdrawal of the drug from the market. Any failure by our third-party manufacturers to comply with cGMP or failure to scale up manufacturing processes, including any failure to deliver sufficient quantities of product candidates in a timely manner, could lead to a delay in, or failure to obtain, regulatory approval of any of our product candidates.</w:t>
      </w:r>
    </w:p>
    <w:p>
      <w:pPr>
        <w:spacing w:after="0" w:line="167"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We plan to rely on third-party manufacturers to purchase from third-party suppliers the materials necessary to produce our product candidates for our clinical studies. There are a small number of suppliers for certain capital equipment and materials that we plan to use to manufacture our drugs. Such suppliers may not sell these materials to our manufacturers at the times we need them or on commercially reasonable terms. Moreover, we currently do not have any agreements for the production of these materials. Although we do not intend to begin a clinical trial unless we believe we have a sufficient supply of a product candidate to complete the clinical trial, any significant delay in the supply of a product candidate or the material components thereof for an ongoing clinical trial due to the need to replace a third-party manufacturer could considerably delay completion of our clinical studies, product testing and potential regulatory approval of our product candidates. If our manufacturers or we are unable to purchase these materials after regulatory approval has been obtained for our product candidates, the commercial launch of our product candidates would be delayed or there would be a shortage in supply, which would impair our ability to generate revenue from the sale of our product candidates.</w:t>
      </w:r>
    </w:p>
    <w:p>
      <w:pPr>
        <w:spacing w:after="0" w:line="170"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Contract manufacturers may not be able to manufacture our product candidates at a cost or in quantities or in a timely manner necessary to develop and commercialize them. If we successfully commercialize any of our product candidates, to meet our projected needs we may need to find third parties that will increase their scale of production, or we may have to establish or access large-scale commercial manufacturing capabilities. We may require additional funds, personnel and other resources to build, lease or operate any manufacturing facility.</w:t>
      </w:r>
    </w:p>
    <w:p>
      <w:pPr>
        <w:spacing w:after="0" w:line="159" w:lineRule="exact"/>
        <w:rPr>
          <w:sz w:val="20"/>
          <w:szCs w:val="20"/>
          <w:color w:val="auto"/>
        </w:rPr>
      </w:pPr>
    </w:p>
    <w:p>
      <w:pPr>
        <w:ind w:right="400"/>
        <w:spacing w:after="0" w:line="262" w:lineRule="auto"/>
        <w:rPr>
          <w:sz w:val="20"/>
          <w:szCs w:val="20"/>
          <w:color w:val="auto"/>
        </w:rPr>
      </w:pPr>
      <w:r>
        <w:rPr>
          <w:rFonts w:ascii="Arial" w:cs="Arial" w:eastAsia="Arial" w:hAnsi="Arial"/>
          <w:sz w:val="17"/>
          <w:szCs w:val="17"/>
          <w:b w:val="1"/>
          <w:bCs w:val="1"/>
          <w:i w:val="1"/>
          <w:iCs w:val="1"/>
          <w:color w:val="auto"/>
        </w:rPr>
        <w:t>A portion of our research and a portion of our manufacturing of certain key intermediates used in the manufacture of the active pharmaceutical ingredients for our product candidates takes place in China through third-party researchers and manufacturers. A significant disruption in the operation of those researchers or manufacturers, or a trade war, political unrest or an epidemic in China, such as the COVID-19 pandemic, could materially adversely affect our business, financial condition and results of operations.</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42" w:name="page43"/>
    <w:bookmarkEnd w:id="42"/>
    <w:p>
      <w:pPr>
        <w:ind w:right="40"/>
        <w:spacing w:after="0" w:line="267" w:lineRule="auto"/>
        <w:rPr>
          <w:sz w:val="20"/>
          <w:szCs w:val="20"/>
          <w:color w:val="auto"/>
        </w:rPr>
      </w:pPr>
      <w:r>
        <w:rPr>
          <w:rFonts w:ascii="Arial" w:cs="Arial" w:eastAsia="Arial" w:hAnsi="Arial"/>
          <w:sz w:val="16"/>
          <w:szCs w:val="16"/>
          <w:color w:val="auto"/>
        </w:rPr>
        <w:t>Although manufacturing for MAVYRET/MAVIRET is being conducted by AbbVie, we have relied on third parties located in China to manufacture and supply certain key intermediates used in the manufacture of our active pharmaceutical ingredients, or API, for our current product candidates, and we expect to continue to use such third party manufacturers for such intermediates for any product candidates we develop independently. Any disruption in production or inability of our manufacturers in China to produce adequate quantities to meet our needs, whether as a result of a natural disaster, pandemics or other causes, could impair our ability to operate our business on a day-to-day basis and to continue our research and development of our product candidates. We also use contract researchers in China to conduct a portion of our research for our early-stage programs. Any disruption in the team conducting that research could cause delays in one or more of our research programs and could require us to curtail one or more programs, at least until we could contract for that research to be done elsewhere. For example, either of these risks could be triggered by an epidemic such as the outbreak of COVID-19 in the Wuhan region of China. To date our contract manufacturer in China, which is not located in the Wuhan region, has not had any material delays in its ability to deliver API and other services. Furthermore, since these researchers and manufacturers are located in China, we are exposed to the possibility of product supply disruption and increased costs in the event of changes in the policies of the United States or Chinese governments, political unrest or unstable economic conditions in China. For example, a trade war could lead to tariffs on the chemical intermediates we use that are manufactured in China. Any of these matters could materially and adversely affect our business and results of operations. Any recall of the manufacturing lots or similar action regarding our API used in clinical trials could delay the trials or detract from the integrity of the trial data and its potential use in future regulatory filings. In addition, manufacturing interruptions or failure to comply with regulatory requirements by any of these manufacturers could significantly delay clinical development of potential products and reduce third-party or clinical researcher interest and support of proposed trials. These interruptions or failures could also impede commercialization of our product candidates and impair our competitive position. Further, we may be exposed to fluctuations in the value of the local currency in China. Future appreciation of the local currency could increase our costs. In addition, our labor costs could continue to rise as wage rates increase due to increased demand for skilled laborers and the availability of skilled labor declines in China.</w:t>
      </w:r>
    </w:p>
    <w:p>
      <w:pPr>
        <w:spacing w:after="0" w:line="161" w:lineRule="exact"/>
        <w:rPr>
          <w:sz w:val="20"/>
          <w:szCs w:val="20"/>
          <w:color w:val="auto"/>
        </w:rPr>
      </w:pPr>
    </w:p>
    <w:p>
      <w:pPr>
        <w:ind w:right="100"/>
        <w:spacing w:after="0" w:line="284" w:lineRule="auto"/>
        <w:rPr>
          <w:sz w:val="20"/>
          <w:szCs w:val="20"/>
          <w:color w:val="auto"/>
        </w:rPr>
      </w:pPr>
      <w:r>
        <w:rPr>
          <w:rFonts w:ascii="Arial" w:cs="Arial" w:eastAsia="Arial" w:hAnsi="Arial"/>
          <w:sz w:val="16"/>
          <w:szCs w:val="16"/>
          <w:b w:val="1"/>
          <w:bCs w:val="1"/>
          <w:i w:val="1"/>
          <w:iCs w:val="1"/>
          <w:color w:val="auto"/>
        </w:rPr>
        <w:t>We will rely on third parties to monitor, support, conduct and/or oversee clinical trials of our product candidates that we develop independently and, in some cases, to maintain regulatory files for those product candidates. If we are not able to maintain or secure agreements with such third parties on acceptable terms, if these third parties do not perform their services as required, or if these third parties fail to timely transfer any regulatory information held by them to us, we may not be able to obtain regulatory approval for, or commercialize, our product candidates.</w:t>
      </w:r>
    </w:p>
    <w:p>
      <w:pPr>
        <w:spacing w:after="0" w:line="142" w:lineRule="exact"/>
        <w:rPr>
          <w:sz w:val="20"/>
          <w:szCs w:val="20"/>
          <w:color w:val="auto"/>
        </w:rPr>
      </w:pPr>
    </w:p>
    <w:p>
      <w:pPr>
        <w:ind w:right="60"/>
        <w:spacing w:after="0" w:line="269" w:lineRule="auto"/>
        <w:rPr>
          <w:sz w:val="20"/>
          <w:szCs w:val="20"/>
          <w:color w:val="auto"/>
        </w:rPr>
      </w:pPr>
      <w:r>
        <w:rPr>
          <w:rFonts w:ascii="Arial" w:cs="Arial" w:eastAsia="Arial" w:hAnsi="Arial"/>
          <w:sz w:val="16"/>
          <w:szCs w:val="16"/>
          <w:color w:val="auto"/>
        </w:rPr>
        <w:t>We will rely on CROs, hospitals, clinics, academic institutions and other third-party collaborators who are outside our control to monitor, support, conduct and/or oversee preclinical and clinical studies of our product candidates. We will also rely on third parties to perform clinical trials of our product candidates when they reach that stage. As a result, we have less control over the timing and cost of these studies and the ability to recruit trial subjects than if we conducted these trials wholly by ourselves. If we are unable to maintain or enter into agreements with these third parties on acceptable terms or engagement is terminated, we may be unable to enroll patients on a timely basis or otherwise conduct our trials in the manner we anticipate. In the case of our then ongoing studies, we paused recruitment and dosing as a result of the COVID-19 pandemic in March 2020, but we were able to resume the studies in July 2020. The pause in these studies delayed their completion, and it is uncertain whether any of our other ongoing studies may be subject to further disruptions due to the ongoing pandemic. In addition, there is no guarantee that these third parties will devote adequate time and resources to our studies or perform as required by a contract or in accordance with regulatory requirements, including maintenance of clinical trial information regarding our product candidates. If these third parties fail to meet expected deadlines, fail to timely transfer to us any regulatory information, fail to adhere to protocols or fail to act in accordance with regulatory requirements or our agreements with them, or if they otherwise perform in a substandard manner or in a way that compromises the quality or accuracy of their activities or the data they obtain, then clinical trials of our product candidates may be extended, delayed or terminated, or our data may be rejected by the FDA or regulatory agencies.</w:t>
      </w:r>
    </w:p>
    <w:p>
      <w:pPr>
        <w:spacing w:after="0" w:line="154"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b w:val="1"/>
          <w:bCs w:val="1"/>
          <w:i w:val="1"/>
          <w:iCs w:val="1"/>
          <w:color w:val="auto"/>
        </w:rPr>
        <w:t>To the extent we elect to enter into additional licensing or collaboration agreements to partner our product candidates, our dependence on such relationships may adversely affect our business.</w:t>
      </w:r>
    </w:p>
    <w:p>
      <w:pPr>
        <w:spacing w:after="0" w:line="157"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Our commercialization strategy for some of our product candidates may depend on our ability to enter into collaboration agreements with other companies to obtain access to other compounds for use in combination with any of our product candidates or for assistance and funding for the development and potential commercialization of any of these product candidates, similar to what we have done with AbbVie. Supporting diligence activities conducted by potential collaborators and negotiating the financial and other terms of a collaboration agreement are long and complex processes with uncertain results. Even if we are successful in entering into one or more additional collaboration agreements, collaborations can involve greater uncertainty for us, as we may have limited or no control over certain aspects of our collaborative programs. We may determine that continuing a collaboration under the terms provided is not in our best interest, and we may terminate the collaboration. Our collaborators could delay or terminate their agreements with us, and our product candidates subject to collaborative arrangements may never be successfully commercialized.</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43" w:name="page44"/>
    <w:bookmarkEnd w:id="43"/>
    <w:p>
      <w:pPr>
        <w:ind w:right="40"/>
        <w:spacing w:after="0"/>
        <w:rPr>
          <w:sz w:val="20"/>
          <w:szCs w:val="20"/>
          <w:color w:val="auto"/>
        </w:rPr>
      </w:pPr>
      <w:r>
        <w:rPr>
          <w:rFonts w:ascii="Arial" w:cs="Arial" w:eastAsia="Arial" w:hAnsi="Arial"/>
          <w:sz w:val="18"/>
          <w:szCs w:val="18"/>
          <w:color w:val="auto"/>
        </w:rPr>
        <w:t>Further, our collaborators may develop alternative products or pursue alternative technologies either on their own or in collaboration with others, including our competitors, and the priorities or focus of our collaborators may shift such that our programs receive less attention or resources than we would like, or they may be terminated altogether. Any such actions by our collaborators may adversely affect our business prospects and ability to earn revenue. In addition, we could have disputes with our collaborators, such as the interpretation of terms in our agreements. Any such disagreements could lead to delays in the development or commercialization of any potential products or could result in time-consuming and expensive litigation or arbitration, which may not be resolved in our favor.</w:t>
      </w:r>
    </w:p>
    <w:p>
      <w:pPr>
        <w:spacing w:after="0" w:line="176"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color w:val="auto"/>
        </w:rPr>
        <w:t>Even with respect to programs that we intend to commercialize ourselves, we may enter into agreements with collaborators to share in the burden of conducting clinical trials, manufacturing and marketing our product candidates or products. In addition, our ability to apply our proprietary technologies to develop proprietary compounds will depend on our ability to establish and maintain licensing arrangements or other collaborative arrangements with the holders of proprietary rights to such compounds. We may not be able to establish such arrangements on favorable terms or at all, and our collaborative arrangements may not be successful.</w:t>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 Rights</w:t>
      </w:r>
    </w:p>
    <w:p>
      <w:pPr>
        <w:spacing w:after="0" w:line="189"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b w:val="1"/>
          <w:bCs w:val="1"/>
          <w:i w:val="1"/>
          <w:iCs w:val="1"/>
          <w:color w:val="auto"/>
        </w:rPr>
        <w:t>We are competing to develop intellectual property in areas of small-molecule drug development that are highly competitive. We could be unsuccessful in obtaining or maintaining adequate patent protection for one or more of our product candidates.</w:t>
      </w:r>
    </w:p>
    <w:p>
      <w:pPr>
        <w:spacing w:after="0" w:line="144"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Our commercial success will depend, in large part, on our ability to obtain and maintain patent and other intellectual property protection with respect to our product candidates. We cannot be certain that patents will be issued or granted with respect to our patent applications that are currently pending, or that issued or granted patents will not later be found to be invalid and/or unenforceable, be interpreted in a manner that does not adequately protect our products, or otherwise provide us with any competitive advantage. The patent position of biotechnology and pharmaceutical companies is generally uncertain because it involves complex legal and factual considerations. The standards applied by the United States Patent and Trademark Office and foreign patent offices in granting patents are not always applied uniformly or predictably. For example, there is no uniform worldwide policy regarding patentable subject matter or the scope of claims allowable in biotechnology and pharmaceutical patents. Consequently, patents may not issue from our pending patent applications. As such, we do not know the degree of future protection that we will have on our proprietary products and technology, if any, and a failure to obtain adequate intellectual property protection with respect to our product candidates and proprietary technology could have a material adverse impact on our business.</w:t>
      </w:r>
    </w:p>
    <w:p>
      <w:pPr>
        <w:spacing w:after="0" w:line="156"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In addition, certain of our activities in the past have been funded, and others may in the future be funded, by the United States federal government. For example, the preclinical and early clinical development of the lead antibiotic product candidate in our former antibiotic program, which we are no longer developing, was funded under a contract with NIAID, an entity of the United States federal government. When new technologies are developed with United States federal government funding, the government obtains certain rights in any resulting patents, including a nonexclusive license authorizing the government to use the invention for non-commercial purposes. These rights may permit the government to disclose our confidential information to third parties and to exercise “march-in” rights to use or allow third parties to use our patented technology. The government can exercise its march-in rights if it determines that action is necessary because we fail to achieve practical application of the United States government-funded technology, or because action is necessary to alleviate health or safety needs, to meet requirements of federal regulations or to give preference to United States industry. In addition, United States government-funded inventions must be reported to the government and United States government funding must be disclosed in any resulting patent applications. In addition, our rights in such inventions are subject to certain requirements to manufacture products in the United States.</w:t>
      </w:r>
    </w:p>
    <w:p>
      <w:pPr>
        <w:spacing w:after="0" w:line="153" w:lineRule="exact"/>
        <w:rPr>
          <w:sz w:val="20"/>
          <w:szCs w:val="20"/>
          <w:color w:val="auto"/>
        </w:rPr>
      </w:pPr>
    </w:p>
    <w:p>
      <w:pPr>
        <w:ind w:right="440"/>
        <w:spacing w:after="0" w:line="291" w:lineRule="auto"/>
        <w:rPr>
          <w:sz w:val="20"/>
          <w:szCs w:val="20"/>
          <w:color w:val="auto"/>
        </w:rPr>
      </w:pPr>
      <w:r>
        <w:rPr>
          <w:rFonts w:ascii="Arial" w:cs="Arial" w:eastAsia="Arial" w:hAnsi="Arial"/>
          <w:sz w:val="17"/>
          <w:szCs w:val="17"/>
          <w:b w:val="1"/>
          <w:bCs w:val="1"/>
          <w:i w:val="1"/>
          <w:iCs w:val="1"/>
          <w:color w:val="auto"/>
        </w:rPr>
        <w:t>Claims that our product candidates or the sale or use of our products infringe the patent or other intellectual property rights of third parties could result in costly litigation or could require substantial time and money to resolve, even if litigation is avoided.</w:t>
      </w:r>
    </w:p>
    <w:p>
      <w:pPr>
        <w:spacing w:after="0" w:line="133"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Our commercial success depends upon our ability to develop, manufacture, market and sell our product candidates and use our proprietary technology without infringing the intellectual property rights of others. We cannot guarantee that our product candidates or any uses of our product candidates do not and will not in the future infringe third-party patents or other intellectual property rights. Third parties might allege that we or our collaborators are infringing their patent rights or that we have misappropriated their trade secrets, or that we are otherwise violating their intellectual property rights, whether with respect to the manner in which we have conducted our research or to the composition, use or manufacture of the compounds we have developed or are developing with our collaborators. Such third parties might resort to litigation against us or other parties we have agreed to indemnify, which litigation could be based on either existing intellectual property or intellectual property that arises in the future.</w:t>
      </w:r>
    </w:p>
    <w:p>
      <w:pPr>
        <w:spacing w:after="0" w:line="166"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It is also possible that we failed to identify, or may in the future fail to identify, relevant patents or patent applications held by third parties that cover our product candidates. For example, applications filed before November 29, 2000 and certain applications filed after that date that will not be filed outside the United States remain confidential until patents issue. Other patent applications in the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44" w:name="page45"/>
    <w:bookmarkEnd w:id="44"/>
    <w:p>
      <w:pPr>
        <w:ind w:right="20"/>
        <w:spacing w:after="0" w:line="238" w:lineRule="auto"/>
        <w:rPr>
          <w:sz w:val="20"/>
          <w:szCs w:val="20"/>
          <w:color w:val="auto"/>
        </w:rPr>
      </w:pPr>
      <w:r>
        <w:rPr>
          <w:rFonts w:ascii="Arial" w:cs="Arial" w:eastAsia="Arial" w:hAnsi="Arial"/>
          <w:sz w:val="18"/>
          <w:szCs w:val="18"/>
          <w:color w:val="auto"/>
        </w:rPr>
        <w:t>United States and several other jurisdictions are published approximately 18 months after the earliest filing for which priority is claimed, with such earliest filing date being commonly referred to as the priority date. Furthermore, publication of discoveries in the scientific or patent literature often lags behind actual discoveries. Therefore, we cannot be certain that we or our collaborators were the first to invent, or the first to file patent applications on, our product candidates or for their uses, or that our product candidates will not infringe patents that are currently issued or that are issued in the future. In the event that a third party has also filed a patent application covering one of our product candidates or a similar invention, we may have to participate in an adversarial proceeding, known as an interference, declared by the U.S. Patent and Trademark Office or its foreign counterpart to determine priority of invention. Additionally, pending patent applications which have been published can, subject to certain limitations, be later amended in a manner that could cover our products or their use.</w:t>
      </w:r>
    </w:p>
    <w:p>
      <w:pPr>
        <w:spacing w:after="0" w:line="180"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In order to avoid or settle potential claims with respect to any patent or other intellectual property rights of third parties, we may choose or be required to seek a license from a third party and be required to pay license fees or royalties or both, which could be substantial. These licenses may not be available on acceptable terms, or at all. Even if we were able to obtain a license, the rights may be nonexclusive, which could result in our competitors gaining access to the same intellectual property. Ultimately, we could be prevented from commercializing a product, or be forced, by court order or otherwise, to cease some or all aspects of our business operations, if, as a result of actual or threatened patent or other intellectual property claims, we are unable to enter into licenses on acceptable terms. Further, we could be found liable for significant monetary damages as a result of claims of intellectual property infringement. For example, we have received, and may in the future receive, offers to license and demands to license from third parties claiming that we are infringing their intellectual property or owe license fees and, even if such claims are without merit, there can be no assurance that we will successfully avoid or settle such claims.</w:t>
      </w:r>
    </w:p>
    <w:p>
      <w:pPr>
        <w:spacing w:after="0" w:line="178"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In addition, if AbbVie licenses or otherwise acquires rights to intellectual property controlled by a third party in various circumstances, for example, where a product could not be legally developed or commercialized in a country without the third-party intellectual property right, it is entitled under our collaboration agreement to decrease payments payable to us on a product-by-product basis and, in certain cases, on a country-by-country basis. Any of the foregoing events could harm our business significantly.</w:t>
      </w:r>
    </w:p>
    <w:p>
      <w:pPr>
        <w:spacing w:after="0" w:line="2"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Defending against claims of patent infringement, misappropriation of trade secrets or other violations of intellectual property rights could be costly and time consuming, regardless of the outcome. Thus, even if we were to ultimately prevail, or to settle at an early stage, such litigation could burden us with substantial unanticipated costs. In addition, litigation or threatened litigation could result in significant demands on the time and attention of our management team, distracting them from the pursuit of other company business. Claims that our product candidates or the sale or use of our future products infringe, misappropriate or otherwise violate third-party intellectual property rights could therefore have a material adverse impact on our business.</w:t>
      </w:r>
    </w:p>
    <w:p>
      <w:pPr>
        <w:spacing w:after="0" w:line="149"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i w:val="1"/>
          <w:iCs w:val="1"/>
          <w:color w:val="auto"/>
        </w:rPr>
        <w:t>Unfavorable outcomes in intellectual property litigation could limit our research and development activities and/or our ability to commercialize certain products.</w:t>
      </w:r>
    </w:p>
    <w:p>
      <w:pPr>
        <w:spacing w:after="0" w:line="157"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If third parties successfully assert their intellectual property rights against us, we might be barred from using certain aspects of our technology or barred from developing and commercializing certain products. Prohibitions against using certain technologies, or prohibitions against commercializing certain products, could be imposed by a court or by a settlement agreement between us and a plaintiff. In addition, if we are unsuccessful in defending against allegations that we have infringed, misappropriated or otherwise violated patent or other intellectual property rights of others, we may be forced to pay substantial damage awards to the plaintiff. There is inevitable uncertainty in any litigation, including intellectual property litigation. There can be no assurance that we would prevail in any intellectual property litigation, even if the case against us is weak or flawed. If litigation leads to an outcome unfavorable to us, we may be required to obtain a license from the intellectual property owner in order to continue our research and development programs or to market any resulting product. It is possible that the necessary license will not be available to us on commercially acceptable terms, or at all. Alternatively, we may be required to modify or redesign our products in order to avoid infringing or otherwise violating third-party intellectual property rights. This may not be technically or commercially feasible, may render our products less competitive, or may delay or prevent the entry of our products to the market. Any of the foregoing could limit our research and development activities, our ability to commercialize one or more product candidates, or both.</w:t>
      </w:r>
    </w:p>
    <w:p>
      <w:pPr>
        <w:spacing w:after="0" w:line="153"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Most of our competitors are larger than we are and have substantially greater resources. They are, therefore, likely to be able to sustain the costs of complex intellectual property litigation longer than we could. In addition, the uncertainties associated with litigation could have a material adverse effect on our ability to raise the funds necessary to conduct our clinical trials, continue our internal research programs, in-license needed technology, or enter into strategic partnerships that would help us bring our product candidates to market.</w:t>
      </w:r>
    </w:p>
    <w:p>
      <w:pPr>
        <w:spacing w:after="0" w:line="2"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In addition, any future intellectual property litigation, interference or other administrative proceedings will result in additional expense and distraction of our personnel. An adverse outcome in such litigation or proceedings may expose us or any future strategic partners to loss of our proprietary position, expose us to significant liabilities, or require us to seek licenses that may not be available on commercially acceptable terms, if at all, each of which could have a material adverse effect on our business.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Issued patents covering one or more of our product candidates could be found invalid or unenforceable if challenged in court.</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45" w:name="page46"/>
    <w:bookmarkEnd w:id="45"/>
    <w:p>
      <w:pPr>
        <w:ind w:right="60"/>
        <w:spacing w:after="0" w:line="235" w:lineRule="auto"/>
        <w:rPr>
          <w:sz w:val="20"/>
          <w:szCs w:val="20"/>
          <w:color w:val="auto"/>
        </w:rPr>
      </w:pPr>
      <w:r>
        <w:rPr>
          <w:rFonts w:ascii="Arial" w:cs="Arial" w:eastAsia="Arial" w:hAnsi="Arial"/>
          <w:sz w:val="17"/>
          <w:szCs w:val="17"/>
          <w:color w:val="auto"/>
        </w:rPr>
        <w:t>Despite measures we take to obtain patent and other intellectual property protection with respect to our product candidates and proprietary technology, any of our intellectual property rights could be challenged or invalidated. For example, if we were to initiate legal proceedings against a third party to enforce a patent covering one of our product candidates, the defendant could counterclaim that our patent is invalid and/or unenforceable. The same could occur in our patent infringement suit recently brought against Pfizer regarding Paxlovid, its antiviral treatment for COVID-19, even though our ‘953 patent at issue does not cover EDP-235 or our other discovery efforts targeted at SARS-CoV-2. In patent litigation in the United States and in some other jurisdictions, defendant counterclaims alleging invalidity and/or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relevant information from the United States Patent and Trademark Office, or the applicable foreign counterpart, or made a misleading statement, during prosecution. Although we believe that we have conducted our patent prosecution in accordance with the duty of candor and in good faith, the outcome following legal assertions of invalidity and unenforceability during patent litigation is unpredictable. With respect to the validity question, for example, we cannot be certain that there is no invalidating prior art, of which we and the patent examiner were unaware during prosecution. If a defendant were to prevail on a legal assertion of invalidity and/or unenforceability, other than in litigation like the Pfizer case, we would lose at least part, and perhaps all, of the patent protection on a product candidate. Even if a defendant does not prevail on a legal assertion of invalidity and/or unenforceability, our patent claims may be construed in a manner that would limit our ability to enforce such claims against the defendant and others. Any loss of patent protection could have a material adverse impact on one or more of our product candidates and our business.</w:t>
      </w:r>
    </w:p>
    <w:p>
      <w:pPr>
        <w:spacing w:after="0" w:line="164"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Enforcing our intellectual property rights against third parties may also cause such third parties to file other counterclaims against us, which could be costly to defend and could require us to pay substantial damages, cease the sale of certain products or enter into a license agreement and pay royalties (which may not be possible on commercially reasonable terms or at all). Any efforts to enforce our intellectual property rights are also likely to be costly, as may well be the case with the Pfizer suit, and may divert the efforts of our scientific and management personnel.</w:t>
      </w:r>
    </w:p>
    <w:p>
      <w:pPr>
        <w:spacing w:after="0" w:line="159"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b w:val="1"/>
          <w:bCs w:val="1"/>
          <w:i w:val="1"/>
          <w:iCs w:val="1"/>
          <w:color w:val="auto"/>
        </w:rPr>
        <w:t>Intellectual property litigation may lead to unfavorable publicity that harms our reputation and causes the market price of our common stock to decline.</w:t>
      </w:r>
    </w:p>
    <w:p>
      <w:pPr>
        <w:spacing w:after="0" w:line="157" w:lineRule="exact"/>
        <w:rPr>
          <w:sz w:val="20"/>
          <w:szCs w:val="20"/>
          <w:color w:val="auto"/>
        </w:rPr>
      </w:pPr>
    </w:p>
    <w:p>
      <w:pPr>
        <w:ind w:right="220"/>
        <w:spacing w:after="0" w:line="262" w:lineRule="auto"/>
        <w:rPr>
          <w:sz w:val="20"/>
          <w:szCs w:val="20"/>
          <w:color w:val="auto"/>
        </w:rPr>
      </w:pPr>
      <w:r>
        <w:rPr>
          <w:rFonts w:ascii="Arial" w:cs="Arial" w:eastAsia="Arial" w:hAnsi="Arial"/>
          <w:sz w:val="17"/>
          <w:szCs w:val="17"/>
          <w:color w:val="auto"/>
        </w:rPr>
        <w:t>During the course of any intellectual property litigation, there could be public announcements of the results of hearings, rulings on motions, and other interim proceedings in the litigation. If securities analysts or investors regard these announcements as negative, the perceived value of our products, programs or intellectual property could be diminished. Accordingly, the market price of our common stock may decline. Such announcements could also harm our reputation or the market for our future products, which could have a material adverse effect on our business.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protect us from all potential threats to our competitive advantage.</w:t>
      </w:r>
    </w:p>
    <w:p>
      <w:pPr>
        <w:spacing w:after="0" w:line="185"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75" w:lineRule="exact"/>
        <w:rPr>
          <w:sz w:val="20"/>
          <w:szCs w:val="20"/>
          <w:color w:val="auto"/>
        </w:rPr>
      </w:pPr>
    </w:p>
    <w:p>
      <w:pPr>
        <w:ind w:left="1020" w:right="40" w:hanging="503"/>
        <w:spacing w:after="0" w:line="261"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others may be able to make compounds that are similar to our product candidates but that are not covered by the claims of the patents that we own or have exclusively licensed;</w:t>
      </w:r>
    </w:p>
    <w:p>
      <w:pPr>
        <w:spacing w:after="0" w:line="62" w:lineRule="exact"/>
        <w:rPr>
          <w:rFonts w:ascii="Arial" w:cs="Arial" w:eastAsia="Arial" w:hAnsi="Arial"/>
          <w:sz w:val="18"/>
          <w:szCs w:val="18"/>
          <w:color w:val="auto"/>
        </w:rPr>
      </w:pPr>
    </w:p>
    <w:p>
      <w:pPr>
        <w:ind w:left="1020" w:right="180" w:hanging="503"/>
        <w:spacing w:after="0" w:line="291" w:lineRule="auto"/>
        <w:tabs>
          <w:tab w:leader="none" w:pos="10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we might not have been the first to make the inventions covered by the issued patents or pending patent applications that we own or may in the future exclusively license, which could result in the patent applications not issuing or being invalidated after issuing;</w:t>
      </w:r>
    </w:p>
    <w:p>
      <w:pPr>
        <w:spacing w:after="0" w:line="38" w:lineRule="exact"/>
        <w:rPr>
          <w:rFonts w:ascii="Arial" w:cs="Arial" w:eastAsia="Arial" w:hAnsi="Arial"/>
          <w:sz w:val="17"/>
          <w:szCs w:val="17"/>
          <w:color w:val="auto"/>
        </w:rPr>
      </w:pPr>
    </w:p>
    <w:p>
      <w:pPr>
        <w:ind w:left="1020" w:hanging="503"/>
        <w:spacing w:after="0" w:line="261"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covering certain of our inventions, which could result in the patent applications not issuing or being invalidated after issuing;</w:t>
      </w:r>
    </w:p>
    <w:p>
      <w:pPr>
        <w:spacing w:after="0" w:line="62" w:lineRule="exact"/>
        <w:rPr>
          <w:rFonts w:ascii="Arial" w:cs="Arial" w:eastAsia="Arial" w:hAnsi="Arial"/>
          <w:sz w:val="18"/>
          <w:szCs w:val="18"/>
          <w:color w:val="auto"/>
        </w:rPr>
      </w:pPr>
    </w:p>
    <w:p>
      <w:pPr>
        <w:ind w:left="1020" w:right="120" w:hanging="503"/>
        <w:spacing w:after="0" w:line="261"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will not lead to issued patents;</w:t>
      </w:r>
    </w:p>
    <w:p>
      <w:pPr>
        <w:spacing w:after="0" w:line="103" w:lineRule="exact"/>
        <w:rPr>
          <w:rFonts w:ascii="Arial" w:cs="Arial" w:eastAsia="Arial" w:hAnsi="Arial"/>
          <w:sz w:val="18"/>
          <w:szCs w:val="18"/>
          <w:color w:val="auto"/>
        </w:rPr>
      </w:pPr>
    </w:p>
    <w:p>
      <w:pPr>
        <w:ind w:left="1020" w:right="80" w:hanging="503"/>
        <w:spacing w:after="0" w:line="243"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issued patents that we own may not provide us with any competitive advantages, or may be held invalid or unenforceable, as a result of legal challenges by our competitors; we may obtain patents for certain compounds many years before we obtain marketing approval for products containing such compounds, and because patents have a limited life, which may begin to run prior to the commercial sale of the related product, the commercial value of our patents may be limited;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46" w:name="page47"/>
    <w:bookmarkEnd w:id="46"/>
    <w:p>
      <w:pPr>
        <w:ind w:left="1020" w:right="720" w:hanging="503"/>
        <w:spacing w:after="0" w:line="291" w:lineRule="auto"/>
        <w:tabs>
          <w:tab w:leader="none" w:pos="10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38" w:lineRule="exact"/>
        <w:rPr>
          <w:rFonts w:ascii="Arial" w:cs="Arial" w:eastAsia="Arial" w:hAnsi="Arial"/>
          <w:sz w:val="17"/>
          <w:szCs w:val="17"/>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may fail to develop additional proprietary technologies that are patentable;</w:t>
      </w:r>
    </w:p>
    <w:p>
      <w:pPr>
        <w:spacing w:after="0" w:line="103" w:lineRule="exact"/>
        <w:rPr>
          <w:rFonts w:ascii="Arial" w:cs="Arial" w:eastAsia="Arial" w:hAnsi="Arial"/>
          <w:sz w:val="18"/>
          <w:szCs w:val="18"/>
          <w:color w:val="auto"/>
        </w:rPr>
      </w:pPr>
    </w:p>
    <w:p>
      <w:pPr>
        <w:ind w:left="1020" w:right="60" w:hanging="503"/>
        <w:spacing w:after="0" w:line="291" w:lineRule="auto"/>
        <w:tabs>
          <w:tab w:leader="none" w:pos="10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laws of certain foreign countries may not protect our intellectual property rights to the same extent as the laws of the United States, or we may fail to apply for or obtain adequate intellectual property protection in all the jurisdictions in which we operate; and</w:t>
      </w:r>
    </w:p>
    <w:p>
      <w:pPr>
        <w:spacing w:after="0" w:line="38" w:lineRule="exact"/>
        <w:rPr>
          <w:rFonts w:ascii="Arial" w:cs="Arial" w:eastAsia="Arial" w:hAnsi="Arial"/>
          <w:sz w:val="17"/>
          <w:szCs w:val="17"/>
          <w:color w:val="auto"/>
        </w:rPr>
      </w:pPr>
    </w:p>
    <w:p>
      <w:pPr>
        <w:ind w:left="1020" w:right="240" w:hanging="503"/>
        <w:spacing w:after="0" w:line="261"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for example by preventing us from marketing one or more of our product candidates for one or more indications.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Any of the aforementioned threats to our competitive advantage could have a material adverse effect on our business.</w:t>
      </w:r>
    </w:p>
    <w:p>
      <w:pPr>
        <w:spacing w:after="0" w:line="198" w:lineRule="exact"/>
        <w:rPr>
          <w:sz w:val="20"/>
          <w:szCs w:val="20"/>
          <w:color w:val="auto"/>
        </w:rPr>
      </w:pPr>
    </w:p>
    <w:p>
      <w:pPr>
        <w:ind w:right="920"/>
        <w:spacing w:after="0" w:line="261" w:lineRule="auto"/>
        <w:rPr>
          <w:sz w:val="20"/>
          <w:szCs w:val="20"/>
          <w:color w:val="auto"/>
        </w:rPr>
      </w:pPr>
      <w:r>
        <w:rPr>
          <w:rFonts w:ascii="Arial" w:cs="Arial" w:eastAsia="Arial" w:hAnsi="Arial"/>
          <w:sz w:val="18"/>
          <w:szCs w:val="18"/>
          <w:b w:val="1"/>
          <w:bCs w:val="1"/>
          <w:i w:val="1"/>
          <w:iCs w:val="1"/>
          <w:color w:val="auto"/>
        </w:rPr>
        <w:t>Confidentiality agreements with employees and third parties may not prevent unauthorized disclosure of trade secrets and other proprietary information.</w:t>
      </w:r>
    </w:p>
    <w:p>
      <w:pPr>
        <w:spacing w:after="0" w:line="157" w:lineRule="exact"/>
        <w:rPr>
          <w:sz w:val="20"/>
          <w:szCs w:val="20"/>
          <w:color w:val="auto"/>
        </w:rPr>
      </w:pPr>
    </w:p>
    <w:p>
      <w:pPr>
        <w:ind w:right="40"/>
        <w:spacing w:after="0" w:line="250" w:lineRule="auto"/>
        <w:rPr>
          <w:sz w:val="20"/>
          <w:szCs w:val="20"/>
          <w:color w:val="auto"/>
        </w:rPr>
      </w:pPr>
      <w:r>
        <w:rPr>
          <w:rFonts w:ascii="Arial" w:cs="Arial" w:eastAsia="Arial" w:hAnsi="Arial"/>
          <w:sz w:val="17"/>
          <w:szCs w:val="17"/>
          <w:color w:val="auto"/>
        </w:rPr>
        <w:t>In addition to patents, we rely on trade secrets, technical know-how and proprietary information concerning our business strategy and product candidates in order to protect our competitive position in the field of each of our antiviral product candidates and our NASH compounds. In the course of our research and development activities and our business activities, we often rely on confidentiality agreements to protect our proprietary information. Such confidentiality agreements are used, for example, when we talk to vendors of laboratory or clinical development services or potential strategic partners. In addition, each of our employees is required to sign a confidentiality agreement and invention assignment agreement upon joining our company. We take steps to protect our proprietary information, and our confidentiality agreements and invention assignment agreements are carefully drafted to protect our proprietary interests. Nevertheless, there can be no guarantee that an employee or an outside party will not make an unauthorized disclosure of our proprietary confidential information. This might happen intentionally or inadvertently. It is possible that a competitor will make use of such information, and that our competitive position will be compromised, in spite of any legal action we might take against persons making such unauthorized disclosures. In addition, to the extent that our employees, consultants or contractors use intellectual property owned by others in their work for us, disputes may arise as to the rights in related or resulting know-how and inventions.</w:t>
      </w:r>
    </w:p>
    <w:p>
      <w:pPr>
        <w:spacing w:after="0" w:line="4" w:lineRule="exact"/>
        <w:rPr>
          <w:sz w:val="20"/>
          <w:szCs w:val="20"/>
          <w:color w:val="auto"/>
        </w:rPr>
      </w:pPr>
    </w:p>
    <w:p>
      <w:pPr>
        <w:ind w:right="60"/>
        <w:spacing w:after="0" w:line="254" w:lineRule="auto"/>
        <w:rPr>
          <w:sz w:val="20"/>
          <w:szCs w:val="20"/>
          <w:color w:val="auto"/>
        </w:rPr>
      </w:pPr>
      <w:r>
        <w:rPr>
          <w:rFonts w:ascii="Arial" w:cs="Arial" w:eastAsia="Arial" w:hAnsi="Arial"/>
          <w:sz w:val="17"/>
          <w:szCs w:val="17"/>
          <w:color w:val="auto"/>
        </w:rPr>
        <w:t>Trade secrets are difficult to protect. Although we use reasonable efforts to protect our trade secrets, our employees, consultants, contractors, business partners or outside scientific collaborators might intentionally or inadvertently disclose our trade secret information to competitors or our trade secrets may otherwise be misappropriated. Enforcing a claim that a third party illegally obtained and is using any of our trade secrets is expensive and time consuming, and the outcome is unpredictable. In addition, courts outside the United States sometimes are less willing than United States courts to protect trade secrets. Moreover, our competitors may independently develop equivalent knowledge, methods and know-how.</w:t>
      </w:r>
    </w:p>
    <w:p>
      <w:pPr>
        <w:spacing w:after="0" w:line="151" w:lineRule="exact"/>
        <w:rPr>
          <w:sz w:val="20"/>
          <w:szCs w:val="20"/>
          <w:color w:val="auto"/>
        </w:rPr>
      </w:pPr>
    </w:p>
    <w:p>
      <w:pPr>
        <w:ind w:right="80"/>
        <w:spacing w:after="0"/>
        <w:rPr>
          <w:sz w:val="20"/>
          <w:szCs w:val="20"/>
          <w:color w:val="auto"/>
        </w:rPr>
      </w:pPr>
      <w:r>
        <w:rPr>
          <w:rFonts w:ascii="Arial" w:cs="Arial" w:eastAsia="Arial" w:hAnsi="Arial"/>
          <w:sz w:val="17"/>
          <w:szCs w:val="17"/>
          <w:color w:val="auto"/>
        </w:rPr>
        <w:t>Our collaborators may have rights to publish data and other information to which we have rights. In addition, we sometimes engage individuals or entities to conduct research relevant to our business. The ability of these individuals or entities to publish or otherwise publicly disclose data and other information generated during the course of their research is subject to certain contractual limitations. These contractual provisions may be insufficient or inadequate to protect our confidential information.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 which could adversely affect our business.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patent law could diminish the value of patents in general, thereby impairing our ability to protect our products.</w:t>
      </w:r>
    </w:p>
    <w:p>
      <w:pPr>
        <w:spacing w:after="0" w:line="198"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As is the case with many other biopharmaceutical companies, our success is heavily dependent on intellectual property, particularly patents. Obtaining, maintaining and enforcing patents in the biopharmaceutical industry involves both technological complexity and legal complexity. Therefore, the process of obtaining, maintaining and enforcing biopharmaceutical patents is costly, time-consuming and inherently uncertain. In addition, recent legislative and judicial developments in the United States and elsewhere have in some cases narrowed the protection afforded to patent owners, made patents more difficult to obtain, or increased the uncertainty regarding the ability to obtain, maintain and enforce patents. For example, Congress recently passed patent reform legislation, and may pass patent reform legislation in the future. The United States Supreme Court has ruled on several patent cases in recent years, and in certain circumstances has narrowed the scope of patent protection available or otherwise weakened the rights of patent owners. In addition to increasing uncertainty with regard to our ability to obtain patents in the future, this combination of events has created uncertainty with respect to the value of patents, once obtained. Depending on decisions and actions by the United States Congress, the federal courts, the United States Patent and Trademark Office, and their respective foreign counterparts, the laws and regulations governing patents could change in unpredictable ways that could weaken our ability to obtain new patents or to maintain and enforce our existing patents and patents that we might obtain in the future.</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Risks Related to Our Industry</w:t>
      </w:r>
    </w:p>
    <w:p>
      <w:pPr>
        <w:spacing w:after="0" w:line="189"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57"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We face an inherent risk of product liability as a result of the clinical testing of our product candidates, and we will face an even greater risk if we commercialize any product candidates. For example, we may be sued if any of our product candidates, including any that are developed in combination therapies,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There is also risk that third parties we have agreed to indemnify could incur liability.</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Regardless of the merits or eventual outcome, liability claims may result in:</w:t>
      </w:r>
    </w:p>
    <w:p>
      <w:pPr>
        <w:spacing w:after="0" w:line="88" w:lineRule="exact"/>
        <w:rPr>
          <w:sz w:val="20"/>
          <w:szCs w:val="20"/>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decreased demand for our product candidates or any resulting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decline in our stock price.</w:t>
      </w:r>
    </w:p>
    <w:p>
      <w:pPr>
        <w:spacing w:after="0" w:line="198" w:lineRule="exact"/>
        <w:rPr>
          <w:sz w:val="20"/>
          <w:szCs w:val="20"/>
          <w:color w:val="auto"/>
        </w:rPr>
      </w:pPr>
    </w:p>
    <w:p>
      <w:pPr>
        <w:ind w:right="100"/>
        <w:spacing w:after="0" w:line="255" w:lineRule="auto"/>
        <w:rPr>
          <w:sz w:val="20"/>
          <w:szCs w:val="20"/>
          <w:color w:val="auto"/>
        </w:rPr>
      </w:pPr>
      <w:r>
        <w:rPr>
          <w:rFonts w:ascii="Arial" w:cs="Arial" w:eastAsia="Arial" w:hAnsi="Arial"/>
          <w:sz w:val="17"/>
          <w:szCs w:val="17"/>
          <w:color w:val="auto"/>
        </w:rPr>
        <w:t>Our inability to obtain and retain sufficient product liability insurance at an acceptable cost to protect against potential product liability claims could prevent or inhibit the commercialization of products we develop. We currently carry product liability insurance covering our clinical studies in the amount of $15.0 million in the aggregate. Although we maintain such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spacing w:after="0" w:line="153" w:lineRule="exact"/>
        <w:rPr>
          <w:sz w:val="20"/>
          <w:szCs w:val="20"/>
          <w:color w:val="auto"/>
        </w:rPr>
      </w:pPr>
    </w:p>
    <w:p>
      <w:pPr>
        <w:ind w:right="420"/>
        <w:spacing w:after="0" w:line="246" w:lineRule="auto"/>
        <w:rPr>
          <w:sz w:val="20"/>
          <w:szCs w:val="20"/>
          <w:color w:val="auto"/>
        </w:rPr>
      </w:pPr>
      <w:r>
        <w:rPr>
          <w:rFonts w:ascii="Arial" w:cs="Arial" w:eastAsia="Arial" w:hAnsi="Arial"/>
          <w:sz w:val="18"/>
          <w:szCs w:val="18"/>
          <w:b w:val="1"/>
          <w:bCs w:val="1"/>
          <w:i w:val="1"/>
          <w:iCs w:val="1"/>
          <w:color w:val="auto"/>
        </w:rPr>
        <w:t>Our internal computer systems, or those of our collaborator, CROs or other contractors or consultants, may fail or suffer security breaches, which could result in a material disruption of development programs for our product candidates.</w:t>
      </w:r>
    </w:p>
    <w:p>
      <w:pPr>
        <w:spacing w:after="0" w:line="156"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Despite the implementation of security measures, our internal computer systems and those of our collaborators, CROs, and other contractors and consultants are vulnerable to damage from computer viruses, unauthorized access, natural disasters, pandemics, terrorism, war and telecommunication and electrical failures. Information security risks have significantly increased in recent years and during the COVID-19 pandemic in part due to the proliferation of new technologies, the increased sophistication and activities of organized crime, hackers, terrorists and other external parties, including foreign state actors as well as remote working for many businesses. As cyber threats continue to evolve, we may be required to expend significant additional resources to continue to modify or enhance our protective measures or to investigate and remediate any information security breaches.</w:t>
      </w:r>
    </w:p>
    <w:p>
      <w:pPr>
        <w:spacing w:after="0" w:line="148" w:lineRule="exact"/>
        <w:rPr>
          <w:sz w:val="20"/>
          <w:szCs w:val="20"/>
          <w:color w:val="auto"/>
        </w:rPr>
      </w:pPr>
    </w:p>
    <w:p>
      <w:pPr>
        <w:ind w:right="60"/>
        <w:spacing w:after="0" w:line="272" w:lineRule="auto"/>
        <w:rPr>
          <w:sz w:val="20"/>
          <w:szCs w:val="20"/>
          <w:color w:val="auto"/>
        </w:rPr>
      </w:pPr>
      <w:r>
        <w:rPr>
          <w:rFonts w:ascii="Arial" w:cs="Arial" w:eastAsia="Arial" w:hAnsi="Arial"/>
          <w:sz w:val="16"/>
          <w:szCs w:val="16"/>
          <w:color w:val="auto"/>
        </w:rPr>
        <w:t>While we have not experienced any such system failure, accident or security breach to date, if such an event were to occur and cause interruptions in our operations, it could result in a material disruption of our independent drug development programs. For example, the loss of clinical trial data from ongoing or future clinical trials for any of our product candidates could result in delays in regulatory approval efforts and significantly increase costs to recover or reproduce the data. Our information security systems are also subject to laws and regulations requiring that we take measures to protect the privacy and security of certain information we gather and use in our business. For example, HIPAA and its implementing regulations impose, among other requirements, certain regulatory and contractual requirements regarding the privacy and security of personal health information. In the European Union the General Data Protection Regulation, or GDPR, is even more restrictive with respect to all personal information, including information masked by a coding system. In addition to HIPAA and GDPR, numerous other federal and state laws, including, without limitation, state security</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48" w:name="page49"/>
    <w:bookmarkEnd w:id="48"/>
    <w:p>
      <w:pPr>
        <w:ind w:right="80"/>
        <w:spacing w:after="0" w:line="243" w:lineRule="auto"/>
        <w:rPr>
          <w:sz w:val="20"/>
          <w:szCs w:val="20"/>
          <w:color w:val="auto"/>
        </w:rPr>
      </w:pPr>
      <w:r>
        <w:rPr>
          <w:rFonts w:ascii="Arial" w:cs="Arial" w:eastAsia="Arial" w:hAnsi="Arial"/>
          <w:sz w:val="18"/>
          <w:szCs w:val="18"/>
          <w:color w:val="auto"/>
        </w:rPr>
        <w:t>breach notification laws, state health information privacy laws and federal and state consumer protection laws, govern the collection, use, disclosure and storage of personal information. To the extent that any disruption or security breach were to result in a loss of or damage to data or applications, or inappropriate disclosure of confidential or proprietary information or personal health information, we could incur substantial liability, our reputation would be damaged, and the further development of our product candidates could be delayed.</w:t>
      </w:r>
    </w:p>
    <w:p>
      <w:pPr>
        <w:spacing w:after="0" w:line="174"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b w:val="1"/>
          <w:bCs w:val="1"/>
          <w:i w:val="1"/>
          <w:iCs w:val="1"/>
          <w:color w:val="auto"/>
        </w:rPr>
        <w:t>Our relationships with customers and third-party payors in the United States and elsewhere will be subject to applicable anti-kickback, fraud and abuse and other healthcare laws and regulations, which could expose us to criminal sanctions, civil penalties, contractual damages, reputational harm and diminished profits and future earnings.</w:t>
      </w:r>
    </w:p>
    <w:p>
      <w:pPr>
        <w:spacing w:after="0" w:line="168" w:lineRule="exact"/>
        <w:rPr>
          <w:sz w:val="20"/>
          <w:szCs w:val="20"/>
          <w:color w:val="auto"/>
        </w:rPr>
      </w:pPr>
    </w:p>
    <w:p>
      <w:pPr>
        <w:ind w:right="100"/>
        <w:spacing w:after="0" w:line="241" w:lineRule="auto"/>
        <w:rPr>
          <w:sz w:val="20"/>
          <w:szCs w:val="20"/>
          <w:color w:val="auto"/>
        </w:rPr>
      </w:pPr>
      <w:r>
        <w:rPr>
          <w:rFonts w:ascii="Arial" w:cs="Arial" w:eastAsia="Arial" w:hAnsi="Arial"/>
          <w:sz w:val="18"/>
          <w:szCs w:val="18"/>
          <w:color w:val="auto"/>
        </w:rPr>
        <w:t>Healthcare providers, physicians and third-party payors in the United States and elsewhere play a primary role in the recommendation and prescription of any product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products for which we obtain marketing approval. Restrictions under applicable federal, state and foreign healthcare laws and regulations include the following:</w:t>
      </w:r>
    </w:p>
    <w:p>
      <w:pPr>
        <w:spacing w:after="0" w:line="81" w:lineRule="exact"/>
        <w:rPr>
          <w:sz w:val="20"/>
          <w:szCs w:val="20"/>
          <w:color w:val="auto"/>
        </w:rPr>
      </w:pPr>
    </w:p>
    <w:p>
      <w:pPr>
        <w:ind w:left="1020" w:hanging="503"/>
        <w:spacing w:after="0" w:line="243"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federal healthcare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w:t>
      </w:r>
    </w:p>
    <w:p>
      <w:pPr>
        <w:spacing w:after="0" w:line="79" w:lineRule="exact"/>
        <w:rPr>
          <w:rFonts w:ascii="Arial" w:cs="Arial" w:eastAsia="Arial" w:hAnsi="Arial"/>
          <w:sz w:val="18"/>
          <w:szCs w:val="18"/>
          <w:color w:val="auto"/>
        </w:rPr>
      </w:pPr>
    </w:p>
    <w:p>
      <w:pPr>
        <w:jc w:val="both"/>
        <w:ind w:left="1020" w:right="300" w:hanging="503"/>
        <w:spacing w:after="0" w:line="270" w:lineRule="auto"/>
        <w:tabs>
          <w:tab w:leader="none" w:pos="10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 xml:space="preserve">the federal False Claims Act imposes criminal and civil penalties, including civil whistleblower or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55" w:lineRule="exact"/>
        <w:rPr>
          <w:rFonts w:ascii="Arial" w:cs="Arial" w:eastAsia="Arial" w:hAnsi="Arial"/>
          <w:sz w:val="17"/>
          <w:szCs w:val="17"/>
          <w:color w:val="auto"/>
        </w:rPr>
      </w:pPr>
    </w:p>
    <w:p>
      <w:pPr>
        <w:ind w:left="1020" w:right="280" w:hanging="503"/>
        <w:spacing w:after="0" w:line="243"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as amended by the Health Information Technology for Economic and Clinical Health Act, imposes criminal and civil liability for executing a scheme to defraud any healthcare benefit program and also imposes obligations, including mandatory contractual terms, with respect to safeguarding the privacy, security and transmission of individually identifiable health information;</w:t>
      </w:r>
    </w:p>
    <w:p>
      <w:pPr>
        <w:spacing w:after="0" w:line="79" w:lineRule="exact"/>
        <w:rPr>
          <w:rFonts w:ascii="Arial" w:cs="Arial" w:eastAsia="Arial" w:hAnsi="Arial"/>
          <w:sz w:val="18"/>
          <w:szCs w:val="18"/>
          <w:color w:val="auto"/>
        </w:rPr>
      </w:pPr>
    </w:p>
    <w:p>
      <w:pPr>
        <w:ind w:left="1020" w:right="420" w:hanging="503"/>
        <w:spacing w:after="0" w:line="291" w:lineRule="auto"/>
        <w:tabs>
          <w:tab w:leader="none" w:pos="10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38" w:lineRule="exact"/>
        <w:rPr>
          <w:rFonts w:ascii="Arial" w:cs="Arial" w:eastAsia="Arial" w:hAnsi="Arial"/>
          <w:sz w:val="17"/>
          <w:szCs w:val="17"/>
          <w:color w:val="auto"/>
        </w:rPr>
      </w:pPr>
    </w:p>
    <w:p>
      <w:pPr>
        <w:ind w:left="1020" w:right="20" w:hanging="503"/>
        <w:spacing w:after="0" w:line="248"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federal transparency requirements under the Patient Protection and Affordable Care Act of 2010 requires manufacturers of drugs, devices, biologics and medical supplies to report to the Department of Health and Human Services information related to physician payments and other transfers of value and physician ownership and investment interests;</w:t>
      </w:r>
    </w:p>
    <w:p>
      <w:pPr>
        <w:spacing w:after="0" w:line="73" w:lineRule="exact"/>
        <w:rPr>
          <w:rFonts w:ascii="Arial" w:cs="Arial" w:eastAsia="Arial" w:hAnsi="Arial"/>
          <w:sz w:val="18"/>
          <w:szCs w:val="18"/>
          <w:color w:val="auto"/>
        </w:rPr>
      </w:pPr>
    </w:p>
    <w:p>
      <w:pPr>
        <w:ind w:left="1020" w:right="120" w:hanging="503"/>
        <w:spacing w:after="0" w:line="259" w:lineRule="auto"/>
        <w:tabs>
          <w:tab w:leader="none" w:pos="10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analogous state laws and regulations, such as state anti-kickback and false claims laws,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healthcare providers or marketing expenditures; and</w:t>
      </w:r>
    </w:p>
    <w:p>
      <w:pPr>
        <w:spacing w:after="0" w:line="65" w:lineRule="exact"/>
        <w:rPr>
          <w:rFonts w:ascii="Arial" w:cs="Arial" w:eastAsia="Arial" w:hAnsi="Arial"/>
          <w:sz w:val="17"/>
          <w:szCs w:val="17"/>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analogous anti-kickback, fraud and abuse and healthcare laws and regulations in foreign countries.</w:t>
      </w:r>
    </w:p>
    <w:p>
      <w:pPr>
        <w:spacing w:after="0" w:line="171"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exclusion from government funded healthcare programs, such as Medicare and Medicaid, and the curtailment or restructuring of our operations, which could have a material adverse effect on our business. If any of the physicians or other providers or entities with whom we expect to do business, including our collaborators, are found not to be in compliance with applicable laws, they may be subject to criminal, civil or administrative sanctions, including exclusions from government funded healthcare programs, which could also materially affect our business.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has been, and is likely to continue to be, volatile, and thus our stockholders could incur substantial losses.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49" w:name="page50"/>
    <w:bookmarkEnd w:id="49"/>
    <w:p>
      <w:pPr>
        <w:spacing w:after="0" w:line="276" w:lineRule="auto"/>
        <w:rPr>
          <w:sz w:val="20"/>
          <w:szCs w:val="20"/>
          <w:color w:val="auto"/>
        </w:rPr>
      </w:pPr>
      <w:r>
        <w:rPr>
          <w:rFonts w:ascii="Arial" w:cs="Arial" w:eastAsia="Arial" w:hAnsi="Arial"/>
          <w:sz w:val="16"/>
          <w:szCs w:val="16"/>
          <w:color w:val="auto"/>
        </w:rPr>
        <w:t>Our stock price has been volatile and could be subject to wide fluctuations in response to various factors, many of which are beyond our control. From June 30, 2016 through June 30, 2022, the daily closing price of our common stock on the NASDAQ Global Select Market has ranged from $21.00 to $126.37. The stock market in general and the market for biopharmaceutical companies, and for those developing potential therapies for viral infections and liver diseases in particular, have experienced extreme volatility that has often been unrelated to the operating performance of particular companies, which in some cases has been exacerbated by the COVID-19 pandemic. As a result of this volatility, you may not be able to sell your holdings of our common stock at or above your purchase price, if at all. The market price for our common stock may be influenced by many factors, including:</w:t>
      </w:r>
    </w:p>
    <w:p>
      <w:pPr>
        <w:spacing w:after="0" w:line="54" w:lineRule="exact"/>
        <w:rPr>
          <w:sz w:val="20"/>
          <w:szCs w:val="20"/>
          <w:color w:val="auto"/>
        </w:rPr>
      </w:pPr>
    </w:p>
    <w:p>
      <w:pPr>
        <w:ind w:left="1020" w:right="500" w:hanging="503"/>
        <w:spacing w:after="0" w:line="261"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results from or delays of clinical trials of our product candidates, as well as results of regulatory reviews relating to the approval of our product candidates;</w:t>
      </w:r>
    </w:p>
    <w:p>
      <w:pPr>
        <w:spacing w:after="0" w:line="62" w:lineRule="exact"/>
        <w:rPr>
          <w:rFonts w:ascii="Arial" w:cs="Arial" w:eastAsia="Arial" w:hAnsi="Arial"/>
          <w:sz w:val="18"/>
          <w:szCs w:val="18"/>
          <w:color w:val="auto"/>
        </w:rPr>
      </w:pPr>
    </w:p>
    <w:p>
      <w:pPr>
        <w:ind w:left="1020" w:right="920" w:hanging="503"/>
        <w:spacing w:after="0" w:line="261"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actions by AbbVie regarding the MAVYRET/MAVIRET regimen, including announcements regarding regulatory or commercial developments;</w:t>
      </w:r>
    </w:p>
    <w:p>
      <w:pPr>
        <w:spacing w:after="0" w:line="62" w:lineRule="exact"/>
        <w:rPr>
          <w:rFonts w:ascii="Arial" w:cs="Arial" w:eastAsia="Arial" w:hAnsi="Arial"/>
          <w:sz w:val="18"/>
          <w:szCs w:val="18"/>
          <w:color w:val="auto"/>
        </w:rPr>
      </w:pPr>
    </w:p>
    <w:p>
      <w:pPr>
        <w:ind w:left="1020" w:right="480" w:hanging="503"/>
        <w:spacing w:after="0" w:line="261"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market expectations about and response to the levels of sales or scripts achieved by, or the announced prices or discounts for, AbbVie’s MAVYRET/MAVIRET regimen or competitive HCV drugs;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failure of AbbVie’s MAVYRET/MAVIRET regimen to maintain its sales levels;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results of our efforts to discover or develop additional product candidates;</w:t>
      </w:r>
    </w:p>
    <w:p>
      <w:pPr>
        <w:spacing w:after="0" w:line="103" w:lineRule="exact"/>
        <w:rPr>
          <w:rFonts w:ascii="Arial" w:cs="Arial" w:eastAsia="Arial" w:hAnsi="Arial"/>
          <w:sz w:val="18"/>
          <w:szCs w:val="18"/>
          <w:color w:val="auto"/>
        </w:rPr>
      </w:pPr>
    </w:p>
    <w:p>
      <w:pPr>
        <w:ind w:left="1020" w:right="400" w:hanging="503"/>
        <w:spacing w:after="0" w:line="261"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new products, product candidates or new uses for existing products or technologies introduced or announced by our competitors and the timing of these introductions or announcements;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our dependence on third parties, including our collaborators, CROs, manufacturers, clinical trial sponsors and clinical investigators;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regulatory, political or legal developments in the United States or other countries;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recruitment or departure of key scientific or management personnel;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ability to commercialize our product candidates we develop independently, if approved;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period-to-period variations in our financial results or those of companies that are perceived to be similar to us;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sales of common stock by us or our stockholders in the future, as well as the overall trading volume of our common stock;</w:t>
      </w:r>
    </w:p>
    <w:p>
      <w:pPr>
        <w:spacing w:after="0" w:line="103" w:lineRule="exact"/>
        <w:rPr>
          <w:rFonts w:ascii="Arial" w:cs="Arial" w:eastAsia="Arial" w:hAnsi="Arial"/>
          <w:sz w:val="18"/>
          <w:szCs w:val="18"/>
          <w:color w:val="auto"/>
        </w:rPr>
      </w:pPr>
    </w:p>
    <w:p>
      <w:pPr>
        <w:ind w:left="1020" w:right="180" w:hanging="503"/>
        <w:spacing w:after="0" w:line="261"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 or other actions that affect the effective reimbursement rates for treatment regimens containing our products or for competitive regimens;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03" w:lineRule="exact"/>
        <w:rPr>
          <w:rFonts w:ascii="Arial" w:cs="Arial" w:eastAsia="Arial" w:hAnsi="Arial"/>
          <w:sz w:val="18"/>
          <w:szCs w:val="18"/>
          <w:color w:val="auto"/>
        </w:rPr>
      </w:pPr>
    </w:p>
    <w:p>
      <w:pPr>
        <w:ind w:left="1020" w:right="420" w:hanging="503"/>
        <w:spacing w:after="0" w:line="261"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 other factors that may be unrelated to our operating performance or the operating performance of our competitors, including changes in market valuations of similar companies;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198"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could make an acquisition of us, which may be beneficial to our stockholders, more difficult and may prevent attempts by our stockholders to replace or remove our current management.</w:t>
      </w:r>
    </w:p>
    <w:p>
      <w:pPr>
        <w:spacing w:after="0" w:line="15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Provisions in our corporate charter and our bylaws may discourage, delay or prevent a merger, acquisition or other change in control of us that stockholders may consider favorable, including transactions in which they might otherwise receive a premium for their shares.</w:t>
      </w:r>
    </w:p>
    <w:p>
      <w:pPr>
        <w:spacing w:after="0" w:line="157" w:lineRule="exact"/>
        <w:rPr>
          <w:sz w:val="20"/>
          <w:szCs w:val="20"/>
          <w:color w:val="auto"/>
        </w:rPr>
      </w:pPr>
    </w:p>
    <w:p>
      <w:pPr>
        <w:ind w:right="220"/>
        <w:spacing w:after="0" w:line="262" w:lineRule="auto"/>
        <w:rPr>
          <w:sz w:val="20"/>
          <w:szCs w:val="20"/>
          <w:color w:val="auto"/>
        </w:rPr>
      </w:pPr>
      <w:r>
        <w:rPr>
          <w:rFonts w:ascii="Arial" w:cs="Arial" w:eastAsia="Arial" w:hAnsi="Arial"/>
          <w:sz w:val="17"/>
          <w:szCs w:val="17"/>
          <w:color w:val="auto"/>
        </w:rPr>
        <w:t>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50" w:name="page51"/>
    <w:bookmarkEnd w:id="50"/>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establish a classified or staggered board of directors such that not all members of the board are elected at one time;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allow the authorized number of our directors to be changed only by resolution of our board of directors;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limit the manner in which stockholders can remove directors from the board;</w:t>
      </w:r>
    </w:p>
    <w:p>
      <w:pPr>
        <w:spacing w:after="0" w:line="103" w:lineRule="exact"/>
        <w:rPr>
          <w:rFonts w:ascii="Arial" w:cs="Arial" w:eastAsia="Arial" w:hAnsi="Arial"/>
          <w:sz w:val="18"/>
          <w:szCs w:val="18"/>
          <w:color w:val="auto"/>
        </w:rPr>
      </w:pPr>
    </w:p>
    <w:p>
      <w:pPr>
        <w:ind w:left="1020" w:right="20" w:hanging="503"/>
        <w:spacing w:after="0" w:line="261"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establish advance notice requirements for stockholder proposals that can be acted on at stockholder meetings and nominations to our board of directors;</w:t>
      </w:r>
    </w:p>
    <w:p>
      <w:pPr>
        <w:spacing w:after="0" w:line="62" w:lineRule="exact"/>
        <w:rPr>
          <w:rFonts w:ascii="Arial" w:cs="Arial" w:eastAsia="Arial" w:hAnsi="Arial"/>
          <w:sz w:val="18"/>
          <w:szCs w:val="18"/>
          <w:color w:val="auto"/>
        </w:rPr>
      </w:pPr>
    </w:p>
    <w:p>
      <w:pPr>
        <w:ind w:left="1020" w:right="360" w:hanging="503"/>
        <w:spacing w:after="0" w:line="261"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require that stockholder actions must be effected at a duly called stockholder meeting and prohibit actions by our stockholders by written consent;</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limit who may call stockholder meetings;</w:t>
      </w:r>
    </w:p>
    <w:p>
      <w:pPr>
        <w:spacing w:after="0" w:line="103" w:lineRule="exact"/>
        <w:rPr>
          <w:rFonts w:ascii="Arial" w:cs="Arial" w:eastAsia="Arial" w:hAnsi="Arial"/>
          <w:sz w:val="18"/>
          <w:szCs w:val="18"/>
          <w:color w:val="auto"/>
        </w:rPr>
      </w:pPr>
    </w:p>
    <w:p>
      <w:pPr>
        <w:ind w:left="1020" w:right="400" w:hanging="503"/>
        <w:spacing w:after="0" w:line="261"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provide that the state courts or, in certain circumstances, the federal courts, in Delaware shall be the sole and exclusive forum for certain actions involving us, our directors, officers, employees and stockholders;</w:t>
      </w:r>
    </w:p>
    <w:p>
      <w:pPr>
        <w:spacing w:after="0" w:line="62" w:lineRule="exact"/>
        <w:rPr>
          <w:rFonts w:ascii="Arial" w:cs="Arial" w:eastAsia="Arial" w:hAnsi="Arial"/>
          <w:sz w:val="18"/>
          <w:szCs w:val="18"/>
          <w:color w:val="auto"/>
        </w:rPr>
      </w:pPr>
    </w:p>
    <w:p>
      <w:pPr>
        <w:ind w:left="1020" w:right="480" w:hanging="503"/>
        <w:spacing w:after="0" w:line="270" w:lineRule="auto"/>
        <w:tabs>
          <w:tab w:leader="none" w:pos="10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provide our board of directors with the authority to designate the terms of and issue a new series of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55" w:lineRule="exact"/>
        <w:rPr>
          <w:rFonts w:ascii="Arial" w:cs="Arial" w:eastAsia="Arial" w:hAnsi="Arial"/>
          <w:sz w:val="17"/>
          <w:szCs w:val="17"/>
          <w:color w:val="auto"/>
        </w:rPr>
      </w:pPr>
    </w:p>
    <w:p>
      <w:pPr>
        <w:ind w:left="1020" w:right="480" w:hanging="503"/>
        <w:spacing w:after="0" w:line="261"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require the approval of the holders of at least 66 2/3% of the votes that all our stockholders would be entitled to cast to amend or repeal certain provisions of our charter or bylaws.</w:t>
      </w:r>
    </w:p>
    <w:p>
      <w:pPr>
        <w:spacing w:after="0" w:line="157" w:lineRule="exact"/>
        <w:rPr>
          <w:sz w:val="20"/>
          <w:szCs w:val="20"/>
          <w:color w:val="auto"/>
        </w:rPr>
      </w:pPr>
    </w:p>
    <w:p>
      <w:pPr>
        <w:ind w:right="20"/>
        <w:spacing w:after="0"/>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which prohibit a person who owns 15% or more of our outstanding voting stock from merging or combining with us for a period of three years after the date of the transaction in which the person acquired in excess of 15% of our outstanding voting stock, unless the merger or combination is approved in a prescribed manner. Any provision in our corporate charter or our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76"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b w:val="1"/>
          <w:bCs w:val="1"/>
          <w:i w:val="1"/>
          <w:iCs w:val="1"/>
          <w:color w:val="auto"/>
        </w:rPr>
        <w:t>Our employment agreements with our executive officers may require us to pay severance benefits to any of those persons who are terminated in connection with a change of control of us, which could harm our financial condition or results.</w:t>
      </w:r>
    </w:p>
    <w:p>
      <w:pPr>
        <w:spacing w:after="0" w:line="157"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auto"/>
        </w:rPr>
        <w:t>Our executive officers are parties to employment agreements that provide for aggregate cash payments of up to approximately $5.2 million for severance and other non-equity-based benefits in the event of a termination of employment in connection with a change of control of our company. In addition, based on the closing price of our common stock of $47.27 per common share as of June 30, 2022, the aggregate intrinsic value of unvested stock options and other equity awards subject to accelerated vesting upon these events was $11.4 million. The accelerated vesting of awards options could result in dilution to our stockholders and harm the market price of our common stock. The payment of these severance benefits could harm our company’s financial condition and results. In addition, these potential severance payments may discourage or prevent third parties from seeking a business combination with us.</w:t>
      </w:r>
    </w:p>
    <w:p>
      <w:pPr>
        <w:spacing w:after="0" w:line="148"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i w:val="1"/>
          <w:iCs w:val="1"/>
          <w:color w:val="auto"/>
        </w:rPr>
        <w:t>Because we do not anticipate paying cash dividends on our common stock for the foreseeable future, investors in our common stock may never receive a return on their investment.</w:t>
      </w:r>
    </w:p>
    <w:p>
      <w:pPr>
        <w:spacing w:after="0" w:line="157" w:lineRule="exact"/>
        <w:rPr>
          <w:sz w:val="20"/>
          <w:szCs w:val="20"/>
          <w:color w:val="auto"/>
        </w:rPr>
      </w:pPr>
    </w:p>
    <w:p>
      <w:pPr>
        <w:spacing w:after="0" w:line="291" w:lineRule="auto"/>
        <w:rPr>
          <w:sz w:val="20"/>
          <w:szCs w:val="20"/>
          <w:color w:val="auto"/>
        </w:rPr>
      </w:pPr>
      <w:r>
        <w:rPr>
          <w:rFonts w:ascii="Arial" w:cs="Arial" w:eastAsia="Arial" w:hAnsi="Arial"/>
          <w:sz w:val="17"/>
          <w:szCs w:val="17"/>
          <w:color w:val="auto"/>
        </w:rPr>
        <w:t>You should not rely on an investment in our common stock to provide dividend income. We do not anticipate that we will pay any cash dividends to holders of our common stock for the foreseeable future. Instead, we plan to retain any earnings to maintain and expand our existing operations.</w:t>
      </w:r>
    </w:p>
    <w:p>
      <w:pPr>
        <w:spacing w:after="0" w:line="133"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Accordingly, investors must rely on sales of their common stock after price appreciation, which may never occur, as the only way to realize any return on their investment. As a result, investors seeking cash dividends should not invest in our common stock.</w:t>
      </w:r>
    </w:p>
    <w:p>
      <w:pPr>
        <w:spacing w:after="0" w:line="157" w:lineRule="exact"/>
        <w:rPr>
          <w:sz w:val="20"/>
          <w:szCs w:val="20"/>
          <w:color w:val="auto"/>
        </w:rPr>
      </w:pPr>
    </w:p>
    <w:p>
      <w:pPr>
        <w:ind w:right="740"/>
        <w:spacing w:after="0" w:line="261" w:lineRule="auto"/>
        <w:rPr>
          <w:sz w:val="20"/>
          <w:szCs w:val="20"/>
          <w:color w:val="auto"/>
        </w:rPr>
      </w:pPr>
      <w:r>
        <w:rPr>
          <w:rFonts w:ascii="Arial" w:cs="Arial" w:eastAsia="Arial" w:hAnsi="Arial"/>
          <w:sz w:val="18"/>
          <w:szCs w:val="18"/>
          <w:b w:val="1"/>
          <w:bCs w:val="1"/>
          <w:i w:val="1"/>
          <w:iCs w:val="1"/>
          <w:color w:val="auto"/>
        </w:rPr>
        <w:t>A sale of a substantial number of shares of our common stock in the public market could cause the market price of our common stock to drop significantly, even if our business is doing well.</w:t>
      </w:r>
    </w:p>
    <w:p>
      <w:pPr>
        <w:spacing w:after="0" w:line="157"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As of June 30, 2022, we had 20.7 million shares of common stock outstanding. In addition, as of June 30, 2022, we had 4.0 million and 0.4 million shares of common stock that are subject to outstanding options and restricted stock unit awards, respectively, under our outstanding equity plans eligible for sale in the public market to the extent permitted by the provisions of</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51" w:name="page52"/>
    <w:bookmarkEnd w:id="51"/>
    <w:p>
      <w:pPr>
        <w:ind w:right="280"/>
        <w:spacing w:after="0" w:line="261" w:lineRule="auto"/>
        <w:rPr>
          <w:sz w:val="20"/>
          <w:szCs w:val="20"/>
          <w:color w:val="auto"/>
        </w:rPr>
      </w:pPr>
      <w:r>
        <w:rPr>
          <w:rFonts w:ascii="Arial" w:cs="Arial" w:eastAsia="Arial" w:hAnsi="Arial"/>
          <w:sz w:val="18"/>
          <w:szCs w:val="18"/>
          <w:color w:val="auto"/>
        </w:rPr>
        <w:t>various vesting schedules, and Rule 144 under the Securities Act. If these additional shares of common stock are sold, or it is perceived that they will be sold, in the public market, the trading price of our common stock could decline.</w:t>
      </w:r>
    </w:p>
    <w:p>
      <w:pPr>
        <w:spacing w:after="0" w:line="157"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157"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The trading market for our common stock will depend in part on the research and reports that securities or industry analysts publish about us or our business. If those analysts are unable to predict accurately the demand and net sales of AbbVie’s HCV regimens, that could result in our reported revenues and earnings being lower than the so-called “market consensus” of our projected revenues, which could negatively affect our stock price. In addition, if too few securities or industry analysts cover our company, the trading price for our stock would likely be negatively impacted. In the event that one or more of the analysts who cover us downgrade our stock or publish inaccurate or unfavorable research about our business, our stock price would likely decline. If one or more of these analysts cease coverage of our company or fail to publish reports on us regularly, demand for our stock could decrease, which might cause our stock price and trading volume to decline.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89"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43" w:lineRule="exact"/>
        <w:rPr>
          <w:sz w:val="20"/>
          <w:szCs w:val="20"/>
          <w:color w:val="auto"/>
        </w:rPr>
      </w:pPr>
    </w:p>
    <w:p>
      <w:pPr>
        <w:ind w:right="120"/>
        <w:spacing w:after="0"/>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or our or third parties’ disposal of hazardous materials, we could be held liable for any resulting damages, and any liability could exceed our resources. We also could incur significant costs associated with civil or criminal fines and penalties.</w:t>
      </w:r>
    </w:p>
    <w:p>
      <w:pPr>
        <w:spacing w:after="0" w:line="150"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148" w:lineRule="exact"/>
        <w:rPr>
          <w:sz w:val="20"/>
          <w:szCs w:val="20"/>
          <w:color w:val="auto"/>
        </w:rPr>
      </w:pPr>
    </w:p>
    <w:p>
      <w:pPr>
        <w:ind w:right="160"/>
        <w:spacing w:after="0" w:line="276" w:lineRule="auto"/>
        <w:rPr>
          <w:sz w:val="20"/>
          <w:szCs w:val="20"/>
          <w:color w:val="auto"/>
        </w:rPr>
      </w:pPr>
      <w:r>
        <w:rPr>
          <w:rFonts w:ascii="Arial" w:cs="Arial" w:eastAsia="Arial" w:hAnsi="Arial"/>
          <w:sz w:val="16"/>
          <w:szCs w:val="16"/>
          <w:color w:val="auto"/>
        </w:rPr>
        <w:t>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hazardous or radioactive materials.</w:t>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insurance policies are expensive and only protect us from specified business risks, which will leave us exposed to significant uninsured liabilities.</w:t>
      </w:r>
    </w:p>
    <w:p>
      <w:pPr>
        <w:spacing w:after="0" w:line="206"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We do not carry insurance for all categories of risk that our business may encounter. Some of the policies we currently maintain include general liability, employment practices liability, property, auto, workers’ compensation, cybersecurity, products liability and directors’ and officers’ insurance. We do not know, however, if we have adequate levels of coverage for any liability we may incur, or whether we will always be able to continue to maintain such insurance. Any significant uninsured liability may require us to make substantial payments, which would adversely affect our financial position and results of operations. Furthermore, any increase in the volatility of our stock price, or changes in the insurance market generally, may result in us being required to pay substantially higher premiums for our directors’ and officers’ liability insurance than those to which we were previously subject and may even cause one or more of our underwriters to be unwilling to insure us.</w:t>
      </w:r>
    </w:p>
    <w:p>
      <w:pPr>
        <w:spacing w:after="0" w:line="163" w:lineRule="exact"/>
        <w:rPr>
          <w:sz w:val="20"/>
          <w:szCs w:val="20"/>
          <w:color w:val="auto"/>
        </w:rPr>
      </w:pPr>
    </w:p>
    <w:p>
      <w:pPr>
        <w:ind w:right="260"/>
        <w:spacing w:after="0" w:line="248"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168"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Effective internal controls over financial reporting are necessary for us to provide reliable financial reports and, together with adequate disclosure controls and procedures, are designed to prevent fraud. Any failure to implement newly required or improved controls, or difficulties encountered in their implementation, could cause us to fail to meet our reporting obligations. In addition, any failure to maintain effective internal control as a result of shutdowns during the global COVID-19 pandemic could result in deficiencies in internal control. In addition, any testing by us conducted in connection with Section 404 of the Sarbanes-Oxley Act of 2002, or any subsequent testing by our independent registered public accounting firm, may reveal deficiencies in our internal controls over financial reporting that are deemed to be material weaknesses or that may require prospective or retroactive changes to our financial statements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52" w:name="page53"/>
    <w:bookmarkEnd w:id="52"/>
    <w:p>
      <w:pPr>
        <w:ind w:right="40"/>
        <w:spacing w:after="0" w:line="261" w:lineRule="auto"/>
        <w:rPr>
          <w:sz w:val="20"/>
          <w:szCs w:val="20"/>
          <w:color w:val="auto"/>
        </w:rPr>
      </w:pPr>
      <w:r>
        <w:rPr>
          <w:rFonts w:ascii="Arial" w:cs="Arial" w:eastAsia="Arial" w:hAnsi="Arial"/>
          <w:sz w:val="18"/>
          <w:szCs w:val="18"/>
          <w:color w:val="auto"/>
        </w:rPr>
        <w:t>or identify other areas for further attention or improvement. Inferior internal controls could also cause investors to lose confidence in our reported financial information, which could have a negative effect on the trading price of our common stock.</w:t>
      </w:r>
    </w:p>
    <w:p>
      <w:pPr>
        <w:spacing w:after="0" w:line="157"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b w:val="1"/>
          <w:bCs w:val="1"/>
          <w:i w:val="1"/>
          <w:iCs w:val="1"/>
          <w:color w:val="auto"/>
        </w:rPr>
        <w:t>Our information technology systems, or those used by our CROs or other contractors or consultants, may fail or suffer other breakdowns, cyber-attacks, or information security breaches, which could adversely affect our business.</w:t>
      </w:r>
    </w:p>
    <w:p>
      <w:pPr>
        <w:spacing w:after="0" w:line="144"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We are increasingly dependent upon information technology systems, infrastructure, and data to operate our business. We also rely on third party vendors and their information technology systems. Despite the implementation of security measures, our recovery systems, security protocols, network protection mechanisms, and other security measures and those of our current or future CROs or other contractors and consultants are vulnerable to system failure, interruption, compromise, or damage from data corruption, breakdown, computer hacking, malicious code (such as computer viruses or worms), fraudulent activity, employee misconduct, theft, or error, denial-of-service attacks, telecommunication, and electrical failures, natural disasters, public health epidemics, such as the COVID-19 pandemic, cyber-attacks by sophisticated nation-state and nation-state supported actors, or other system attacks, disruption, or accidents. We receive, generate and store significant and increasing volumes of personal health data and other confidential and proprietary information. There can be no assurance that we, or our collaborators, CROs, third-party vendors, contractors and consultants, will be successful in efforts to detect, prevent, protect against or fully recover systems or data from all breakdowns, service interruptions, attacks or breaches.</w:t>
      </w:r>
    </w:p>
    <w:p>
      <w:pPr>
        <w:spacing w:after="0" w:line="138" w:lineRule="exact"/>
        <w:rPr>
          <w:sz w:val="20"/>
          <w:szCs w:val="20"/>
          <w:color w:val="auto"/>
        </w:rPr>
      </w:pPr>
    </w:p>
    <w:p>
      <w:pPr>
        <w:ind w:right="220"/>
        <w:spacing w:after="0" w:line="261" w:lineRule="auto"/>
        <w:rPr>
          <w:sz w:val="20"/>
          <w:szCs w:val="20"/>
          <w:color w:val="auto"/>
        </w:rPr>
      </w:pPr>
      <w:r>
        <w:rPr>
          <w:rFonts w:ascii="Arial" w:cs="Arial" w:eastAsia="Arial" w:hAnsi="Arial"/>
          <w:sz w:val="16"/>
          <w:szCs w:val="16"/>
          <w:color w:val="auto"/>
        </w:rPr>
        <w:t>The costs to respond to a security breach and/or to mitigate any security vulnerabilities that may be identified could be significant, our efforts to address these problems may not be successful, and these problems could result in unexpected interruptions, delays, cessation of service, negative publicity, and other harm to our business and our competitive position. Remediation of any potential security breach may involve significant time, resources, and expenses. Despite our best efforts, our network security and data recovery measures and those of our vendors may still not be adequate to protect against such security breaches and disruptions, which could cause harm to our business, financial condition and results of operations.</w:t>
      </w:r>
    </w:p>
    <w:p>
      <w:pPr>
        <w:spacing w:after="0" w:line="134" w:lineRule="exact"/>
        <w:rPr>
          <w:sz w:val="20"/>
          <w:szCs w:val="20"/>
          <w:color w:val="auto"/>
        </w:rPr>
      </w:pPr>
    </w:p>
    <w:p>
      <w:pPr>
        <w:ind w:right="240"/>
        <w:spacing w:after="0" w:line="228" w:lineRule="auto"/>
        <w:rPr>
          <w:sz w:val="20"/>
          <w:szCs w:val="20"/>
          <w:color w:val="auto"/>
        </w:rPr>
      </w:pPr>
      <w:r>
        <w:rPr>
          <w:rFonts w:ascii="Arial" w:cs="Arial" w:eastAsia="Arial" w:hAnsi="Arial"/>
          <w:sz w:val="18"/>
          <w:szCs w:val="18"/>
          <w:color w:val="auto"/>
        </w:rPr>
        <w:t>Any cybersecurity incident could adversely affect our business, by leading to, for example, the loss of confidential information or other intellectual property, demands for ransom or other forms of blackmail or the unauthorized disclosure of personal, confidential or proprietary information of our employees, clinical trial participants, customers and others. We could be subject to regulatory actions taken by governmental authorities, litigation under laws that protect the privacy and security of personal information, or other forms of legal proceedings, which could result in significant investigations, liabilities or penalties.</w:t>
      </w:r>
    </w:p>
    <w:p>
      <w:pPr>
        <w:spacing w:after="0" w:line="151"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We may not have adequate insurance coverage for security incidents or breaches. The successful assertion of one or more large claims against us that exceeds our available insurance coverage, or results in changes to our insurance policies (including premium increases or the imposition of large deductible or co-insurance requirements), could have an adverse effect on our business. In addition, we cannot be sure that our existing insurance coverage and coverage for errors and omissions will continue to be available on acceptable terms or that our insurers will not deny coverage as to any future claim.</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social media could give rise to liability or reputational harm.</w:t>
      </w:r>
    </w:p>
    <w:p>
      <w:pPr>
        <w:spacing w:after="0" w:line="185"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We and our employees use social media to communicate externally. There is risk that the use of social media by us or our employees to communicate about our product candidates or business may give rise to liability, lead to the loss of trade secrets or other intellectual property or result in public exposure of personal information of our employees, clinical trial patients, customers, and others. Furthermore, negative posts or comments about us or our product candidates in social media could seriously damage our reputation, brand image, and goodwill. Any of these events could have a material adverse effect on our business, prospects, operating results, and financial condition and could adversely affect the price of our common stock.</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ITEM 6. EXHIBITS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Incorporated by Reference</w:t>
            </w: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900" w:type="dxa"/>
            <w:vAlign w:val="bottom"/>
          </w:tcPr>
          <w:p>
            <w:pPr>
              <w:ind w:left="220"/>
              <w:spacing w:after="0" w:line="133" w:lineRule="exact"/>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140" w:type="dxa"/>
            <w:vAlign w:val="bottom"/>
            <w:gridSpan w:val="18"/>
            <w:vMerge w:val="restart"/>
          </w:tcPr>
          <w:p>
            <w:pPr>
              <w:ind w:left="2020"/>
              <w:spacing w:after="0"/>
              <w:rPr>
                <w:sz w:val="20"/>
                <w:szCs w:val="20"/>
                <w:color w:val="auto"/>
              </w:rPr>
            </w:pPr>
            <w:r>
              <w:rPr>
                <w:rFonts w:ascii="Arial" w:cs="Arial" w:eastAsia="Arial" w:hAnsi="Arial"/>
                <w:sz w:val="14"/>
                <w:szCs w:val="14"/>
                <w:b w:val="1"/>
                <w:bCs w:val="1"/>
                <w:color w:val="auto"/>
              </w:rPr>
              <w:t>Exhibit Description</w:t>
            </w:r>
          </w:p>
        </w:tc>
        <w:tc>
          <w:tcPr>
            <w:tcW w:w="120" w:type="dxa"/>
            <w:vAlign w:val="bottom"/>
            <w:vMerge w:val="restart"/>
          </w:tcPr>
          <w:p>
            <w:pPr>
              <w:spacing w:after="0"/>
              <w:rPr>
                <w:sz w:val="11"/>
                <w:szCs w:val="11"/>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40" w:type="dxa"/>
            <w:vAlign w:val="bottom"/>
          </w:tcPr>
          <w:p>
            <w:pPr>
              <w:spacing w:after="0"/>
              <w:rPr>
                <w:sz w:val="11"/>
                <w:szCs w:val="11"/>
                <w:color w:val="auto"/>
              </w:rPr>
            </w:pPr>
          </w:p>
        </w:tc>
        <w:tc>
          <w:tcPr>
            <w:tcW w:w="94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Date</w:t>
            </w:r>
          </w:p>
        </w:tc>
        <w:tc>
          <w:tcPr>
            <w:tcW w:w="120" w:type="dxa"/>
            <w:vAlign w:val="bottom"/>
          </w:tcPr>
          <w:p>
            <w:pPr>
              <w:spacing w:after="0"/>
              <w:rPr>
                <w:sz w:val="11"/>
                <w:szCs w:val="11"/>
                <w:color w:val="auto"/>
              </w:rPr>
            </w:pPr>
          </w:p>
        </w:tc>
        <w:tc>
          <w:tcPr>
            <w:tcW w:w="8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8"/>
              </w:rPr>
              <w:t>Exhibit</w:t>
            </w:r>
          </w:p>
        </w:tc>
        <w:tc>
          <w:tcPr>
            <w:tcW w:w="100" w:type="dxa"/>
            <w:vAlign w:val="bottom"/>
          </w:tcPr>
          <w:p>
            <w:pPr>
              <w:spacing w:after="0"/>
              <w:rPr>
                <w:sz w:val="11"/>
                <w:szCs w:val="11"/>
                <w:color w:val="auto"/>
              </w:rPr>
            </w:pPr>
          </w:p>
        </w:tc>
        <w:tc>
          <w:tcPr>
            <w:tcW w:w="9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File Number</w:t>
            </w:r>
          </w:p>
        </w:tc>
        <w:tc>
          <w:tcPr>
            <w:tcW w:w="100" w:type="dxa"/>
            <w:vAlign w:val="bottom"/>
          </w:tcPr>
          <w:p>
            <w:pPr>
              <w:spacing w:after="0"/>
              <w:rPr>
                <w:sz w:val="11"/>
                <w:szCs w:val="11"/>
                <w:color w:val="auto"/>
              </w:rPr>
            </w:pPr>
          </w:p>
        </w:tc>
        <w:tc>
          <w:tcPr>
            <w:tcW w:w="8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85"/>
        </w:trPr>
        <w:tc>
          <w:tcPr>
            <w:tcW w:w="9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140" w:type="dxa"/>
            <w:vAlign w:val="bottom"/>
            <w:tcBorders>
              <w:bottom w:val="single" w:sz="8" w:color="auto"/>
            </w:tcBorders>
            <w:gridSpan w:val="18"/>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00" w:type="dxa"/>
            <w:vAlign w:val="bottom"/>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304"/>
        </w:trPr>
        <w:tc>
          <w:tcPr>
            <w:tcW w:w="900" w:type="dxa"/>
            <w:vAlign w:val="bottom"/>
          </w:tcPr>
          <w:p>
            <w:pPr>
              <w:ind w:left="2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60" w:type="dxa"/>
            <w:vAlign w:val="bottom"/>
            <w:gridSpan w:val="19"/>
          </w:tcPr>
          <w:p>
            <w:pPr>
              <w:spacing w:after="0"/>
              <w:rPr>
                <w:rFonts w:ascii="Arial" w:cs="Arial" w:eastAsia="Arial" w:hAnsi="Arial"/>
                <w:sz w:val="18"/>
                <w:szCs w:val="18"/>
                <w:color w:val="auto"/>
                <w:w w:val="95"/>
              </w:rPr>
            </w:pPr>
            <w:hyperlink r:id="rId254">
              <w:r>
                <w:rPr>
                  <w:rFonts w:ascii="Arial" w:cs="Arial" w:eastAsia="Arial" w:hAnsi="Arial"/>
                  <w:sz w:val="18"/>
                  <w:szCs w:val="18"/>
                  <w:color w:val="auto"/>
                  <w:w w:val="95"/>
                </w:rPr>
                <w:t>Restated Certificate of Incorporation of Enanta Pharmaceuticals, Inc.</w:t>
              </w:r>
            </w:hyperlink>
          </w:p>
        </w:tc>
        <w:tc>
          <w:tcPr>
            <w:tcW w:w="8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80" w:type="dxa"/>
            <w:vAlign w:val="bottom"/>
            <w:gridSpan w:val="2"/>
          </w:tcPr>
          <w:p>
            <w:pPr>
              <w:jc w:val="center"/>
              <w:ind w:left="50"/>
              <w:spacing w:after="0"/>
              <w:rPr>
                <w:sz w:val="20"/>
                <w:szCs w:val="20"/>
                <w:color w:val="auto"/>
              </w:rPr>
            </w:pPr>
            <w:r>
              <w:rPr>
                <w:rFonts w:ascii="Arial" w:cs="Arial" w:eastAsia="Arial" w:hAnsi="Arial"/>
                <w:sz w:val="18"/>
                <w:szCs w:val="18"/>
                <w:color w:val="auto"/>
                <w:w w:val="90"/>
              </w:rPr>
              <w:t>03/28/2013</w:t>
            </w:r>
          </w:p>
        </w:tc>
        <w:tc>
          <w:tcPr>
            <w:tcW w:w="1000" w:type="dxa"/>
            <w:vAlign w:val="bottom"/>
            <w:gridSpan w:val="2"/>
          </w:tcPr>
          <w:p>
            <w:pPr>
              <w:jc w:val="center"/>
              <w:ind w:left="10"/>
              <w:spacing w:after="0"/>
              <w:rPr>
                <w:sz w:val="20"/>
                <w:szCs w:val="20"/>
                <w:color w:val="auto"/>
              </w:rPr>
            </w:pPr>
            <w:r>
              <w:rPr>
                <w:rFonts w:ascii="Arial" w:cs="Arial" w:eastAsia="Arial" w:hAnsi="Arial"/>
                <w:sz w:val="18"/>
                <w:szCs w:val="18"/>
                <w:color w:val="auto"/>
                <w:w w:val="87"/>
              </w:rPr>
              <w:t>3.1</w:t>
            </w:r>
          </w:p>
        </w:tc>
        <w:tc>
          <w:tcPr>
            <w:tcW w:w="100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001-35839</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900" w:type="dxa"/>
            <w:vAlign w:val="bottom"/>
          </w:tcPr>
          <w:p>
            <w:pPr>
              <w:ind w:left="2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60" w:type="dxa"/>
            <w:vAlign w:val="bottom"/>
            <w:tcBorders>
              <w:top w:val="single" w:sz="8" w:color="0000EE"/>
            </w:tcBorders>
            <w:gridSpan w:val="14"/>
          </w:tcPr>
          <w:p>
            <w:pPr>
              <w:spacing w:after="0"/>
              <w:rPr>
                <w:rFonts w:ascii="Arial" w:cs="Arial" w:eastAsia="Arial" w:hAnsi="Arial"/>
                <w:sz w:val="18"/>
                <w:szCs w:val="18"/>
                <w:color w:val="auto"/>
                <w:w w:val="91"/>
              </w:rPr>
            </w:pPr>
            <w:hyperlink r:id="rId255">
              <w:r>
                <w:rPr>
                  <w:rFonts w:ascii="Arial" w:cs="Arial" w:eastAsia="Arial" w:hAnsi="Arial"/>
                  <w:sz w:val="18"/>
                  <w:szCs w:val="18"/>
                  <w:color w:val="auto"/>
                  <w:w w:val="91"/>
                </w:rPr>
                <w:t>Amended and Restated Bylaws of Enanta Pharmaceuticals, Inc. (as</w:t>
              </w:r>
            </w:hyperlink>
          </w:p>
        </w:tc>
        <w:tc>
          <w:tcPr>
            <w:tcW w:w="300" w:type="dxa"/>
            <w:vAlign w:val="bottom"/>
            <w:gridSpan w:val="5"/>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80" w:type="dxa"/>
            <w:vAlign w:val="bottom"/>
            <w:gridSpan w:val="2"/>
          </w:tcPr>
          <w:p>
            <w:pPr>
              <w:jc w:val="center"/>
              <w:ind w:left="50"/>
              <w:spacing w:after="0"/>
              <w:rPr>
                <w:sz w:val="20"/>
                <w:szCs w:val="20"/>
                <w:color w:val="auto"/>
              </w:rPr>
            </w:pPr>
            <w:r>
              <w:rPr>
                <w:rFonts w:ascii="Arial" w:cs="Arial" w:eastAsia="Arial" w:hAnsi="Arial"/>
                <w:sz w:val="18"/>
                <w:szCs w:val="18"/>
                <w:color w:val="auto"/>
                <w:w w:val="90"/>
              </w:rPr>
              <w:t>08/18/2015</w:t>
            </w:r>
          </w:p>
        </w:tc>
        <w:tc>
          <w:tcPr>
            <w:tcW w:w="1000" w:type="dxa"/>
            <w:vAlign w:val="bottom"/>
            <w:gridSpan w:val="2"/>
          </w:tcPr>
          <w:p>
            <w:pPr>
              <w:jc w:val="center"/>
              <w:ind w:left="10"/>
              <w:spacing w:after="0"/>
              <w:rPr>
                <w:sz w:val="20"/>
                <w:szCs w:val="20"/>
                <w:color w:val="auto"/>
              </w:rPr>
            </w:pPr>
            <w:r>
              <w:rPr>
                <w:rFonts w:ascii="Arial" w:cs="Arial" w:eastAsia="Arial" w:hAnsi="Arial"/>
                <w:sz w:val="18"/>
                <w:szCs w:val="18"/>
                <w:color w:val="auto"/>
                <w:w w:val="87"/>
              </w:rPr>
              <w:t>3.2</w:t>
            </w:r>
          </w:p>
        </w:tc>
        <w:tc>
          <w:tcPr>
            <w:tcW w:w="100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001-35839</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80" w:type="dxa"/>
            <w:vAlign w:val="bottom"/>
            <w:tcBorders>
              <w:top w:val="single" w:sz="8" w:color="0000EE"/>
            </w:tcBorders>
            <w:gridSpan w:val="12"/>
          </w:tcPr>
          <w:p>
            <w:pPr>
              <w:spacing w:after="0" w:line="156" w:lineRule="exact"/>
              <w:rPr>
                <w:rFonts w:ascii="Arial" w:cs="Arial" w:eastAsia="Arial" w:hAnsi="Arial"/>
                <w:sz w:val="18"/>
                <w:szCs w:val="18"/>
                <w:color w:val="auto"/>
              </w:rPr>
            </w:pPr>
            <w:hyperlink r:id="rId255">
              <w:r>
                <w:rPr>
                  <w:rFonts w:ascii="Arial" w:cs="Arial" w:eastAsia="Arial" w:hAnsi="Arial"/>
                  <w:sz w:val="18"/>
                  <w:szCs w:val="18"/>
                  <w:color w:val="auto"/>
                </w:rPr>
                <w:t>amended and restated in August 2015)</w:t>
              </w:r>
            </w:hyperlink>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900" w:type="dxa"/>
            <w:vAlign w:val="bottom"/>
            <w:vMerge w:val="restart"/>
          </w:tcPr>
          <w:p>
            <w:pPr>
              <w:ind w:left="2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60" w:type="dxa"/>
            <w:vAlign w:val="bottom"/>
            <w:tcBorders>
              <w:bottom w:val="single" w:sz="8" w:color="0000FF"/>
            </w:tcBorders>
            <w:gridSpan w:val="9"/>
          </w:tcPr>
          <w:p>
            <w:pPr>
              <w:spacing w:after="0"/>
              <w:rPr>
                <w:rFonts w:ascii="Arial" w:cs="Arial" w:eastAsia="Arial" w:hAnsi="Arial"/>
                <w:sz w:val="18"/>
                <w:szCs w:val="18"/>
                <w:color w:val="0000FF"/>
                <w:w w:val="90"/>
              </w:rPr>
            </w:pPr>
            <w:hyperlink r:id="rId256">
              <w:r>
                <w:rPr>
                  <w:rFonts w:ascii="Arial" w:cs="Arial" w:eastAsia="Arial" w:hAnsi="Arial"/>
                  <w:sz w:val="18"/>
                  <w:szCs w:val="18"/>
                  <w:color w:val="0000FF"/>
                  <w:w w:val="90"/>
                </w:rPr>
                <w:t>Second Amendment to Lease made as of May 12, 2022 by and</w:t>
              </w:r>
            </w:hyperlink>
          </w:p>
        </w:tc>
        <w:tc>
          <w:tcPr>
            <w:tcW w:w="700" w:type="dxa"/>
            <w:vAlign w:val="bottom"/>
            <w:gridSpan w:val="10"/>
          </w:tcPr>
          <w:p>
            <w:pPr>
              <w:spacing w:after="0"/>
              <w:rPr>
                <w:sz w:val="24"/>
                <w:szCs w:val="24"/>
                <w:color w:val="auto"/>
              </w:rPr>
            </w:pPr>
          </w:p>
        </w:tc>
        <w:tc>
          <w:tcPr>
            <w:tcW w:w="880" w:type="dxa"/>
            <w:vAlign w:val="bottom"/>
            <w:vMerge w:val="restart"/>
          </w:tcPr>
          <w:p>
            <w:pPr>
              <w:jc w:val="center"/>
              <w:spacing w:after="0"/>
              <w:rPr>
                <w:sz w:val="20"/>
                <w:szCs w:val="20"/>
                <w:color w:val="auto"/>
              </w:rPr>
            </w:pPr>
            <w:r>
              <w:rPr>
                <w:rFonts w:ascii="Arial" w:cs="Arial" w:eastAsia="Arial" w:hAnsi="Arial"/>
                <w:sz w:val="18"/>
                <w:szCs w:val="18"/>
                <w:color w:val="auto"/>
                <w:w w:val="99"/>
              </w:rPr>
              <w:t>8-K</w:t>
            </w:r>
          </w:p>
        </w:tc>
        <w:tc>
          <w:tcPr>
            <w:tcW w:w="1080" w:type="dxa"/>
            <w:vAlign w:val="bottom"/>
            <w:gridSpan w:val="2"/>
            <w:vMerge w:val="restart"/>
          </w:tcPr>
          <w:p>
            <w:pPr>
              <w:jc w:val="center"/>
              <w:ind w:left="50"/>
              <w:spacing w:after="0"/>
              <w:rPr>
                <w:sz w:val="20"/>
                <w:szCs w:val="20"/>
                <w:color w:val="auto"/>
              </w:rPr>
            </w:pPr>
            <w:r>
              <w:rPr>
                <w:rFonts w:ascii="Arial" w:cs="Arial" w:eastAsia="Arial" w:hAnsi="Arial"/>
                <w:sz w:val="18"/>
                <w:szCs w:val="18"/>
                <w:color w:val="auto"/>
                <w:w w:val="90"/>
              </w:rPr>
              <w:t>05/17/2022</w:t>
            </w:r>
          </w:p>
        </w:tc>
        <w:tc>
          <w:tcPr>
            <w:tcW w:w="1000" w:type="dxa"/>
            <w:vAlign w:val="bottom"/>
            <w:gridSpan w:val="2"/>
            <w:vMerge w:val="restart"/>
          </w:tcPr>
          <w:p>
            <w:pPr>
              <w:jc w:val="center"/>
              <w:ind w:left="30"/>
              <w:spacing w:after="0"/>
              <w:rPr>
                <w:sz w:val="20"/>
                <w:szCs w:val="20"/>
                <w:color w:val="auto"/>
              </w:rPr>
            </w:pPr>
            <w:r>
              <w:rPr>
                <w:rFonts w:ascii="Arial" w:cs="Arial" w:eastAsia="Arial" w:hAnsi="Arial"/>
                <w:sz w:val="18"/>
                <w:szCs w:val="18"/>
                <w:color w:val="auto"/>
                <w:w w:val="91"/>
              </w:rPr>
              <w:t>10.1</w:t>
            </w:r>
          </w:p>
        </w:tc>
        <w:tc>
          <w:tcPr>
            <w:tcW w:w="1000" w:type="dxa"/>
            <w:vAlign w:val="bottom"/>
            <w:gridSpan w:val="2"/>
            <w:vMerge w:val="restart"/>
          </w:tcPr>
          <w:p>
            <w:pPr>
              <w:jc w:val="center"/>
              <w:ind w:left="10"/>
              <w:spacing w:after="0"/>
              <w:rPr>
                <w:sz w:val="20"/>
                <w:szCs w:val="20"/>
                <w:color w:val="auto"/>
              </w:rPr>
            </w:pPr>
            <w:r>
              <w:rPr>
                <w:rFonts w:ascii="Arial" w:cs="Arial" w:eastAsia="Arial" w:hAnsi="Arial"/>
                <w:sz w:val="18"/>
                <w:szCs w:val="18"/>
                <w:color w:val="auto"/>
                <w:w w:val="90"/>
              </w:rPr>
              <w:t>001-35839</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9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4180" w:type="dxa"/>
            <w:vAlign w:val="bottom"/>
            <w:gridSpan w:val="6"/>
            <w:vMerge w:val="restart"/>
          </w:tcPr>
          <w:p>
            <w:pPr>
              <w:spacing w:after="0" w:line="156" w:lineRule="exact"/>
              <w:rPr>
                <w:rFonts w:ascii="Arial" w:cs="Arial" w:eastAsia="Arial" w:hAnsi="Arial"/>
                <w:sz w:val="18"/>
                <w:szCs w:val="18"/>
                <w:color w:val="0000FF"/>
                <w:w w:val="90"/>
              </w:rPr>
            </w:pPr>
            <w:hyperlink r:id="rId256">
              <w:r>
                <w:rPr>
                  <w:rFonts w:ascii="Arial" w:cs="Arial" w:eastAsia="Arial" w:hAnsi="Arial"/>
                  <w:sz w:val="18"/>
                  <w:szCs w:val="18"/>
                  <w:color w:val="0000FF"/>
                  <w:w w:val="90"/>
                </w:rPr>
                <w:t>between ARE-500 Arsenal Street, LLC and the Company.</w:t>
              </w:r>
            </w:hyperlink>
          </w:p>
        </w:tc>
        <w:tc>
          <w:tcPr>
            <w:tcW w:w="20" w:type="dxa"/>
            <w:vAlign w:val="bottom"/>
            <w:vMerge w:val="restart"/>
          </w:tcPr>
          <w:p>
            <w:pPr>
              <w:spacing w:after="0"/>
              <w:rPr>
                <w:sz w:val="8"/>
                <w:szCs w:val="8"/>
                <w:color w:val="auto"/>
              </w:rPr>
            </w:pPr>
          </w:p>
        </w:tc>
        <w:tc>
          <w:tcPr>
            <w:tcW w:w="1060" w:type="dxa"/>
            <w:vAlign w:val="bottom"/>
            <w:gridSpan w:val="12"/>
            <w:vMerge w:val="restart"/>
          </w:tcPr>
          <w:p>
            <w:pPr>
              <w:spacing w:after="0"/>
              <w:rPr>
                <w:sz w:val="8"/>
                <w:szCs w:val="8"/>
                <w:color w:val="auto"/>
              </w:rPr>
            </w:pPr>
          </w:p>
        </w:tc>
        <w:tc>
          <w:tcPr>
            <w:tcW w:w="880" w:type="dxa"/>
            <w:vAlign w:val="bottom"/>
            <w:vMerge w:val="continue"/>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180" w:type="dxa"/>
            <w:vAlign w:val="bottom"/>
            <w:tcBorders>
              <w:bottom w:val="single" w:sz="8" w:color="0000FF"/>
            </w:tcBorders>
            <w:gridSpan w:val="6"/>
            <w:vMerge w:val="continue"/>
          </w:tcPr>
          <w:p>
            <w:pPr>
              <w:spacing w:after="0"/>
              <w:rPr>
                <w:sz w:val="4"/>
                <w:szCs w:val="4"/>
                <w:color w:val="auto"/>
              </w:rPr>
            </w:pPr>
          </w:p>
        </w:tc>
        <w:tc>
          <w:tcPr>
            <w:tcW w:w="20" w:type="dxa"/>
            <w:vAlign w:val="bottom"/>
            <w:tcBorders>
              <w:bottom w:val="single" w:sz="8" w:color="0000EE"/>
            </w:tcBorders>
            <w:vMerge w:val="continue"/>
          </w:tcPr>
          <w:p>
            <w:pPr>
              <w:spacing w:after="0"/>
              <w:rPr>
                <w:sz w:val="4"/>
                <w:szCs w:val="4"/>
                <w:color w:val="auto"/>
              </w:rPr>
            </w:pPr>
          </w:p>
        </w:tc>
        <w:tc>
          <w:tcPr>
            <w:tcW w:w="1060" w:type="dxa"/>
            <w:vAlign w:val="bottom"/>
            <w:gridSpan w:val="12"/>
            <w:vMerge w:val="continue"/>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900" w:type="dxa"/>
            <w:vAlign w:val="bottom"/>
          </w:tcPr>
          <w:p>
            <w:pPr>
              <w:ind w:left="2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60" w:type="dxa"/>
            <w:vAlign w:val="bottom"/>
            <w:gridSpan w:val="19"/>
          </w:tcPr>
          <w:p>
            <w:pPr>
              <w:spacing w:after="0"/>
              <w:rPr>
                <w:rFonts w:ascii="Arial" w:cs="Arial" w:eastAsia="Arial" w:hAnsi="Arial"/>
                <w:sz w:val="18"/>
                <w:szCs w:val="18"/>
                <w:color w:val="0000FF"/>
                <w:w w:val="97"/>
              </w:rPr>
            </w:pPr>
            <w:hyperlink r:id="rId257">
              <w:r>
                <w:rPr>
                  <w:rFonts w:ascii="Arial" w:cs="Arial" w:eastAsia="Arial" w:hAnsi="Arial"/>
                  <w:sz w:val="18"/>
                  <w:szCs w:val="18"/>
                  <w:color w:val="0000FF"/>
                  <w:w w:val="97"/>
                </w:rPr>
                <w:t>First Amendment to Lease Agreement made as of May 12, 2022 by</w:t>
              </w:r>
            </w:hyperlink>
          </w:p>
        </w:tc>
        <w:tc>
          <w:tcPr>
            <w:tcW w:w="8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80" w:type="dxa"/>
            <w:vAlign w:val="bottom"/>
            <w:gridSpan w:val="2"/>
          </w:tcPr>
          <w:p>
            <w:pPr>
              <w:jc w:val="center"/>
              <w:ind w:left="50"/>
              <w:spacing w:after="0"/>
              <w:rPr>
                <w:sz w:val="20"/>
                <w:szCs w:val="20"/>
                <w:color w:val="auto"/>
              </w:rPr>
            </w:pPr>
            <w:r>
              <w:rPr>
                <w:rFonts w:ascii="Arial" w:cs="Arial" w:eastAsia="Arial" w:hAnsi="Arial"/>
                <w:sz w:val="18"/>
                <w:szCs w:val="18"/>
                <w:color w:val="auto"/>
                <w:w w:val="90"/>
              </w:rPr>
              <w:t>05/17/2022</w:t>
            </w:r>
          </w:p>
        </w:tc>
        <w:tc>
          <w:tcPr>
            <w:tcW w:w="100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10.2</w:t>
            </w:r>
          </w:p>
        </w:tc>
        <w:tc>
          <w:tcPr>
            <w:tcW w:w="100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001-35839</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00" w:type="dxa"/>
            <w:vAlign w:val="bottom"/>
            <w:tcBorders>
              <w:top w:val="single" w:sz="8" w:color="0000FF"/>
            </w:tcBorders>
            <w:gridSpan w:val="13"/>
          </w:tcPr>
          <w:p>
            <w:pPr>
              <w:spacing w:after="0" w:line="156" w:lineRule="exact"/>
              <w:rPr>
                <w:rFonts w:ascii="Arial" w:cs="Arial" w:eastAsia="Arial" w:hAnsi="Arial"/>
                <w:sz w:val="18"/>
                <w:szCs w:val="18"/>
                <w:color w:val="0000FF"/>
                <w:w w:val="98"/>
              </w:rPr>
            </w:pPr>
            <w:hyperlink r:id="rId257">
              <w:r>
                <w:rPr>
                  <w:rFonts w:ascii="Arial" w:cs="Arial" w:eastAsia="Arial" w:hAnsi="Arial"/>
                  <w:sz w:val="18"/>
                  <w:szCs w:val="18"/>
                  <w:color w:val="0000FF"/>
                  <w:w w:val="98"/>
                </w:rPr>
                <w:t>and between ARE-MA Region No. 75, LLC and the Company.</w:t>
              </w:r>
            </w:hyperlink>
          </w:p>
        </w:tc>
        <w:tc>
          <w:tcPr>
            <w:tcW w:w="1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2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20" w:type="dxa"/>
            <w:vAlign w:val="bottom"/>
            <w:tcBorders>
              <w:right w:val="single" w:sz="8" w:color="0000EE"/>
            </w:tcBorders>
            <w:gridSpan w:val="3"/>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900" w:type="dxa"/>
            <w:vAlign w:val="bottom"/>
          </w:tcPr>
          <w:p>
            <w:pPr>
              <w:ind w:left="2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60" w:type="dxa"/>
            <w:vAlign w:val="bottom"/>
            <w:gridSpan w:val="19"/>
          </w:tcPr>
          <w:p>
            <w:pPr>
              <w:spacing w:after="0"/>
              <w:rPr>
                <w:rFonts w:ascii="Arial" w:cs="Arial" w:eastAsia="Arial" w:hAnsi="Arial"/>
                <w:sz w:val="18"/>
                <w:szCs w:val="18"/>
                <w:color w:val="0000FF"/>
                <w:w w:val="94"/>
              </w:rPr>
            </w:pPr>
            <w:hyperlink r:id="rId258">
              <w:r>
                <w:rPr>
                  <w:rFonts w:ascii="Arial" w:cs="Arial" w:eastAsia="Arial" w:hAnsi="Arial"/>
                  <w:sz w:val="18"/>
                  <w:szCs w:val="18"/>
                  <w:color w:val="0000FF"/>
                  <w:w w:val="94"/>
                </w:rPr>
                <w:t>Lease Agreement made as of May 12, 2022 by and between ARE-MA</w:t>
              </w:r>
            </w:hyperlink>
          </w:p>
        </w:tc>
        <w:tc>
          <w:tcPr>
            <w:tcW w:w="8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80" w:type="dxa"/>
            <w:vAlign w:val="bottom"/>
            <w:gridSpan w:val="2"/>
          </w:tcPr>
          <w:p>
            <w:pPr>
              <w:jc w:val="center"/>
              <w:ind w:left="50"/>
              <w:spacing w:after="0"/>
              <w:rPr>
                <w:sz w:val="20"/>
                <w:szCs w:val="20"/>
                <w:color w:val="auto"/>
              </w:rPr>
            </w:pPr>
            <w:r>
              <w:rPr>
                <w:rFonts w:ascii="Arial" w:cs="Arial" w:eastAsia="Arial" w:hAnsi="Arial"/>
                <w:sz w:val="18"/>
                <w:szCs w:val="18"/>
                <w:color w:val="auto"/>
                <w:w w:val="90"/>
              </w:rPr>
              <w:t>05/17/2022</w:t>
            </w:r>
          </w:p>
        </w:tc>
        <w:tc>
          <w:tcPr>
            <w:tcW w:w="100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10.3</w:t>
            </w:r>
          </w:p>
        </w:tc>
        <w:tc>
          <w:tcPr>
            <w:tcW w:w="100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001-35839</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10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258">
              <w:r>
                <w:rPr>
                  <w:rFonts w:ascii="Arial" w:cs="Arial" w:eastAsia="Arial" w:hAnsi="Arial"/>
                  <w:sz w:val="18"/>
                  <w:szCs w:val="18"/>
                  <w:color w:val="0000FF"/>
                </w:rPr>
                <w:t>Region No. 75, LLC and the Company.</w:t>
              </w:r>
            </w:hyperlink>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2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00" w:type="dxa"/>
            <w:vAlign w:val="bottom"/>
          </w:tcPr>
          <w:p>
            <w:pPr>
              <w:ind w:left="2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60" w:type="dxa"/>
            <w:vAlign w:val="bottom"/>
            <w:gridSpan w:val="19"/>
          </w:tcPr>
          <w:p>
            <w:pPr>
              <w:spacing w:after="0"/>
              <w:rPr>
                <w:rFonts w:ascii="Arial" w:cs="Arial" w:eastAsia="Arial" w:hAnsi="Arial"/>
                <w:sz w:val="18"/>
                <w:szCs w:val="18"/>
                <w:color w:val="auto"/>
                <w:w w:val="94"/>
              </w:rPr>
            </w:pPr>
            <w:hyperlink w:anchor="page56">
              <w:r>
                <w:rPr>
                  <w:rFonts w:ascii="Arial" w:cs="Arial" w:eastAsia="Arial" w:hAnsi="Arial"/>
                  <w:sz w:val="18"/>
                  <w:szCs w:val="18"/>
                  <w:color w:val="auto"/>
                  <w:w w:val="94"/>
                </w:rPr>
                <w:t>Certification of the Chief Executive Officer pursuant to Rule 13a-14(a)</w:t>
              </w:r>
            </w:hyperlink>
          </w:p>
        </w:tc>
        <w:tc>
          <w:tcPr>
            <w:tcW w:w="8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5"/>
        </w:trPr>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20" w:type="dxa"/>
            <w:vAlign w:val="bottom"/>
            <w:tcBorders>
              <w:top w:val="single" w:sz="8" w:color="0000EE"/>
              <w:bottom w:val="single" w:sz="8" w:color="0000EE"/>
            </w:tcBorders>
            <w:gridSpan w:val="5"/>
          </w:tcPr>
          <w:p>
            <w:pPr>
              <w:spacing w:after="0" w:line="156" w:lineRule="exact"/>
              <w:rPr>
                <w:rFonts w:ascii="Arial" w:cs="Arial" w:eastAsia="Arial" w:hAnsi="Arial"/>
                <w:sz w:val="18"/>
                <w:szCs w:val="18"/>
                <w:color w:val="auto"/>
                <w:w w:val="90"/>
              </w:rPr>
            </w:pPr>
            <w:hyperlink w:anchor="page56">
              <w:r>
                <w:rPr>
                  <w:rFonts w:ascii="Arial" w:cs="Arial" w:eastAsia="Arial" w:hAnsi="Arial"/>
                  <w:sz w:val="18"/>
                  <w:szCs w:val="18"/>
                  <w:color w:val="auto"/>
                  <w:w w:val="90"/>
                </w:rPr>
                <w:t>or 15d-14(a) of the Securities Exchange Act of 1934.</w:t>
              </w:r>
            </w:hyperlink>
          </w:p>
        </w:tc>
        <w:tc>
          <w:tcPr>
            <w:tcW w:w="1300" w:type="dxa"/>
            <w:vAlign w:val="bottom"/>
            <w:tcBorders>
              <w:top w:val="single" w:sz="8" w:color="0000EE"/>
            </w:tcBorders>
            <w:gridSpan w:val="12"/>
          </w:tcPr>
          <w:p>
            <w:pPr>
              <w:spacing w:after="0"/>
              <w:rPr>
                <w:sz w:val="13"/>
                <w:szCs w:val="13"/>
                <w:color w:val="auto"/>
              </w:rPr>
            </w:pPr>
          </w:p>
        </w:tc>
        <w:tc>
          <w:tcPr>
            <w:tcW w:w="140" w:type="dxa"/>
            <w:vAlign w:val="bottom"/>
            <w:gridSpan w:val="2"/>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900" w:type="dxa"/>
            <w:vAlign w:val="bottom"/>
          </w:tcPr>
          <w:p>
            <w:pPr>
              <w:ind w:left="2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60" w:type="dxa"/>
            <w:vAlign w:val="bottom"/>
            <w:gridSpan w:val="19"/>
          </w:tcPr>
          <w:p>
            <w:pPr>
              <w:spacing w:after="0"/>
              <w:rPr>
                <w:rFonts w:ascii="Arial" w:cs="Arial" w:eastAsia="Arial" w:hAnsi="Arial"/>
                <w:sz w:val="18"/>
                <w:szCs w:val="18"/>
                <w:color w:val="auto"/>
                <w:w w:val="97"/>
              </w:rPr>
            </w:pPr>
            <w:hyperlink w:anchor="page57">
              <w:r>
                <w:rPr>
                  <w:rFonts w:ascii="Arial" w:cs="Arial" w:eastAsia="Arial" w:hAnsi="Arial"/>
                  <w:sz w:val="18"/>
                  <w:szCs w:val="18"/>
                  <w:color w:val="auto"/>
                  <w:w w:val="97"/>
                </w:rPr>
                <w:t>Certification of Chief Financial Officer pursuant to Rule 13a-14(a) or</w:t>
              </w:r>
            </w:hyperlink>
          </w:p>
        </w:tc>
        <w:tc>
          <w:tcPr>
            <w:tcW w:w="8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6"/>
        </w:trPr>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40" w:type="dxa"/>
            <w:vAlign w:val="bottom"/>
            <w:tcBorders>
              <w:top w:val="single" w:sz="8" w:color="0000EE"/>
            </w:tcBorders>
            <w:gridSpan w:val="15"/>
          </w:tcPr>
          <w:p>
            <w:pPr>
              <w:spacing w:after="0" w:line="156" w:lineRule="exact"/>
              <w:rPr>
                <w:rFonts w:ascii="Arial" w:cs="Arial" w:eastAsia="Arial" w:hAnsi="Arial"/>
                <w:sz w:val="18"/>
                <w:szCs w:val="18"/>
                <w:color w:val="auto"/>
              </w:rPr>
            </w:pPr>
            <w:hyperlink w:anchor="page57">
              <w:r>
                <w:rPr>
                  <w:rFonts w:ascii="Arial" w:cs="Arial" w:eastAsia="Arial" w:hAnsi="Arial"/>
                  <w:sz w:val="18"/>
                  <w:szCs w:val="18"/>
                  <w:color w:val="auto"/>
                </w:rPr>
                <w:t>15d-14(a) of the Securities Exchange Act of 1934.</w:t>
              </w:r>
            </w:hyperlink>
          </w:p>
        </w:tc>
        <w:tc>
          <w:tcPr>
            <w:tcW w:w="220" w:type="dxa"/>
            <w:vAlign w:val="bottom"/>
            <w:gridSpan w:val="4"/>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6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8"/>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00" w:type="dxa"/>
            <w:vAlign w:val="bottom"/>
          </w:tcPr>
          <w:p>
            <w:pPr>
              <w:ind w:left="2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60" w:type="dxa"/>
            <w:vAlign w:val="bottom"/>
            <w:gridSpan w:val="19"/>
          </w:tcPr>
          <w:p>
            <w:pPr>
              <w:spacing w:after="0"/>
              <w:rPr>
                <w:rFonts w:ascii="Arial" w:cs="Arial" w:eastAsia="Arial" w:hAnsi="Arial"/>
                <w:sz w:val="18"/>
                <w:szCs w:val="18"/>
                <w:color w:val="auto"/>
              </w:rPr>
            </w:pPr>
            <w:hyperlink w:anchor="page58">
              <w:r>
                <w:rPr>
                  <w:rFonts w:ascii="Arial" w:cs="Arial" w:eastAsia="Arial" w:hAnsi="Arial"/>
                  <w:sz w:val="18"/>
                  <w:szCs w:val="18"/>
                  <w:color w:val="auto"/>
                </w:rPr>
                <w:t>Certification of the Chief Executive Officer and Chief Financial</w:t>
              </w:r>
            </w:hyperlink>
          </w:p>
        </w:tc>
        <w:tc>
          <w:tcPr>
            <w:tcW w:w="8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5"/>
        </w:trPr>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40" w:type="dxa"/>
            <w:vAlign w:val="bottom"/>
            <w:tcBorders>
              <w:top w:val="single" w:sz="8" w:color="0000EE"/>
            </w:tcBorders>
            <w:gridSpan w:val="10"/>
          </w:tcPr>
          <w:p>
            <w:pPr>
              <w:spacing w:after="0" w:line="156" w:lineRule="exact"/>
              <w:rPr>
                <w:rFonts w:ascii="Arial" w:cs="Arial" w:eastAsia="Arial" w:hAnsi="Arial"/>
                <w:sz w:val="18"/>
                <w:szCs w:val="18"/>
                <w:color w:val="auto"/>
                <w:w w:val="89"/>
              </w:rPr>
            </w:pPr>
            <w:hyperlink w:anchor="page58">
              <w:r>
                <w:rPr>
                  <w:rFonts w:ascii="Arial" w:cs="Arial" w:eastAsia="Arial" w:hAnsi="Arial"/>
                  <w:sz w:val="18"/>
                  <w:szCs w:val="18"/>
                  <w:color w:val="auto"/>
                  <w:w w:val="89"/>
                </w:rPr>
                <w:t>Officer pursuant to 18 U.S.C. Section 1350, as adopted pursuant</w:t>
              </w:r>
            </w:hyperlink>
          </w:p>
        </w:tc>
        <w:tc>
          <w:tcPr>
            <w:tcW w:w="620" w:type="dxa"/>
            <w:vAlign w:val="bottom"/>
            <w:gridSpan w:val="9"/>
          </w:tcPr>
          <w:p>
            <w:pPr>
              <w:ind w:left="20"/>
              <w:spacing w:after="0" w:line="156" w:lineRule="exact"/>
              <w:rPr>
                <w:rFonts w:ascii="Arial" w:cs="Arial" w:eastAsia="Arial" w:hAnsi="Arial"/>
                <w:sz w:val="18"/>
                <w:szCs w:val="18"/>
                <w:color w:val="auto"/>
              </w:rPr>
            </w:pPr>
            <w:hyperlink w:anchor="page58">
              <w:r>
                <w:rPr>
                  <w:rFonts w:ascii="Arial" w:cs="Arial" w:eastAsia="Arial" w:hAnsi="Arial"/>
                  <w:sz w:val="18"/>
                  <w:szCs w:val="18"/>
                  <w:color w:val="auto"/>
                </w:rPr>
                <w:t>to</w:t>
              </w:r>
            </w:hyperlink>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60" w:type="dxa"/>
            <w:vAlign w:val="bottom"/>
            <w:tcBorders>
              <w:top w:val="single" w:sz="8" w:color="0000EE"/>
              <w:bottom w:val="single" w:sz="8" w:color="0000EE"/>
            </w:tcBorders>
            <w:gridSpan w:val="3"/>
          </w:tcPr>
          <w:p>
            <w:pPr>
              <w:spacing w:after="0" w:line="156" w:lineRule="exact"/>
              <w:rPr>
                <w:rFonts w:ascii="Arial" w:cs="Arial" w:eastAsia="Arial" w:hAnsi="Arial"/>
                <w:sz w:val="18"/>
                <w:szCs w:val="18"/>
                <w:color w:val="auto"/>
                <w:w w:val="90"/>
              </w:rPr>
            </w:pPr>
            <w:hyperlink w:anchor="page58">
              <w:r>
                <w:rPr>
                  <w:rFonts w:ascii="Arial" w:cs="Arial" w:eastAsia="Arial" w:hAnsi="Arial"/>
                  <w:sz w:val="18"/>
                  <w:szCs w:val="18"/>
                  <w:color w:val="auto"/>
                  <w:w w:val="90"/>
                </w:rPr>
                <w:t>Section 906 of the Sarbanes-Oxley Act of 2002.</w:t>
              </w:r>
            </w:hyperlink>
          </w:p>
        </w:tc>
        <w:tc>
          <w:tcPr>
            <w:tcW w:w="1400" w:type="dxa"/>
            <w:vAlign w:val="bottom"/>
            <w:tcBorders>
              <w:top w:val="single" w:sz="8" w:color="0000EE"/>
            </w:tcBorders>
            <w:gridSpan w:val="8"/>
          </w:tcPr>
          <w:p>
            <w:pPr>
              <w:spacing w:after="0"/>
              <w:rPr>
                <w:sz w:val="13"/>
                <w:szCs w:val="13"/>
                <w:color w:val="auto"/>
              </w:rPr>
            </w:pPr>
          </w:p>
        </w:tc>
        <w:tc>
          <w:tcPr>
            <w:tcW w:w="400" w:type="dxa"/>
            <w:vAlign w:val="bottom"/>
            <w:gridSpan w:val="8"/>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900" w:type="dxa"/>
            <w:vAlign w:val="bottom"/>
          </w:tcPr>
          <w:p>
            <w:pPr>
              <w:ind w:left="2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60" w:type="dxa"/>
            <w:vAlign w:val="bottom"/>
            <w:gridSpan w:val="19"/>
          </w:tcPr>
          <w:p>
            <w:pPr>
              <w:spacing w:after="0"/>
              <w:rPr>
                <w:sz w:val="20"/>
                <w:szCs w:val="20"/>
                <w:color w:val="auto"/>
              </w:rPr>
            </w:pPr>
            <w:r>
              <w:rPr>
                <w:rFonts w:ascii="Arial" w:cs="Arial" w:eastAsia="Arial" w:hAnsi="Arial"/>
                <w:sz w:val="18"/>
                <w:szCs w:val="18"/>
                <w:color w:val="auto"/>
              </w:rPr>
              <w:t>The following financial statements from the Quarterly Report of</w:t>
            </w: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75"/>
        </w:trPr>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60" w:type="dxa"/>
            <w:vAlign w:val="bottom"/>
            <w:gridSpan w:val="19"/>
          </w:tcPr>
          <w:p>
            <w:pPr>
              <w:spacing w:after="0" w:line="176" w:lineRule="exact"/>
              <w:rPr>
                <w:sz w:val="20"/>
                <w:szCs w:val="20"/>
                <w:color w:val="auto"/>
              </w:rPr>
            </w:pPr>
            <w:r>
              <w:rPr>
                <w:rFonts w:ascii="Arial" w:cs="Arial" w:eastAsia="Arial" w:hAnsi="Arial"/>
                <w:sz w:val="18"/>
                <w:szCs w:val="18"/>
                <w:color w:val="auto"/>
                <w:w w:val="92"/>
              </w:rPr>
              <w:t>Enanta Pharmaceuticals, Inc. on Form 10-Q for the quarter ended June</w:t>
            </w: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60" w:type="dxa"/>
            <w:vAlign w:val="bottom"/>
            <w:gridSpan w:val="19"/>
          </w:tcPr>
          <w:p>
            <w:pPr>
              <w:spacing w:after="0" w:line="191" w:lineRule="exact"/>
              <w:rPr>
                <w:sz w:val="20"/>
                <w:szCs w:val="20"/>
                <w:color w:val="auto"/>
              </w:rPr>
            </w:pPr>
            <w:r>
              <w:rPr>
                <w:rFonts w:ascii="Arial" w:cs="Arial" w:eastAsia="Arial" w:hAnsi="Arial"/>
                <w:sz w:val="18"/>
                <w:szCs w:val="18"/>
                <w:color w:val="auto"/>
                <w:w w:val="96"/>
              </w:rPr>
              <w:t>30, 2022 formatted in Inline XBRL: (i) Consolidated Balance Sheets,</w:t>
            </w: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1040" w:right="5080" w:hanging="6"/>
        <w:spacing w:after="0" w:line="225" w:lineRule="auto"/>
        <w:tabs>
          <w:tab w:leader="none" w:pos="1305" w:val="left"/>
        </w:tabs>
        <w:numPr>
          <w:ilvl w:val="0"/>
          <w:numId w:val="46"/>
        </w:numPr>
        <w:rPr>
          <w:rFonts w:ascii="Arial" w:cs="Arial" w:eastAsia="Arial" w:hAnsi="Arial"/>
          <w:sz w:val="17"/>
          <w:szCs w:val="17"/>
          <w:color w:val="auto"/>
        </w:rPr>
      </w:pPr>
      <w:r>
        <w:rPr>
          <w:rFonts w:ascii="Arial" w:cs="Arial" w:eastAsia="Arial" w:hAnsi="Arial"/>
          <w:sz w:val="17"/>
          <w:szCs w:val="17"/>
          <w:color w:val="auto"/>
        </w:rPr>
        <w:t>Consolidated Statements of Operations, (iii) Consolidated Statements of Comprehensive Income, (iv) Consolidated Statements of Stockholders’ Equity, (v) Consolidated Statements of Cash Flows, (vi) and Notes to Consolidated Financial Statements, tagged as blocks of text and including detailed tags</w:t>
      </w:r>
    </w:p>
    <w:p>
      <w:pPr>
        <w:spacing w:after="0" w:line="7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640" w:type="dxa"/>
            <w:vAlign w:val="bottom"/>
          </w:tcPr>
          <w:p>
            <w:pPr>
              <w:jc w:val="right"/>
              <w:ind w:right="270"/>
              <w:spacing w:after="0"/>
              <w:rPr>
                <w:sz w:val="20"/>
                <w:szCs w:val="20"/>
                <w:color w:val="auto"/>
              </w:rPr>
            </w:pPr>
            <w:r>
              <w:rPr>
                <w:rFonts w:ascii="Arial" w:cs="Arial" w:eastAsia="Arial" w:hAnsi="Arial"/>
                <w:sz w:val="18"/>
                <w:szCs w:val="18"/>
                <w:color w:val="auto"/>
                <w:w w:val="86"/>
              </w:rPr>
              <w:t>104</w:t>
            </w:r>
          </w:p>
        </w:tc>
        <w:tc>
          <w:tcPr>
            <w:tcW w:w="7560" w:type="dxa"/>
            <w:vAlign w:val="bottom"/>
          </w:tcPr>
          <w:p>
            <w:pPr>
              <w:ind w:left="380"/>
              <w:spacing w:after="0"/>
              <w:rPr>
                <w:sz w:val="20"/>
                <w:szCs w:val="20"/>
                <w:color w:val="auto"/>
              </w:rPr>
            </w:pPr>
            <w:r>
              <w:rPr>
                <w:rFonts w:ascii="Arial" w:cs="Arial" w:eastAsia="Arial" w:hAnsi="Arial"/>
                <w:sz w:val="18"/>
                <w:szCs w:val="18"/>
                <w:color w:val="212529"/>
              </w:rPr>
              <w:t>Cover Page Interactive Data File (formatted as Inline XBRL and</w:t>
            </w:r>
          </w:p>
        </w:tc>
        <w:tc>
          <w:tcPr>
            <w:tcW w:w="2640" w:type="dxa"/>
            <w:vAlign w:val="bottom"/>
          </w:tcPr>
          <w:p>
            <w:pPr>
              <w:ind w:left="2520"/>
              <w:spacing w:after="0"/>
              <w:rPr>
                <w:sz w:val="20"/>
                <w:szCs w:val="20"/>
                <w:color w:val="auto"/>
              </w:rPr>
            </w:pPr>
            <w:r>
              <w:rPr>
                <w:rFonts w:ascii="Arial" w:cs="Arial" w:eastAsia="Arial" w:hAnsi="Arial"/>
                <w:sz w:val="18"/>
                <w:szCs w:val="18"/>
                <w:color w:val="auto"/>
                <w:w w:val="82"/>
              </w:rPr>
              <w:t>X</w:t>
            </w:r>
          </w:p>
        </w:tc>
      </w:tr>
      <w:tr>
        <w:trPr>
          <w:trHeight w:val="230"/>
        </w:trPr>
        <w:tc>
          <w:tcPr>
            <w:tcW w:w="640" w:type="dxa"/>
            <w:vAlign w:val="bottom"/>
          </w:tcPr>
          <w:p>
            <w:pPr>
              <w:spacing w:after="0"/>
              <w:rPr>
                <w:sz w:val="20"/>
                <w:szCs w:val="20"/>
                <w:color w:val="auto"/>
              </w:rPr>
            </w:pPr>
          </w:p>
        </w:tc>
        <w:tc>
          <w:tcPr>
            <w:tcW w:w="7560" w:type="dxa"/>
            <w:vAlign w:val="bottom"/>
          </w:tcPr>
          <w:p>
            <w:pPr>
              <w:ind w:left="380"/>
              <w:spacing w:after="0"/>
              <w:rPr>
                <w:sz w:val="20"/>
                <w:szCs w:val="20"/>
                <w:color w:val="auto"/>
              </w:rPr>
            </w:pPr>
            <w:r>
              <w:rPr>
                <w:rFonts w:ascii="Arial" w:cs="Arial" w:eastAsia="Arial" w:hAnsi="Arial"/>
                <w:sz w:val="18"/>
                <w:szCs w:val="18"/>
                <w:color w:val="212529"/>
              </w:rPr>
              <w:t>contained in Exhibit 101).</w:t>
            </w:r>
          </w:p>
        </w:tc>
        <w:tc>
          <w:tcPr>
            <w:tcW w:w="264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360" w:firstLine="8"/>
        <w:spacing w:after="0" w:line="198" w:lineRule="auto"/>
        <w:tabs>
          <w:tab w:leader="none" w:pos="126" w:val="left"/>
        </w:tabs>
        <w:numPr>
          <w:ilvl w:val="0"/>
          <w:numId w:val="47"/>
        </w:numPr>
        <w:rPr>
          <w:rFonts w:ascii="Arial" w:cs="Arial" w:eastAsia="Arial" w:hAnsi="Arial"/>
          <w:sz w:val="29"/>
          <w:szCs w:val="29"/>
          <w:color w:val="auto"/>
          <w:vertAlign w:val="superscript"/>
        </w:rPr>
      </w:pPr>
      <w:r>
        <w:rPr>
          <w:rFonts w:ascii="Arial" w:cs="Arial" w:eastAsia="Arial" w:hAnsi="Arial"/>
          <w:sz w:val="18"/>
          <w:szCs w:val="18"/>
          <w:color w:val="auto"/>
        </w:rPr>
        <w:t>Certain portions of this exhibit have been redacted pursuant to Item 601(b)(10(iv) of Regulation s-K. The Company has determined that such omitted information is (i) not material and (ii) would likely cause competitive harm to the Company if publicly disclosed.</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ENANTA PHARMACEUTICALS, INC.</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16"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ENANTA PHARMACEUTICALS, INC.</w:t>
      </w:r>
    </w:p>
    <w:p>
      <w:pPr>
        <w:spacing w:after="0" w:line="200" w:lineRule="exact"/>
        <w:rPr>
          <w:sz w:val="20"/>
          <w:szCs w:val="20"/>
          <w:color w:val="auto"/>
        </w:rPr>
      </w:pPr>
    </w:p>
    <w:p>
      <w:pPr>
        <w:spacing w:after="0" w:line="214"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August 8, 2022</w:t>
      </w:r>
    </w:p>
    <w:p>
      <w:pPr>
        <w:spacing w:after="0" w:line="239"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Paul J. Mellett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6350</wp:posOffset>
            </wp:positionV>
            <wp:extent cx="284607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ind w:left="6780"/>
        <w:spacing w:after="0" w:line="232" w:lineRule="auto"/>
        <w:rPr>
          <w:sz w:val="20"/>
          <w:szCs w:val="20"/>
          <w:color w:val="auto"/>
        </w:rPr>
      </w:pPr>
      <w:r>
        <w:rPr>
          <w:rFonts w:ascii="Arial" w:cs="Arial" w:eastAsia="Arial" w:hAnsi="Arial"/>
          <w:sz w:val="18"/>
          <w:szCs w:val="18"/>
          <w:color w:val="auto"/>
        </w:rPr>
        <w:t>Paul J. Mellett</w:t>
      </w:r>
    </w:p>
    <w:p>
      <w:pPr>
        <w:ind w:left="6780"/>
        <w:spacing w:after="0" w:line="203"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(Principal Financial and Accounting Officer)</w:t>
      </w: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4" w:right="37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 Jay R. Luly, Ph.D., certify that:</w:t>
      </w:r>
    </w:p>
    <w:p>
      <w:pPr>
        <w:spacing w:after="0" w:line="104" w:lineRule="exact"/>
        <w:rPr>
          <w:sz w:val="20"/>
          <w:szCs w:val="20"/>
          <w:color w:val="auto"/>
        </w:rPr>
      </w:pPr>
    </w:p>
    <w:p>
      <w:pPr>
        <w:ind w:left="360" w:hanging="352"/>
        <w:spacing w:after="0"/>
        <w:tabs>
          <w:tab w:leader="none" w:pos="3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Enanta Pharmaceuticals, Inc.;</w:t>
      </w:r>
    </w:p>
    <w:p>
      <w:pPr>
        <w:spacing w:after="0" w:line="103" w:lineRule="exact"/>
        <w:rPr>
          <w:rFonts w:ascii="Arial" w:cs="Arial" w:eastAsia="Arial" w:hAnsi="Arial"/>
          <w:sz w:val="18"/>
          <w:szCs w:val="18"/>
          <w:color w:val="auto"/>
        </w:rPr>
      </w:pPr>
    </w:p>
    <w:p>
      <w:pPr>
        <w:ind w:left="520" w:right="280" w:hanging="512"/>
        <w:spacing w:after="0" w:line="248" w:lineRule="auto"/>
        <w:tabs>
          <w:tab w:leader="none" w:pos="371"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360" w:hanging="512"/>
        <w:spacing w:after="0" w:line="291" w:lineRule="auto"/>
        <w:tabs>
          <w:tab w:leader="none" w:pos="371" w:val="left"/>
        </w:tabs>
        <w:numPr>
          <w:ilvl w:val="0"/>
          <w:numId w:val="4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right="260" w:hanging="512"/>
        <w:spacing w:after="0" w:line="248" w:lineRule="auto"/>
        <w:tabs>
          <w:tab w:leader="none" w:pos="371"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20" w:right="80" w:hanging="479"/>
        <w:spacing w:after="0" w:line="248" w:lineRule="auto"/>
        <w:tabs>
          <w:tab w:leader="none" w:pos="895"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20" w:right="320" w:hanging="479"/>
        <w:spacing w:after="0" w:line="248" w:lineRule="auto"/>
        <w:tabs>
          <w:tab w:leader="none" w:pos="895"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020" w:right="480" w:hanging="479"/>
        <w:spacing w:after="0" w:line="324" w:lineRule="auto"/>
        <w:tabs>
          <w:tab w:leader="none" w:pos="895" w:val="left"/>
        </w:tabs>
        <w:numPr>
          <w:ilvl w:val="1"/>
          <w:numId w:val="4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1020" w:right="120" w:hanging="479"/>
        <w:spacing w:after="0" w:line="248" w:lineRule="auto"/>
        <w:tabs>
          <w:tab w:leader="none" w:pos="895"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100" w:hanging="512"/>
        <w:spacing w:after="0" w:line="291" w:lineRule="auto"/>
        <w:tabs>
          <w:tab w:leader="none" w:pos="371"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20" w:right="40" w:hanging="479"/>
        <w:spacing w:after="0" w:line="291" w:lineRule="auto"/>
        <w:tabs>
          <w:tab w:leader="none" w:pos="895" w:val="left"/>
        </w:tabs>
        <w:numPr>
          <w:ilvl w:val="1"/>
          <w:numId w:val="4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020" w:right="540" w:hanging="479"/>
        <w:spacing w:after="0" w:line="261" w:lineRule="auto"/>
        <w:tabs>
          <w:tab w:leader="none" w:pos="895"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August 8, 2022</w:t>
      </w:r>
    </w:p>
    <w:p>
      <w:pPr>
        <w:spacing w:after="0" w:line="198"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Jay R. Luly,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6350</wp:posOffset>
            </wp:positionV>
            <wp:extent cx="284607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Jay R. Luly, Ph.D.</w:t>
      </w:r>
    </w:p>
    <w:p>
      <w:pPr>
        <w:ind w:left="678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 Paul J. Mellett, certify that:</w:t>
      </w:r>
    </w:p>
    <w:p>
      <w:pPr>
        <w:spacing w:after="0" w:line="104" w:lineRule="exact"/>
        <w:rPr>
          <w:sz w:val="20"/>
          <w:szCs w:val="20"/>
          <w:color w:val="auto"/>
        </w:rPr>
      </w:pPr>
    </w:p>
    <w:p>
      <w:pPr>
        <w:ind w:left="360" w:hanging="352"/>
        <w:spacing w:after="0"/>
        <w:tabs>
          <w:tab w:leader="none" w:pos="3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Enanta Pharmaceuticals, Inc.;</w:t>
      </w:r>
    </w:p>
    <w:p>
      <w:pPr>
        <w:spacing w:after="0" w:line="103" w:lineRule="exact"/>
        <w:rPr>
          <w:rFonts w:ascii="Arial" w:cs="Arial" w:eastAsia="Arial" w:hAnsi="Arial"/>
          <w:sz w:val="18"/>
          <w:szCs w:val="18"/>
          <w:color w:val="auto"/>
        </w:rPr>
      </w:pPr>
    </w:p>
    <w:p>
      <w:pPr>
        <w:ind w:left="520" w:right="280" w:hanging="512"/>
        <w:spacing w:after="0" w:line="248" w:lineRule="auto"/>
        <w:tabs>
          <w:tab w:leader="none" w:pos="371"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360" w:hanging="512"/>
        <w:spacing w:after="0" w:line="291" w:lineRule="auto"/>
        <w:tabs>
          <w:tab w:leader="none" w:pos="371" w:val="left"/>
        </w:tabs>
        <w:numPr>
          <w:ilvl w:val="0"/>
          <w:numId w:val="4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right="260" w:hanging="512"/>
        <w:spacing w:after="0" w:line="248" w:lineRule="auto"/>
        <w:tabs>
          <w:tab w:leader="none" w:pos="371"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20" w:right="80" w:hanging="479"/>
        <w:spacing w:after="0" w:line="248" w:lineRule="auto"/>
        <w:tabs>
          <w:tab w:leader="none" w:pos="895"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20" w:right="320" w:hanging="479"/>
        <w:spacing w:after="0" w:line="248" w:lineRule="auto"/>
        <w:tabs>
          <w:tab w:leader="none" w:pos="895"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020" w:right="480" w:hanging="479"/>
        <w:spacing w:after="0" w:line="324" w:lineRule="auto"/>
        <w:tabs>
          <w:tab w:leader="none" w:pos="895" w:val="left"/>
        </w:tabs>
        <w:numPr>
          <w:ilvl w:val="1"/>
          <w:numId w:val="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1020" w:right="120" w:hanging="479"/>
        <w:spacing w:after="0" w:line="248" w:lineRule="auto"/>
        <w:tabs>
          <w:tab w:leader="none" w:pos="895"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100" w:hanging="512"/>
        <w:spacing w:after="0" w:line="291" w:lineRule="auto"/>
        <w:tabs>
          <w:tab w:leader="none" w:pos="371"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20" w:right="40" w:hanging="479"/>
        <w:spacing w:after="0" w:line="291" w:lineRule="auto"/>
        <w:tabs>
          <w:tab w:leader="none" w:pos="895" w:val="left"/>
        </w:tabs>
        <w:numPr>
          <w:ilvl w:val="1"/>
          <w:numId w:val="4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020" w:right="540" w:hanging="479"/>
        <w:spacing w:after="0" w:line="261" w:lineRule="auto"/>
        <w:tabs>
          <w:tab w:leader="none" w:pos="895"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August 8, 2022</w:t>
      </w:r>
    </w:p>
    <w:p>
      <w:pPr>
        <w:spacing w:after="0" w:line="198"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Paul J. Mellett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6350</wp:posOffset>
            </wp:positionV>
            <wp:extent cx="284607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Paul J. Mellett</w:t>
      </w:r>
    </w:p>
    <w:p>
      <w:pPr>
        <w:ind w:left="67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32.1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ENANTA PHARMACEUTICALS,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Financial Report</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96"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Each of the undersigned officers of Enanta Pharmaceuticals, Inc. (“Enanta”) certifies, to his knowledge and solely for the purposes of 18 U.S.C. Section 1350, as adopted pursuant to Section 906 of the Sarbanes-Oxley Act of 2002, that the Quarterly Report on Form 10-Q of Enanta for the quarter ended June 30, 2022 fully complies with the requirements of Section 13(a) or 15(d) of the Securities Exchange Act of 1934 and that information contained in the Form 10-Q fairly presents, in all material respects, the financial condition and results of operations of Enanta.</w:t>
      </w:r>
    </w:p>
    <w:p>
      <w:pPr>
        <w:spacing w:after="0" w:line="159" w:lineRule="exact"/>
        <w:rPr>
          <w:sz w:val="20"/>
          <w:szCs w:val="20"/>
          <w:color w:val="auto"/>
        </w:rPr>
      </w:pPr>
    </w:p>
    <w:p>
      <w:pPr>
        <w:ind w:left="20"/>
        <w:spacing w:after="0"/>
        <w:tabs>
          <w:tab w:leader="none" w:pos="6760" w:val="left"/>
          <w:tab w:leader="none" w:pos="7200" w:val="left"/>
        </w:tabs>
        <w:rPr>
          <w:sz w:val="20"/>
          <w:szCs w:val="20"/>
          <w:color w:val="auto"/>
        </w:rPr>
      </w:pPr>
      <w:r>
        <w:rPr>
          <w:rFonts w:ascii="Arial" w:cs="Arial" w:eastAsia="Arial" w:hAnsi="Arial"/>
          <w:sz w:val="18"/>
          <w:szCs w:val="18"/>
          <w:color w:val="auto"/>
        </w:rPr>
        <w:t>Dated: August 8,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Jay R. Luly,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6350</wp:posOffset>
            </wp:positionV>
            <wp:extent cx="256286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Jay R. Luly, Ph.D.</w:t>
      </w:r>
    </w:p>
    <w:p>
      <w:pPr>
        <w:ind w:left="7220"/>
        <w:spacing w:after="0"/>
        <w:rPr>
          <w:sz w:val="20"/>
          <w:szCs w:val="20"/>
          <w:color w:val="auto"/>
        </w:rPr>
      </w:pPr>
      <w:r>
        <w:rPr>
          <w:rFonts w:ascii="Arial" w:cs="Arial" w:eastAsia="Arial" w:hAnsi="Arial"/>
          <w:sz w:val="18"/>
          <w:szCs w:val="18"/>
          <w:color w:val="auto"/>
        </w:rPr>
        <w:t>Chief Executive Officer</w:t>
      </w:r>
    </w:p>
    <w:p>
      <w:pPr>
        <w:spacing w:after="0" w:line="223" w:lineRule="exact"/>
        <w:rPr>
          <w:sz w:val="20"/>
          <w:szCs w:val="20"/>
          <w:color w:val="auto"/>
        </w:rPr>
      </w:pPr>
    </w:p>
    <w:p>
      <w:pPr>
        <w:ind w:left="20"/>
        <w:spacing w:after="0"/>
        <w:tabs>
          <w:tab w:leader="none" w:pos="6760" w:val="left"/>
          <w:tab w:leader="none" w:pos="7200" w:val="left"/>
        </w:tabs>
        <w:rPr>
          <w:sz w:val="20"/>
          <w:szCs w:val="20"/>
          <w:color w:val="auto"/>
        </w:rPr>
      </w:pPr>
      <w:r>
        <w:rPr>
          <w:rFonts w:ascii="Arial" w:cs="Arial" w:eastAsia="Arial" w:hAnsi="Arial"/>
          <w:sz w:val="18"/>
          <w:szCs w:val="18"/>
          <w:color w:val="auto"/>
        </w:rPr>
        <w:t>Dated: August 8,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Paul J. Mellett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6350</wp:posOffset>
            </wp:positionV>
            <wp:extent cx="256286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Paul J. Mellett</w:t>
      </w:r>
    </w:p>
    <w:p>
      <w:pPr>
        <w:ind w:left="722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1."/>
      <w:numFmt w:val="decimal"/>
      <w:start w:val="1"/>
    </w:lvl>
  </w:abstractNum>
  <w:abstractNum w:abstractNumId="3">
    <w:nsid w:val="189A769B"/>
    <w:multiLevelType w:val="hybridMultilevel"/>
    <w:lvl w:ilvl="0">
      <w:lvlJc w:val="left"/>
      <w:lvlText w:val="%1."/>
      <w:numFmt w:val="decimal"/>
      <w:start w:val="2"/>
    </w:lvl>
  </w:abstractNum>
  <w:abstractNum w:abstractNumId="4">
    <w:nsid w:val="54E49EB4"/>
    <w:multiLevelType w:val="hybridMultilevel"/>
    <w:lvl w:ilvl="0">
      <w:lvlJc w:val="left"/>
      <w:lvlText w:val="%1."/>
      <w:numFmt w:val="decimal"/>
      <w:start w:val="3"/>
    </w:lvl>
  </w:abstractNum>
  <w:abstractNum w:abstractNumId="5">
    <w:nsid w:val="71F32454"/>
    <w:multiLevelType w:val="hybridMultilevel"/>
    <w:lvl w:ilvl="0">
      <w:lvlJc w:val="left"/>
      <w:lvlText w:val="%1."/>
      <w:numFmt w:val="decimal"/>
      <w:start w:val="4"/>
    </w:lvl>
  </w:abstractNum>
  <w:abstractNum w:abstractNumId="6">
    <w:nsid w:val="2CA88611"/>
    <w:multiLevelType w:val="hybridMultilevel"/>
    <w:lvl w:ilvl="0">
      <w:lvlJc w:val="left"/>
      <w:lvlText w:val="%1."/>
      <w:numFmt w:val="decimal"/>
      <w:start w:val="5"/>
    </w:lvl>
  </w:abstractNum>
  <w:abstractNum w:abstractNumId="7">
    <w:nsid w:val="836C40E"/>
    <w:multiLevelType w:val="hybridMultilevel"/>
    <w:lvl w:ilvl="0">
      <w:lvlJc w:val="left"/>
      <w:lvlText w:val="%1."/>
      <w:numFmt w:val="decimal"/>
      <w:start w:val="6"/>
    </w:lvl>
  </w:abstractNum>
  <w:abstractNum w:abstractNumId="8">
    <w:nsid w:val="2901D82"/>
    <w:multiLevelType w:val="hybridMultilevel"/>
    <w:lvl w:ilvl="0">
      <w:lvlJc w:val="left"/>
      <w:lvlText w:val="%1."/>
      <w:numFmt w:val="decimal"/>
      <w:start w:val="7"/>
    </w:lvl>
  </w:abstractNum>
  <w:abstractNum w:abstractNumId="9">
    <w:nsid w:val="3A95F874"/>
    <w:multiLevelType w:val="hybridMultilevel"/>
    <w:lvl w:ilvl="0">
      <w:lvlJc w:val="left"/>
      <w:lvlText w:val="%1."/>
      <w:numFmt w:val="decimal"/>
      <w:start w:val="8"/>
    </w:lvl>
  </w:abstractNum>
  <w:abstractNum w:abstractNumId="10">
    <w:nsid w:val="8138641"/>
    <w:multiLevelType w:val="hybridMultilevel"/>
    <w:lvl w:ilvl="0">
      <w:lvlJc w:val="left"/>
      <w:lvlText w:val="%1."/>
      <w:numFmt w:val="decimal"/>
      <w:start w:val="9"/>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o"/>
      <w:numFmt w:val="bullet"/>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
      <w:numFmt w:val="bullet"/>
      <w:start w:val="1"/>
    </w:lvl>
    <w:lvl w:ilvl="1">
      <w:lvlJc w:val="left"/>
      <w:lvlText w:val="o"/>
      <w:numFmt w:val="bullet"/>
      <w:start w:val="1"/>
    </w:lvl>
  </w:abstractNum>
  <w:abstractNum w:abstractNumId="16">
    <w:nsid w:val="4516DDE9"/>
    <w:multiLevelType w:val="hybridMultilevel"/>
    <w:lvl w:ilvl="0">
      <w:lvlJc w:val="left"/>
      <w:lvlText w:val="•"/>
      <w:numFmt w:val="bullet"/>
      <w:start w:val="1"/>
    </w:lvl>
    <w:lvl w:ilvl="1">
      <w:lvlJc w:val="left"/>
      <w:lvlText w:val="o"/>
      <w:numFmt w:val="bullet"/>
      <w:start w:val="1"/>
    </w:lvl>
  </w:abstractNum>
  <w:abstractNum w:abstractNumId="17">
    <w:nsid w:val="3006C83E"/>
    <w:multiLevelType w:val="hybridMultilevel"/>
    <w:lvl w:ilvl="0">
      <w:lvlJc w:val="left"/>
      <w:lvlText w:val="•"/>
      <w:numFmt w:val="bullet"/>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1)"/>
      <w:numFmt w:val="lowerLetter"/>
      <w:start w:val="1"/>
    </w:lvl>
  </w:abstractNum>
  <w:abstractNum w:abstractNumId="20">
    <w:nsid w:val="5577F8E1"/>
    <w:multiLevelType w:val="hybridMultilevel"/>
    <w:lvl w:ilvl="0">
      <w:lvlJc w:val="left"/>
      <w:lvlText w:val="%1)"/>
      <w:numFmt w:val="lowerLetter"/>
      <w:start w:val="2"/>
    </w:lvl>
  </w:abstractNum>
  <w:abstractNum w:abstractNumId="21">
    <w:nsid w:val="440BADFC"/>
    <w:multiLevelType w:val="hybridMultilevel"/>
    <w:lvl w:ilvl="0">
      <w:lvlJc w:val="left"/>
      <w:lvlText w:val="•"/>
      <w:numFmt w:val="bullet"/>
      <w:start w:val="1"/>
    </w:lvl>
    <w:lvl w:ilvl="1">
      <w:lvlJc w:val="left"/>
      <w:lvlText w:val="•"/>
      <w:numFmt w:val="bullet"/>
      <w:start w:val="1"/>
    </w:lvl>
  </w:abstractNum>
  <w:abstractNum w:abstractNumId="22">
    <w:nsid w:val="5072367"/>
    <w:multiLevelType w:val="hybridMultilevel"/>
    <w:lvl w:ilvl="0">
      <w:lvlJc w:val="left"/>
      <w:lvlText w:val="•"/>
      <w:numFmt w:val="bullet"/>
      <w:start w:val="1"/>
    </w:lvl>
    <w:lvl w:ilvl="1">
      <w:lvlJc w:val="left"/>
      <w:lvlText w:val="•"/>
      <w:numFmt w:val="bullet"/>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
      <w:numFmt w:val="bullet"/>
      <w:start w:val="1"/>
    </w:lvl>
  </w:abstractNum>
  <w:abstractNum w:abstractNumId="29">
    <w:nsid w:val="51EAD36B"/>
    <w:multiLevelType w:val="hybridMultilevel"/>
    <w:lvl w:ilvl="0">
      <w:lvlJc w:val="left"/>
      <w:lvlText w:val="•"/>
      <w:numFmt w:val="bullet"/>
      <w:start w:val="1"/>
    </w:lvl>
  </w:abstractNum>
  <w:abstractNum w:abstractNumId="30">
    <w:nsid w:val="2D517796"/>
    <w:multiLevelType w:val="hybridMultilevel"/>
    <w:lvl w:ilvl="0">
      <w:lvlJc w:val="left"/>
      <w:lvlText w:val="•"/>
      <w:numFmt w:val="bullet"/>
      <w:start w:val="1"/>
    </w:lvl>
  </w:abstractNum>
  <w:abstractNum w:abstractNumId="31">
    <w:nsid w:val="580BD78F"/>
    <w:multiLevelType w:val="hybridMultilevel"/>
    <w:lvl w:ilvl="0">
      <w:lvlJc w:val="left"/>
      <w:lvlText w:val="•"/>
      <w:numFmt w:val="bullet"/>
      <w:start w:val="1"/>
    </w:lvl>
  </w:abstractNum>
  <w:abstractNum w:abstractNumId="32">
    <w:nsid w:val="153EA438"/>
    <w:multiLevelType w:val="hybridMultilevel"/>
    <w:lvl w:ilvl="0">
      <w:lvlJc w:val="left"/>
      <w:lvlText w:val="•"/>
      <w:numFmt w:val="bullet"/>
      <w:start w:val="1"/>
    </w:lvl>
  </w:abstractNum>
  <w:abstractNum w:abstractNumId="33">
    <w:nsid w:val="3855585C"/>
    <w:multiLevelType w:val="hybridMultilevel"/>
    <w:lvl w:ilvl="0">
      <w:lvlJc w:val="left"/>
      <w:lvlText w:val="•"/>
      <w:numFmt w:val="bullet"/>
      <w:start w:val="1"/>
    </w:lvl>
  </w:abstractNum>
  <w:abstractNum w:abstractNumId="34">
    <w:nsid w:val="70A64E2A"/>
    <w:multiLevelType w:val="hybridMultilevel"/>
    <w:lvl w:ilvl="0">
      <w:lvlJc w:val="left"/>
      <w:lvlText w:val="•"/>
      <w:numFmt w:val="bullet"/>
      <w:start w:val="1"/>
    </w:lvl>
  </w:abstractNum>
  <w:abstractNum w:abstractNumId="35">
    <w:nsid w:val="6A2342EC"/>
    <w:multiLevelType w:val="hybridMultilevel"/>
    <w:lvl w:ilvl="0">
      <w:lvlJc w:val="left"/>
      <w:lvlText w:val="•"/>
      <w:numFmt w:val="bullet"/>
      <w:start w:val="1"/>
    </w:lvl>
  </w:abstractNum>
  <w:abstractNum w:abstractNumId="36">
    <w:nsid w:val="2A487CB0"/>
    <w:multiLevelType w:val="hybridMultilevel"/>
    <w:lvl w:ilvl="0">
      <w:lvlJc w:val="left"/>
      <w:lvlText w:val="•"/>
      <w:numFmt w:val="bullet"/>
      <w:start w:val="1"/>
    </w:lvl>
  </w:abstractNum>
  <w:abstractNum w:abstractNumId="37">
    <w:nsid w:val="1D4ED43B"/>
    <w:multiLevelType w:val="hybridMultilevel"/>
    <w:lvl w:ilvl="0">
      <w:lvlJc w:val="left"/>
      <w:lvlText w:val="•"/>
      <w:numFmt w:val="bullet"/>
      <w:start w:val="1"/>
    </w:lvl>
  </w:abstractNum>
  <w:abstractNum w:abstractNumId="38">
    <w:nsid w:val="725A06FB"/>
    <w:multiLevelType w:val="hybridMultilevel"/>
    <w:lvl w:ilvl="0">
      <w:lvlJc w:val="left"/>
      <w:lvlText w:val="•"/>
      <w:numFmt w:val="bullet"/>
      <w:start w:val="1"/>
    </w:lvl>
  </w:abstractNum>
  <w:abstractNum w:abstractNumId="39">
    <w:nsid w:val="2CD89A32"/>
    <w:multiLevelType w:val="hybridMultilevel"/>
    <w:lvl w:ilvl="0">
      <w:lvlJc w:val="left"/>
      <w:lvlText w:val="•"/>
      <w:numFmt w:val="bullet"/>
      <w:start w:val="1"/>
    </w:lvl>
  </w:abstractNum>
  <w:abstractNum w:abstractNumId="40">
    <w:nsid w:val="57E4CCAF"/>
    <w:multiLevelType w:val="hybridMultilevel"/>
    <w:lvl w:ilvl="0">
      <w:lvlJc w:val="left"/>
      <w:lvlText w:val="•"/>
      <w:numFmt w:val="bullet"/>
      <w:start w:val="1"/>
    </w:lvl>
  </w:abstractNum>
  <w:abstractNum w:abstractNumId="41">
    <w:nsid w:val="7A6D8D3C"/>
    <w:multiLevelType w:val="hybridMultilevel"/>
    <w:lvl w:ilvl="0">
      <w:lvlJc w:val="left"/>
      <w:lvlText w:val="•"/>
      <w:numFmt w:val="bullet"/>
      <w:start w:val="1"/>
    </w:lvl>
  </w:abstractNum>
  <w:abstractNum w:abstractNumId="42">
    <w:nsid w:val="4B588F54"/>
    <w:multiLevelType w:val="hybridMultilevel"/>
    <w:lvl w:ilvl="0">
      <w:lvlJc w:val="left"/>
      <w:lvlText w:val="•"/>
      <w:numFmt w:val="bullet"/>
      <w:start w:val="1"/>
    </w:lvl>
  </w:abstractNum>
  <w:abstractNum w:abstractNumId="43">
    <w:nsid w:val="542289EC"/>
    <w:multiLevelType w:val="hybridMultilevel"/>
    <w:lvl w:ilvl="0">
      <w:lvlJc w:val="left"/>
      <w:lvlText w:val="•"/>
      <w:numFmt w:val="bullet"/>
      <w:start w:val="1"/>
    </w:lvl>
  </w:abstractNum>
  <w:abstractNum w:abstractNumId="44">
    <w:nsid w:val="6DE91B18"/>
    <w:multiLevelType w:val="hybridMultilevel"/>
    <w:lvl w:ilvl="0">
      <w:lvlJc w:val="left"/>
      <w:lvlText w:val="•"/>
      <w:numFmt w:val="bullet"/>
      <w:start w:val="1"/>
    </w:lvl>
  </w:abstractNum>
  <w:abstractNum w:abstractNumId="45">
    <w:nsid w:val="38437FDB"/>
    <w:multiLevelType w:val="hybridMultilevel"/>
    <w:lvl w:ilvl="0">
      <w:lvlJc w:val="left"/>
      <w:lvlText w:val="(%1)"/>
      <w:numFmt w:val="lowerRoman"/>
      <w:start w:val="2"/>
    </w:lvl>
  </w:abstractNum>
  <w:abstractNum w:abstractNumId="46">
    <w:nsid w:val="7644A45C"/>
    <w:multiLevelType w:val="hybridMultilevel"/>
    <w:lvl w:ilvl="0">
      <w:lvlJc w:val="left"/>
      <w:lvlText w:val="†"/>
      <w:numFmt w:val="bullet"/>
      <w:start w:val="1"/>
    </w:lvl>
  </w:abstractNum>
  <w:abstractNum w:abstractNumId="47">
    <w:nsid w:val="32FFF902"/>
    <w:multiLevelType w:val="hybridMultilevel"/>
    <w:lvl w:ilvl="0">
      <w:lvlJc w:val="left"/>
      <w:lvlText w:val="%1."/>
      <w:numFmt w:val="decimal"/>
      <w:start w:val="1"/>
    </w:lvl>
    <w:lvl w:ilvl="1">
      <w:lvlJc w:val="left"/>
      <w:lvlText w:val="(%2)"/>
      <w:numFmt w:val="lowerLetter"/>
      <w:start w:val="1"/>
    </w:lvl>
  </w:abstractNum>
  <w:abstractNum w:abstractNumId="48">
    <w:nsid w:val="684A481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9" Type="http://schemas.openxmlformats.org/officeDocument/2006/relationships/image" Target="media/image247.png"/><Relationship Id="rId260" Type="http://schemas.openxmlformats.org/officeDocument/2006/relationships/image" Target="media/image248.png"/><Relationship Id="rId261" Type="http://schemas.openxmlformats.org/officeDocument/2006/relationships/image" Target="media/image249.png"/><Relationship Id="rId262" Type="http://schemas.openxmlformats.org/officeDocument/2006/relationships/image" Target="media/image250.png"/><Relationship Id="rId263" Type="http://schemas.openxmlformats.org/officeDocument/2006/relationships/image" Target="media/image251.png"/><Relationship Id="rId264" Type="http://schemas.openxmlformats.org/officeDocument/2006/relationships/image" Target="media/image252.png"/><Relationship Id="rId265" Type="http://schemas.openxmlformats.org/officeDocument/2006/relationships/image" Target="media/image253.png"/><Relationship Id="rId266" Type="http://schemas.openxmlformats.org/officeDocument/2006/relationships/image" Target="media/image254.png"/><Relationship Id="rId267" Type="http://schemas.openxmlformats.org/officeDocument/2006/relationships/image" Target="media/image255.png"/><Relationship Id="rId268" Type="http://schemas.openxmlformats.org/officeDocument/2006/relationships/image" Target="media/image256.png"/><Relationship Id="rId254" Type="http://schemas.openxmlformats.org/officeDocument/2006/relationships/hyperlink" Target="https://www.sec.gov/Archives/edgar/data/1177648/000119312513132679/d511662dex31.htm" TargetMode="External"/><Relationship Id="rId255" Type="http://schemas.openxmlformats.org/officeDocument/2006/relationships/hyperlink" Target="https://www.sec.gov/Archives/edgar/data/1177648/000119312515294582/d95810dex32.htm" TargetMode="External"/><Relationship Id="rId256" Type="http://schemas.openxmlformats.org/officeDocument/2006/relationships/hyperlink" Target="https://www.sec.gov/Archives/edgar/data/1177648/000119312522153071/d349963dex101.htm" TargetMode="External"/><Relationship Id="rId257" Type="http://schemas.openxmlformats.org/officeDocument/2006/relationships/hyperlink" Target="https://www.sec.gov/Archives/edgar/data/1177648/000119312522153071/d349963dex102.htm" TargetMode="External"/><Relationship Id="rId258" Type="http://schemas.openxmlformats.org/officeDocument/2006/relationships/hyperlink" Target="https://www.sec.gov/Archives/edgar/data/1177648/000119312522153071/d349963d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2022-08-09T02:07:44Z</dcterms:created>
  <dcterms:modified xsi:type="dcterms:W3CDTF">2022-08-09T02:07:44Z</dcterms:modified>
</cp:coreProperties>
</file>