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December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7"/>
        </w:trPr>
        <w:tc>
          <w:tcPr>
            <w:tcW w:w="3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ENTA</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r>
        <w:trPr>
          <w:trHeight w:val="81"/>
        </w:trPr>
        <w:tc>
          <w:tcPr>
            <w:tcW w:w="3860" w:type="dxa"/>
            <w:vAlign w:val="bottom"/>
            <w:tcBorders>
              <w:left w:val="single" w:sz="8" w:color="auto"/>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4060" w:type="dxa"/>
            <w:vAlign w:val="bottom"/>
            <w:tcBorders>
              <w:bottom w:val="single" w:sz="8" w:color="auto"/>
              <w:right w:val="single" w:sz="8" w:color="auto"/>
            </w:tcBorders>
          </w:tcPr>
          <w:p>
            <w:pPr>
              <w:spacing w:after="0"/>
              <w:rPr>
                <w:sz w:val="7"/>
                <w:szCs w:val="7"/>
                <w:color w:val="auto"/>
              </w:rPr>
            </w:pPr>
          </w:p>
        </w:tc>
      </w:tr>
    </w:tbl>
    <w:p>
      <w:pPr>
        <w:spacing w:after="0" w:line="94"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6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180" w:firstLine="518"/>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4"/>
        </w:trPr>
        <w:tc>
          <w:tcPr>
            <w:tcW w:w="2400" w:type="dxa"/>
            <w:vAlign w:val="bottom"/>
          </w:tcPr>
          <w:p>
            <w:pPr>
              <w:spacing w:after="0" w:line="175" w:lineRule="exact"/>
              <w:rPr>
                <w:sz w:val="20"/>
                <w:szCs w:val="20"/>
                <w:color w:val="auto"/>
              </w:rPr>
            </w:pPr>
            <w:r>
              <w:rPr>
                <w:rFonts w:ascii="Arial" w:cs="Arial" w:eastAsia="Arial" w:hAnsi="Arial"/>
                <w:sz w:val="18"/>
                <w:szCs w:val="18"/>
                <w:color w:val="auto"/>
              </w:rPr>
              <w:t>Large accelerated filer</w:t>
            </w:r>
          </w:p>
        </w:tc>
        <w:tc>
          <w:tcPr>
            <w:tcW w:w="3000" w:type="dxa"/>
            <w:vAlign w:val="bottom"/>
          </w:tcPr>
          <w:p>
            <w:pPr>
              <w:ind w:left="420"/>
              <w:spacing w:after="0" w:line="175"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420"/>
              <w:spacing w:after="0" w:line="175" w:lineRule="exact"/>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75"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ind w:left="20" w:right="160" w:firstLine="518"/>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80"/>
        <w:spacing w:after="0" w:line="21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January 31, 2020, the registrant had 19,924,426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467995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8"/>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6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72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Income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55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w:t>
              </w:r>
            </w:hyperlink>
          </w:p>
        </w:tc>
        <w:tc>
          <w:tcPr>
            <w:tcW w:w="64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Notes to Consolidated Financial Statements</w:t>
              </w:r>
            </w:hyperlink>
          </w:p>
        </w:tc>
        <w:tc>
          <w:tcPr>
            <w:tcW w:w="61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7"/>
                <w:szCs w:val="17"/>
                <w:color w:val="auto"/>
              </w:rPr>
            </w:pP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8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b w:val="1"/>
                <w:bCs w:val="1"/>
                <w:color w:val="0000EE"/>
              </w:rPr>
              <w:t>PART II—OTHER INFORMATION</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rPr>
              <w:t>ENANTA PHARMACEUTICALS, INC.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64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51,230</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346,227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284,006</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51,313</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401,848</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65,013</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0"/>
              </w:rPr>
              <w:t>Restricted cash</w:t>
            </w: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510,974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489,829</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15,920</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22,609</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27,337</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 authorized; 19,810 and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19,703 shares issued and outstanding at December 31, 2019 and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September 30, 2019, respectively</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20"/>
                <w:szCs w:val="20"/>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304,672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298,409</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163,740</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462,492</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510,974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489,829</w:t>
            </w:r>
          </w:p>
        </w:tc>
        <w:tc>
          <w:tcPr>
            <w:tcW w:w="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52,570</w:t>
            </w:r>
          </w:p>
        </w:tc>
        <w:tc>
          <w:tcPr>
            <w:tcW w:w="3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69,886</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32,778</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34,878</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3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4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39,699</w:t>
            </w:r>
          </w:p>
        </w:tc>
        <w:tc>
          <w:tcPr>
            <w:tcW w:w="3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12,871</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(expense), net</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3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3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14,947</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29,741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(1,504)</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63"/>
        </w:trPr>
        <w:tc>
          <w:tcPr>
            <w:tcW w:w="7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13,443</w:t>
            </w:r>
          </w:p>
        </w:tc>
        <w:tc>
          <w:tcPr>
            <w:tcW w:w="3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26,011</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income per share:</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0.65</w:t>
            </w:r>
          </w:p>
        </w:tc>
        <w:tc>
          <w:tcPr>
            <w:tcW w:w="38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19,751</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20,773</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20,810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74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56"/>
        </w:trPr>
        <w:tc>
          <w:tcPr>
            <w:tcW w:w="7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3"/>
                <w:szCs w:val="13"/>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3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on marketable securities, net of tax of ($28) and ($45)</w:t>
            </w:r>
          </w:p>
        </w:tc>
        <w:tc>
          <w:tcPr>
            <w:tcW w:w="10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FF0FC"/>
          </w:tcPr>
          <w:p>
            <w:pPr>
              <w:spacing w:after="0"/>
              <w:rPr>
                <w:sz w:val="19"/>
                <w:szCs w:val="19"/>
                <w:color w:val="auto"/>
              </w:rPr>
            </w:pP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net of tax</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Borders>
              <w:bottom w:val="single" w:sz="8" w:color="CFF0FC"/>
            </w:tcBorders>
          </w:tcPr>
          <w:p>
            <w:pPr>
              <w:spacing w:after="0"/>
              <w:rPr>
                <w:sz w:val="19"/>
                <w:szCs w:val="19"/>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13,531</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26,152</w:t>
            </w:r>
          </w:p>
        </w:tc>
        <w:tc>
          <w:tcPr>
            <w:tcW w:w="380" w:type="dxa"/>
            <w:vAlign w:val="bottom"/>
            <w:tcBorders>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228"/>
        </w:trPr>
        <w:tc>
          <w:tcPr>
            <w:tcW w:w="40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4060" w:type="dxa"/>
            <w:vAlign w:val="bottom"/>
          </w:tcPr>
          <w:p>
            <w:pPr>
              <w:spacing w:after="0"/>
              <w:rPr>
                <w:sz w:val="13"/>
                <w:szCs w:val="13"/>
                <w:color w:val="auto"/>
              </w:rPr>
            </w:pPr>
          </w:p>
        </w:tc>
        <w:tc>
          <w:tcPr>
            <w:tcW w:w="1020" w:type="dxa"/>
            <w:vAlign w:val="bottom"/>
          </w:tcPr>
          <w:p>
            <w:pPr>
              <w:jc w:val="right"/>
              <w:ind w:right="24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3"/>
                <w:szCs w:val="13"/>
                <w:color w:val="auto"/>
              </w:rPr>
            </w:pPr>
          </w:p>
        </w:tc>
        <w:tc>
          <w:tcPr>
            <w:tcW w:w="11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19,395</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276,526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117,357</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393,679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26,011</w:t>
            </w:r>
          </w:p>
        </w:tc>
        <w:tc>
          <w:tcPr>
            <w:tcW w:w="100" w:type="dxa"/>
            <w:vAlign w:val="bottom"/>
            <w:shd w:val="clear" w:color="auto" w:fill="CFF0FC"/>
          </w:tcPr>
          <w:p>
            <w:pPr>
              <w:spacing w:after="0"/>
              <w:rPr>
                <w:sz w:val="19"/>
                <w:szCs w:val="19"/>
                <w:color w:val="auto"/>
              </w:rPr>
            </w:pPr>
          </w:p>
        </w:tc>
      </w:tr>
      <w:tr>
        <w:trPr>
          <w:trHeight w:val="207"/>
        </w:trPr>
        <w:tc>
          <w:tcPr>
            <w:tcW w:w="4060" w:type="dxa"/>
            <w:vAlign w:val="bottom"/>
          </w:tcPr>
          <w:p>
            <w:pPr>
              <w:spacing w:after="0"/>
              <w:rPr>
                <w:sz w:val="20"/>
                <w:szCs w:val="20"/>
                <w:color w:val="auto"/>
              </w:rPr>
            </w:pPr>
            <w:r>
              <w:rPr>
                <w:rFonts w:ascii="Arial" w:cs="Arial" w:eastAsia="Arial" w:hAnsi="Arial"/>
                <w:sz w:val="16"/>
                <w:szCs w:val="16"/>
                <w:b w:val="1"/>
                <w:bCs w:val="1"/>
                <w:color w:val="auto"/>
              </w:rPr>
              <w:t>Balances at December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19,435</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194</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283,530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143,368</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426,835</w:t>
            </w:r>
          </w:p>
        </w:tc>
        <w:tc>
          <w:tcPr>
            <w:tcW w:w="100" w:type="dxa"/>
            <w:vAlign w:val="bottom"/>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228"/>
        </w:trPr>
        <w:tc>
          <w:tcPr>
            <w:tcW w:w="40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4060" w:type="dxa"/>
            <w:vAlign w:val="bottom"/>
          </w:tcPr>
          <w:p>
            <w:pPr>
              <w:spacing w:after="0"/>
              <w:rPr>
                <w:sz w:val="13"/>
                <w:szCs w:val="13"/>
                <w:color w:val="auto"/>
              </w:rPr>
            </w:pPr>
          </w:p>
        </w:tc>
        <w:tc>
          <w:tcPr>
            <w:tcW w:w="1020" w:type="dxa"/>
            <w:vAlign w:val="bottom"/>
          </w:tcPr>
          <w:p>
            <w:pPr>
              <w:jc w:val="right"/>
              <w:ind w:right="24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3"/>
                <w:szCs w:val="13"/>
                <w:color w:val="auto"/>
              </w:rPr>
            </w:pPr>
          </w:p>
        </w:tc>
        <w:tc>
          <w:tcPr>
            <w:tcW w:w="11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19,703</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298,409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163,740</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462,492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r>
      <w:tr>
        <w:trPr>
          <w:trHeight w:val="20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withholding</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(1,140)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(1,140)</w:t>
            </w: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r>
      <w:tr>
        <w:trPr>
          <w:trHeight w:val="210"/>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304,672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177,183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482,287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income</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13,443</w:t>
            </w: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26,011</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40" w:type="dxa"/>
            <w:vAlign w:val="bottom"/>
          </w:tcPr>
          <w:p>
            <w:pPr>
              <w:ind w:left="380"/>
              <w:spacing w:after="0"/>
              <w:rPr>
                <w:sz w:val="20"/>
                <w:szCs w:val="20"/>
                <w:color w:val="auto"/>
              </w:rPr>
            </w:pPr>
            <w:r>
              <w:rPr>
                <w:rFonts w:ascii="Arial" w:cs="Arial" w:eastAsia="Arial" w:hAnsi="Arial"/>
                <w:sz w:val="17"/>
                <w:szCs w:val="17"/>
                <w:color w:val="auto"/>
              </w:rPr>
              <w:t>operating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Stock-based compensation expense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5,098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5,843</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28"/>
        </w:trPr>
        <w:tc>
          <w:tcPr>
            <w:tcW w:w="7740" w:type="dxa"/>
            <w:vAlign w:val="bottom"/>
          </w:tcPr>
          <w:p>
            <w:pPr>
              <w:ind w:left="500"/>
              <w:spacing w:after="0"/>
              <w:rPr>
                <w:sz w:val="20"/>
                <w:szCs w:val="20"/>
                <w:color w:val="auto"/>
              </w:rPr>
            </w:pPr>
            <w:r>
              <w:rPr>
                <w:rFonts w:ascii="Arial" w:cs="Arial" w:eastAsia="Arial" w:hAnsi="Arial"/>
                <w:sz w:val="17"/>
                <w:szCs w:val="17"/>
                <w:color w:val="auto"/>
              </w:rPr>
              <w:t>Premium paid on marketable securities</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(988)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Accretion of discount on marketable securities</w:t>
            </w:r>
          </w:p>
        </w:tc>
        <w:tc>
          <w:tcPr>
            <w:tcW w:w="9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(977)</w:t>
            </w:r>
          </w:p>
        </w:tc>
        <w:tc>
          <w:tcPr>
            <w:tcW w:w="0" w:type="dxa"/>
            <w:vAlign w:val="bottom"/>
          </w:tcPr>
          <w:p>
            <w:pPr>
              <w:spacing w:after="0"/>
              <w:rPr>
                <w:sz w:val="1"/>
                <w:szCs w:val="1"/>
                <w:color w:val="auto"/>
              </w:rPr>
            </w:pPr>
          </w:p>
        </w:tc>
      </w:tr>
      <w:tr>
        <w:trPr>
          <w:trHeight w:val="228"/>
        </w:trPr>
        <w:tc>
          <w:tcPr>
            <w:tcW w:w="7740" w:type="dxa"/>
            <w:vAlign w:val="bottom"/>
          </w:tcPr>
          <w:p>
            <w:pPr>
              <w:ind w:left="500"/>
              <w:spacing w:after="0"/>
              <w:rPr>
                <w:sz w:val="20"/>
                <w:szCs w:val="20"/>
                <w:color w:val="auto"/>
              </w:rPr>
            </w:pPr>
            <w:r>
              <w:rPr>
                <w:rFonts w:ascii="Arial" w:cs="Arial" w:eastAsia="Arial" w:hAnsi="Arial"/>
                <w:sz w:val="17"/>
                <w:szCs w:val="17"/>
                <w:color w:val="auto"/>
              </w:rPr>
              <w:t>Other non-cash items</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74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(1,257)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(2,681)</w:t>
            </w: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(3,182)</w:t>
            </w:r>
          </w:p>
        </w:tc>
        <w:tc>
          <w:tcPr>
            <w:tcW w:w="0" w:type="dxa"/>
            <w:vAlign w:val="bottom"/>
          </w:tcPr>
          <w:p>
            <w:pPr>
              <w:spacing w:after="0"/>
              <w:rPr>
                <w:sz w:val="1"/>
                <w:szCs w:val="1"/>
                <w:color w:val="auto"/>
              </w:rPr>
            </w:pPr>
          </w:p>
        </w:tc>
      </w:tr>
      <w:tr>
        <w:trPr>
          <w:trHeight w:val="228"/>
        </w:trPr>
        <w:tc>
          <w:tcPr>
            <w:tcW w:w="7740" w:type="dxa"/>
            <w:vAlign w:val="bottom"/>
          </w:tcPr>
          <w:p>
            <w:pPr>
              <w:ind w:left="740"/>
              <w:spacing w:after="0"/>
              <w:rPr>
                <w:sz w:val="20"/>
                <w:szCs w:val="20"/>
                <w:color w:val="auto"/>
              </w:rPr>
            </w:pPr>
            <w:r>
              <w:rPr>
                <w:rFonts w:ascii="Arial" w:cs="Arial" w:eastAsia="Arial" w:hAnsi="Arial"/>
                <w:sz w:val="17"/>
                <w:szCs w:val="17"/>
                <w:color w:val="auto"/>
              </w:rPr>
              <w:t>Operating lease, right-of-use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9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(179)</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740"/>
              <w:spacing w:after="0"/>
              <w:rPr>
                <w:sz w:val="20"/>
                <w:szCs w:val="20"/>
                <w:color w:val="auto"/>
              </w:rPr>
            </w:pPr>
            <w:r>
              <w:rPr>
                <w:rFonts w:ascii="Arial" w:cs="Arial" w:eastAsia="Arial" w:hAnsi="Arial"/>
                <w:sz w:val="17"/>
                <w:szCs w:val="17"/>
                <w:color w:val="auto"/>
              </w:rPr>
              <w:t>Accrued expenses</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(5,989)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Income taxes payable</w:t>
            </w:r>
          </w:p>
        </w:tc>
        <w:tc>
          <w:tcPr>
            <w:tcW w:w="9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4,470</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740"/>
              <w:spacing w:after="0"/>
              <w:rPr>
                <w:sz w:val="20"/>
                <w:szCs w:val="20"/>
                <w:color w:val="auto"/>
              </w:rPr>
            </w:pPr>
            <w:r>
              <w:rPr>
                <w:rFonts w:ascii="Arial" w:cs="Arial" w:eastAsia="Arial" w:hAnsi="Arial"/>
                <w:sz w:val="17"/>
                <w:szCs w:val="17"/>
                <w:color w:val="auto"/>
              </w:rPr>
              <w:t>Operating lease liabilities</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(593)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Other long-term liabilities</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30,254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260"/>
              <w:spacing w:after="0"/>
              <w:rPr>
                <w:sz w:val="20"/>
                <w:szCs w:val="20"/>
                <w:color w:val="auto"/>
              </w:rPr>
            </w:pPr>
            <w:r>
              <w:rPr>
                <w:rFonts w:ascii="Arial" w:cs="Arial" w:eastAsia="Arial" w:hAnsi="Arial"/>
                <w:sz w:val="17"/>
                <w:szCs w:val="17"/>
                <w:color w:val="auto"/>
              </w:rPr>
              <w:t>Purchase of marketable securities</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(117,461)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(119,546)</w:t>
            </w: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maturities and sale of marketable securities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80,748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98,999</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(37,201)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(20,931)</w:t>
            </w:r>
          </w:p>
        </w:tc>
        <w:tc>
          <w:tcPr>
            <w:tcW w:w="0" w:type="dxa"/>
            <w:vAlign w:val="bottom"/>
          </w:tcPr>
          <w:p>
            <w:pPr>
              <w:spacing w:after="0"/>
              <w:rPr>
                <w:sz w:val="1"/>
                <w:szCs w:val="1"/>
                <w:color w:val="auto"/>
              </w:rPr>
            </w:pPr>
          </w:p>
        </w:tc>
      </w:tr>
      <w:tr>
        <w:trPr>
          <w:trHeight w:val="228"/>
        </w:trPr>
        <w:tc>
          <w:tcPr>
            <w:tcW w:w="77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1,161</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260"/>
              <w:spacing w:after="0"/>
              <w:rPr>
                <w:sz w:val="20"/>
                <w:szCs w:val="20"/>
                <w:color w:val="auto"/>
              </w:rPr>
            </w:pPr>
            <w:r>
              <w:rPr>
                <w:rFonts w:ascii="Arial" w:cs="Arial" w:eastAsia="Arial" w:hAnsi="Arial"/>
                <w:sz w:val="17"/>
                <w:szCs w:val="17"/>
                <w:color w:val="auto"/>
              </w:rPr>
              <w:t>Payments for settlement of share-based awards</w:t>
            </w:r>
          </w:p>
        </w:tc>
        <w:tc>
          <w:tcPr>
            <w:tcW w:w="9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(1,140)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Payments of capital lease obligations</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(23,672)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10,463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51,838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64,510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28,166</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74,973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income taxes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4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investing information:</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1,304</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6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1,131</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protease inhibitor discovered and developed through its collaboration with AbbVie for the treatment of chronic hepatitis C virus, or HCV. Glecaprevir is co-formulated as part of AbbVie’s leading direct-acting antiviral (DAA) combination treatment for HCV, which is marketed under the tradenames MAVYRET</w:t>
      </w:r>
      <w:r>
        <w:rPr>
          <w:rFonts w:ascii="Arial" w:cs="Arial" w:eastAsia="Arial" w:hAnsi="Arial"/>
          <w:sz w:val="13"/>
          <w:szCs w:val="13"/>
          <w:color w:val="auto"/>
        </w:rPr>
        <w:t>®</w:t>
      </w:r>
      <w:r>
        <w:rPr>
          <w:rFonts w:ascii="Arial" w:cs="Arial" w:eastAsia="Arial" w:hAnsi="Arial"/>
          <w:sz w:val="16"/>
          <w:szCs w:val="16"/>
          <w:color w:val="auto"/>
        </w:rPr>
        <w:t xml:space="preserve"> (U.S.) and MAVIRET™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non-alcoholic steatohepatitis (“NASH”), and hepatitis B virus (“HBV”).</w:t>
      </w:r>
    </w:p>
    <w:p>
      <w:pPr>
        <w:spacing w:after="0" w:line="5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balance sheet at September 30, 2019 was derived from audited financial statements, but does not include all disclosures required by accounting principles generally accepted in the United States of America (“GAAP”). The accompanying unaudited consolidated financial statements as of December 31, 2019 and for the three months ended December 31, 2019 and 2018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2019.</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December 31, 2019 and results of operations for the three months ended December 31, 2019 and 2018 and cash flows for the three months ended December 31, 2019 and 2018, have been made. The results of operations for the three months ended December 31, 2019 are not necessarily indicative of the results of operations that may be expected for subsequent quarters or the year ending September 30, 2020.</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7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the Company’s Significant Accounting Policies, please refer to its Annual Report on Form 10-K for the fiscal year ended September 30, 2019. Any reference in these notes to applicable guidance is meant to refer to the authoritative GAAP as found in the Accounting Standards Codification (“ASC”) and Accounting Standards Update (“ASU”) of the Financial Accounting Standards Board (“FASB”). Other than the adoption of ASC 842 as of October 1, 2019, there were no other significant changes to the Company’s Significant Accounting Policies during the quarter.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right="120"/>
        <w:spacing w:after="0" w:line="279" w:lineRule="auto"/>
        <w:rPr>
          <w:sz w:val="20"/>
          <w:szCs w:val="20"/>
          <w:color w:val="auto"/>
        </w:rPr>
      </w:pPr>
      <w:r>
        <w:rPr>
          <w:rFonts w:ascii="Arial" w:cs="Arial" w:eastAsia="Arial" w:hAnsi="Arial"/>
          <w:sz w:val="17"/>
          <w:szCs w:val="17"/>
          <w:color w:val="auto"/>
        </w:rPr>
        <w:t>estimates and assumptions reflected in these consolidated financial statements include, but are not limited to, management’s judgments with respect to its revenue arrangements; valuation of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adopted ASU No. 2016-02, Leases (Topic 842), as of October 1, 2019, using the modified retrospective method under ASU No. 2018-11, Leases (Topic 842): Targeted Improvements. The transition method allows entities to apply the transition requirements at the effective date rather than at the beginning of the earliest comparative period presented. The Company’s reporting for comparative periods is presented in accordance with ASC 840, Leases. Adoption of the new standard resulted in the recording of right of use (“ROU”) assets and lease liabilities of $7,151 and $8,622, respectively. The adoption of the standard did not have a material impact on the Company’s results of operations or cash flows. The Company elected to use the transition package of three practical expedients, which among other things, allowed the Company to carry forward the historical lease classification. The Company has elected, under Topic 842, the further practical expedient not to separate non-lease components from the lease components to which they relate and instead to combine them and account for them as a single lease component. The Company also elected the accounting policy election to keep leases with a term of twelve months or less off the balance sheet and to recognize payments for those leases on a straight-line basis over the lease term.</w:t>
      </w:r>
    </w:p>
    <w:p>
      <w:pPr>
        <w:spacing w:after="0" w:line="2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At the inception of the arrangement, the Company determines if an arrangement is a lease based on assessment of the terms and conditions of the contract. Operating lease ROU assets and lease liabilities are recognized at commencement date, and thereafter if modified, based on the present value of lease payments over the lease term. The lease term includes any renewal or early-termination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underlying assets of the Company’s leases as of the adoption date consisted of office and laboratory space.</w:t>
      </w:r>
    </w:p>
    <w:p>
      <w:pPr>
        <w:spacing w:after="0" w:line="2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period through the earliest call date rather than through the contractual life of the debt instrument. This amendment aims to more closely align the recognition of interest income with the manner in which market participants price such instruments. The Company adopted the new standard on the effective date of October 1, 2019. The adoption of the standard did not have a material impact on the Company’s financial position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2019 and September 30, 2019, and indicate the fair value hierarchy of the valuation inputs utilized to determine such fair value: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10"/>
          </w:tcPr>
          <w:p>
            <w:pPr>
              <w:jc w:val="center"/>
              <w:ind w:left="634"/>
              <w:spacing w:after="0"/>
              <w:rPr>
                <w:sz w:val="20"/>
                <w:szCs w:val="20"/>
                <w:color w:val="auto"/>
              </w:rPr>
            </w:pPr>
            <w:r>
              <w:rPr>
                <w:rFonts w:ascii="Arial" w:cs="Arial" w:eastAsia="Arial" w:hAnsi="Arial"/>
                <w:sz w:val="14"/>
                <w:szCs w:val="14"/>
                <w:b w:val="1"/>
                <w:bCs w:val="1"/>
                <w:color w:val="auto"/>
                <w:w w:val="93"/>
              </w:rPr>
              <w:t>Fair Value Measurements at December 31, 2019 Using:</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left="594"/>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176,856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133,043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410,656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10"/>
          </w:tcPr>
          <w:p>
            <w:pPr>
              <w:jc w:val="center"/>
              <w:ind w:left="634"/>
              <w:spacing w:after="0"/>
              <w:rPr>
                <w:sz w:val="20"/>
                <w:szCs w:val="20"/>
                <w:color w:val="auto"/>
              </w:rPr>
            </w:pPr>
            <w:r>
              <w:rPr>
                <w:rFonts w:ascii="Arial" w:cs="Arial" w:eastAsia="Arial" w:hAnsi="Arial"/>
                <w:sz w:val="14"/>
                <w:szCs w:val="14"/>
                <w:b w:val="1"/>
                <w:bCs w:val="1"/>
                <w:color w:val="auto"/>
                <w:w w:val="93"/>
              </w:rPr>
              <w:t>Fair Value Measurements at September 30, 2019 Using:</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left="594"/>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44,569</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44,569</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1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170,515</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1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170,515</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111,837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66,667</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1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66,667</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00" w:type="dxa"/>
            <w:vAlign w:val="bottom"/>
            <w:tcBorders>
              <w:bottom w:val="single" w:sz="8" w:color="CFF2FC"/>
            </w:tcBorders>
          </w:tcPr>
          <w:p>
            <w:pPr>
              <w:spacing w:after="0"/>
              <w:rPr>
                <w:sz w:val="22"/>
                <w:szCs w:val="22"/>
                <w:color w:val="auto"/>
              </w:rPr>
            </w:pPr>
          </w:p>
        </w:tc>
        <w:tc>
          <w:tcPr>
            <w:tcW w:w="140" w:type="dxa"/>
            <w:vAlign w:val="bottom"/>
            <w:tcBorders>
              <w:bottom w:val="single" w:sz="8" w:color="CFF2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215,084</w:t>
            </w:r>
          </w:p>
        </w:tc>
        <w:tc>
          <w:tcPr>
            <w:tcW w:w="240" w:type="dxa"/>
            <w:vAlign w:val="bottom"/>
            <w:tcBorders>
              <w:bottom w:val="single" w:sz="8" w:color="CFF2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178,504</w:t>
            </w:r>
          </w:p>
        </w:tc>
        <w:tc>
          <w:tcPr>
            <w:tcW w:w="240" w:type="dxa"/>
            <w:vAlign w:val="bottom"/>
            <w:tcBorders>
              <w:bottom w:val="single" w:sz="8" w:color="CFF2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2FC"/>
            </w:tcBorders>
          </w:tcPr>
          <w:p>
            <w:pPr>
              <w:spacing w:after="0"/>
              <w:rPr>
                <w:sz w:val="22"/>
                <w:szCs w:val="22"/>
                <w:color w:val="auto"/>
              </w:rPr>
            </w:pPr>
          </w:p>
        </w:tc>
        <w:tc>
          <w:tcPr>
            <w:tcW w:w="20" w:type="dxa"/>
            <w:vAlign w:val="bottom"/>
            <w:tcBorders>
              <w:bottom w:val="single" w:sz="8" w:color="CFF2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393,588</w:t>
            </w:r>
          </w:p>
        </w:tc>
        <w:tc>
          <w:tcPr>
            <w:tcW w:w="120" w:type="dxa"/>
            <w:vAlign w:val="bottom"/>
            <w:tcBorders>
              <w:bottom w:val="single" w:sz="8" w:color="CFF2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100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102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360" w:type="dxa"/>
            <w:vAlign w:val="bottom"/>
            <w:shd w:val="clear" w:color="auto" w:fill="CFF2FC"/>
          </w:tcPr>
          <w:p>
            <w:pPr>
              <w:spacing w:after="0"/>
              <w:rPr>
                <w:sz w:val="18"/>
                <w:szCs w:val="18"/>
                <w:color w:val="auto"/>
              </w:rPr>
            </w:pPr>
          </w:p>
        </w:tc>
        <w:tc>
          <w:tcPr>
            <w:tcW w:w="90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280" w:type="dxa"/>
            <w:vAlign w:val="bottom"/>
            <w:shd w:val="clear" w:color="auto" w:fill="CFF2FC"/>
          </w:tcPr>
          <w:p>
            <w:pPr>
              <w:spacing w:after="0"/>
              <w:rPr>
                <w:sz w:val="18"/>
                <w:szCs w:val="18"/>
                <w:color w:val="auto"/>
              </w:rPr>
            </w:pPr>
          </w:p>
        </w:tc>
        <w:tc>
          <w:tcPr>
            <w:tcW w:w="980" w:type="dxa"/>
            <w:vAlign w:val="bottom"/>
            <w:shd w:val="clear" w:color="auto" w:fill="CFF2FC"/>
          </w:tcPr>
          <w:p>
            <w:pPr>
              <w:spacing w:after="0"/>
              <w:rPr>
                <w:sz w:val="18"/>
                <w:szCs w:val="18"/>
                <w:color w:val="auto"/>
              </w:rPr>
            </w:pPr>
          </w:p>
        </w:tc>
        <w:tc>
          <w:tcPr>
            <w:tcW w:w="120" w:type="dxa"/>
            <w:vAlign w:val="bottom"/>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2FC"/>
              <w:bottom w:val="single" w:sz="8" w:color="CFF2FC"/>
            </w:tcBorders>
            <w:shd w:val="clear" w:color="auto" w:fill="CFF2FC"/>
          </w:tcPr>
          <w:p>
            <w:pPr>
              <w:spacing w:after="0"/>
              <w:rPr>
                <w:sz w:val="19"/>
                <w:szCs w:val="19"/>
                <w:color w:val="auto"/>
              </w:rPr>
            </w:pPr>
          </w:p>
        </w:tc>
        <w:tc>
          <w:tcPr>
            <w:tcW w:w="14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220" w:type="dxa"/>
            <w:vAlign w:val="bottom"/>
            <w:tcBorders>
              <w:top w:val="single" w:sz="8" w:color="auto"/>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360" w:type="dxa"/>
            <w:vAlign w:val="bottom"/>
            <w:tcBorders>
              <w:top w:val="single" w:sz="8" w:color="auto"/>
              <w:bottom w:val="single" w:sz="8" w:color="auto"/>
            </w:tcBorders>
            <w:shd w:val="clear" w:color="auto" w:fill="CFF2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top w:val="single" w:sz="8" w:color="CFF2FC"/>
              <w:bottom w:val="single" w:sz="8" w:color="CFF2FC"/>
            </w:tcBorders>
            <w:shd w:val="clear" w:color="auto" w:fill="CFF2FC"/>
          </w:tcPr>
          <w:p>
            <w:pPr>
              <w:spacing w:after="0"/>
              <w:rPr>
                <w:sz w:val="19"/>
                <w:szCs w:val="19"/>
                <w:color w:val="auto"/>
              </w:rPr>
            </w:pPr>
          </w:p>
        </w:tc>
        <w:tc>
          <w:tcPr>
            <w:tcW w:w="20" w:type="dxa"/>
            <w:vAlign w:val="bottom"/>
            <w:tcBorders>
              <w:top w:val="single" w:sz="8" w:color="CFF2FC"/>
              <w:bottom w:val="single" w:sz="8" w:color="CFF2FC"/>
            </w:tcBorders>
            <w:shd w:val="clear" w:color="auto" w:fill="CFF2FC"/>
          </w:tcPr>
          <w:p>
            <w:pPr>
              <w:spacing w:after="0"/>
              <w:rPr>
                <w:sz w:val="19"/>
                <w:szCs w:val="19"/>
                <w:color w:val="auto"/>
              </w:rPr>
            </w:pPr>
          </w:p>
        </w:tc>
        <w:tc>
          <w:tcPr>
            <w:tcW w:w="280" w:type="dxa"/>
            <w:vAlign w:val="bottom"/>
            <w:tcBorders>
              <w:top w:val="single" w:sz="8" w:color="auto"/>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2019 and 2018, there were no transfers between Level 1, Level 2 and Level 3.</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Series 1 nonconvertible preferred stock are recognized in other income (expense), net in the consolidated statements of operations.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Range (Weighted Average)</w:t>
            </w:r>
          </w:p>
        </w:tc>
        <w:tc>
          <w:tcPr>
            <w:tcW w:w="1140" w:type="dxa"/>
            <w:vAlign w:val="bottom"/>
          </w:tcPr>
          <w:p>
            <w:pPr>
              <w:spacing w:after="0"/>
              <w:rPr>
                <w:sz w:val="14"/>
                <w:szCs w:val="14"/>
                <w:color w:val="auto"/>
              </w:rPr>
            </w:pPr>
          </w:p>
        </w:tc>
      </w:tr>
      <w:tr>
        <w:trPr>
          <w:trHeight w:val="252"/>
        </w:trPr>
        <w:tc>
          <w:tcPr>
            <w:tcW w:w="11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ind w:left="64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21"/>
                <w:szCs w:val="21"/>
                <w:color w:val="auto"/>
              </w:rPr>
            </w:pPr>
          </w:p>
        </w:tc>
      </w:tr>
      <w:tr>
        <w:trPr>
          <w:trHeight w:val="201"/>
        </w:trPr>
        <w:tc>
          <w:tcPr>
            <w:tcW w:w="1160" w:type="dxa"/>
            <w:vAlign w:val="bottom"/>
          </w:tcPr>
          <w:p>
            <w:pPr>
              <w:spacing w:after="0"/>
              <w:rPr>
                <w:sz w:val="17"/>
                <w:szCs w:val="17"/>
                <w:color w:val="auto"/>
              </w:rPr>
            </w:pPr>
          </w:p>
        </w:tc>
        <w:tc>
          <w:tcPr>
            <w:tcW w:w="3720" w:type="dxa"/>
            <w:vAlign w:val="bottom"/>
          </w:tcPr>
          <w:p>
            <w:pPr>
              <w:ind w:left="1740"/>
              <w:spacing w:after="0"/>
              <w:rPr>
                <w:sz w:val="20"/>
                <w:szCs w:val="20"/>
                <w:color w:val="auto"/>
              </w:rPr>
            </w:pPr>
            <w:r>
              <w:rPr>
                <w:rFonts w:ascii="Arial" w:cs="Arial" w:eastAsia="Arial" w:hAnsi="Arial"/>
                <w:sz w:val="14"/>
                <w:szCs w:val="14"/>
                <w:b w:val="1"/>
                <w:bCs w:val="1"/>
                <w:color w:val="auto"/>
              </w:rPr>
              <w:t>Unobservable Input</w:t>
            </w:r>
          </w:p>
        </w:tc>
        <w:tc>
          <w:tcPr>
            <w:tcW w:w="3380" w:type="dxa"/>
            <w:vAlign w:val="bottom"/>
            <w:gridSpan w:val="3"/>
          </w:tcPr>
          <w:p>
            <w:pPr>
              <w:jc w:val="center"/>
              <w:ind w:left="113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c>
          <w:tcPr>
            <w:tcW w:w="2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0%-60%</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Discount rate</w:t>
            </w:r>
          </w:p>
        </w:tc>
        <w:tc>
          <w:tcPr>
            <w:tcW w:w="3380" w:type="dxa"/>
            <w:vAlign w:val="bottom"/>
            <w:gridSpan w:val="3"/>
          </w:tcPr>
          <w:p>
            <w:pPr>
              <w:jc w:val="center"/>
              <w:ind w:left="1136"/>
              <w:spacing w:after="0"/>
              <w:rPr>
                <w:sz w:val="20"/>
                <w:szCs w:val="20"/>
                <w:color w:val="auto"/>
              </w:rPr>
            </w:pPr>
            <w:r>
              <w:rPr>
                <w:rFonts w:ascii="Arial" w:cs="Arial" w:eastAsia="Arial" w:hAnsi="Arial"/>
                <w:sz w:val="18"/>
                <w:szCs w:val="18"/>
                <w:color w:val="auto"/>
                <w:w w:val="93"/>
              </w:rPr>
              <w:t>5.75%</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6.00%</w:t>
            </w:r>
          </w:p>
        </w:tc>
        <w:tc>
          <w:tcPr>
            <w:tcW w:w="114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Series 1</w:t>
            </w:r>
          </w:p>
        </w:tc>
      </w:tr>
      <w:tr>
        <w:trPr>
          <w:trHeight w:val="149"/>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Nonconvertible</w:t>
            </w:r>
          </w:p>
        </w:tc>
      </w:tr>
      <w:tr>
        <w:trPr>
          <w:trHeight w:val="149"/>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Preferred</w:t>
            </w:r>
          </w:p>
        </w:tc>
      </w:tr>
      <w:tr>
        <w:trPr>
          <w:trHeight w:val="171"/>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Stock</w:t>
            </w: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2019</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60" w:type="dxa"/>
            <w:vAlign w:val="bottom"/>
            <w:tcBorders>
              <w:top w:val="single" w:sz="8" w:color="CFF0FC"/>
            </w:tcBorders>
            <w:shd w:val="clear" w:color="auto" w:fill="CFF0FC"/>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Change in fair value of nonconvertible preferred stock</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2019</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and September 30, 2019, the fair value of available-for-sale marketable securities, by type of security, was as follows: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176,712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Corporate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386,909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170,519</w:t>
            </w:r>
          </w:p>
        </w:tc>
        <w:tc>
          <w:tcPr>
            <w:tcW w:w="2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2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(64)</w:t>
            </w:r>
          </w:p>
        </w:tc>
        <w:tc>
          <w:tcPr>
            <w:tcW w:w="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Corporate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348,876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2019 and September 30, 2019 marketable securities consisted of investments that mature within one year, with the exception of certain corporate bonds and U.S. Treasury notes, which have maturities between one and three years and an aggregate fair value of $40,941 and $65,013, respectively.</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57" w:right="459" w:bottom="1440" w:gutter="0" w:footer="0" w:header="0"/>
        </w:sectPr>
      </w:pPr>
    </w:p>
    <w:bookmarkStart w:id="11" w:name="page12"/>
    <w:bookmarkEnd w:id="11"/>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December 31, 2019 and September 30, 2019:</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gridSpan w:val="4"/>
          </w:tcPr>
          <w:p>
            <w:pPr>
              <w:jc w:val="right"/>
              <w:ind w:right="103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3,877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clinical manufacturing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$922,000 through December 31, 2019. Since the Company satisfied all of its performance obligations under the AbbVie Agreement by the end of fiscal 2011, all milestone payments received since then have been recognized as revenue when the milestones were achieved by AbbVie.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2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2019, 1,931 shares of Series 1 nonconvertible preferred stock were issued and outstanding. Since these shares qualify as a derivative, the outstanding shares are carried at fair value as a liability on the Company’s consolidated balance sheet.</w:t>
      </w:r>
    </w:p>
    <w:p>
      <w:pPr>
        <w:spacing w:after="0" w:line="27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grants stock-based awards, including stock options and unit awards under its 2019 Equity Incentive Plan (the “2019 Plan”), which was approved by its stockholders on February 28, 2019. The Company also has outstanding unit awards, stock options and restricted stock unit awards under its 2012 Equity Incentive Plan (the “2012 Plan”) and its amended and restated 1995 Equity Incentive Plan (the “1995 Plan”), but is no longer granting awards under these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December 31, 2019:</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Issuable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as of September 30, 2019</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0"/>
        </w:trPr>
        <w:tc>
          <w:tcPr>
            <w:tcW w:w="4420" w:type="dxa"/>
            <w:vAlign w:val="bottom"/>
            <w:vMerge w:val="continue"/>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2,967</w:t>
            </w: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46.54</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57,336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63.32</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75.36</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2FC"/>
            </w:tcBorders>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40" w:type="dxa"/>
            <w:vAlign w:val="bottom"/>
            <w:tcBorders>
              <w:bottom w:val="single" w:sz="8" w:color="CFF2FC"/>
            </w:tcBorders>
          </w:tcPr>
          <w:p>
            <w:pPr>
              <w:spacing w:after="0"/>
              <w:rPr>
                <w:sz w:val="22"/>
                <w:szCs w:val="22"/>
                <w:color w:val="auto"/>
              </w:rPr>
            </w:pPr>
          </w:p>
        </w:tc>
        <w:tc>
          <w:tcPr>
            <w:tcW w:w="280" w:type="dxa"/>
            <w:vAlign w:val="bottom"/>
            <w:tcBorders>
              <w:bottom w:val="single" w:sz="8" w:color="CFF2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2FC"/>
            </w:tcBorders>
          </w:tcPr>
          <w:p>
            <w:pPr>
              <w:jc w:val="right"/>
              <w:spacing w:after="0"/>
              <w:rPr>
                <w:sz w:val="20"/>
                <w:szCs w:val="20"/>
                <w:color w:val="auto"/>
              </w:rPr>
            </w:pPr>
            <w:r>
              <w:rPr>
                <w:rFonts w:ascii="Arial" w:cs="Arial" w:eastAsia="Arial" w:hAnsi="Arial"/>
                <w:sz w:val="18"/>
                <w:szCs w:val="18"/>
                <w:color w:val="auto"/>
              </w:rPr>
              <w:t>49.53</w:t>
            </w:r>
          </w:p>
        </w:tc>
        <w:tc>
          <w:tcPr>
            <w:tcW w:w="240" w:type="dxa"/>
            <w:vAlign w:val="bottom"/>
            <w:tcBorders>
              <w:bottom w:val="single" w:sz="8" w:color="CFF2FC"/>
            </w:tcBorders>
          </w:tcPr>
          <w:p>
            <w:pPr>
              <w:spacing w:after="0"/>
              <w:rPr>
                <w:sz w:val="22"/>
                <w:szCs w:val="22"/>
                <w:color w:val="auto"/>
              </w:rPr>
            </w:pPr>
          </w:p>
        </w:tc>
        <w:tc>
          <w:tcPr>
            <w:tcW w:w="1240" w:type="dxa"/>
            <w:vAlign w:val="bottom"/>
            <w:tcBorders>
              <w:bottom w:val="single" w:sz="8" w:color="CFF2FC"/>
            </w:tcBorders>
          </w:tcPr>
          <w:p>
            <w:pPr>
              <w:jc w:val="right"/>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CFF2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2FC"/>
            </w:tcBorders>
          </w:tcPr>
          <w:p>
            <w:pPr>
              <w:jc w:val="right"/>
              <w:spacing w:after="0"/>
              <w:rPr>
                <w:sz w:val="20"/>
                <w:szCs w:val="20"/>
                <w:color w:val="auto"/>
              </w:rPr>
            </w:pPr>
            <w:r>
              <w:rPr>
                <w:rFonts w:ascii="Arial" w:cs="Arial" w:eastAsia="Arial" w:hAnsi="Arial"/>
                <w:sz w:val="18"/>
                <w:szCs w:val="18"/>
                <w:color w:val="auto"/>
              </w:rPr>
              <w:t>58,637</w:t>
            </w:r>
          </w:p>
        </w:tc>
        <w:tc>
          <w:tcPr>
            <w:tcW w:w="100" w:type="dxa"/>
            <w:vAlign w:val="bottom"/>
            <w:tcBorders>
              <w:bottom w:val="single" w:sz="8" w:color="CFF2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420" w:type="dxa"/>
            <w:vAlign w:val="bottom"/>
            <w:shd w:val="clear" w:color="auto" w:fill="CFF2FC"/>
          </w:tcPr>
          <w:p>
            <w:pPr>
              <w:spacing w:after="0" w:line="192" w:lineRule="exact"/>
              <w:rPr>
                <w:sz w:val="20"/>
                <w:szCs w:val="20"/>
                <w:color w:val="auto"/>
              </w:rPr>
            </w:pPr>
            <w:r>
              <w:rPr>
                <w:rFonts w:ascii="Arial" w:cs="Arial" w:eastAsia="Arial" w:hAnsi="Arial"/>
                <w:sz w:val="18"/>
                <w:szCs w:val="18"/>
                <w:b w:val="1"/>
                <w:bCs w:val="1"/>
                <w:color w:val="auto"/>
              </w:rPr>
              <w:t>Options vested and expected to vest as of</w:t>
            </w:r>
          </w:p>
        </w:tc>
        <w:tc>
          <w:tcPr>
            <w:tcW w:w="1320" w:type="dxa"/>
            <w:vAlign w:val="bottom"/>
            <w:shd w:val="clear" w:color="auto" w:fill="CFF2FC"/>
          </w:tcPr>
          <w:p>
            <w:pPr>
              <w:spacing w:after="0"/>
              <w:rPr>
                <w:sz w:val="16"/>
                <w:szCs w:val="16"/>
                <w:color w:val="auto"/>
              </w:rPr>
            </w:pPr>
          </w:p>
        </w:tc>
        <w:tc>
          <w:tcPr>
            <w:tcW w:w="140" w:type="dxa"/>
            <w:vAlign w:val="bottom"/>
            <w:shd w:val="clear" w:color="auto" w:fill="CFF2FC"/>
          </w:tcPr>
          <w:p>
            <w:pPr>
              <w:spacing w:after="0"/>
              <w:rPr>
                <w:sz w:val="16"/>
                <w:szCs w:val="16"/>
                <w:color w:val="auto"/>
              </w:rPr>
            </w:pPr>
          </w:p>
        </w:tc>
        <w:tc>
          <w:tcPr>
            <w:tcW w:w="8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60" w:type="dxa"/>
            <w:vAlign w:val="bottom"/>
            <w:shd w:val="clear" w:color="auto" w:fill="CFF2FC"/>
          </w:tcPr>
          <w:p>
            <w:pPr>
              <w:spacing w:after="0"/>
              <w:rPr>
                <w:sz w:val="16"/>
                <w:szCs w:val="16"/>
                <w:color w:val="auto"/>
              </w:rPr>
            </w:pPr>
          </w:p>
        </w:tc>
        <w:tc>
          <w:tcPr>
            <w:tcW w:w="240" w:type="dxa"/>
            <w:vAlign w:val="bottom"/>
            <w:shd w:val="clear" w:color="auto" w:fill="CFF2FC"/>
          </w:tcPr>
          <w:p>
            <w:pPr>
              <w:spacing w:after="0"/>
              <w:rPr>
                <w:sz w:val="16"/>
                <w:szCs w:val="16"/>
                <w:color w:val="auto"/>
              </w:rPr>
            </w:pPr>
          </w:p>
        </w:tc>
        <w:tc>
          <w:tcPr>
            <w:tcW w:w="1240" w:type="dxa"/>
            <w:vAlign w:val="bottom"/>
            <w:shd w:val="clear" w:color="auto" w:fill="CFF2FC"/>
          </w:tcPr>
          <w:p>
            <w:pPr>
              <w:spacing w:after="0"/>
              <w:rPr>
                <w:sz w:val="16"/>
                <w:szCs w:val="16"/>
                <w:color w:val="auto"/>
              </w:rPr>
            </w:pPr>
          </w:p>
        </w:tc>
        <w:tc>
          <w:tcPr>
            <w:tcW w:w="220" w:type="dxa"/>
            <w:vAlign w:val="bottom"/>
            <w:shd w:val="clear" w:color="auto" w:fill="CFF2FC"/>
          </w:tcPr>
          <w:p>
            <w:pPr>
              <w:spacing w:after="0"/>
              <w:rPr>
                <w:sz w:val="16"/>
                <w:szCs w:val="16"/>
                <w:color w:val="auto"/>
              </w:rPr>
            </w:pPr>
          </w:p>
        </w:tc>
        <w:tc>
          <w:tcPr>
            <w:tcW w:w="140" w:type="dxa"/>
            <w:vAlign w:val="bottom"/>
            <w:shd w:val="clear" w:color="auto" w:fill="CFF2FC"/>
          </w:tcPr>
          <w:p>
            <w:pPr>
              <w:spacing w:after="0"/>
              <w:rPr>
                <w:sz w:val="16"/>
                <w:szCs w:val="16"/>
                <w:color w:val="auto"/>
              </w:rPr>
            </w:pPr>
          </w:p>
        </w:tc>
        <w:tc>
          <w:tcPr>
            <w:tcW w:w="1120" w:type="dxa"/>
            <w:vAlign w:val="bottom"/>
            <w:shd w:val="clear" w:color="auto" w:fill="CFF2FC"/>
          </w:tcPr>
          <w:p>
            <w:pPr>
              <w:spacing w:after="0"/>
              <w:rPr>
                <w:sz w:val="16"/>
                <w:szCs w:val="16"/>
                <w:color w:val="auto"/>
              </w:rPr>
            </w:pPr>
          </w:p>
        </w:tc>
        <w:tc>
          <w:tcPr>
            <w:tcW w:w="100" w:type="dxa"/>
            <w:vAlign w:val="bottom"/>
            <w:shd w:val="clear" w:color="auto" w:fill="CFF2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tcBorders>
              <w:bottom w:val="single" w:sz="8" w:color="CFF2FC"/>
            </w:tcBorders>
            <w:shd w:val="clear" w:color="auto" w:fill="CFF2FC"/>
          </w:tcPr>
          <w:p>
            <w:pPr>
              <w:ind w:left="280"/>
              <w:spacing w:after="0"/>
              <w:rPr>
                <w:sz w:val="20"/>
                <w:szCs w:val="20"/>
                <w:color w:val="auto"/>
              </w:rPr>
            </w:pPr>
            <w:r>
              <w:rPr>
                <w:rFonts w:ascii="Arial" w:cs="Arial" w:eastAsia="Arial" w:hAnsi="Arial"/>
                <w:sz w:val="18"/>
                <w:szCs w:val="18"/>
                <w:b w:val="1"/>
                <w:bCs w:val="1"/>
                <w:color w:val="auto"/>
              </w:rPr>
              <w:t>December 31, 2019</w:t>
            </w:r>
          </w:p>
        </w:tc>
        <w:tc>
          <w:tcPr>
            <w:tcW w:w="13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3,445</w:t>
            </w:r>
          </w:p>
        </w:tc>
        <w:tc>
          <w:tcPr>
            <w:tcW w:w="140" w:type="dxa"/>
            <w:vAlign w:val="bottom"/>
            <w:tcBorders>
              <w:bottom w:val="single" w:sz="8" w:color="CFF2FC"/>
            </w:tcBorders>
            <w:shd w:val="clear" w:color="auto" w:fill="CFF2FC"/>
          </w:tcPr>
          <w:p>
            <w:pPr>
              <w:spacing w:after="0"/>
              <w:rPr>
                <w:sz w:val="20"/>
                <w:szCs w:val="20"/>
                <w:color w:val="auto"/>
              </w:rPr>
            </w:pPr>
          </w:p>
        </w:tc>
        <w:tc>
          <w:tcPr>
            <w:tcW w:w="280" w:type="dxa"/>
            <w:vAlign w:val="bottom"/>
            <w:tcBorders>
              <w:bottom w:val="single" w:sz="8" w:color="CFF2FC"/>
            </w:tcBorders>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49.53</w:t>
            </w:r>
          </w:p>
        </w:tc>
        <w:tc>
          <w:tcPr>
            <w:tcW w:w="240" w:type="dxa"/>
            <w:vAlign w:val="bottom"/>
            <w:tcBorders>
              <w:bottom w:val="single" w:sz="8" w:color="CFF2FC"/>
            </w:tcBorders>
            <w:shd w:val="clear" w:color="auto" w:fill="CFF2FC"/>
          </w:tcPr>
          <w:p>
            <w:pPr>
              <w:spacing w:after="0"/>
              <w:rPr>
                <w:sz w:val="20"/>
                <w:szCs w:val="20"/>
                <w:color w:val="auto"/>
              </w:rPr>
            </w:pPr>
          </w:p>
        </w:tc>
        <w:tc>
          <w:tcPr>
            <w:tcW w:w="1240" w:type="dxa"/>
            <w:vAlign w:val="bottom"/>
            <w:tcBorders>
              <w:bottom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CFF2FC"/>
            </w:tcBorders>
            <w:gridSpan w:val="2"/>
            <w:shd w:val="clear" w:color="auto" w:fill="CFF2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58,637</w:t>
            </w:r>
          </w:p>
        </w:tc>
        <w:tc>
          <w:tcPr>
            <w:tcW w:w="100" w:type="dxa"/>
            <w:vAlign w:val="bottom"/>
            <w:tcBorders>
              <w:bottom w:val="single" w:sz="8" w:color="CFF2FC"/>
            </w:tcBorders>
            <w:shd w:val="clear" w:color="auto" w:fill="CFF2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as of December 31, 2019</w:t>
            </w: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38.28</w:t>
            </w: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51,630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150% of the target number. The following table summarizes PSU and rTSRU activity for the year-to-date period ending December 31, 2019:</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2"/>
          </w:tcPr>
          <w:p>
            <w:pPr>
              <w:jc w:val="right"/>
              <w:ind w:right="742"/>
              <w:spacing w:after="0"/>
              <w:rPr>
                <w:sz w:val="20"/>
                <w:szCs w:val="20"/>
                <w:color w:val="auto"/>
              </w:rPr>
            </w:pPr>
            <w:r>
              <w:rPr>
                <w:rFonts w:ascii="Arial" w:cs="Arial" w:eastAsia="Arial" w:hAnsi="Arial"/>
                <w:sz w:val="14"/>
                <w:szCs w:val="14"/>
                <w:b w:val="1"/>
                <w:bCs w:val="1"/>
                <w:color w:val="auto"/>
              </w:rPr>
              <w:t>PSUs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b w:val="1"/>
                <w:bCs w:val="1"/>
                <w:color w:val="auto"/>
              </w:rPr>
              <w:t>rTSRUs</w:t>
            </w: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left="122"/>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left="116"/>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2720" w:type="dxa"/>
            <w:vAlign w:val="bottom"/>
            <w:gridSpan w:val="4"/>
          </w:tcPr>
          <w:p>
            <w:pPr>
              <w:jc w:val="center"/>
              <w:ind w:right="96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Unvested at September 30, 2019</w:t>
            </w:r>
          </w:p>
        </w:tc>
        <w:tc>
          <w:tcPr>
            <w:tcW w:w="340" w:type="dxa"/>
            <w:vAlign w:val="bottom"/>
          </w:tcPr>
          <w:p>
            <w:pPr>
              <w:spacing w:after="0"/>
              <w:rPr>
                <w:sz w:val="20"/>
                <w:szCs w:val="20"/>
                <w:color w:val="auto"/>
              </w:rPr>
            </w:pPr>
          </w:p>
        </w:tc>
        <w:tc>
          <w:tcPr>
            <w:tcW w:w="2720" w:type="dxa"/>
            <w:vAlign w:val="bottom"/>
            <w:gridSpan w:val="4"/>
          </w:tcPr>
          <w:p>
            <w:pPr>
              <w:ind w:left="42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vMerge w:val="continue"/>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1040" w:type="dxa"/>
            <w:vAlign w:val="bottom"/>
          </w:tcPr>
          <w:p>
            <w:pPr>
              <w:jc w:val="right"/>
              <w:ind w:right="66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73.02</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63.94</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Vested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68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Cancelled</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1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b w:val="1"/>
                <w:bCs w:val="1"/>
                <w:color w:val="auto"/>
              </w:rPr>
              <w:t>Unvested at December 31, 2019</w:t>
            </w:r>
          </w:p>
        </w:tc>
        <w:tc>
          <w:tcPr>
            <w:tcW w:w="9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40" w:type="dxa"/>
            <w:vAlign w:val="bottom"/>
          </w:tcPr>
          <w:p>
            <w:pPr>
              <w:jc w:val="right"/>
              <w:ind w:right="66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69.37</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 following table summarizes the restricted stock unit activity for the year-to-date period ending December 31,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Units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Unvested at September 30, 2019</w:t>
            </w:r>
          </w:p>
        </w:tc>
        <w:tc>
          <w:tcPr>
            <w:tcW w:w="1600" w:type="dxa"/>
            <w:vAlign w:val="bottom"/>
          </w:tcPr>
          <w:p>
            <w:pPr>
              <w:spacing w:after="0"/>
              <w:rPr>
                <w:sz w:val="20"/>
                <w:szCs w:val="20"/>
                <w:color w:val="auto"/>
              </w:rPr>
            </w:pPr>
          </w:p>
        </w:tc>
        <w:tc>
          <w:tcPr>
            <w:tcW w:w="320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except per share data)</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gridSpan w:val="2"/>
            <w:vMerge w:val="continue"/>
          </w:tcPr>
          <w:p>
            <w:pPr>
              <w:spacing w:after="0"/>
              <w:rPr>
                <w:sz w:val="20"/>
                <w:szCs w:val="20"/>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6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Vested</w:t>
            </w:r>
          </w:p>
        </w:tc>
        <w:tc>
          <w:tcPr>
            <w:tcW w:w="322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Cancelled</w:t>
            </w:r>
          </w:p>
        </w:tc>
        <w:tc>
          <w:tcPr>
            <w:tcW w:w="3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720"/>
              <w:spacing w:after="0"/>
              <w:rPr>
                <w:sz w:val="20"/>
                <w:szCs w:val="20"/>
                <w:color w:val="auto"/>
              </w:rPr>
            </w:pPr>
            <w:r>
              <w:rPr>
                <w:rFonts w:ascii="Arial" w:cs="Arial" w:eastAsia="Arial" w:hAnsi="Arial"/>
                <w:sz w:val="18"/>
                <w:szCs w:val="18"/>
                <w:b w:val="1"/>
                <w:bCs w:val="1"/>
                <w:color w:val="auto"/>
              </w:rPr>
              <w:t>Unvested at December 31, 2019</w:t>
            </w:r>
          </w:p>
        </w:tc>
        <w:tc>
          <w:tcPr>
            <w:tcW w:w="16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0" w:type="dxa"/>
            <w:vAlign w:val="bottom"/>
            <w:vMerge w:val="restart"/>
          </w:tcPr>
          <w:p>
            <w:pPr>
              <w:jc w:val="right"/>
              <w:ind w:right="61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2019 and 2018, the Company recognized the following stock-based compensation expense: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1"/>
        </w:trPr>
        <w:tc>
          <w:tcPr>
            <w:tcW w:w="46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2,274</w:t>
            </w:r>
          </w:p>
        </w:tc>
        <w:tc>
          <w:tcPr>
            <w:tcW w:w="220" w:type="dxa"/>
            <w:vAlign w:val="bottom"/>
          </w:tcPr>
          <w:p>
            <w:pPr>
              <w:spacing w:after="0"/>
              <w:rPr>
                <w:sz w:val="20"/>
                <w:szCs w:val="20"/>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2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2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30"/>
        </w:trPr>
        <w:tc>
          <w:tcPr>
            <w:tcW w:w="4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1"/>
        </w:trPr>
        <w:tc>
          <w:tcPr>
            <w:tcW w:w="46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Stock options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3,904</w:t>
            </w:r>
          </w:p>
        </w:tc>
        <w:tc>
          <w:tcPr>
            <w:tcW w:w="220" w:type="dxa"/>
            <w:vAlign w:val="bottom"/>
          </w:tcPr>
          <w:p>
            <w:pPr>
              <w:spacing w:after="0"/>
              <w:rPr>
                <w:sz w:val="20"/>
                <w:szCs w:val="20"/>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rTSRUs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2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three months ended December 31, 2019 and 2018, the Company recognized stock-based compensation expense for PSUs and performance-based options for which vesting became probable upon achievement of performance-based targets that occurred during their respective periods.</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2019, the Company had an aggregate of $52,006 of unrecognized stock-based compensation cost, which is expected to be recognized over a weighted average period of 2.8 years.</w:t>
      </w: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Basic and diluted net income per share attributable to common stockholders was calculated as follows for the three months ended December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8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160" w:type="dxa"/>
            <w:vAlign w:val="bottom"/>
            <w:gridSpan w:val="4"/>
          </w:tcPr>
          <w:p>
            <w:pPr>
              <w:jc w:val="center"/>
              <w:ind w:left="507"/>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per share:</w:t>
            </w:r>
          </w:p>
        </w:tc>
        <w:tc>
          <w:tcPr>
            <w:tcW w:w="20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14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20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0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19,751</w:t>
            </w:r>
          </w:p>
        </w:tc>
        <w:tc>
          <w:tcPr>
            <w:tcW w:w="4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Net income per share common share—basic</w:t>
            </w:r>
          </w:p>
        </w:tc>
        <w:tc>
          <w:tcPr>
            <w:tcW w:w="3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208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share:</w:t>
            </w:r>
          </w:p>
        </w:tc>
        <w:tc>
          <w:tcPr>
            <w:tcW w:w="20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14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20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0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19,751</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20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4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4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outstanding—diluted</w:t>
            </w:r>
          </w:p>
        </w:tc>
        <w:tc>
          <w:tcPr>
            <w:tcW w:w="20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20,773</w:t>
            </w:r>
          </w:p>
        </w:tc>
        <w:tc>
          <w:tcPr>
            <w:tcW w:w="4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20,810</w:t>
            </w: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Net income per share common share—diluted</w:t>
            </w:r>
          </w:p>
        </w:tc>
        <w:tc>
          <w:tcPr>
            <w:tcW w:w="3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208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Anti-dilutive common stock equivalents excluded from above</w:t>
            </w:r>
          </w:p>
        </w:tc>
        <w:tc>
          <w:tcPr>
            <w:tcW w:w="20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160" w:type="dxa"/>
            <w:vAlign w:val="bottom"/>
          </w:tcPr>
          <w:p>
            <w:pPr>
              <w:spacing w:after="0"/>
              <w:rPr>
                <w:sz w:val="24"/>
                <w:szCs w:val="24"/>
                <w:color w:val="auto"/>
              </w:rPr>
            </w:pPr>
          </w:p>
        </w:tc>
        <w:tc>
          <w:tcPr>
            <w:tcW w:w="2080" w:type="dxa"/>
            <w:vAlign w:val="bottom"/>
          </w:tcPr>
          <w:p>
            <w:pPr>
              <w:jc w:val="right"/>
              <w:ind w:right="1350"/>
              <w:spacing w:after="0"/>
              <w:rPr>
                <w:sz w:val="20"/>
                <w:szCs w:val="20"/>
                <w:color w:val="auto"/>
              </w:rPr>
            </w:pPr>
            <w:r>
              <w:rPr>
                <w:rFonts w:ascii="Arial" w:cs="Arial" w:eastAsia="Arial" w:hAnsi="Arial"/>
                <w:sz w:val="18"/>
                <w:szCs w:val="18"/>
                <w:color w:val="auto"/>
              </w:rPr>
              <w:t>14</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provision for income taxes consists of federal and state taxes necessary to align the Company’s year-to-date tax provision with the annual effective rate that it expects to achieve for the full year. At each interim period, the Company updates its estimate of the annual effective tax rate and records cumulative adjustments as necessary. The authoritative guidance for accounting for income taxes allows use of the year-to-date effective tax rate (the “discrete method”) when a reliable estimate of the estimated annual effective tax rate cannot be made. During the three months ended December 31, 2019, the Company determined the use of the discrete method is more appropriate than the annual effective tax rate method due to the sensitivity of the Company’s tax rate to small changes in projected pre-tax earnings, which resulted in significant variations in the customary relationship between income tax expense and pretax income. As such, the Company has discretely calculated the tax provision based on pre-tax results through the three months ended December 31, 2019. For the three months ended December 31, 2019 and 2018, the Company recorded income tax expense of $1,504 and $3,730, respectively, both of which were attributable to the Company’s domestic operations. The Company has no foreign operations and therefore, has not provided for any foreign taxes.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2015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 in September 2018, the amount of which was immaterial to the financial statements. The Company is in the process of finalizing the completion of the IRS audit. During October 2018, the Company received notice of examination by the Massachusetts Department of Revenue (“DOR”) for the years ending September 30, 2015 and September 30, 2016. The Company received a notice of proposed adjustment from the DOR, the amount of which was immaterial to the financial statements. The Company is in the process of finalizing the completion of the DOR audit. The Company has not received notice of examination by any other jurisdictions for any other tax year open under statute.</w:t>
      </w:r>
    </w:p>
    <w:p>
      <w:pPr>
        <w:spacing w:after="0" w:line="16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had an unrecognized tax benefit of $1,679 and $1,650 as of December 31, 2019 and September 30, 2019,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real estate leases for properties located in Watertown, Massachusetts. The first lease, for office and laboratory space at 500 Arsenal Street, was effective in fiscal 2011 and expires in September 2022 with an option to extend the lease term for an additional five years. The second lease, for office space located at 400 Talcott Avenue, was effective September 2018 and expires in August 2024 with two options to extend the lease term for an additional three years each. The options to extend the lease terms were not included in the right-of-use assets and lease liabilities as they were not reasonably certain of being exercised. The lease payments for the office and laboratory space include fixed lease payments that escalate over the terms of the leases. Additionally, the Company’s office and laboratory space leases require the Company to pay for certain operating expenses based on actual costs incurred and therefore as the amounts are variable in nature are expensed in the period incurred and included in variable lease costs.</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2019, the Company entered into an agreement to lease units of equipment over eighteen-month lease periods commencing upon shipment of each unit. The lease agreement contains an option to terminate the lease early, however this early-termination option was not included in the right-of-use asset and lease liability as it was not reasonably certain of being exercised. The equipment lease requires the Company to pay for certain consumable and peripheral equipment supplies based on actual costs incurred and therefore as these costs are variable in nature, they are expensed in the period incurred and included in variable lease costs.</w:t>
      </w:r>
    </w:p>
    <w:p>
      <w:pPr>
        <w:sectPr>
          <w:pgSz w:w="11900" w:h="16838" w:orient="portrait"/>
          <w:cols w:equalWidth="0" w:num="1">
            <w:col w:w="11400"/>
          </w:cols>
          <w:pgMar w:left="240" w:top="661" w:right="25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for the Company’s real estate and equipment leases were as follows: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tcPr>
          <w:p>
            <w:pPr>
              <w:jc w:val="center"/>
              <w:ind w:right="358"/>
              <w:spacing w:after="0"/>
              <w:rPr>
                <w:sz w:val="20"/>
                <w:szCs w:val="20"/>
                <w:color w:val="auto"/>
              </w:rPr>
            </w:pPr>
            <w:r>
              <w:rPr>
                <w:rFonts w:ascii="Arial" w:cs="Arial" w:eastAsia="Arial" w:hAnsi="Arial"/>
                <w:sz w:val="14"/>
                <w:szCs w:val="14"/>
                <w:b w:val="1"/>
                <w:bCs w:val="1"/>
                <w:color w:val="auto"/>
                <w:w w:val="95"/>
              </w:rPr>
              <w:t>Three Months Ended</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December 31, 2019</w:t>
            </w:r>
          </w:p>
        </w:tc>
      </w:tr>
      <w:tr>
        <w:trPr>
          <w:trHeight w:val="26"/>
        </w:trPr>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(in thousands)</w:t>
            </w:r>
          </w:p>
        </w:tc>
      </w:tr>
      <w:tr>
        <w:trPr>
          <w:trHeight w:val="254"/>
        </w:trPr>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60" w:space="720"/>
            <w:col w:w="2920"/>
          </w:cols>
          <w:pgMar w:left="240" w:top="661" w:right="259" w:bottom="144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Three months ended</w:t>
            </w:r>
          </w:p>
        </w:tc>
      </w:tr>
      <w:tr>
        <w:trPr>
          <w:trHeight w:val="215"/>
        </w:trPr>
        <w:tc>
          <w:tcPr>
            <w:tcW w:w="8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Pr>
          <w:p>
            <w:pPr>
              <w:spacing w:after="0"/>
              <w:rPr>
                <w:sz w:val="18"/>
                <w:szCs w:val="18"/>
                <w:color w:val="auto"/>
              </w:rPr>
            </w:pPr>
          </w:p>
        </w:tc>
      </w:tr>
      <w:tr>
        <w:trPr>
          <w:trHeight w:val="198"/>
        </w:trPr>
        <w:tc>
          <w:tcPr>
            <w:tcW w:w="8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5"/>
        </w:trPr>
        <w:tc>
          <w:tcPr>
            <w:tcW w:w="8420" w:type="dxa"/>
            <w:vAlign w:val="bottom"/>
            <w:shd w:val="clear" w:color="auto" w:fill="CFF2FC"/>
          </w:tcPr>
          <w:p>
            <w:pPr>
              <w:ind w:left="140"/>
              <w:spacing w:after="0"/>
              <w:rPr>
                <w:sz w:val="20"/>
                <w:szCs w:val="20"/>
                <w:color w:val="auto"/>
              </w:rPr>
            </w:pPr>
            <w:r>
              <w:rPr>
                <w:rFonts w:ascii="Arial" w:cs="Arial" w:eastAsia="Arial" w:hAnsi="Arial"/>
                <w:sz w:val="18"/>
                <w:szCs w:val="18"/>
                <w:color w:val="auto"/>
              </w:rPr>
              <w:t>Cash paid for amounts included in the measurement of operating</w:t>
            </w:r>
          </w:p>
        </w:tc>
        <w:tc>
          <w:tcPr>
            <w:tcW w:w="440" w:type="dxa"/>
            <w:vAlign w:val="bottom"/>
            <w:shd w:val="clear" w:color="auto" w:fill="CFF2FC"/>
          </w:tcPr>
          <w:p>
            <w:pPr>
              <w:spacing w:after="0"/>
              <w:rPr>
                <w:sz w:val="18"/>
                <w:szCs w:val="18"/>
                <w:color w:val="auto"/>
              </w:rPr>
            </w:pPr>
          </w:p>
        </w:tc>
        <w:tc>
          <w:tcPr>
            <w:tcW w:w="2380" w:type="dxa"/>
            <w:vAlign w:val="bottom"/>
            <w:shd w:val="clear" w:color="auto" w:fill="CFF2FC"/>
          </w:tcPr>
          <w:p>
            <w:pPr>
              <w:spacing w:after="0"/>
              <w:rPr>
                <w:sz w:val="18"/>
                <w:szCs w:val="18"/>
                <w:color w:val="auto"/>
              </w:rPr>
            </w:pPr>
          </w:p>
        </w:tc>
        <w:tc>
          <w:tcPr>
            <w:tcW w:w="180" w:type="dxa"/>
            <w:vAlign w:val="bottom"/>
            <w:shd w:val="clear" w:color="auto" w:fill="CFF2FC"/>
          </w:tcPr>
          <w:p>
            <w:pPr>
              <w:spacing w:after="0"/>
              <w:rPr>
                <w:sz w:val="18"/>
                <w:szCs w:val="18"/>
                <w:color w:val="auto"/>
              </w:rPr>
            </w:pPr>
          </w:p>
        </w:tc>
      </w:tr>
      <w:tr>
        <w:trPr>
          <w:trHeight w:val="230"/>
        </w:trPr>
        <w:tc>
          <w:tcPr>
            <w:tcW w:w="8420" w:type="dxa"/>
            <w:vAlign w:val="bottom"/>
            <w:shd w:val="clear" w:color="auto" w:fill="CFF2FC"/>
          </w:tcPr>
          <w:p>
            <w:pPr>
              <w:ind w:left="360"/>
              <w:spacing w:after="0"/>
              <w:rPr>
                <w:sz w:val="20"/>
                <w:szCs w:val="20"/>
                <w:color w:val="auto"/>
              </w:rPr>
            </w:pPr>
            <w:r>
              <w:rPr>
                <w:rFonts w:ascii="Arial" w:cs="Arial" w:eastAsia="Arial" w:hAnsi="Arial"/>
                <w:sz w:val="18"/>
                <w:szCs w:val="18"/>
                <w:color w:val="auto"/>
              </w:rPr>
              <w:t>lease liabilities</w:t>
            </w:r>
          </w:p>
        </w:tc>
        <w:tc>
          <w:tcPr>
            <w:tcW w:w="440" w:type="dxa"/>
            <w:vAlign w:val="bottom"/>
            <w:shd w:val="clear" w:color="auto" w:fill="CFF2FC"/>
          </w:tcPr>
          <w:p>
            <w:pPr>
              <w:jc w:val="right"/>
              <w:ind w:right="250"/>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736</w:t>
            </w:r>
          </w:p>
        </w:tc>
        <w:tc>
          <w:tcPr>
            <w:tcW w:w="180" w:type="dxa"/>
            <w:vAlign w:val="bottom"/>
            <w:shd w:val="clear" w:color="auto" w:fill="CFF2FC"/>
          </w:tcPr>
          <w:p>
            <w:pPr>
              <w:spacing w:after="0"/>
              <w:rPr>
                <w:sz w:val="20"/>
                <w:szCs w:val="20"/>
                <w:color w:val="auto"/>
              </w:rPr>
            </w:pPr>
          </w:p>
        </w:tc>
      </w:tr>
      <w:tr>
        <w:trPr>
          <w:trHeight w:val="215"/>
        </w:trPr>
        <w:tc>
          <w:tcPr>
            <w:tcW w:w="8420" w:type="dxa"/>
            <w:vAlign w:val="bottom"/>
          </w:tcPr>
          <w:p>
            <w:pPr>
              <w:ind w:left="140"/>
              <w:spacing w:after="0"/>
              <w:rPr>
                <w:sz w:val="20"/>
                <w:szCs w:val="20"/>
                <w:color w:val="auto"/>
              </w:rPr>
            </w:pPr>
            <w:r>
              <w:rPr>
                <w:rFonts w:ascii="Arial" w:cs="Arial" w:eastAsia="Arial" w:hAnsi="Arial"/>
                <w:sz w:val="18"/>
                <w:szCs w:val="18"/>
                <w:color w:val="auto"/>
              </w:rPr>
              <w:t>Operating lease liabilities arising from obtaining right-of-use</w:t>
            </w: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420" w:type="dxa"/>
            <w:vAlign w:val="bottom"/>
          </w:tcPr>
          <w:p>
            <w:pPr>
              <w:ind w:left="360"/>
              <w:spacing w:after="0"/>
              <w:rPr>
                <w:sz w:val="20"/>
                <w:szCs w:val="20"/>
                <w:color w:val="auto"/>
              </w:rPr>
            </w:pPr>
            <w:r>
              <w:rPr>
                <w:rFonts w:ascii="Arial" w:cs="Arial" w:eastAsia="Arial" w:hAnsi="Arial"/>
                <w:sz w:val="18"/>
                <w:szCs w:val="18"/>
                <w:color w:val="auto"/>
              </w:rPr>
              <w:t>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1,131</w:t>
            </w:r>
          </w:p>
        </w:tc>
        <w:tc>
          <w:tcPr>
            <w:tcW w:w="180" w:type="dxa"/>
            <w:vAlign w:val="bottom"/>
          </w:tcPr>
          <w:p>
            <w:pPr>
              <w:spacing w:after="0"/>
              <w:rPr>
                <w:sz w:val="20"/>
                <w:szCs w:val="20"/>
                <w:color w:val="auto"/>
              </w:rPr>
            </w:pPr>
          </w:p>
        </w:tc>
      </w:tr>
      <w:tr>
        <w:trPr>
          <w:trHeight w:val="459"/>
        </w:trPr>
        <w:tc>
          <w:tcPr>
            <w:tcW w:w="8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Pr>
          <w:p>
            <w:pPr>
              <w:spacing w:after="0"/>
              <w:rPr>
                <w:sz w:val="24"/>
                <w:szCs w:val="24"/>
                <w:color w:val="auto"/>
              </w:rPr>
            </w:pPr>
          </w:p>
        </w:tc>
      </w:tr>
      <w:tr>
        <w:trPr>
          <w:trHeight w:val="198"/>
        </w:trPr>
        <w:tc>
          <w:tcPr>
            <w:tcW w:w="8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8420" w:type="dxa"/>
            <w:vAlign w:val="bottom"/>
            <w:shd w:val="clear" w:color="auto" w:fill="CFF2FC"/>
          </w:tcPr>
          <w:p>
            <w:pPr>
              <w:ind w:left="140"/>
              <w:spacing w:after="0"/>
              <w:rPr>
                <w:sz w:val="20"/>
                <w:szCs w:val="20"/>
                <w:color w:val="auto"/>
              </w:rPr>
            </w:pPr>
            <w:r>
              <w:rPr>
                <w:rFonts w:ascii="Arial" w:cs="Arial" w:eastAsia="Arial" w:hAnsi="Arial"/>
                <w:sz w:val="18"/>
                <w:szCs w:val="18"/>
                <w:color w:val="auto"/>
              </w:rPr>
              <w:t>Weighted-average remaining lease term - operating leases (in years)</w:t>
            </w:r>
          </w:p>
        </w:tc>
        <w:tc>
          <w:tcPr>
            <w:tcW w:w="440" w:type="dxa"/>
            <w:vAlign w:val="bottom"/>
            <w:shd w:val="clear" w:color="auto" w:fill="CFF2FC"/>
          </w:tcPr>
          <w:p>
            <w:pPr>
              <w:spacing w:after="0"/>
              <w:rPr>
                <w:sz w:val="19"/>
                <w:szCs w:val="19"/>
                <w:color w:val="auto"/>
              </w:rPr>
            </w:pPr>
          </w:p>
        </w:tc>
        <w:tc>
          <w:tcPr>
            <w:tcW w:w="23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FF2FC"/>
          </w:tcPr>
          <w:p>
            <w:pPr>
              <w:spacing w:after="0"/>
              <w:rPr>
                <w:sz w:val="19"/>
                <w:szCs w:val="19"/>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Weighted-average discount rate - operating leases</w:t>
            </w:r>
          </w:p>
        </w:tc>
        <w:tc>
          <w:tcPr>
            <w:tcW w:w="440" w:type="dxa"/>
            <w:vAlign w:val="bottom"/>
          </w:tcPr>
          <w:p>
            <w:pPr>
              <w:spacing w:after="0"/>
              <w:rPr>
                <w:sz w:val="20"/>
                <w:szCs w:val="20"/>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Incremental borrowing rates were used to calculate the present value of the Company’s real estate and equipment leases.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annual minimum lease payments under the Company’s real estate and equipment operating leases as of December 31, 2019 were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Years ended September 30,</w:t>
            </w:r>
          </w:p>
        </w:tc>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20" w:type="dxa"/>
            <w:vAlign w:val="bottom"/>
          </w:tcPr>
          <w:p>
            <w:pPr>
              <w:spacing w:after="0"/>
              <w:rPr>
                <w:sz w:val="19"/>
                <w:szCs w:val="19"/>
                <w:color w:val="auto"/>
              </w:rPr>
            </w:pPr>
          </w:p>
        </w:tc>
        <w:tc>
          <w:tcPr>
            <w:tcW w:w="1660" w:type="dxa"/>
            <w:vAlign w:val="bottom"/>
            <w:tcBorders>
              <w:top w:val="single" w:sz="8" w:color="auto"/>
            </w:tcBorders>
            <w:shd w:val="clear" w:color="auto" w:fill="CFF2FC"/>
          </w:tcPr>
          <w:p>
            <w:pPr>
              <w:ind w:left="220"/>
              <w:spacing w:after="0"/>
              <w:rPr>
                <w:sz w:val="20"/>
                <w:szCs w:val="20"/>
                <w:color w:val="auto"/>
              </w:rPr>
            </w:pPr>
            <w:r>
              <w:rPr>
                <w:rFonts w:ascii="Arial" w:cs="Arial" w:eastAsia="Arial" w:hAnsi="Arial"/>
                <w:sz w:val="18"/>
                <w:szCs w:val="18"/>
                <w:color w:val="auto"/>
              </w:rPr>
              <w:t>2020</w:t>
            </w:r>
          </w:p>
        </w:tc>
        <w:tc>
          <w:tcPr>
            <w:tcW w:w="4360" w:type="dxa"/>
            <w:vAlign w:val="bottom"/>
            <w:shd w:val="clear" w:color="auto" w:fill="CFF2FC"/>
          </w:tcPr>
          <w:p>
            <w:pPr>
              <w:spacing w:after="0"/>
              <w:rPr>
                <w:sz w:val="19"/>
                <w:szCs w:val="19"/>
                <w:color w:val="auto"/>
              </w:rPr>
            </w:pPr>
          </w:p>
        </w:tc>
        <w:tc>
          <w:tcPr>
            <w:tcW w:w="2900" w:type="dxa"/>
            <w:vAlign w:val="bottom"/>
            <w:gridSpan w:val="2"/>
            <w:shd w:val="clear" w:color="auto" w:fill="CFF2FC"/>
          </w:tcPr>
          <w:p>
            <w:pPr>
              <w:jc w:val="right"/>
              <w:ind w:right="305"/>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FF2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ind w:left="220"/>
              <w:spacing w:after="0"/>
              <w:rPr>
                <w:sz w:val="20"/>
                <w:szCs w:val="20"/>
                <w:color w:val="auto"/>
              </w:rPr>
            </w:pPr>
            <w:r>
              <w:rPr>
                <w:rFonts w:ascii="Arial" w:cs="Arial" w:eastAsia="Arial" w:hAnsi="Arial"/>
                <w:sz w:val="18"/>
                <w:szCs w:val="18"/>
                <w:color w:val="auto"/>
              </w:rPr>
              <w:t>2021</w:t>
            </w:r>
          </w:p>
        </w:tc>
        <w:tc>
          <w:tcPr>
            <w:tcW w:w="4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FF2FC"/>
          </w:tcPr>
          <w:p>
            <w:pPr>
              <w:ind w:left="220"/>
              <w:spacing w:after="0"/>
              <w:rPr>
                <w:sz w:val="20"/>
                <w:szCs w:val="20"/>
                <w:color w:val="auto"/>
              </w:rPr>
            </w:pPr>
            <w:r>
              <w:rPr>
                <w:rFonts w:ascii="Arial" w:cs="Arial" w:eastAsia="Arial" w:hAnsi="Arial"/>
                <w:sz w:val="18"/>
                <w:szCs w:val="18"/>
                <w:color w:val="auto"/>
              </w:rPr>
              <w:t>2022</w:t>
            </w:r>
          </w:p>
        </w:tc>
        <w:tc>
          <w:tcPr>
            <w:tcW w:w="4360" w:type="dxa"/>
            <w:vAlign w:val="bottom"/>
            <w:shd w:val="clear" w:color="auto" w:fill="CFF2FC"/>
          </w:tcPr>
          <w:p>
            <w:pPr>
              <w:spacing w:after="0"/>
              <w:rPr>
                <w:sz w:val="19"/>
                <w:szCs w:val="19"/>
                <w:color w:val="auto"/>
              </w:rPr>
            </w:pPr>
          </w:p>
        </w:tc>
        <w:tc>
          <w:tcPr>
            <w:tcW w:w="2440" w:type="dxa"/>
            <w:vAlign w:val="bottom"/>
            <w:shd w:val="clear" w:color="auto" w:fill="CFF2FC"/>
          </w:tcPr>
          <w:p>
            <w:pPr>
              <w:spacing w:after="0"/>
              <w:rPr>
                <w:sz w:val="19"/>
                <w:szCs w:val="19"/>
                <w:color w:val="auto"/>
              </w:rPr>
            </w:pPr>
          </w:p>
        </w:tc>
        <w:tc>
          <w:tcPr>
            <w:tcW w:w="460" w:type="dxa"/>
            <w:vAlign w:val="bottom"/>
            <w:shd w:val="clear" w:color="auto" w:fill="CFF2FC"/>
          </w:tcPr>
          <w:p>
            <w:pPr>
              <w:spacing w:after="0"/>
              <w:rPr>
                <w:sz w:val="19"/>
                <w:szCs w:val="19"/>
                <w:color w:val="auto"/>
              </w:rPr>
            </w:pPr>
          </w:p>
        </w:tc>
        <w:tc>
          <w:tcPr>
            <w:tcW w:w="23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FF2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ind w:left="220"/>
              <w:spacing w:after="0"/>
              <w:rPr>
                <w:sz w:val="20"/>
                <w:szCs w:val="20"/>
                <w:color w:val="auto"/>
              </w:rPr>
            </w:pPr>
            <w:r>
              <w:rPr>
                <w:rFonts w:ascii="Arial" w:cs="Arial" w:eastAsia="Arial" w:hAnsi="Arial"/>
                <w:sz w:val="18"/>
                <w:szCs w:val="18"/>
                <w:color w:val="auto"/>
              </w:rPr>
              <w:t>2023</w:t>
            </w:r>
          </w:p>
        </w:tc>
        <w:tc>
          <w:tcPr>
            <w:tcW w:w="4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FF2FC"/>
          </w:tcPr>
          <w:p>
            <w:pPr>
              <w:ind w:left="220"/>
              <w:spacing w:after="0"/>
              <w:rPr>
                <w:sz w:val="20"/>
                <w:szCs w:val="20"/>
                <w:color w:val="auto"/>
              </w:rPr>
            </w:pPr>
            <w:r>
              <w:rPr>
                <w:rFonts w:ascii="Arial" w:cs="Arial" w:eastAsia="Arial" w:hAnsi="Arial"/>
                <w:sz w:val="18"/>
                <w:szCs w:val="18"/>
                <w:color w:val="auto"/>
              </w:rPr>
              <w:t>2024</w:t>
            </w:r>
          </w:p>
        </w:tc>
        <w:tc>
          <w:tcPr>
            <w:tcW w:w="4360" w:type="dxa"/>
            <w:vAlign w:val="bottom"/>
            <w:shd w:val="clear" w:color="auto" w:fill="CFF2FC"/>
          </w:tcPr>
          <w:p>
            <w:pPr>
              <w:spacing w:after="0"/>
              <w:rPr>
                <w:sz w:val="19"/>
                <w:szCs w:val="19"/>
                <w:color w:val="auto"/>
              </w:rPr>
            </w:pPr>
          </w:p>
        </w:tc>
        <w:tc>
          <w:tcPr>
            <w:tcW w:w="2440" w:type="dxa"/>
            <w:vAlign w:val="bottom"/>
            <w:shd w:val="clear" w:color="auto" w:fill="CFF2FC"/>
          </w:tcPr>
          <w:p>
            <w:pPr>
              <w:spacing w:after="0"/>
              <w:rPr>
                <w:sz w:val="19"/>
                <w:szCs w:val="19"/>
                <w:color w:val="auto"/>
              </w:rPr>
            </w:pPr>
          </w:p>
        </w:tc>
        <w:tc>
          <w:tcPr>
            <w:tcW w:w="460" w:type="dxa"/>
            <w:vAlign w:val="bottom"/>
            <w:tcBorders>
              <w:bottom w:val="single" w:sz="8" w:color="auto"/>
            </w:tcBorders>
            <w:shd w:val="clear" w:color="auto" w:fill="CFF2FC"/>
          </w:tcPr>
          <w:p>
            <w:pPr>
              <w:spacing w:after="0"/>
              <w:rPr>
                <w:sz w:val="19"/>
                <w:szCs w:val="19"/>
                <w:color w:val="auto"/>
              </w:rPr>
            </w:pPr>
          </w:p>
        </w:tc>
        <w:tc>
          <w:tcPr>
            <w:tcW w:w="23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FF2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Arial" w:cs="Arial" w:eastAsia="Arial" w:hAnsi="Arial"/>
                <w:sz w:val="18"/>
                <w:szCs w:val="18"/>
                <w:color w:val="auto"/>
              </w:rPr>
              <w:t>Total future minimum lease payments</w:t>
            </w:r>
          </w:p>
        </w:tc>
        <w:tc>
          <w:tcPr>
            <w:tcW w:w="2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10,083</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FF2FC"/>
          </w:tcPr>
          <w:p>
            <w:pPr>
              <w:ind w:left="260"/>
              <w:spacing w:after="0"/>
              <w:rPr>
                <w:sz w:val="20"/>
                <w:szCs w:val="20"/>
                <w:color w:val="auto"/>
              </w:rPr>
            </w:pPr>
            <w:r>
              <w:rPr>
                <w:rFonts w:ascii="Arial" w:cs="Arial" w:eastAsia="Arial" w:hAnsi="Arial"/>
                <w:sz w:val="18"/>
                <w:szCs w:val="18"/>
                <w:color w:val="auto"/>
              </w:rPr>
              <w:t>Less: imputed interest</w:t>
            </w:r>
          </w:p>
        </w:tc>
        <w:tc>
          <w:tcPr>
            <w:tcW w:w="2440" w:type="dxa"/>
            <w:vAlign w:val="bottom"/>
            <w:shd w:val="clear" w:color="auto" w:fill="CFF2FC"/>
          </w:tcPr>
          <w:p>
            <w:pPr>
              <w:spacing w:after="0"/>
              <w:rPr>
                <w:sz w:val="19"/>
                <w:szCs w:val="19"/>
                <w:color w:val="auto"/>
              </w:rPr>
            </w:pPr>
          </w:p>
        </w:tc>
        <w:tc>
          <w:tcPr>
            <w:tcW w:w="460" w:type="dxa"/>
            <w:vAlign w:val="bottom"/>
            <w:shd w:val="clear" w:color="auto" w:fill="CFF2FC"/>
          </w:tcPr>
          <w:p>
            <w:pPr>
              <w:spacing w:after="0"/>
              <w:rPr>
                <w:sz w:val="19"/>
                <w:szCs w:val="19"/>
                <w:color w:val="auto"/>
              </w:rPr>
            </w:pPr>
          </w:p>
        </w:tc>
        <w:tc>
          <w:tcPr>
            <w:tcW w:w="2480" w:type="dxa"/>
            <w:vAlign w:val="bottom"/>
            <w:gridSpan w:val="2"/>
            <w:shd w:val="clear" w:color="auto" w:fill="CFF2FC"/>
          </w:tcPr>
          <w:p>
            <w:pPr>
              <w:jc w:val="right"/>
              <w:ind w:right="60"/>
              <w:spacing w:after="0"/>
              <w:rPr>
                <w:sz w:val="20"/>
                <w:szCs w:val="20"/>
                <w:color w:val="auto"/>
              </w:rPr>
            </w:pPr>
            <w:r>
              <w:rPr>
                <w:rFonts w:ascii="Arial" w:cs="Arial" w:eastAsia="Arial" w:hAnsi="Arial"/>
                <w:sz w:val="18"/>
                <w:szCs w:val="18"/>
                <w:color w:val="auto"/>
              </w:rPr>
              <w:t>(964)</w:t>
            </w:r>
          </w:p>
        </w:tc>
      </w:tr>
      <w:tr>
        <w:trPr>
          <w:trHeight w:val="223"/>
        </w:trPr>
        <w:tc>
          <w:tcPr>
            <w:tcW w:w="2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Arial" w:cs="Arial" w:eastAsia="Arial" w:hAnsi="Arial"/>
                <w:sz w:val="18"/>
                <w:szCs w:val="18"/>
                <w:color w:val="auto"/>
              </w:rPr>
              <w:t>Total operating lease liabilities</w:t>
            </w:r>
          </w:p>
        </w:tc>
        <w:tc>
          <w:tcPr>
            <w:tcW w:w="24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Pr>
          <w:p>
            <w:pPr>
              <w:spacing w:after="0"/>
              <w:rPr>
                <w:sz w:val="19"/>
                <w:szCs w:val="19"/>
                <w:color w:val="auto"/>
              </w:rPr>
            </w:pPr>
          </w:p>
        </w:tc>
      </w:tr>
      <w:tr>
        <w:trPr>
          <w:trHeight w:val="20"/>
        </w:trPr>
        <w:tc>
          <w:tcPr>
            <w:tcW w:w="168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Included in the balance sheet:</w:t>
            </w:r>
          </w:p>
        </w:tc>
        <w:tc>
          <w:tcPr>
            <w:tcW w:w="24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FF2FC"/>
          </w:tcPr>
          <w:p>
            <w:pPr>
              <w:ind w:left="120"/>
              <w:spacing w:after="0"/>
              <w:rPr>
                <w:sz w:val="20"/>
                <w:szCs w:val="20"/>
                <w:color w:val="auto"/>
              </w:rPr>
            </w:pPr>
            <w:r>
              <w:rPr>
                <w:rFonts w:ascii="Arial" w:cs="Arial" w:eastAsia="Arial" w:hAnsi="Arial"/>
                <w:sz w:val="18"/>
                <w:szCs w:val="18"/>
                <w:color w:val="auto"/>
              </w:rPr>
              <w:t>Current operating lease liabilities</w:t>
            </w:r>
          </w:p>
        </w:tc>
        <w:tc>
          <w:tcPr>
            <w:tcW w:w="2900" w:type="dxa"/>
            <w:vAlign w:val="bottom"/>
            <w:gridSpan w:val="2"/>
            <w:shd w:val="clear" w:color="auto" w:fill="CFF2FC"/>
          </w:tcPr>
          <w:p>
            <w:pPr>
              <w:jc w:val="right"/>
              <w:ind w:right="305"/>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FF2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20" w:type="dxa"/>
            <w:vAlign w:val="bottom"/>
            <w:tcBorders>
              <w:bottom w:val="single" w:sz="8" w:color="CFF2FC"/>
            </w:tcBorders>
            <w:gridSpan w:val="2"/>
          </w:tcPr>
          <w:p>
            <w:pPr>
              <w:ind w:left="120"/>
              <w:spacing w:after="0"/>
              <w:rPr>
                <w:sz w:val="20"/>
                <w:szCs w:val="20"/>
                <w:color w:val="auto"/>
              </w:rPr>
            </w:pPr>
            <w:r>
              <w:rPr>
                <w:rFonts w:ascii="Arial" w:cs="Arial" w:eastAsia="Arial" w:hAnsi="Arial"/>
                <w:sz w:val="18"/>
                <w:szCs w:val="18"/>
                <w:color w:val="auto"/>
              </w:rPr>
              <w:t>Operating lease liabilities, net of current portion</w:t>
            </w:r>
          </w:p>
        </w:tc>
        <w:tc>
          <w:tcPr>
            <w:tcW w:w="2440" w:type="dxa"/>
            <w:vAlign w:val="bottom"/>
            <w:tcBorders>
              <w:bottom w:val="single" w:sz="8" w:color="CFF2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FF2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FF2FC"/>
            </w:tcBorders>
            <w:gridSpan w:val="2"/>
            <w:shd w:val="clear" w:color="auto" w:fill="CFF2FC"/>
          </w:tcPr>
          <w:p>
            <w:pPr>
              <w:ind w:left="120"/>
              <w:spacing w:after="0"/>
              <w:rPr>
                <w:sz w:val="20"/>
                <w:szCs w:val="20"/>
                <w:color w:val="auto"/>
              </w:rPr>
            </w:pPr>
            <w:r>
              <w:rPr>
                <w:rFonts w:ascii="Arial" w:cs="Arial" w:eastAsia="Arial" w:hAnsi="Arial"/>
                <w:sz w:val="18"/>
                <w:szCs w:val="18"/>
                <w:color w:val="auto"/>
              </w:rPr>
              <w:t>Total operating lease liabilities</w:t>
            </w:r>
          </w:p>
        </w:tc>
        <w:tc>
          <w:tcPr>
            <w:tcW w:w="2440" w:type="dxa"/>
            <w:vAlign w:val="bottom"/>
            <w:tcBorders>
              <w:bottom w:val="single" w:sz="8" w:color="CFF2FC"/>
            </w:tcBorders>
            <w:shd w:val="clear" w:color="auto" w:fill="CFF2FC"/>
          </w:tcPr>
          <w:p>
            <w:pPr>
              <w:spacing w:after="0"/>
              <w:rPr>
                <w:sz w:val="19"/>
                <w:szCs w:val="19"/>
                <w:color w:val="auto"/>
              </w:rPr>
            </w:pPr>
          </w:p>
        </w:tc>
        <w:tc>
          <w:tcPr>
            <w:tcW w:w="460" w:type="dxa"/>
            <w:vAlign w:val="bottom"/>
            <w:tcBorders>
              <w:bottom w:val="single" w:sz="8" w:color="auto"/>
            </w:tcBorders>
            <w:shd w:val="clear" w:color="auto" w:fill="CFF2FC"/>
          </w:tcPr>
          <w:p>
            <w:pPr>
              <w:jc w:val="right"/>
              <w:ind w:right="305"/>
              <w:spacing w:after="0"/>
              <w:rPr>
                <w:sz w:val="20"/>
                <w:szCs w:val="20"/>
                <w:color w:val="auto"/>
              </w:rPr>
            </w:pPr>
            <w:r>
              <w:rPr>
                <w:rFonts w:ascii="Arial" w:cs="Arial" w:eastAsia="Arial" w:hAnsi="Arial"/>
                <w:sz w:val="15"/>
                <w:szCs w:val="15"/>
                <w:color w:val="auto"/>
                <w:w w:val="71"/>
              </w:rPr>
              <w:t>$</w:t>
            </w:r>
          </w:p>
        </w:tc>
        <w:tc>
          <w:tcPr>
            <w:tcW w:w="23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Borders>
              <w:bottom w:val="single" w:sz="8" w:color="CFF2FC"/>
            </w:tcBorders>
            <w:shd w:val="clear" w:color="auto" w:fill="CFF2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 xml:space="preserve">As previously disclosed in the Company’s 2019 Annual Report on Form 10-K and under the previous lease accounting standard, </w:t>
      </w:r>
      <w:r>
        <w:rPr>
          <w:rFonts w:ascii="Arial" w:cs="Arial" w:eastAsia="Arial" w:hAnsi="Arial"/>
          <w:sz w:val="17"/>
          <w:szCs w:val="17"/>
          <w:i w:val="1"/>
          <w:iCs w:val="1"/>
          <w:color w:val="auto"/>
        </w:rPr>
        <w:t>ASC 840, Leases,</w:t>
      </w:r>
      <w:r>
        <w:rPr>
          <w:rFonts w:ascii="Arial" w:cs="Arial" w:eastAsia="Arial" w:hAnsi="Arial"/>
          <w:sz w:val="17"/>
          <w:szCs w:val="17"/>
          <w:color w:val="auto"/>
        </w:rPr>
        <w:t xml:space="preserve"> the following table summarizes the future minimum lease payments due under the operating leases as of September 30, 2019:</w:t>
      </w:r>
    </w:p>
    <w:tbl>
      <w:tblPr>
        <w:tblLayout w:type="fixed"/>
        <w:tblInd w:w="0" w:type="dxa"/>
        <w:tblCellMar>
          <w:top w:w="0" w:type="dxa"/>
          <w:left w:w="0" w:type="dxa"/>
          <w:bottom w:w="0" w:type="dxa"/>
          <w:right w:w="0" w:type="dxa"/>
        </w:tblCellMar>
      </w:tblPr>
      <w:tr>
        <w:trPr>
          <w:trHeight w:val="140"/>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September 30,</w:t>
            </w:r>
          </w:p>
        </w:tc>
        <w:tc>
          <w:tcPr>
            <w:tcW w:w="1620" w:type="dxa"/>
            <w:vAlign w:val="bottom"/>
          </w:tcPr>
          <w:p>
            <w:pPr>
              <w:jc w:val="right"/>
              <w:ind w:right="99"/>
              <w:spacing w:after="0" w:line="139" w:lineRule="exact"/>
              <w:rPr>
                <w:sz w:val="20"/>
                <w:szCs w:val="20"/>
                <w:color w:val="auto"/>
              </w:rPr>
            </w:pPr>
            <w:r>
              <w:rPr>
                <w:rFonts w:ascii="Arial" w:cs="Arial" w:eastAsia="Arial" w:hAnsi="Arial"/>
                <w:sz w:val="14"/>
                <w:szCs w:val="14"/>
                <w:b w:val="1"/>
                <w:bCs w:val="1"/>
                <w:color w:val="auto"/>
              </w:rPr>
              <w:t>Operating</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65"/>
        </w:trPr>
        <w:tc>
          <w:tcPr>
            <w:tcW w:w="6820" w:type="dxa"/>
            <w:vAlign w:val="bottom"/>
            <w:gridSpan w:val="2"/>
            <w:vMerge w:val="continue"/>
          </w:tcPr>
          <w:p>
            <w:pPr>
              <w:spacing w:after="0"/>
              <w:rPr>
                <w:sz w:val="14"/>
                <w:szCs w:val="14"/>
                <w:color w:val="auto"/>
              </w:rPr>
            </w:pPr>
          </w:p>
        </w:tc>
        <w:tc>
          <w:tcPr>
            <w:tcW w:w="162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Leases</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62"/>
        </w:trPr>
        <w:tc>
          <w:tcPr>
            <w:tcW w:w="1700" w:type="dxa"/>
            <w:vAlign w:val="bottom"/>
            <w:tcBorders>
              <w:top w:val="single" w:sz="8" w:color="auto"/>
            </w:tcBorders>
          </w:tcPr>
          <w:p>
            <w:pPr>
              <w:spacing w:after="0"/>
              <w:rPr>
                <w:sz w:val="14"/>
                <w:szCs w:val="14"/>
                <w:color w:val="auto"/>
              </w:rPr>
            </w:pPr>
          </w:p>
        </w:tc>
        <w:tc>
          <w:tcPr>
            <w:tcW w:w="5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FF2FC"/>
          </w:tcPr>
          <w:p>
            <w:pPr>
              <w:ind w:left="260"/>
              <w:spacing w:after="0"/>
              <w:rPr>
                <w:sz w:val="20"/>
                <w:szCs w:val="20"/>
                <w:color w:val="auto"/>
              </w:rPr>
            </w:pPr>
            <w:r>
              <w:rPr>
                <w:rFonts w:ascii="Arial" w:cs="Arial" w:eastAsia="Arial" w:hAnsi="Arial"/>
                <w:sz w:val="18"/>
                <w:szCs w:val="18"/>
                <w:color w:val="auto"/>
              </w:rPr>
              <w:t>2020</w:t>
            </w:r>
          </w:p>
        </w:tc>
        <w:tc>
          <w:tcPr>
            <w:tcW w:w="5120" w:type="dxa"/>
            <w:vAlign w:val="bottom"/>
            <w:shd w:val="clear" w:color="auto" w:fill="CFF2FC"/>
          </w:tcPr>
          <w:p>
            <w:pPr>
              <w:spacing w:after="0"/>
              <w:rPr>
                <w:sz w:val="19"/>
                <w:szCs w:val="19"/>
                <w:color w:val="auto"/>
              </w:rPr>
            </w:pPr>
          </w:p>
        </w:tc>
        <w:tc>
          <w:tcPr>
            <w:tcW w:w="1620" w:type="dxa"/>
            <w:vAlign w:val="bottom"/>
            <w:shd w:val="clear" w:color="auto" w:fill="CFF2FC"/>
          </w:tcPr>
          <w:p>
            <w:pPr>
              <w:jc w:val="right"/>
              <w:ind w:right="143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2,728</w:t>
            </w:r>
          </w:p>
        </w:tc>
        <w:tc>
          <w:tcPr>
            <w:tcW w:w="480" w:type="dxa"/>
            <w:vAlign w:val="bottom"/>
            <w:shd w:val="clear" w:color="auto" w:fill="CFF2FC"/>
          </w:tcPr>
          <w:p>
            <w:pPr>
              <w:spacing w:after="0"/>
              <w:rPr>
                <w:sz w:val="19"/>
                <w:szCs w:val="19"/>
                <w:color w:val="auto"/>
              </w:rPr>
            </w:pPr>
          </w:p>
        </w:tc>
        <w:tc>
          <w:tcPr>
            <w:tcW w:w="420" w:type="dxa"/>
            <w:vAlign w:val="bottom"/>
            <w:gridSpan w:val="2"/>
            <w:shd w:val="clear" w:color="auto" w:fill="CFF2FC"/>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60"/>
              <w:spacing w:after="0"/>
              <w:rPr>
                <w:sz w:val="20"/>
                <w:szCs w:val="20"/>
                <w:color w:val="auto"/>
              </w:rPr>
            </w:pPr>
            <w:r>
              <w:rPr>
                <w:rFonts w:ascii="Arial" w:cs="Arial" w:eastAsia="Arial" w:hAnsi="Arial"/>
                <w:sz w:val="18"/>
                <w:szCs w:val="18"/>
                <w:color w:val="auto"/>
              </w:rPr>
              <w:t>2021</w:t>
            </w:r>
          </w:p>
        </w:tc>
        <w:tc>
          <w:tcPr>
            <w:tcW w:w="5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FF2FC"/>
          </w:tcPr>
          <w:p>
            <w:pPr>
              <w:ind w:left="260"/>
              <w:spacing w:after="0"/>
              <w:rPr>
                <w:sz w:val="20"/>
                <w:szCs w:val="20"/>
                <w:color w:val="auto"/>
              </w:rPr>
            </w:pPr>
            <w:r>
              <w:rPr>
                <w:rFonts w:ascii="Arial" w:cs="Arial" w:eastAsia="Arial" w:hAnsi="Arial"/>
                <w:sz w:val="18"/>
                <w:szCs w:val="18"/>
                <w:color w:val="auto"/>
              </w:rPr>
              <w:t>2022</w:t>
            </w:r>
          </w:p>
        </w:tc>
        <w:tc>
          <w:tcPr>
            <w:tcW w:w="5120" w:type="dxa"/>
            <w:vAlign w:val="bottom"/>
            <w:shd w:val="clear" w:color="auto" w:fill="CFF2FC"/>
          </w:tcPr>
          <w:p>
            <w:pPr>
              <w:spacing w:after="0"/>
              <w:rPr>
                <w:sz w:val="19"/>
                <w:szCs w:val="19"/>
                <w:color w:val="auto"/>
              </w:rPr>
            </w:pPr>
          </w:p>
        </w:tc>
        <w:tc>
          <w:tcPr>
            <w:tcW w:w="1620" w:type="dxa"/>
            <w:vAlign w:val="bottom"/>
            <w:shd w:val="clear" w:color="auto" w:fill="CFF2FC"/>
          </w:tcPr>
          <w:p>
            <w:pPr>
              <w:spacing w:after="0"/>
              <w:rPr>
                <w:sz w:val="19"/>
                <w:szCs w:val="19"/>
                <w:color w:val="auto"/>
              </w:rPr>
            </w:pPr>
          </w:p>
        </w:tc>
        <w:tc>
          <w:tcPr>
            <w:tcW w:w="6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2,684</w:t>
            </w:r>
          </w:p>
        </w:tc>
        <w:tc>
          <w:tcPr>
            <w:tcW w:w="48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13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60"/>
              <w:spacing w:after="0"/>
              <w:rPr>
                <w:sz w:val="20"/>
                <w:szCs w:val="20"/>
                <w:color w:val="auto"/>
              </w:rPr>
            </w:pPr>
            <w:r>
              <w:rPr>
                <w:rFonts w:ascii="Arial" w:cs="Arial" w:eastAsia="Arial" w:hAnsi="Arial"/>
                <w:sz w:val="18"/>
                <w:szCs w:val="18"/>
                <w:color w:val="auto"/>
              </w:rPr>
              <w:t>2023</w:t>
            </w:r>
          </w:p>
        </w:tc>
        <w:tc>
          <w:tcPr>
            <w:tcW w:w="5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shd w:val="clear" w:color="auto" w:fill="CFF2FC"/>
          </w:tcPr>
          <w:p>
            <w:pPr>
              <w:ind w:left="260"/>
              <w:spacing w:after="0"/>
              <w:rPr>
                <w:sz w:val="20"/>
                <w:szCs w:val="20"/>
                <w:color w:val="auto"/>
              </w:rPr>
            </w:pPr>
            <w:r>
              <w:rPr>
                <w:rFonts w:ascii="Arial" w:cs="Arial" w:eastAsia="Arial" w:hAnsi="Arial"/>
                <w:sz w:val="18"/>
                <w:szCs w:val="18"/>
                <w:color w:val="auto"/>
              </w:rPr>
              <w:t>2024</w:t>
            </w:r>
          </w:p>
        </w:tc>
        <w:tc>
          <w:tcPr>
            <w:tcW w:w="5120" w:type="dxa"/>
            <w:vAlign w:val="bottom"/>
            <w:shd w:val="clear" w:color="auto" w:fill="CFF2FC"/>
          </w:tcPr>
          <w:p>
            <w:pPr>
              <w:spacing w:after="0"/>
              <w:rPr>
                <w:sz w:val="19"/>
                <w:szCs w:val="19"/>
                <w:color w:val="auto"/>
              </w:rPr>
            </w:pPr>
          </w:p>
        </w:tc>
        <w:tc>
          <w:tcPr>
            <w:tcW w:w="1620" w:type="dxa"/>
            <w:vAlign w:val="bottom"/>
            <w:shd w:val="clear" w:color="auto" w:fill="CFF2FC"/>
          </w:tcPr>
          <w:p>
            <w:pPr>
              <w:spacing w:after="0"/>
              <w:rPr>
                <w:sz w:val="19"/>
                <w:szCs w:val="19"/>
                <w:color w:val="auto"/>
              </w:rPr>
            </w:pPr>
          </w:p>
        </w:tc>
        <w:tc>
          <w:tcPr>
            <w:tcW w:w="6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519</w:t>
            </w:r>
          </w:p>
        </w:tc>
        <w:tc>
          <w:tcPr>
            <w:tcW w:w="48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1440" w:type="dxa"/>
            <w:vAlign w:val="bottom"/>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60"/>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Borders>
              <w:top w:val="single" w:sz="8" w:color="CFF2FC"/>
              <w:bottom w:val="single" w:sz="8" w:color="CFF2FC"/>
            </w:tcBorders>
            <w:gridSpan w:val="2"/>
            <w:shd w:val="clear" w:color="auto" w:fill="CFF2FC"/>
          </w:tcPr>
          <w:p>
            <w:pPr>
              <w:ind w:left="26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shd w:val="clear" w:color="auto" w:fill="CFF2FC"/>
          </w:tcPr>
          <w:p>
            <w:pPr>
              <w:jc w:val="right"/>
              <w:ind w:right="14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9,342</w:t>
            </w:r>
          </w:p>
        </w:tc>
        <w:tc>
          <w:tcPr>
            <w:tcW w:w="480" w:type="dxa"/>
            <w:vAlign w:val="bottom"/>
            <w:tcBorders>
              <w:top w:val="single" w:sz="8" w:color="CFF2FC"/>
              <w:bottom w:val="single" w:sz="8" w:color="CFF2FC"/>
            </w:tcBorders>
            <w:shd w:val="clear" w:color="auto" w:fill="CFF2FC"/>
          </w:tcPr>
          <w:p>
            <w:pPr>
              <w:spacing w:after="0"/>
              <w:rPr>
                <w:sz w:val="19"/>
                <w:szCs w:val="19"/>
                <w:color w:val="auto"/>
              </w:rPr>
            </w:pPr>
          </w:p>
        </w:tc>
        <w:tc>
          <w:tcPr>
            <w:tcW w:w="80" w:type="dxa"/>
            <w:vAlign w:val="bottom"/>
            <w:tcBorders>
              <w:top w:val="single" w:sz="8" w:color="CFF2FC"/>
              <w:bottom w:val="single" w:sz="8" w:color="CFF2FC"/>
            </w:tcBorders>
            <w:shd w:val="clear" w:color="auto" w:fill="CFF2FC"/>
          </w:tcPr>
          <w:p>
            <w:pPr>
              <w:spacing w:after="0"/>
              <w:rPr>
                <w:sz w:val="19"/>
                <w:szCs w:val="19"/>
                <w:color w:val="auto"/>
              </w:rPr>
            </w:pPr>
          </w:p>
        </w:tc>
        <w:tc>
          <w:tcPr>
            <w:tcW w:w="340" w:type="dxa"/>
            <w:vAlign w:val="bottom"/>
            <w:tcBorders>
              <w:top w:val="single" w:sz="8" w:color="auto"/>
              <w:bottom w:val="single" w:sz="8" w:color="auto"/>
            </w:tcBorders>
            <w:shd w:val="clear" w:color="auto" w:fill="CFF2FC"/>
          </w:tcPr>
          <w:p>
            <w:pPr>
              <w:jc w:val="right"/>
              <w:ind w:right="1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one of the real estate leases, the Company has a total outstanding letter of credit in the amount of $608 as of December 31, 2019 and September 30, 2019, collateralized by a money market account. As of December 31, 2019 and September 30, 2019, the Company classified the $608 related to the money market account as long-term restricted cash.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 w:name="page17"/>
    <w:bookmarkEnd w:id="16"/>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2019.</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7" w:name="page18"/>
    <w:bookmarkEnd w:id="1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2019 included in our Annual Report on Form 10-K for that fiscal year which is referred to as our 2019 Form 10-K. Please refer to our note regarding forward-looking statements on page 2 of this Form 10-Q, which is incorporated herein by this reference.</w:t>
      </w:r>
    </w:p>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direct-acting antiviral (DAA) combination treatment for HCV and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 (ex-U.S.) (glecaprevir/pibrentasvir). Our royalties from our AbbVie collaboration and, to the extent necessary, our existing financial resources, provide us funding to support our wholly-owned research and development programs, which are primarily focused on the following disease targets with the following compounds in clinical development, all of which have been granted Fast Track designation by the U.S. Food and Drug Administration (FDA):</w:t>
      </w:r>
    </w:p>
    <w:p>
      <w:pPr>
        <w:spacing w:after="0" w:line="70" w:lineRule="exact"/>
        <w:rPr>
          <w:sz w:val="20"/>
          <w:szCs w:val="20"/>
          <w:color w:val="auto"/>
        </w:rPr>
      </w:pPr>
    </w:p>
    <w:p>
      <w:pPr>
        <w:ind w:left="1040" w:right="2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EDP-938, for respiratory syncytial virus, or RSV, infection,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78"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EDP-305, for non-alcoholic steatohepatitis, or NASH, a liver disease estimated to affect approximately 1.5% to 6.5% of the population in the developed world (which translates to approximately 5 to 20 million individuals in the U.S. alone);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EDP-514, for hepatitis B virus, or HBV, the most prevalent chronic hepatitis, which is estimated to affect approximately 250 million individuals worldwide.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had $414.7 million in cash and marketable securities at December 31, 2019. We expect cash flows from continuing royalties on our HCV products and, to the extent necessary, our existing financial resources, will allow us to continue to fund our wholly owned research and development programs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wholly-owned research and development programs are in virology, namely RSV, HBV and human metapneumovirus, or hMPV, and in liver disease (non-viral), namely NASH and PBC:</w:t>
      </w:r>
    </w:p>
    <w:p>
      <w:pPr>
        <w:spacing w:after="0" w:line="62" w:lineRule="exact"/>
        <w:rPr>
          <w:sz w:val="20"/>
          <w:szCs w:val="20"/>
          <w:color w:val="auto"/>
        </w:rPr>
      </w:pPr>
    </w:p>
    <w:p>
      <w:pPr>
        <w:ind w:left="1040" w:right="3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RSV and hMPV:</w:t>
      </w:r>
      <w:r>
        <w:rPr>
          <w:rFonts w:ascii="Arial" w:cs="Arial" w:eastAsia="Arial" w:hAnsi="Arial"/>
          <w:sz w:val="18"/>
          <w:szCs w:val="18"/>
          <w:color w:val="auto"/>
        </w:rPr>
        <w:t xml:space="preserve"> We have a clinical stage program for RSV, for which the lead asset is EDP-938, and we have recently launched discovery efforts in hMPV, a virus that causes respiratory infection with symptoms similar to RSV.</w:t>
      </w:r>
    </w:p>
    <w:p>
      <w:pPr>
        <w:spacing w:after="0" w:line="62" w:lineRule="exact"/>
        <w:rPr>
          <w:rFonts w:ascii="Arial" w:cs="Arial" w:eastAsia="Arial" w:hAnsi="Arial"/>
          <w:sz w:val="18"/>
          <w:szCs w:val="18"/>
          <w:color w:val="auto"/>
        </w:rPr>
      </w:pPr>
    </w:p>
    <w:p>
      <w:pPr>
        <w:ind w:left="1040" w:right="140"/>
        <w:spacing w:after="0" w:line="308" w:lineRule="auto"/>
        <w:rPr>
          <w:rFonts w:ascii="Arial" w:cs="Arial" w:eastAsia="Arial" w:hAnsi="Arial"/>
          <w:sz w:val="18"/>
          <w:szCs w:val="18"/>
          <w:color w:val="auto"/>
        </w:rPr>
      </w:pPr>
      <w:r>
        <w:rPr>
          <w:rFonts w:ascii="Arial" w:cs="Arial" w:eastAsia="Arial" w:hAnsi="Arial"/>
          <w:sz w:val="17"/>
          <w:szCs w:val="17"/>
          <w:color w:val="auto"/>
        </w:rPr>
        <w:t>We discovered EDP-938, a potent N-protein inhibitor of activity of both major subgroups of RSV, referred to as RSV-A and RSV-B, and have been investigating it as our first clinical candidate for RSV. EDP-938 is the only N-protein inhibitor in clinical development.</w:t>
      </w:r>
    </w:p>
    <w:p>
      <w:pPr>
        <w:spacing w:after="0" w:line="38" w:lineRule="exact"/>
        <w:rPr>
          <w:rFonts w:ascii="Arial" w:cs="Arial" w:eastAsia="Arial" w:hAnsi="Arial"/>
          <w:sz w:val="18"/>
          <w:szCs w:val="18"/>
          <w:color w:val="auto"/>
        </w:rPr>
      </w:pPr>
    </w:p>
    <w:p>
      <w:pPr>
        <w:ind w:left="1540" w:right="28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June 2019, we announced positive topline results from our Phase 2a human challenge study of EDP-938 in healthy adults infected with a specific strain of RSV.</w:t>
      </w:r>
    </w:p>
    <w:p>
      <w:pPr>
        <w:spacing w:after="0" w:line="62" w:lineRule="exact"/>
        <w:rPr>
          <w:rFonts w:ascii="Arial" w:cs="Arial" w:eastAsia="Arial" w:hAnsi="Arial"/>
          <w:sz w:val="18"/>
          <w:szCs w:val="18"/>
          <w:color w:val="auto"/>
        </w:rPr>
      </w:pPr>
    </w:p>
    <w:p>
      <w:pPr>
        <w:jc w:val="both"/>
        <w:ind w:left="1540" w:right="100" w:hanging="513"/>
        <w:spacing w:after="0" w:line="30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In November 2019, we initiated our first Phase 2b study of EDP-938, which is in adult outpatients with community-acquired RSV infection. This study, named RSVP, is designed to help us better understand the feasibility of this direct-acting antiviral (DAA) therapy. Due to the apparent peak of the RSV season being early in North America this winter, we are now planning to continue the study in the southern hemisphere later in the year and enrollment in all sites through 2020, with the goal of having data in the first half of 2021.</w:t>
      </w:r>
    </w:p>
    <w:p>
      <w:pPr>
        <w:spacing w:after="0" w:line="46" w:lineRule="exact"/>
        <w:rPr>
          <w:rFonts w:ascii="Arial" w:cs="Arial" w:eastAsia="Arial" w:hAnsi="Arial"/>
          <w:sz w:val="18"/>
          <w:szCs w:val="18"/>
          <w:color w:val="auto"/>
        </w:rPr>
      </w:pPr>
    </w:p>
    <w:p>
      <w:pPr>
        <w:ind w:left="1540" w:right="3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Concurrent with the RSVP study, we are also planning to initiate two additional studies by the end of calendar 2020, one in pediatric patients and one in an immune-compromised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-1939925</wp:posOffset>
            </wp:positionV>
            <wp:extent cx="557403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12890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left="1040" w:right="180"/>
        <w:spacing w:after="0" w:line="277" w:lineRule="auto"/>
        <w:rPr>
          <w:sz w:val="20"/>
          <w:szCs w:val="20"/>
          <w:color w:val="auto"/>
        </w:rPr>
      </w:pPr>
      <w:r>
        <w:rPr>
          <w:rFonts w:ascii="Arial" w:cs="Arial" w:eastAsia="Arial" w:hAnsi="Arial"/>
          <w:sz w:val="18"/>
          <w:szCs w:val="18"/>
          <w:color w:val="auto"/>
        </w:rPr>
        <w:t>Since announcing our new drug discovery program for hMPV in January 2020, we are currently optimizing nanomolar inhibitor leads against this virus.</w:t>
      </w:r>
    </w:p>
    <w:p>
      <w:pPr>
        <w:spacing w:after="0" w:line="62" w:lineRule="exact"/>
        <w:rPr>
          <w:sz w:val="20"/>
          <w:szCs w:val="20"/>
          <w:color w:val="auto"/>
        </w:rPr>
      </w:pPr>
    </w:p>
    <w:p>
      <w:pPr>
        <w:ind w:left="1040" w:right="140" w:hanging="519"/>
        <w:spacing w:after="0" w:line="273"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NASH and PBC:</w:t>
      </w:r>
      <w:r>
        <w:rPr>
          <w:rFonts w:ascii="Arial" w:cs="Arial" w:eastAsia="Arial" w:hAnsi="Arial"/>
          <w:sz w:val="17"/>
          <w:szCs w:val="17"/>
          <w:color w:val="auto"/>
        </w:rPr>
        <w:t xml:space="preserve"> We are working on compounds, referred to as FXR agonists, that selectively bind to and activate the farnesoid X receptor, or FXR. FXR agonists have shown efficacy in NASH and we believe that this mechanism has promise as an important component in potential combination therapies for NASH. We have EDP-305 ready for a Phase 2b study and we have identified a follow-on compound, EDP-297, to initiate clinical development in mid-calendar 2020. We plan to develop at least one of these compounds primarily for use in combination treatments of NASH, a liver disease with very few therapeutic options. Our lead FXR agonist, EDP-305, represents a class of FXR agonists designed to take advantage of increased binding interactions with this receptor.</w:t>
      </w:r>
    </w:p>
    <w:p>
      <w:pPr>
        <w:spacing w:after="0" w:line="70" w:lineRule="exact"/>
        <w:rPr>
          <w:rFonts w:ascii="Arial" w:cs="Arial" w:eastAsia="Arial" w:hAnsi="Arial"/>
          <w:sz w:val="17"/>
          <w:szCs w:val="17"/>
          <w:color w:val="auto"/>
        </w:rPr>
      </w:pPr>
    </w:p>
    <w:p>
      <w:pPr>
        <w:ind w:left="1540" w:right="160" w:hanging="513"/>
        <w:spacing w:after="0" w:line="259"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By early in the second quarter of calendar 2020, we plan to initiate dosing in a 72-week Phase 2b study, named ARGON-2, with histological endpoints, including fibrosis in biopsy-confirmed NASH patients treated with EDP-305 or placebo. The study will include an interim analysis to enhance our ability to seek opportunities more quickly for development of EDP-305 in combinations with other mechanisms for NASH.</w:t>
      </w:r>
    </w:p>
    <w:p>
      <w:pPr>
        <w:spacing w:after="0" w:line="76"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Next, we expect to initiate Phase 1 development in mid-calendar 2020 of EDP-297 as our follow-on FXR development candidate.</w:t>
      </w:r>
    </w:p>
    <w:p>
      <w:pPr>
        <w:spacing w:after="0" w:line="122" w:lineRule="exact"/>
        <w:rPr>
          <w:rFonts w:ascii="Arial" w:cs="Arial" w:eastAsia="Arial" w:hAnsi="Arial"/>
          <w:sz w:val="17"/>
          <w:szCs w:val="17"/>
          <w:color w:val="auto"/>
        </w:rPr>
      </w:pPr>
    </w:p>
    <w:p>
      <w:pPr>
        <w:ind w:left="1540" w:right="100" w:hanging="513"/>
        <w:spacing w:after="0" w:line="277"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addition, we have been pursuing research in other mechanisms that may provide therapeutic benefit in NASH, any of which could be used in combination with an FXR agonist or other therapies for NASH.</w:t>
      </w:r>
    </w:p>
    <w:p>
      <w:pPr>
        <w:spacing w:after="0" w:line="62" w:lineRule="exact"/>
        <w:rPr>
          <w:rFonts w:ascii="Arial" w:cs="Arial" w:eastAsia="Arial" w:hAnsi="Arial"/>
          <w:sz w:val="17"/>
          <w:szCs w:val="17"/>
          <w:color w:val="auto"/>
        </w:rPr>
      </w:pPr>
    </w:p>
    <w:p>
      <w:pPr>
        <w:ind w:left="1540" w:right="20" w:hanging="513"/>
        <w:spacing w:after="0" w:line="342"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We also have an ongoing Phase 2a study, named INTREPID, to assess the safety, tolerability, pharmacokinetics and efficacy of EDP-305 in subjects with primary biliary cholangitis, or PBC. We expect to have data from this study in the second quarter of calendar 2020.</w:t>
      </w:r>
    </w:p>
    <w:p>
      <w:pPr>
        <w:spacing w:after="0" w:line="15"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In July 2019, we announced initiation of a Phase 1a/1b clinical study of EDP-514, our lead core inhibitor for the treatment of hepatitis B virus (HBV).</w:t>
      </w:r>
    </w:p>
    <w:p>
      <w:pPr>
        <w:spacing w:after="0" w:line="278" w:lineRule="exact"/>
        <w:rPr>
          <w:rFonts w:ascii="Arial" w:cs="Arial" w:eastAsia="Arial" w:hAnsi="Arial"/>
          <w:sz w:val="18"/>
          <w:szCs w:val="18"/>
          <w:color w:val="auto"/>
        </w:rPr>
      </w:pPr>
    </w:p>
    <w:p>
      <w:pPr>
        <w:jc w:val="both"/>
        <w:ind w:left="1540" w:hanging="513"/>
        <w:spacing w:after="0" w:line="259"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The randomized, double-blind, placebo-controlled Phase 1a/1b study is designed to evaluate first the safety, tolerability and pharmacokinetics (PK) of single ascending doses (SAD) and multiple ascending doses (MAD) of EDP-514 in healthy subjects, and then the antiviral activity of EDP-514 in patients with chronic HBV infection that is being suppressed with nucleos(t)ide-reverse-transcriptase treatment, whom we refer to as nuc-suppressed patients.</w:t>
      </w:r>
    </w:p>
    <w:p>
      <w:pPr>
        <w:spacing w:after="0" w:line="78" w:lineRule="exact"/>
        <w:rPr>
          <w:rFonts w:ascii="Arial" w:cs="Arial" w:eastAsia="Arial" w:hAnsi="Arial"/>
          <w:sz w:val="18"/>
          <w:szCs w:val="18"/>
          <w:color w:val="auto"/>
        </w:rPr>
      </w:pPr>
    </w:p>
    <w:p>
      <w:pPr>
        <w:ind w:left="1540" w:right="200" w:hanging="513"/>
        <w:spacing w:after="0" w:line="30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The SAD and MAD part of the study (Part 1) has been completed successfully. Overall, EDP-514 demonstrated a favorable safety profile in healthy subjects for up to 14 days and was well tolerated with all treatment emergent adverse events being mild in intensity and with no discontinuations due to adverse events. Further, there were no significant individual laboratory data findings or pattern of abnormalities and EDP-514’s pharmacokinetic profile demonstrated good blood levels that support once-daily dosing.</w:t>
      </w:r>
    </w:p>
    <w:p>
      <w:pPr>
        <w:spacing w:after="0" w:line="44"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Based on these results, we have initiated Part 2 of the study to evaluate EDP-514 in nuc-suppressed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-4234815</wp:posOffset>
            </wp:positionV>
            <wp:extent cx="572008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20080" cy="128905"/>
                    </a:xfrm>
                    <a:prstGeom prst="rect">
                      <a:avLst/>
                    </a:prstGeom>
                    <a:noFill/>
                  </pic:spPr>
                </pic:pic>
              </a:graphicData>
            </a:graphic>
          </wp:anchor>
        </w:drawing>
      </w:r>
    </w:p>
    <w:p>
      <w:pPr>
        <w:spacing w:after="0" w:line="102" w:lineRule="exact"/>
        <w:rPr>
          <w:sz w:val="20"/>
          <w:szCs w:val="20"/>
          <w:color w:val="auto"/>
        </w:rPr>
      </w:pPr>
    </w:p>
    <w:p>
      <w:pPr>
        <w:ind w:left="1540" w:right="100" w:hanging="506"/>
        <w:spacing w:after="0" w:line="289" w:lineRule="auto"/>
        <w:tabs>
          <w:tab w:leader="none" w:pos="154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We are also planning to initiate in the second quarter of calendar 2020 a separate Phase 1b study in patients with chronic HBV infection who are not on HBV therapy and have high levels of virus in their blood, whom we refer to as viremic patients.</w:t>
      </w:r>
    </w:p>
    <w:p>
      <w:pPr>
        <w:spacing w:after="0" w:line="5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Out-Licensed Products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Through our Collaborative Development and License Agreement with AbbVie, we have discovered and out-licensed to AbbVie two protease inhibitor compounds that have been clinically tested, manufactured, and commercialized by AbbVie as part of its combination regimens for HCV. We have earned all $330.0 million milestone payments under the agreement related to clinical development and commercialization regulatory approvals of these regimens in major markets.</w:t>
      </w:r>
    </w:p>
    <w:p>
      <w:pPr>
        <w:spacing w:after="0" w:line="79" w:lineRule="exact"/>
        <w:rPr>
          <w:sz w:val="20"/>
          <w:szCs w:val="20"/>
          <w:color w:val="auto"/>
        </w:rPr>
      </w:pPr>
    </w:p>
    <w:p>
      <w:pPr>
        <w:ind w:left="1040" w:right="20" w:hanging="519"/>
        <w:spacing w:after="0" w:line="293"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Glecaprevir is the protease inhibitor we discovered that was developed by AbbVie in a fixed-dose combination with its NS5A inhibitor, pibrentasvir, for the treatment of HCV. This combination, currently marketed under the brand names MAVYRET</w:t>
      </w:r>
      <w:r>
        <w:rPr>
          <w:rFonts w:ascii="Arial" w:cs="Arial" w:eastAsia="Arial" w:hAnsi="Arial"/>
          <w:sz w:val="13"/>
          <w:szCs w:val="13"/>
          <w:color w:val="auto"/>
        </w:rPr>
        <w:t>®</w:t>
      </w:r>
      <w:r>
        <w:rPr>
          <w:rFonts w:ascii="Arial" w:cs="Arial" w:eastAsia="Arial" w:hAnsi="Arial"/>
          <w:sz w:val="16"/>
          <w:szCs w:val="16"/>
          <w:color w:val="auto"/>
        </w:rPr>
        <w:t xml:space="preserve"> (U.S.) and MAVIRET™ (ex-U.S.) is referred to in this report as MAVYRET/MAVIRET. This regimen is a novel, once daily, all 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developed country markets, and MAVYRET/MAVIRET remains the only 8-week pangenotypic HCV treatment.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1040" w:right="40" w:hanging="519"/>
        <w:spacing w:after="0" w:line="30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regimens, and the annual royalty tiers return to the lowest tier for sales on and after each January 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6174740" cy="510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740" cy="510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currently funding all research and development for our wholly-owned programs, which are targeted towards the discovery and development of novel compounds for the treatment of viral infections and liver diseases. In calendar 2020 we are continuing enrollment in our Phase 2b study of EDP-938 in adult out-patients with RSV and plan to initiate additional Phase 2 RSV studies in the fourth quarter, one in a pediatric patient population and a second in transplant patients. In the first quarter we announced data from our Phase 1 study of EDP-514 in healthy volunteers, we initiated a Phase 1b study in patients with chronic HBV infection that is suppressed by nucleos(t)ide-reverse-transcriptase treatment (nuc-suppressed), and we plan to initiate a separate Phase 1b study of EDP-514 in chronic HBV patients who are not on HBV therapy. We also plan to initiate our ARGON-2 study of EDP-305 in NASH patients by early in the second quarter of calendar 2020, as well as a Phase 1 study of EDP-297, our FXR follow-on development candidate</w:t>
      </w:r>
      <w:r>
        <w:rPr>
          <w:rFonts w:ascii="Arial" w:cs="Arial" w:eastAsia="Arial" w:hAnsi="Arial"/>
          <w:sz w:val="17"/>
          <w:szCs w:val="17"/>
          <w:b w:val="1"/>
          <w:bCs w:val="1"/>
          <w:color w:val="auto"/>
        </w:rPr>
        <w:t>,</w:t>
      </w:r>
      <w:r>
        <w:rPr>
          <w:rFonts w:ascii="Arial" w:cs="Arial" w:eastAsia="Arial" w:hAnsi="Arial"/>
          <w:sz w:val="17"/>
          <w:szCs w:val="17"/>
          <w:color w:val="auto"/>
        </w:rPr>
        <w:t xml:space="preserve"> in mid-calendar 2020. As a result of our clinical development program as well as efforts to advance other compounds into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preclinical development, we expect to incur greater expenses in fiscal 2020 than in 2019 as we continue to advance our RSV, NASH and HBV programs.</w:t>
      </w:r>
    </w:p>
    <w:p>
      <w:pPr>
        <w:spacing w:after="0" w:line="14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are funding our operations primarily through payments received under our collaboration agreement with AbbVie and, to the extent necessary, our existing cash, cash equivalents, and short-term and long-term marketable securities. Our revenue is currently dependent on royalty payments we receive from AbbVie on its sales of MAVYRET/MAVIRET. AbbVie has guided that it expects its calendar 2020 HCV sales will be approximately $2.5 billion.</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Given the uncertainty regarding the level of AbbVie’s future MAVYRET/MAVIRET sales that will generate our royalty revenue, as well as the development risks affecting the extent and timing of our future expenditures for the advancement of our internally developed compounds, it is uncertain whether we will continue to report net income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revenue consists of royalties received under our collaboration agreement with AbbVie, substantially all of which are now derived from sales of MAVYRET/MAVIRET. Under the terms of our AbbVie agreement, as amended in October 2014, we earn annually tiered, double-digit royalties on the 50% of AbbVie’s net sales of MAVYRET/MAVIRET allocated to glecaprevir. Beginning with each January 1, the cumulative net sales of each royalty-bearing product start at zero for purposes of calculating the tiered royalties on a product-by-product basis.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expect all of our revenue in fiscal 2020 to be generated from royalties received under our collaboration agreement with AbbVie. There are no further milestones expected to be earned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months ended December 31, 2019 and 2018:</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32,778</w:t>
            </w:r>
          </w:p>
        </w:tc>
        <w:tc>
          <w:tcPr>
            <w:tcW w:w="8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34,878</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3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39,699</w:t>
            </w:r>
          </w:p>
        </w:tc>
        <w:tc>
          <w:tcPr>
            <w:tcW w:w="3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3" w:lineRule="exact"/>
        <w:rPr>
          <w:sz w:val="20"/>
          <w:szCs w:val="20"/>
          <w:color w:val="auto"/>
        </w:rPr>
      </w:pPr>
    </w:p>
    <w:p>
      <w:pPr>
        <w:ind w:left="1040" w:right="9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personnel costs, including salaries, related benefits and stock-based compensation for employees engaged in scientific research and development functions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ind w:right="160"/>
        <w:spacing w:after="0" w:line="277" w:lineRule="auto"/>
        <w:rPr>
          <w:sz w:val="20"/>
          <w:szCs w:val="20"/>
          <w:color w:val="auto"/>
        </w:rPr>
      </w:pPr>
      <w:r>
        <w:rPr>
          <w:rFonts w:ascii="Arial" w:cs="Arial" w:eastAsia="Arial" w:hAnsi="Arial"/>
          <w:sz w:val="18"/>
          <w:szCs w:val="18"/>
          <w:color w:val="auto"/>
        </w:rPr>
        <w:t>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Other income (expense), net consists of interest income, interest expense and the change in fair value of our outstanding Series 1 nonconvertible preferred stock. Interest income consists of interest earned on our cash equivalents and short-term and long-term marketable securities balances as well as interest earned for any refunds received from tax authorities.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 (expense) benefit is based on our best estimate of applicable income tax rates, net research and development tax credits and deferred income taxes, for the entire fiscal year applied to pre-tax profit or loss reported for the year-to-date period, except when a reliable estimate of the annual effective tax rate cannot be made and we instead use the year-to-date effective tax 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2019 and 2018</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3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left="43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52,570</w:t>
            </w:r>
          </w:p>
        </w:tc>
        <w:tc>
          <w:tcPr>
            <w:tcW w:w="5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69,886</w:t>
            </w:r>
          </w:p>
        </w:tc>
        <w:tc>
          <w:tcPr>
            <w:tcW w:w="8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32,778</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34,878</w:t>
            </w:r>
          </w:p>
        </w:tc>
        <w:tc>
          <w:tcPr>
            <w:tcW w:w="8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6,921</w:t>
            </w:r>
          </w:p>
        </w:tc>
        <w:tc>
          <w:tcPr>
            <w:tcW w:w="5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8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2,076</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shd w:val="clear" w:color="auto" w:fill="CFF0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(1,504)</w:t>
            </w:r>
          </w:p>
        </w:tc>
        <w:tc>
          <w:tcPr>
            <w:tcW w:w="5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Our collaboration’s MAVYRET/MAVIRET regimen, a pan-genotypic treatment combining two DAAs, began commercialization in the third calendar quarter of 2017, following its approval in the EU and the U.S.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2" w:name="page23"/>
    <w:bookmarkEnd w:id="22"/>
    <w:p>
      <w:pPr>
        <w:ind w:right="360"/>
        <w:spacing w:after="0" w:line="277" w:lineRule="auto"/>
        <w:rPr>
          <w:sz w:val="20"/>
          <w:szCs w:val="20"/>
          <w:color w:val="auto"/>
        </w:rPr>
      </w:pPr>
      <w:r>
        <w:rPr>
          <w:rFonts w:ascii="Arial" w:cs="Arial" w:eastAsia="Arial" w:hAnsi="Arial"/>
          <w:sz w:val="18"/>
          <w:szCs w:val="18"/>
          <w:color w:val="auto"/>
        </w:rPr>
        <w:t>We recognized royalty revenue of $52.6 million during the three months ended December 31, 2019 as compared to $69.9 million during the three months ended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40" w:type="dxa"/>
            <w:vAlign w:val="bottom"/>
            <w:vMerge w:val="restart"/>
          </w:tcPr>
          <w:p>
            <w:pPr>
              <w:spacing w:after="0"/>
              <w:rPr>
                <w:sz w:val="20"/>
                <w:szCs w:val="20"/>
                <w:color w:val="auto"/>
              </w:rPr>
            </w:pPr>
            <w:r>
              <w:rPr>
                <w:rFonts w:ascii="Arial" w:cs="Arial" w:eastAsia="Arial" w:hAnsi="Arial"/>
                <w:sz w:val="18"/>
                <w:szCs w:val="18"/>
                <w:color w:val="auto"/>
              </w:rPr>
              <w:t>R&amp;D programs:</w:t>
            </w:r>
          </w:p>
        </w:tc>
        <w:tc>
          <w:tcPr>
            <w:tcW w:w="240" w:type="dxa"/>
            <w:vAlign w:val="bottom"/>
          </w:tcPr>
          <w:p>
            <w:pPr>
              <w:spacing w:after="0"/>
              <w:rPr>
                <w:sz w:val="15"/>
                <w:szCs w:val="15"/>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19,236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32,778</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Research and development expense decreased by $2.1 million for the three months ended December 31, 2019 as compared to the same period in 2018. The decrease in expenses in our liver disease program was due to timing of clinical studies. We completed a Phase 2a study of EDP-305 in a NASH population in fiscal 2019 and plan to initiate a Phase 2b study by early in in the second calendar quarter of 2020. The increase in expenses in our virology program was primarily due to the progression of clinical activities in our HBV program, including initiation of the ongoing Phase 1a/1b clinical study of EDP-514. We expect our research and development expenses to increase as our wholly owned programs advance.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remained relatively flat quarter over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remained relatively flat quarter over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December 31, 2019 and 2018, we recorded an income tax expense of $1.5 million and $3.7 million, respectively. Income tax expense for the three months ended December 31, 2019 was driven primarily by our pre-tax income, research and development tax credits and the federal income tax benefit from foreign-derived royalty income. Income tax expense for the three months ended December 31, 2018 was driven primarily by our pre-tax income and research and development tax credits.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December 31, 2019, our principal sources of liquidity were cash, cash equivalents and short-term and long-term marketable securities totaling $414.7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December 31, 2019 and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jc w:val="right"/>
              <w:ind w:right="65"/>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40" w:type="dxa"/>
            <w:vAlign w:val="bottom"/>
          </w:tcPr>
          <w:p>
            <w:pPr>
              <w:ind w:left="500"/>
              <w:spacing w:after="0"/>
              <w:rPr>
                <w:sz w:val="20"/>
                <w:szCs w:val="20"/>
                <w:color w:val="auto"/>
              </w:rPr>
            </w:pPr>
            <w:r>
              <w:rPr>
                <w:rFonts w:ascii="Arial" w:cs="Arial" w:eastAsia="Arial" w:hAnsi="Arial"/>
                <w:sz w:val="18"/>
                <w:szCs w:val="18"/>
                <w:color w:val="auto"/>
              </w:rPr>
              <w:t>Operating activities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12,363</w:t>
            </w:r>
          </w:p>
        </w:tc>
        <w:tc>
          <w:tcPr>
            <w:tcW w:w="6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30,254</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(37,201)</w:t>
            </w: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Net increase (decrease) in cash, cash equivalents and</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restricted cash</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(23,672)</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10,463</w:t>
            </w:r>
          </w:p>
        </w:tc>
        <w:tc>
          <w:tcPr>
            <w:tcW w:w="80" w:type="dxa"/>
            <w:vAlign w:val="bottom"/>
            <w:shd w:val="clear" w:color="auto" w:fill="CFF0FC"/>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740" w:type="dxa"/>
            <w:vAlign w:val="bottom"/>
            <w:tcBorders>
              <w:top w:val="single" w:sz="8" w:color="CFF0FC"/>
              <w:bottom w:val="single" w:sz="8" w:color="CFF0FC"/>
            </w:tcBorders>
            <w:vMerge w:val="restart"/>
          </w:tcPr>
          <w:p>
            <w:pPr>
              <w:ind w:left="3900"/>
              <w:spacing w:after="0"/>
              <w:rPr>
                <w:sz w:val="20"/>
                <w:szCs w:val="20"/>
                <w:color w:val="auto"/>
              </w:rPr>
            </w:pPr>
            <w:r>
              <w:rPr>
                <w:rFonts w:ascii="Arial" w:cs="Arial" w:eastAsia="Arial" w:hAnsi="Arial"/>
                <w:sz w:val="18"/>
                <w:szCs w:val="18"/>
                <w:color w:val="auto"/>
              </w:rPr>
              <w:t>23</w:t>
            </w:r>
          </w:p>
        </w:tc>
        <w:tc>
          <w:tcPr>
            <w:tcW w:w="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decrease in cash provided by operating activities of $17.9 million for the three months ended December 31, 2019 as compared to the same period in 2018 was primarily driven by decreased net income year-over-year and net cash used by changes in our operating assets and liabilities of $6.4 million in the three months ended December 31, 2019 as compared to net cash used by changes in our operating assets and liabilities of $0.4 million for the same period in</w:t>
      </w:r>
    </w:p>
    <w:p>
      <w:pPr>
        <w:ind w:right="460"/>
        <w:spacing w:after="0" w:line="261" w:lineRule="auto"/>
        <w:rPr>
          <w:sz w:val="20"/>
          <w:szCs w:val="20"/>
          <w:color w:val="auto"/>
        </w:rPr>
      </w:pPr>
      <w:r>
        <w:rPr>
          <w:rFonts w:ascii="Arial" w:cs="Arial" w:eastAsia="Arial" w:hAnsi="Arial"/>
          <w:sz w:val="18"/>
          <w:szCs w:val="18"/>
          <w:color w:val="auto"/>
        </w:rPr>
        <w:t>2018. Changes in our operating assets and liabilities in both periods were generally due to payments received under our collaboration with AbbVie, the advancement of our research programs and the timing of vendor invoicing and payments.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cash used in investing activities of $16.3 million for the three months ended December 31, 2019 as compared to the same period in 2018 was driven by the timing of purchases, sales and maturities of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net cash provided for the three months ended December 31, 2019 as compared to the same period in 2018 was driven by a $1.1 million increase in proceeds from exercises of stock options, partially offset by a $1.1 million increase in withholding tax payments for the settlement of share-based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2019, we had $414.7 million in cash, cash equivalents and short-term and long-term marketable securities. We believe that our existing cash, cash equivalents and marketable securities as of December 31, 2019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2019 Form 10-K Part II, Item 7, Management’s Discussion and Analysis of Financial Conditions and Results of Operations, under the heading “Contractual Obligations and Commitments”, we have described our commitments and contingencies. There were no material changes to our total contractual commitments and obligations during the three months ended December 31,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2019 (referred to as our 2019 Form 10-K) for </w:t>
      </w:r>
      <w:r>
        <w:rPr>
          <w:rFonts w:ascii="Arial" w:cs="Arial" w:eastAsia="Arial" w:hAnsi="Arial"/>
          <w:sz w:val="18"/>
          <w:szCs w:val="18"/>
          <w:color w:val="212529"/>
        </w:rPr>
        <w:t>information about critical accounting policies as well as a description of our other significant accounting</w:t>
      </w:r>
      <w:r>
        <w:rPr>
          <w:rFonts w:ascii="Arial" w:cs="Arial" w:eastAsia="Arial" w:hAnsi="Arial"/>
          <w:sz w:val="18"/>
          <w:szCs w:val="18"/>
          <w:color w:val="auto"/>
        </w:rPr>
        <w:t xml:space="preserve"> </w:t>
      </w:r>
      <w:r>
        <w:rPr>
          <w:rFonts w:ascii="Arial" w:cs="Arial" w:eastAsia="Arial" w:hAnsi="Arial"/>
          <w:sz w:val="18"/>
          <w:szCs w:val="18"/>
          <w:color w:val="212529"/>
        </w:rPr>
        <w:t>policies</w:t>
      </w:r>
      <w:r>
        <w:rPr>
          <w:rFonts w:ascii="Arial" w:cs="Arial" w:eastAsia="Arial" w:hAnsi="Arial"/>
          <w:sz w:val="18"/>
          <w:szCs w:val="18"/>
          <w:color w:val="000000"/>
        </w:rPr>
        <w:t>.</w:t>
      </w:r>
    </w:p>
    <w:p>
      <w:pPr>
        <w:spacing w:after="0" w:line="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than the impact of the adoption of ASC 842 in the first quarter of fiscal 2020, as disclosed in Note 2 to our unaudited financial statements included in this Quarterly Report on Form 10-Q, there have been no material changes to our significant accounting policies since September 30, 2019. For further information, please see the discussion of critical accounting policies included in our 2019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$414.7 million at December 31, 2019 consisting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21"/>
          <w:szCs w:val="21"/>
          <w:b w:val="1"/>
          <w:bCs w:val="1"/>
          <w:color w:val="auto"/>
        </w:rPr>
        <w:t>—</w:t>
      </w:r>
      <w:r>
        <w:rPr>
          <w:rFonts w:ascii="Arial" w:cs="Arial" w:eastAsia="Arial" w:hAnsi="Arial"/>
          <w:sz w:val="18"/>
          <w:szCs w:val="18"/>
          <w:b w:val="1"/>
          <w:bCs w:val="1"/>
          <w:color w:val="auto"/>
        </w:rPr>
        <w:t>OTHER INFORMATION</w:t>
      </w:r>
    </w:p>
    <w:p>
      <w:pPr>
        <w:sectPr>
          <w:pgSz w:w="11900" w:h="16838" w:orient="portrait"/>
          <w:cols w:equalWidth="0" w:num="1">
            <w:col w:w="11400"/>
          </w:cols>
          <w:pgMar w:left="240" w:top="328" w:right="259" w:bottom="1440" w:gutter="0" w:footer="0" w:header="0"/>
        </w:sectPr>
      </w:pPr>
    </w:p>
    <w:p>
      <w:pPr>
        <w:spacing w:after="0" w:line="227" w:lineRule="exact"/>
        <w:rPr>
          <w:sz w:val="20"/>
          <w:szCs w:val="20"/>
          <w:color w:val="auto"/>
        </w:rPr>
      </w:pPr>
    </w:p>
    <w:p>
      <w:pPr>
        <w:spacing w:after="0" w:line="378" w:lineRule="auto"/>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960"/>
          </w:cols>
          <w:pgMar w:left="240" w:top="328" w:right="259" w:bottom="1440" w:gutter="0" w:footer="0" w:header="0"/>
          <w:type w:val="continuous"/>
        </w:sectPr>
      </w:pPr>
    </w:p>
    <w:p>
      <w:pPr>
        <w:spacing w:after="0" w:line="254" w:lineRule="auto"/>
        <w:rPr>
          <w:sz w:val="20"/>
          <w:szCs w:val="20"/>
          <w:color w:val="auto"/>
        </w:rPr>
      </w:pPr>
      <w:r>
        <w:rPr>
          <w:rFonts w:ascii="Arial" w:cs="Arial" w:eastAsia="Arial" w:hAnsi="Arial"/>
          <w:sz w:val="18"/>
          <w:szCs w:val="18"/>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3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The statement of risk factors provided in this Item 1A includes any material changes to and supersedes the statement of risk factors associated with our business previously disclosed in Item 1A of our Annual Report on Form 10-K for the fiscal year ended September 30, 2019 filed on November 27, 2019 with the Securities and Exchange Commission (SEC). In assessing these risks, investors should also refer to the other information contained or incorporated by reference in this Form 10-Q and our other filings made from time to time with the SEC.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4" w:lineRule="exact"/>
        <w:rPr>
          <w:sz w:val="20"/>
          <w:szCs w:val="20"/>
          <w:color w:val="auto"/>
        </w:rPr>
      </w:pPr>
    </w:p>
    <w:p>
      <w:pPr>
        <w:ind w:left="1040" w:right="3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payers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payers and governmental entities as well as price competition;</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140" w:lineRule="exact"/>
        <w:rPr>
          <w:rFonts w:ascii="Arial" w:cs="Arial" w:eastAsia="Arial" w:hAnsi="Arial"/>
          <w:sz w:val="16"/>
          <w:szCs w:val="16"/>
          <w:color w:val="auto"/>
        </w:rPr>
      </w:pPr>
    </w:p>
    <w:p>
      <w:pPr>
        <w:ind w:left="1040" w:right="6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be able to manufacture glecaprevir in compliance with requirements of the FDA and similar foreign regulatory agencies and in commercial quantities sufficient to meet market demand.</w:t>
      </w:r>
    </w:p>
    <w:p>
      <w:pPr>
        <w:spacing w:after="0" w:line="6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type w:val="continuous"/>
        </w:sectPr>
      </w:pPr>
    </w:p>
    <w:bookmarkStart w:id="26" w:name="page27"/>
    <w:bookmarkEnd w:id="26"/>
    <w:p>
      <w:pPr>
        <w:ind w:right="500"/>
        <w:spacing w:after="0" w:line="277" w:lineRule="auto"/>
        <w:rPr>
          <w:sz w:val="20"/>
          <w:szCs w:val="20"/>
          <w:color w:val="auto"/>
        </w:rPr>
      </w:pPr>
      <w:r>
        <w:rPr>
          <w:rFonts w:ascii="Arial" w:cs="Arial" w:eastAsia="Arial" w:hAnsi="Arial"/>
          <w:sz w:val="18"/>
          <w:szCs w:val="18"/>
          <w:color w:val="auto"/>
        </w:rPr>
        <w:t>decisions regarding the commercialization of licensed products without consulting us. AbbVie may also make decisions with which we do not agree. If AbbVie acts in a manner that is not in our best interest, then it could adversely affect our business and prospects.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AbbVie’s MAVYRET/MAVIRET regimen continues to be the leading HCV treatment in the U.S. and several market geographies in developed countries where it is approved even though in the U.S. it is priced well below the pricing of AbbVie’s first HCV regimens, and below that of its principal competitor, Gilead. While commercialization of this regimen is exclusively in AbbVie’s control without any required input from us, we believe it is possible that prices will decline further due to payers obtaining additional discounts or competitive market dynamics. For example, the states of Louisiana and Washington have each announced efforts to negotiate a blanket price for one of the HCV drug companies to treat all patients in one or more state programs (e.g. Medicaid). Gilead was awarded the contract in Louisiana and AbbVie was awarded the contract in Washington. It is unknown whether these programs or other programs that states may adopt could have an impact on MAVYRET/MAVIRET sales. There may also be fluctuations in AbbVie’s market share over time due to these and other competitive actions by Gilead.</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8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Arial" w:cs="Arial" w:eastAsia="Arial" w:hAnsi="Arial"/>
          <w:sz w:val="13"/>
          <w:szCs w:val="13"/>
          <w:color w:val="auto"/>
        </w:rPr>
        <w:t>®</w:t>
      </w:r>
      <w:r>
        <w:rPr>
          <w:rFonts w:ascii="Arial" w:cs="Arial" w:eastAsia="Arial" w:hAnsi="Arial"/>
          <w:sz w:val="16"/>
          <w:szCs w:val="16"/>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3"/>
          <w:szCs w:val="13"/>
          <w:color w:val="auto"/>
        </w:rPr>
        <w:t>®</w:t>
      </w:r>
      <w:r>
        <w:rPr>
          <w:rFonts w:ascii="Arial" w:cs="Arial" w:eastAsia="Arial" w:hAnsi="Arial"/>
          <w:sz w:val="16"/>
          <w:szCs w:val="16"/>
          <w:color w:val="auto"/>
        </w:rPr>
        <w:t xml:space="preserve"> (a fixed-dose combination of sofosbuvir and ledipasvir); and to a lesser extent - Merck’s Zepatier</w:t>
      </w:r>
      <w:r>
        <w:rPr>
          <w:rFonts w:ascii="Arial" w:cs="Arial" w:eastAsia="Arial" w:hAnsi="Arial"/>
          <w:sz w:val="13"/>
          <w:szCs w:val="13"/>
          <w:color w:val="auto"/>
        </w:rPr>
        <w:t>®</w:t>
      </w:r>
      <w:r>
        <w:rPr>
          <w:rFonts w:ascii="Arial" w:cs="Arial" w:eastAsia="Arial" w:hAnsi="Arial"/>
          <w:sz w:val="16"/>
          <w:szCs w:val="16"/>
          <w:color w:val="auto"/>
        </w:rPr>
        <w:t xml:space="preserve"> (a fixed-dose combination of grazoprevir and elbasvir). Gilead launched authorized generic versions of Epclusa and Harvoni in January 2019 through a newly created subsidiary, Asegua Therapeutics, LLC, which has had an impact on the competitive landscape. For example, in March 2019, the state of Louisiana announced the selection of Asegua Therapeutics as their HCV subscription model pharmaceutical partner to provide the state with unrestricted access to its direct-acting antiviral medication. Other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other than authorized generic versions by the manufacturer of the branded product (i.e. Gilead and Asegua Therapeutics),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also expect our other product candidates to face intense and increasing competition in the NASH and antiviral markets as advanced technologies and products become available. Though there is currently no approved treatment for NASH, we expect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7" w:name="page28"/>
    <w:bookmarkEnd w:id="27"/>
    <w:p>
      <w:pPr>
        <w:spacing w:after="0" w:line="269" w:lineRule="auto"/>
        <w:rPr>
          <w:sz w:val="20"/>
          <w:szCs w:val="20"/>
          <w:color w:val="auto"/>
        </w:rPr>
      </w:pPr>
      <w:r>
        <w:rPr>
          <w:rFonts w:ascii="Arial" w:cs="Arial" w:eastAsia="Arial" w:hAnsi="Arial"/>
          <w:sz w:val="17"/>
          <w:szCs w:val="17"/>
          <w:color w:val="auto"/>
        </w:rPr>
        <w:t>significant competition from other companies in the development of new treatments for NASH and related conditions. In February 2019, Intercept Pharmaceuticals announced positive Phase 3 trial results for OCA (brand name Ocaliva</w:t>
      </w:r>
      <w:r>
        <w:rPr>
          <w:rFonts w:ascii="Arial" w:cs="Arial" w:eastAsia="Arial" w:hAnsi="Arial"/>
          <w:sz w:val="14"/>
          <w:szCs w:val="14"/>
          <w:color w:val="auto"/>
        </w:rPr>
        <w:t>®</w:t>
      </w:r>
      <w:r>
        <w:rPr>
          <w:rFonts w:ascii="Arial" w:cs="Arial" w:eastAsia="Arial" w:hAnsi="Arial"/>
          <w:sz w:val="17"/>
          <w:szCs w:val="17"/>
          <w:color w:val="auto"/>
        </w:rPr>
        <w:t>) in NASH and has also signaled its intent to submit U.S. and European regulatory filings in the second half of calendar 2019 for approvals in this indication. We are aware of several other companies with NASH programs that are significantly more advanced than ours, including companies with compounds in Phase 3 clinical trials in NASH, namely Genfit, Madrigal and Tobira (Allergan). In addition, a number of companies have NASH or related programs with compounds in Phase 2 clinical trials. These companies include Akero, Alberio, Astra-Zeneca, BMS, Boehringer Ingelheim, Can-Fite BioPharma, Cirius, Cymabay, Galectin, Galmed, Gilead, GlaxoSmithKline, Immuron, Inventiva, Ionis, Lipocine, Medicinova, Metacrine, Northsea Therapeutics, Novartis, NGM, Novo Nordisk, Pfizer, Second Genome, Viking and Zydus. For PBC, in May 2016, the FDA granted conditional approval for Intercept’s FXR agonist, OCA for the treatment of PBC in combination with first line therapy ursodeoxycholic acid (UDCA) in adults with an inadequate response to UDCA, or as monotherapy in adults unable to tolerate UDCA. In addition, several other companies are conducting advanced trials in PBC, including Cymabay (Phase 3) and Genfit (Phase 2 completed). A significant number of other companies are conducting earlier stage clinical trials that may be applicable in NASH, PBC and other cholestatic diseases. There are also additional companies conducting preclinical studies in these disease areas.</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Assembly, Gilead, HEC, Ionis, Johnson &amp; Johnson, Maxwell, Replicor, Roche and Spring Bank have Phase 2 programs in progress, with many of these companies conducting earlier stage programs as well. In addition, a number of companies have Phase 1 or earlier stage HBV programs, including Aicuris, Aligos, Altimmune, Arrowhead, Contravir, Dicerna, ENYO, Transgene and Vir.</w:t>
      </w:r>
    </w:p>
    <w:p>
      <w:pPr>
        <w:spacing w:after="0" w:line="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patients. Ark Biosciences, Johnson &amp; Johnson, Pulmocide and ReViral each have compounds in clinical development.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5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PBC and HBV programs, we will need to successfully:</w:t>
      </w:r>
    </w:p>
    <w:p>
      <w:pPr>
        <w:spacing w:after="0" w:line="79" w:lineRule="exact"/>
        <w:rPr>
          <w:sz w:val="20"/>
          <w:szCs w:val="20"/>
          <w:color w:val="auto"/>
        </w:rPr>
      </w:pPr>
    </w:p>
    <w:p>
      <w:pPr>
        <w:ind w:left="1040" w:right="1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EDP-305, EDP-938 and/or EDP-514 or in discovering further product candidates in addition to those product candidates, our ability to expand our business and achieve our strategic objectives will be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ind w:right="20"/>
        <w:spacing w:after="0" w:line="312"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39"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8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Changes in royalty revenue earned under our AbbVie agreement or changes in the level of expenses associated with development of our product candidates may cause our results of operations to fluctuate from period to period, which may result in operating losses.</w:t>
      </w:r>
    </w:p>
    <w:p>
      <w:pPr>
        <w:spacing w:after="0" w:line="1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and the varying rates of reimbursement in different countries.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Additionally, many of the preclinical and clinical development activities required for our product candidates must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and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8"/>
          <w:szCs w:val="18"/>
          <w:color w:val="auto"/>
        </w:rPr>
        <w:t>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w:t>
      </w:r>
    </w:p>
    <w:p>
      <w:pPr>
        <w:spacing w:after="0" w:line="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net income results primarily from the revenue we earn from AbbVie on net sales of its HCV regimens allocated to our protease inhibitors included in those regimens. There is no assurance, however, that we will report net income in subsequent years. To date, we have not commercialized any products ourselves.</w:t>
      </w:r>
    </w:p>
    <w:p>
      <w:pPr>
        <w:spacing w:after="0" w:line="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in one or more countries.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61" w:lineRule="exact"/>
        <w:rPr>
          <w:sz w:val="20"/>
          <w:szCs w:val="20"/>
          <w:color w:val="auto"/>
        </w:rPr>
      </w:pPr>
    </w:p>
    <w:p>
      <w:pPr>
        <w:jc w:val="both"/>
        <w:ind w:right="360"/>
        <w:spacing w:after="0" w:line="375"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17" w:lineRule="exact"/>
        <w:rPr>
          <w:rFonts w:ascii="Arial" w:cs="Arial" w:eastAsia="Arial" w:hAnsi="Arial"/>
          <w:sz w:val="18"/>
          <w:szCs w:val="18"/>
          <w:color w:val="auto"/>
        </w:rPr>
      </w:pPr>
    </w:p>
    <w:p>
      <w:pPr>
        <w:ind w:left="760" w:right="40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manufacturing our product candidates for clinical development and any products we successfully commercialize independently;</w:t>
      </w:r>
    </w:p>
    <w:p>
      <w:pPr>
        <w:spacing w:after="0" w:line="128" w:lineRule="exact"/>
        <w:rPr>
          <w:rFonts w:ascii="Arial" w:cs="Arial" w:eastAsia="Arial" w:hAnsi="Arial"/>
          <w:sz w:val="17"/>
          <w:szCs w:val="17"/>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therapeutic candidates and therapies;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760" w:right="82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establish new collaborations, licensing or other arrangements, if any, and the financial terms of such arrangements;</w:t>
      </w:r>
    </w:p>
    <w:p>
      <w:pPr>
        <w:spacing w:after="0" w:line="117"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460" w:hanging="519"/>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720" w:hanging="519"/>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seasonality and variations in incidents of infection year to year (e.g. RSV) affecting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NASH, PBC or HBV;</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17" w:lineRule="exact"/>
        <w:rPr>
          <w:rFonts w:ascii="Arial" w:cs="Arial" w:eastAsia="Arial" w:hAnsi="Arial"/>
          <w:sz w:val="18"/>
          <w:szCs w:val="18"/>
          <w:color w:val="auto"/>
        </w:rPr>
      </w:pPr>
    </w:p>
    <w:p>
      <w:pPr>
        <w:ind w:left="1040" w:right="320" w:hanging="519"/>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160"/>
        <w:spacing w:after="0" w:line="297" w:lineRule="auto"/>
        <w:rPr>
          <w:sz w:val="20"/>
          <w:szCs w:val="20"/>
          <w:color w:val="auto"/>
        </w:rPr>
      </w:pPr>
      <w:r>
        <w:rPr>
          <w:rFonts w:ascii="Arial" w:cs="Arial" w:eastAsia="Arial" w:hAnsi="Arial"/>
          <w:sz w:val="16"/>
          <w:szCs w:val="16"/>
          <w:color w:val="auto"/>
        </w:rPr>
        <w:t>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5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5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EDP-305, EDP-938, EDP-514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15"/>
          <w:szCs w:val="15"/>
          <w:color w:val="auto"/>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7"/>
          <w:szCs w:val="17"/>
          <w:color w:val="212121"/>
        </w:rPr>
        <w:t>development programs being negatively affected</w:t>
      </w:r>
      <w:r>
        <w:rPr>
          <w:rFonts w:ascii="Arial" w:cs="Arial" w:eastAsia="Arial" w:hAnsi="Arial"/>
          <w:sz w:val="17"/>
          <w:szCs w:val="17"/>
          <w:color w:val="auto"/>
        </w:rPr>
        <w:t xml:space="preserve"> </w:t>
      </w:r>
      <w:r>
        <w:rPr>
          <w:rFonts w:ascii="Arial" w:cs="Arial" w:eastAsia="Arial" w:hAnsi="Arial"/>
          <w:sz w:val="17"/>
          <w:szCs w:val="17"/>
          <w:color w:val="212121"/>
        </w:rPr>
        <w:t>even if such events or symptoms are ultimately determined to be unlikely related to our drug candidates.</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212121"/>
        </w:rPr>
        <w:t>In our HBV program, we are developing modulators of capsid assembly. This is a new mechanistic approach to HBV,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70"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the EMA or other comparable foreign regulatory authorities may disagree with the design or implementation of our clinical trials;</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left="1040" w:right="5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4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8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7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38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14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14 that have rejected 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on December 18, 2019, the Fifth Circuit U.S. Court of Appeals held that the individual mandate is unconstitutional and remanded the case to the District Court to reconsider its earlier invalidation of the entire Affordable Care Act. It is unclear how this decision, subsequent proceedings and appeals in this case, and other efforts to repeal and replace the Affordable Care Act will impact the Affordable Care Act. We cannot predict what legislation, if any, to repeal or replace the ACA will become law, or what impact any such legislation, or the Texas court challenge, may have on us or on AbbVie’s sales of MAVYRET/MAVIRET.</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8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40"/>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40"/>
        <w:spacing w:after="0" w:line="279" w:lineRule="auto"/>
        <w:rPr>
          <w:sz w:val="20"/>
          <w:szCs w:val="20"/>
          <w:color w:val="auto"/>
        </w:rPr>
      </w:pPr>
      <w:r>
        <w:rPr>
          <w:rFonts w:ascii="Arial" w:cs="Arial" w:eastAsia="Arial" w:hAnsi="Arial"/>
          <w:sz w:val="17"/>
          <w:szCs w:val="17"/>
          <w:color w:val="auto"/>
        </w:rPr>
        <w:t>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MAVYRET/MAVIRET, as well as EDP-305, EDP-938, EDP-514 and any other product candidate that we may develop in the future, whether as part of a combination therapy or as a monotherapy, are subject to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9" w:lineRule="exact"/>
        <w:rPr>
          <w:sz w:val="20"/>
          <w:szCs w:val="20"/>
          <w:color w:val="auto"/>
        </w:rPr>
      </w:pPr>
    </w:p>
    <w:p>
      <w:pPr>
        <w:ind w:left="1040" w:right="380" w:hanging="519"/>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could materially adversely affect our business, financial condition and results of operations.</w:t>
      </w:r>
    </w:p>
    <w:p>
      <w:pPr>
        <w:spacing w:after="0" w:line="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recent outbreak of the 2019 nCoV coronavirus in the Wuhan region of China. To date our contract manufacturer in China, which is not located in the Wuhan region, has advised that the Chinese government has required it to remain closed for a three-day extension of the Chinese New Year holiday week.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6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0" w:name="page41"/>
    <w:bookmarkEnd w:id="40"/>
    <w:p>
      <w:pPr>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7"/>
          <w:szCs w:val="17"/>
          <w:color w:val="auto"/>
        </w:rPr>
        <w:t>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7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right="2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right="100"/>
        <w:spacing w:after="0" w:line="264" w:lineRule="auto"/>
        <w:rPr>
          <w:sz w:val="20"/>
          <w:szCs w:val="20"/>
          <w:color w:val="auto"/>
        </w:rPr>
      </w:pPr>
      <w:r>
        <w:rPr>
          <w:rFonts w:ascii="Arial" w:cs="Arial" w:eastAsia="Arial" w:hAnsi="Arial"/>
          <w:sz w:val="18"/>
          <w:szCs w:val="18"/>
          <w:color w:val="auto"/>
        </w:rPr>
        <w:t>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6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0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20" w:hanging="519"/>
        <w:spacing w:after="0" w:line="286"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40" w:right="10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4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40" w:hanging="519"/>
        <w:spacing w:after="0" w:line="276"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5" w:name="page46"/>
    <w:bookmarkEnd w:id="45"/>
    <w:p>
      <w:pPr>
        <w:ind w:right="60"/>
        <w:spacing w:after="0" w:line="255" w:lineRule="auto"/>
        <w:rPr>
          <w:sz w:val="20"/>
          <w:szCs w:val="20"/>
          <w:color w:val="auto"/>
        </w:rPr>
      </w:pPr>
      <w:r>
        <w:rPr>
          <w:rFonts w:ascii="Arial" w:cs="Arial" w:eastAsia="Arial" w:hAnsi="Arial"/>
          <w:sz w:val="18"/>
          <w:szCs w:val="18"/>
          <w:color w:val="auto"/>
        </w:rPr>
        <w:t>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stock price has been volatile and could be subject to wide fluctuations in response to various factors, many of which are beyond our control. From September 30, 2014 through December 31, 2019,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5" w:lineRule="exact"/>
        <w:rPr>
          <w:sz w:val="20"/>
          <w:szCs w:val="20"/>
          <w:color w:val="auto"/>
        </w:rPr>
      </w:pPr>
    </w:p>
    <w:p>
      <w:pPr>
        <w:ind w:left="1040" w:right="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containing glecaprevir as approved in the U.S., EU and Japan, including announcements regarding regulatory or commercial developments;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20" w:hanging="519"/>
        <w:spacing w:after="0" w:line="286"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20"/>
        <w:spacing w:after="0" w:line="259" w:lineRule="auto"/>
        <w:rPr>
          <w:sz w:val="20"/>
          <w:szCs w:val="20"/>
          <w:color w:val="auto"/>
        </w:rPr>
      </w:pPr>
      <w:r>
        <w:rPr>
          <w:rFonts w:ascii="Arial" w:cs="Arial" w:eastAsia="Arial" w:hAnsi="Arial"/>
          <w:sz w:val="18"/>
          <w:szCs w:val="18"/>
          <w:color w:val="auto"/>
        </w:rPr>
        <w:t>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$4.3 million for severance and other non-equity-based benefits in the event of a termination of employment in connection with a change of control of our company. In addition, based on the closing price of our common stock as of December 31, 2019 of $61.78 per common share, the aggregate intrinsic value of unvested stock options and other equity awards subject to accelerated vesting upon these events was $12.9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6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2019, we had 19.8 million shares of common stock outstanding. In addition, as of December 31, 2019, 3.4 million and 0.2 million shares of common stock that are subject to outstanding options or restricted stock unit awards, respectively, under our outstanding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0" w:type="dxa"/>
            <w:vAlign w:val="bottom"/>
          </w:tcPr>
          <w:p>
            <w:pPr>
              <w:spacing w:after="0"/>
              <w:rPr>
                <w:sz w:val="20"/>
                <w:szCs w:val="20"/>
                <w:color w:val="auto"/>
              </w:rPr>
            </w:pPr>
          </w:p>
        </w:tc>
        <w:tc>
          <w:tcPr>
            <w:tcW w:w="5360" w:type="dxa"/>
            <w:vAlign w:val="bottom"/>
            <w:gridSpan w:val="5"/>
          </w:tcPr>
          <w:p>
            <w:pPr>
              <w:ind w:left="120"/>
              <w:spacing w:after="0"/>
              <w:rPr>
                <w:sz w:val="20"/>
                <w:szCs w:val="20"/>
                <w:color w:val="auto"/>
              </w:rPr>
            </w:pPr>
            <w:r>
              <w:rPr>
                <w:rFonts w:ascii="Arial" w:cs="Arial" w:eastAsia="Arial" w:hAnsi="Arial"/>
                <w:sz w:val="18"/>
                <w:szCs w:val="18"/>
                <w:b w:val="1"/>
                <w:bCs w:val="1"/>
                <w:color w:val="auto"/>
              </w:rPr>
              <w:t>EXHIBITS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240" w:type="dxa"/>
            <w:vAlign w:val="bottom"/>
            <w:gridSpan w:val="4"/>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vMerge w:val="restart"/>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9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524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5360" w:type="dxa"/>
            <w:vAlign w:val="bottom"/>
            <w:gridSpan w:val="5"/>
          </w:tcPr>
          <w:p>
            <w:pPr>
              <w:spacing w:after="0"/>
              <w:rPr>
                <w:rFonts w:ascii="Arial" w:cs="Arial" w:eastAsia="Arial" w:hAnsi="Arial"/>
                <w:sz w:val="18"/>
                <w:szCs w:val="18"/>
                <w:color w:val="0000EE"/>
                <w:w w:val="97"/>
              </w:rPr>
            </w:pPr>
            <w:hyperlink r:id="rId74">
              <w:r>
                <w:rPr>
                  <w:rFonts w:ascii="Arial" w:cs="Arial" w:eastAsia="Arial" w:hAnsi="Arial"/>
                  <w:sz w:val="18"/>
                  <w:szCs w:val="18"/>
                  <w:color w:val="0000EE"/>
                  <w:w w:val="97"/>
                </w:rPr>
                <w:t>Restated Certificate of Incorporation of Enanta Pharmaceuticals, Inc.</w:t>
              </w:r>
            </w:hyperlink>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w w:val="95"/>
              </w:rPr>
              <w:t>001-35839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Amended and Restated Bylaws of Enanta Pharmaceuticals, Inc. (as</w:t>
              </w:r>
            </w:hyperlink>
          </w:p>
        </w:tc>
        <w:tc>
          <w:tcPr>
            <w:tcW w:w="12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w w:val="95"/>
              </w:rPr>
              <w:t>001-35839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gridSpan w:val="5"/>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amended and restated in August 2015)</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337" w:right="239" w:bottom="1440" w:gutter="0" w:footer="0" w:header="0"/>
        </w:sectPr>
      </w:pPr>
    </w:p>
    <w:p>
      <w:pPr>
        <w:ind w:left="1040" w:right="40" w:hanging="724"/>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51">
        <w:r>
          <w:rPr>
            <w:rFonts w:ascii="Arial" w:cs="Arial" w:eastAsia="Arial" w:hAnsi="Arial"/>
            <w:sz w:val="18"/>
            <w:szCs w:val="18"/>
            <w:u w:val="single" w:color="auto"/>
            <w:color w:val="0000EE"/>
          </w:rPr>
          <w:t>Certification of the Chief Executive Officer pursuant to Rule 13a-14(a)</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or 15d-14(a) of the Securities Exchange Act of 1934.</w:t>
        </w:r>
      </w:hyperlink>
    </w:p>
    <w:p>
      <w:pPr>
        <w:spacing w:after="0" w:line="76"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2">
        <w:r>
          <w:rPr>
            <w:rFonts w:ascii="Arial" w:cs="Arial" w:eastAsia="Arial" w:hAnsi="Arial"/>
            <w:sz w:val="16"/>
            <w:szCs w:val="16"/>
            <w:u w:val="single" w:color="auto"/>
            <w:color w:val="0000EE"/>
          </w:rPr>
          <w:t>Certification of Chief Financial Officer pursuant to Rule 13a-14(a) or</w:t>
        </w:r>
      </w:hyperlink>
    </w:p>
    <w:p>
      <w:pPr>
        <w:spacing w:after="0" w:line="23" w:lineRule="exact"/>
        <w:rPr>
          <w:sz w:val="20"/>
          <w:szCs w:val="20"/>
          <w:color w:val="auto"/>
        </w:rPr>
      </w:pPr>
    </w:p>
    <w:p>
      <w:pPr>
        <w:ind w:left="10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15d-14(a) of the Securities Exchange Act of 1934.</w:t>
        </w:r>
      </w:hyperlink>
    </w:p>
    <w:p>
      <w:pPr>
        <w:spacing w:after="0" w:line="116" w:lineRule="exact"/>
        <w:rPr>
          <w:sz w:val="20"/>
          <w:szCs w:val="20"/>
          <w:color w:val="auto"/>
        </w:rPr>
      </w:pPr>
    </w:p>
    <w:p>
      <w:pPr>
        <w:jc w:val="both"/>
        <w:ind w:left="1040" w:hanging="724"/>
        <w:spacing w:after="0" w:line="264"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3">
        <w:r>
          <w:rPr>
            <w:rFonts w:ascii="Arial" w:cs="Arial" w:eastAsia="Arial" w:hAnsi="Arial"/>
            <w:sz w:val="18"/>
            <w:szCs w:val="18"/>
            <w:u w:val="single" w:color="auto"/>
            <w:color w:val="0000EE"/>
          </w:rPr>
          <w:t>Certification of the Chief Executive Officer and Chief Financial Officer</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pursuant to 18 U.S.C. Section 1350, as adopted pursuant to Section 906</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w:t>
            </w:r>
          </w:p>
        </w:tc>
        <w:tc>
          <w:tcPr>
            <w:tcW w:w="102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r>
        <w:trPr>
          <w:trHeight w:val="55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w:t>
            </w:r>
          </w:p>
        </w:tc>
        <w:tc>
          <w:tcPr>
            <w:tcW w:w="102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r>
        <w:trPr>
          <w:trHeight w:val="55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w:t>
            </w:r>
          </w:p>
        </w:tc>
        <w:tc>
          <w:tcPr>
            <w:tcW w:w="102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bl>
    <w:p>
      <w:pPr>
        <w:spacing w:after="0" w:line="539" w:lineRule="exact"/>
        <w:rPr>
          <w:rFonts w:ascii="Arial" w:cs="Arial" w:eastAsia="Arial" w:hAnsi="Arial"/>
          <w:sz w:val="18"/>
          <w:szCs w:val="18"/>
          <w:u w:val="single" w:color="auto"/>
          <w:color w:val="0000EE"/>
        </w:rPr>
      </w:pPr>
    </w:p>
    <w:p>
      <w:pPr>
        <w:sectPr>
          <w:pgSz w:w="11900" w:h="16838" w:orient="portrait"/>
          <w:cols w:equalWidth="0" w:num="2">
            <w:col w:w="6200" w:space="560"/>
            <w:col w:w="4660"/>
          </w:cols>
          <w:pgMar w:left="240" w:top="337" w:right="23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101</w:t>
            </w:r>
          </w:p>
        </w:tc>
        <w:tc>
          <w:tcPr>
            <w:tcW w:w="7760" w:type="dxa"/>
            <w:vAlign w:val="bottom"/>
          </w:tcPr>
          <w:p>
            <w:pPr>
              <w:ind w:left="220"/>
              <w:spacing w:after="0"/>
              <w:rPr>
                <w:sz w:val="20"/>
                <w:szCs w:val="20"/>
                <w:color w:val="auto"/>
              </w:rPr>
            </w:pPr>
            <w:r>
              <w:rPr>
                <w:rFonts w:ascii="Arial" w:cs="Arial" w:eastAsia="Arial" w:hAnsi="Arial"/>
                <w:sz w:val="18"/>
                <w:szCs w:val="18"/>
                <w:color w:val="auto"/>
              </w:rPr>
              <w:t>The following financial statements from the Quarterly Report of Enanta</w:t>
            </w:r>
          </w:p>
        </w:tc>
        <w:tc>
          <w:tcPr>
            <w:tcW w:w="2440" w:type="dxa"/>
            <w:vAlign w:val="bottom"/>
          </w:tcPr>
          <w:p>
            <w:pPr>
              <w:ind w:left="2320"/>
              <w:spacing w:after="0"/>
              <w:rPr>
                <w:sz w:val="20"/>
                <w:szCs w:val="20"/>
                <w:color w:val="auto"/>
              </w:rPr>
            </w:pPr>
            <w:r>
              <w:rPr>
                <w:rFonts w:ascii="Arial" w:cs="Arial" w:eastAsia="Arial" w:hAnsi="Arial"/>
                <w:sz w:val="18"/>
                <w:szCs w:val="18"/>
                <w:color w:val="auto"/>
                <w:w w:val="82"/>
              </w:rPr>
              <w:t>X</w:t>
            </w:r>
          </w:p>
        </w:tc>
      </w:tr>
      <w:tr>
        <w:trPr>
          <w:trHeight w:val="216"/>
        </w:trPr>
        <w:tc>
          <w:tcPr>
            <w:tcW w:w="4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Pharmaceuticals, Inc. on Form 10-Q for the quarter ended December 31,</w:t>
            </w:r>
          </w:p>
        </w:tc>
        <w:tc>
          <w:tcPr>
            <w:tcW w:w="24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2019, formatted in Inline XBRL: (i) Consolidated Balance Sheets, (ii)</w:t>
            </w:r>
          </w:p>
        </w:tc>
        <w:tc>
          <w:tcPr>
            <w:tcW w:w="24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Consolidated Statements of Operations, (iii) Consolidated Statements of</w:t>
            </w:r>
          </w:p>
        </w:tc>
        <w:tc>
          <w:tcPr>
            <w:tcW w:w="24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Comprehensive Income, (iv) Consolidated Statements of Stockholders’</w:t>
            </w:r>
          </w:p>
        </w:tc>
        <w:tc>
          <w:tcPr>
            <w:tcW w:w="24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Equity, (v) Consolidated Statements of Cash Flows, (vi) and Notes to</w:t>
            </w:r>
          </w:p>
        </w:tc>
        <w:tc>
          <w:tcPr>
            <w:tcW w:w="24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Consolidated Financial Statements, tagged as blocks of text and</w:t>
            </w:r>
          </w:p>
        </w:tc>
        <w:tc>
          <w:tcPr>
            <w:tcW w:w="244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including detailed tags</w:t>
            </w:r>
          </w:p>
        </w:tc>
        <w:tc>
          <w:tcPr>
            <w:tcW w:w="2440" w:type="dxa"/>
            <w:vAlign w:val="bottom"/>
          </w:tcPr>
          <w:p>
            <w:pPr>
              <w:spacing w:after="0"/>
              <w:rPr>
                <w:sz w:val="20"/>
                <w:szCs w:val="20"/>
                <w:color w:val="auto"/>
              </w:rPr>
            </w:pPr>
          </w:p>
        </w:tc>
      </w:tr>
      <w:tr>
        <w:trPr>
          <w:trHeight w:val="607"/>
        </w:trPr>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104</w:t>
            </w:r>
          </w:p>
        </w:tc>
        <w:tc>
          <w:tcPr>
            <w:tcW w:w="7760" w:type="dxa"/>
            <w:vAlign w:val="bottom"/>
          </w:tcPr>
          <w:p>
            <w:pPr>
              <w:ind w:left="220"/>
              <w:spacing w:after="0"/>
              <w:rPr>
                <w:sz w:val="20"/>
                <w:szCs w:val="20"/>
                <w:color w:val="auto"/>
              </w:rPr>
            </w:pPr>
            <w:r>
              <w:rPr>
                <w:rFonts w:ascii="Arial" w:cs="Arial" w:eastAsia="Arial" w:hAnsi="Arial"/>
                <w:sz w:val="18"/>
                <w:szCs w:val="18"/>
                <w:color w:val="212529"/>
              </w:rPr>
              <w:t>Cover Page Interactive Data File (formatted as Inline XBRL and</w:t>
            </w:r>
          </w:p>
        </w:tc>
        <w:tc>
          <w:tcPr>
            <w:tcW w:w="2440" w:type="dxa"/>
            <w:vAlign w:val="bottom"/>
          </w:tcPr>
          <w:p>
            <w:pPr>
              <w:ind w:left="2320"/>
              <w:spacing w:after="0"/>
              <w:rPr>
                <w:sz w:val="20"/>
                <w:szCs w:val="20"/>
                <w:color w:val="auto"/>
              </w:rPr>
            </w:pPr>
            <w:r>
              <w:rPr>
                <w:rFonts w:ascii="Arial" w:cs="Arial" w:eastAsia="Arial" w:hAnsi="Arial"/>
                <w:sz w:val="18"/>
                <w:szCs w:val="18"/>
                <w:color w:val="auto"/>
                <w:w w:val="82"/>
              </w:rPr>
              <w:t>X</w:t>
            </w:r>
          </w:p>
        </w:tc>
      </w:tr>
      <w:tr>
        <w:trPr>
          <w:trHeight w:val="230"/>
        </w:trPr>
        <w:tc>
          <w:tcPr>
            <w:tcW w:w="480" w:type="dxa"/>
            <w:vAlign w:val="bottom"/>
          </w:tcPr>
          <w:p>
            <w:pPr>
              <w:spacing w:after="0"/>
              <w:rPr>
                <w:sz w:val="20"/>
                <w:szCs w:val="20"/>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212529"/>
              </w:rPr>
              <w:t>contained in Exhibit 101).</w:t>
            </w:r>
          </w:p>
        </w:tc>
        <w:tc>
          <w:tcPr>
            <w:tcW w:w="2440" w:type="dxa"/>
            <w:vAlign w:val="bottom"/>
          </w:tcPr>
          <w:p>
            <w:pPr>
              <w:spacing w:after="0"/>
              <w:rPr>
                <w:sz w:val="20"/>
                <w:szCs w:val="20"/>
                <w:color w:val="auto"/>
              </w:rPr>
            </w:pP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98"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337"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2019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Dated: February 10, 2020</w:t>
            </w:r>
          </w:p>
        </w:tc>
        <w:tc>
          <w:tcPr>
            <w:tcW w:w="2960" w:type="dxa"/>
            <w:vAlign w:val="bottom"/>
          </w:tcPr>
          <w:p>
            <w:pPr>
              <w:ind w:left="250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rPr>
              <w:t>Dated: February 10, 2020</w:t>
            </w:r>
          </w:p>
        </w:tc>
        <w:tc>
          <w:tcPr>
            <w:tcW w:w="2960" w:type="dxa"/>
            <w:vAlign w:val="bottom"/>
          </w:tcPr>
          <w:p>
            <w:pPr>
              <w:ind w:left="250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decimal"/>
      <w:start w:val="6"/>
    </w:lvl>
  </w:abstractNum>
  <w:abstractNum w:abstractNumId="8">
    <w:nsid w:val="54E49EB4"/>
    <w:multiLevelType w:val="hybridMultilevel"/>
    <w:lvl w:ilvl="0">
      <w:lvlJc w:val="left"/>
      <w:lvlText w:val="%1."/>
      <w:numFmt w:val="decimal"/>
      <w:start w:val="7"/>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decimal"/>
      <w:start w:val="9"/>
    </w:lvl>
  </w:abstractNum>
  <w:abstractNum w:abstractNumId="11">
    <w:nsid w:val="836C40E"/>
    <w:multiLevelType w:val="hybridMultilevel"/>
    <w:lvl w:ilvl="0">
      <w:lvlJc w:val="left"/>
      <w:lvlText w:val="%1."/>
      <w:numFmt w:val="decimal"/>
      <w:start w:val="10"/>
    </w:lvl>
  </w:abstractNum>
  <w:abstractNum w:abstractNumId="12">
    <w:nsid w:val="2901D82"/>
    <w:multiLevelType w:val="hybridMultilevel"/>
    <w:lvl w:ilvl="0">
      <w:lvlJc w:val="left"/>
      <w:lvlText w:val="%1."/>
      <w:numFmt w:val="decimal"/>
      <w:start w:val="11"/>
    </w:lvl>
  </w:abstractNum>
  <w:abstractNum w:abstractNumId="13">
    <w:nsid w:val="3A95F874"/>
    <w:multiLevelType w:val="hybridMultilevel"/>
    <w:lvl w:ilvl="0">
      <w:lvlJc w:val="left"/>
      <w:lvlText w:val="%1."/>
      <w:numFmt w:val="decimal"/>
      <w:start w:val="12"/>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o"/>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74" Type="http://schemas.openxmlformats.org/officeDocument/2006/relationships/hyperlink" Target="http://www.sec.gov/Archives/edgar/data/1177648/000119312513132679/d511662dex31.htm" TargetMode="External"/><Relationship Id="rId75"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2020-02-10T15:10:17Z</dcterms:created>
  <dcterms:modified xsi:type="dcterms:W3CDTF">2020-02-10T15:10:17Z</dcterms:modified>
</cp:coreProperties>
</file>