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3412d8k.htm"/>
      <w:bookmarkStart w:id="1" w:name="ksd12341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ENANTA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001-35839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04-3205099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 Kingsbury Avenue</w:t>
            </w:r>
          </w:p>
          <w:p>
            <w:pPr>
              <w:pStyle w:val="TableContents"/>
              <w:bidi w:val="0"/>
              <w:spacing w:before="0" w:after="20"/>
              <w:jc w:val="center"/>
              <w:rPr>
                <w:rFonts w:ascii="Times New Roman" w:hAnsi="Times New Roman"/>
                <w:b/>
                <w:sz w:val="20"/>
              </w:rPr>
            </w:pPr>
            <w:r>
              <w:rPr>
                <w:rFonts w:ascii="Times New Roman" w:hAnsi="Times New Roman"/>
                <w:b/>
                <w:sz w:val="20"/>
              </w:rPr>
              <w:t>Watertown,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02472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(617) 607-0800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10" w:type="dxa"/>
        <w:jc w:val="left"/>
        <w:tblInd w:w="0" w:type="dxa"/>
        <w:tblLayout w:type="fixed"/>
        <w:tblCellMar>
          <w:top w:w="0" w:type="dxa"/>
          <w:left w:w="0" w:type="dxa"/>
          <w:bottom w:w="0" w:type="dxa"/>
          <w:right w:w="0" w:type="dxa"/>
        </w:tblCellMar>
      </w:tblPr>
      <w:tblGrid>
        <w:gridCol w:w="4025"/>
        <w:gridCol w:w="60"/>
        <w:gridCol w:w="740"/>
        <w:gridCol w:w="60"/>
        <w:gridCol w:w="282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ENTA</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2, 2026, Enanta Pharmaceuticals, Inc. (the “Corporation”) entered into an Open Market Sale AgreementSM (the “Sales Agreement”) with Jefferies LLC, as sales agent (the “Agent”), pursuant to which the Corporation may offer and sell shares (the “Shares”) of its common stock, $0.01 par value per share (“Common Stock”), from time to time through the Agent.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is being offered and sold pursuant to the Corporation’s previously filed and currently effective shelf registration statement on Form S-3, which was filed with the Securities and Exchange Commission (the “Commission”) on February 11, 2026 and declared effective on February 20, 2026, containing a base prospectus (Registration Statement No. 333-293390). The Corporation filed a prospectus supplement dated July 2, 2026 with the Commission in connection with the offer and sale of the Shares. Pursuant to the prospectus supplement, the Corporation may offer and sell Shares having an aggregate offering price of up to $75,000,000. </w:t>
      </w:r>
    </w:p>
    <w:p>
      <w:pPr>
        <w:pStyle w:val="TextBody"/>
        <w:bidi w:val="0"/>
        <w:spacing w:before="240" w:after="0"/>
        <w:jc w:val="left"/>
        <w:rPr>
          <w:rFonts w:ascii="Times New Roman" w:hAnsi="Times New Roman"/>
          <w:sz w:val="20"/>
        </w:rPr>
      </w:pPr>
      <w:r>
        <w:rPr>
          <w:rFonts w:ascii="Times New Roman" w:hAnsi="Times New Roman"/>
          <w:sz w:val="20"/>
        </w:rPr>
        <w:t xml:space="preserve">Sales of the Shares through the Agent, if any, will be made by any method permitted by law deemed to be an “at the market offering” as defined in Rule 415(a)(4) under the Securities Act of 1933, as amended, including, without limitation, sales made directly on The Nasdaq Global Select Market or any other existing trading market for the Common Stock. The Agent will use commercially reasonable efforts to sell Common Stock from time to time, based upon instructions from the Corporation (including any price, time or size limits or other parameters or conditions the Corporation may impose). The Corporation has no obligation to sell any of the Shares under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will pay the Agent a commission of up to 3.0% of the gross sales price per share of Common Stock sold through the Agent under the Sales Agreement. The Corporation has also provided the Agent with customary indemnification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Common Stock pursuant to the Sales Agreement will terminate upon termination of the Sales Agreement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Sales Agreement is not complete and is qualified in its entirety by reference to the full text of the Sales Agreement, a copy of which is filed herewith as Exhibit 1.1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opinion of Foley Hoag LLP regarding the Common Stock to be sold under the Sales Agreement is filed as Exhibit 5.1 hereto.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shall not constitute an offer to sell or the solicitation of an offer to buy the Common Stock discussed herein, nor shall there be any offer, solicitation, or sale of common stock in any state in which such offer, solicitation or sale would be unlawful prior to registration or qualification under the securities laws of any such state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Exhibit 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23412dex11.htm">
              <w:r>
                <w:rPr>
                  <w:rStyle w:val="InternetLink"/>
                </w:rPr>
                <w:t xml:space="preserve">Open Market Sale AgreementSM dated July 2, 2026, by and between Enanta Pharmaceuticals, Inc. and Jefferies LLC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23412dex51.htm">
              <w:r>
                <w:rPr>
                  <w:rStyle w:val="InternetLink"/>
                </w:rPr>
                <w:t xml:space="preserve">Opinion of Foley Hoag LLP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23412dex51.htm">
              <w:r>
                <w:rPr>
                  <w:rStyle w:val="InternetLink"/>
                </w:rPr>
                <w:t xml:space="preserve">Consent of Foley Hoag LLP (included in Exhibit 5.1)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141" w:type="dxa"/>
        <w:jc w:val="left"/>
        <w:tblInd w:w="0" w:type="dxa"/>
        <w:tblLayout w:type="fixed"/>
        <w:tblCellMar>
          <w:top w:w="0" w:type="dxa"/>
          <w:left w:w="0" w:type="dxa"/>
          <w:bottom w:w="0" w:type="dxa"/>
          <w:right w:w="0" w:type="dxa"/>
        </w:tblCellMar>
      </w:tblPr>
      <w:tblGrid>
        <w:gridCol w:w="556"/>
        <w:gridCol w:w="879"/>
        <w:gridCol w:w="338"/>
        <w:gridCol w:w="60"/>
        <w:gridCol w:w="387"/>
        <w:gridCol w:w="63"/>
        <w:gridCol w:w="3858"/>
      </w:tblGrid>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pPr>
            <w:r>
              <w:rPr/>
              <w:t>Date: July 2, 2026</w:t>
            </w:r>
          </w:p>
        </w:tc>
        <w:tc>
          <w:tcPr>
            <w:tcW w:w="60"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b/>
              </w:rPr>
            </w:pPr>
            <w:r>
              <w:rPr>
                <w:b/>
              </w:rPr>
              <w:t>ENANTA PHARMACEUTICALS, INC.</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217" w:type="dxa"/>
            <w:gridSpan w:val="2"/>
            <w:tcBorders/>
            <w:vAlign w:val="center"/>
          </w:tcPr>
          <w:p>
            <w:pPr>
              <w:pStyle w:val="TableContents"/>
              <w:bidi w:val="0"/>
              <w:spacing w:before="0" w:after="283"/>
              <w:jc w:val="left"/>
              <w:rPr>
                <w:sz w:val="4"/>
                <w:szCs w:val="4"/>
              </w:rPr>
            </w:pPr>
            <w:r>
              <w:rPr>
                <w:sz w:val="4"/>
                <w:szCs w:val="4"/>
              </w:rPr>
            </w:r>
          </w:p>
        </w:tc>
        <w:tc>
          <w:tcPr>
            <w:tcW w:w="447" w:type="dxa"/>
            <w:gridSpan w:val="2"/>
            <w:tcBorders/>
            <w:vAlign w:val="center"/>
          </w:tcPr>
          <w:p>
            <w:pPr>
              <w:pStyle w:val="TableContents"/>
              <w:bidi w:val="0"/>
              <w:spacing w:before="0" w:after="283"/>
              <w:jc w:val="left"/>
              <w:rPr>
                <w:sz w:val="4"/>
                <w:szCs w:val="4"/>
              </w:rPr>
            </w:pPr>
            <w:r>
              <w:rPr>
                <w:sz w:val="4"/>
                <w:szCs w:val="4"/>
              </w:rPr>
            </w:r>
          </w:p>
        </w:tc>
        <w:tc>
          <w:tcPr>
            <w:tcW w:w="3921"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By:</w:t>
            </w:r>
          </w:p>
        </w:tc>
        <w:tc>
          <w:tcPr>
            <w:tcW w:w="63" w:type="dxa"/>
            <w:tcBorders/>
            <w:vAlign w:val="center"/>
          </w:tcPr>
          <w:p>
            <w:pPr>
              <w:pStyle w:val="TableContents"/>
              <w:bidi w:val="0"/>
              <w:spacing w:before="0" w:after="283"/>
              <w:jc w:val="left"/>
              <w:rPr/>
            </w:pPr>
            <w:r>
              <w:rPr/>
              <w:t> </w:t>
            </w:r>
          </w:p>
        </w:tc>
        <w:tc>
          <w:tcPr>
            <w:tcW w:w="385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Jay R. Luly, Ph.D.</w:t>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pPr>
            <w:r>
              <w:rPr/>
              <w:t> </w:t>
            </w:r>
          </w:p>
        </w:tc>
        <w:tc>
          <w:tcPr>
            <w:tcW w:w="3858" w:type="dxa"/>
            <w:tcBorders/>
            <w:vAlign w:val="center"/>
          </w:tcPr>
          <w:p>
            <w:pPr>
              <w:pStyle w:val="TableContents"/>
              <w:bidi w:val="0"/>
              <w:spacing w:before="0" w:after="283"/>
              <w:jc w:val="left"/>
              <w:rPr/>
            </w:pPr>
            <w:r>
              <w:rPr/>
              <w:t>Jay R. Luly, Ph.D.</w:t>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pPr>
            <w:r>
              <w:rPr/>
              <w:t> </w:t>
            </w:r>
          </w:p>
        </w:tc>
        <w:tc>
          <w:tcPr>
            <w:tcW w:w="3858"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23412dex11.htm"/>
      <w:bookmarkStart w:id="3" w:name="ksd123412dex11"/>
      <w:bookmarkEnd w:id="2"/>
      <w:bookmarkEnd w:id="3"/>
      <w:r>
        <w:rPr>
          <w:rFonts w:ascii="Times New Roman" w:hAnsi="Times New Roman"/>
          <w:b/>
          <w:sz w:val="20"/>
        </w:rPr>
        <w:t xml:space="preserve">Exhibit 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OPEN MARKET SALE AGREEMENTSM </w:t>
      </w:r>
    </w:p>
    <w:p>
      <w:pPr>
        <w:pStyle w:val="TextBody"/>
        <w:bidi w:val="0"/>
        <w:spacing w:before="240" w:after="0"/>
        <w:jc w:val="right"/>
        <w:rPr>
          <w:rFonts w:ascii="Times New Roman" w:hAnsi="Times New Roman"/>
          <w:sz w:val="20"/>
        </w:rPr>
      </w:pPr>
      <w:r>
        <w:rPr>
          <w:rFonts w:ascii="Times New Roman" w:hAnsi="Times New Roman"/>
          <w:sz w:val="20"/>
        </w:rPr>
        <w:t xml:space="preserve">July 2,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Enanta Pharmaceuticals, Inc., a Delaware corporation (the “</w:t>
      </w:r>
      <w:r>
        <w:rPr>
          <w:rFonts w:ascii="Times New Roman" w:hAnsi="Times New Roman"/>
          <w:b/>
          <w:sz w:val="20"/>
        </w:rPr>
        <w:t>Company</w:t>
      </w:r>
      <w:r>
        <w:rPr>
          <w:rFonts w:ascii="Times New Roman" w:hAnsi="Times New Roman"/>
          <w:sz w:val="20"/>
        </w:rPr>
        <w:t>”), proposes, subject to the terms and conditions stated herein, to issue and sell from time to time through Jefferies LLC, as sales agent and/or principal (the “</w:t>
      </w:r>
      <w:r>
        <w:rPr>
          <w:rFonts w:ascii="Times New Roman" w:hAnsi="Times New Roman"/>
          <w:b/>
          <w:sz w:val="20"/>
        </w:rPr>
        <w:t>Agent</w:t>
      </w:r>
      <w:r>
        <w:rPr>
          <w:rFonts w:ascii="Times New Roman" w:hAnsi="Times New Roman"/>
          <w:sz w:val="20"/>
        </w:rPr>
        <w:t>”), shares of the Company’s common stock, par value $0.01 per share (the “</w:t>
      </w:r>
      <w:r>
        <w:rPr>
          <w:rFonts w:ascii="Times New Roman" w:hAnsi="Times New Roman"/>
          <w:b/>
          <w:sz w:val="20"/>
        </w:rPr>
        <w:t>Common Shares</w:t>
      </w:r>
      <w:r>
        <w:rPr>
          <w:rFonts w:ascii="Times New Roman" w:hAnsi="Times New Roman"/>
          <w:sz w:val="20"/>
        </w:rPr>
        <w:t>”), on the terms set forth in this agreement (this “</w:t>
      </w:r>
      <w:r>
        <w:rPr>
          <w:rFonts w:ascii="Times New Roman" w:hAnsi="Times New Roman"/>
          <w:b/>
          <w:sz w:val="20"/>
        </w:rPr>
        <w:t>Agreement</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 DEFINITIONS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xml:space="preserve">. For purposes of this Agreement, capitalized terms used herein and not otherwise defined shall have the following respective meanings: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w:t>
      </w:r>
    </w:p>
    <w:p>
      <w:pPr>
        <w:pStyle w:val="TextBody"/>
        <w:bidi w:val="0"/>
        <w:spacing w:before="240" w:after="0"/>
        <w:jc w:val="left"/>
        <w:rPr/>
      </w:pPr>
      <w:r>
        <w:rPr/>
        <w:t>“</w:t>
      </w:r>
      <w:r>
        <w:rPr>
          <w:rFonts w:ascii="Times New Roman" w:hAnsi="Times New Roman"/>
          <w:b/>
          <w:sz w:val="20"/>
        </w:rPr>
        <w:t>Agency Period</w:t>
      </w:r>
      <w:r>
        <w:rPr>
          <w:rFonts w:ascii="Times New Roman" w:hAnsi="Times New Roman"/>
          <w:sz w:val="20"/>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of the Commission thereunder. </w:t>
      </w:r>
    </w:p>
    <w:p>
      <w:pPr>
        <w:pStyle w:val="TextBody"/>
        <w:bidi w:val="0"/>
        <w:spacing w:before="240" w:after="0"/>
        <w:jc w:val="left"/>
        <w:rPr/>
      </w:pPr>
      <w:r>
        <w:rPr/>
        <w:t>“</w:t>
      </w:r>
      <w:r>
        <w:rPr>
          <w:rFonts w:ascii="Times New Roman" w:hAnsi="Times New Roman"/>
          <w:b/>
          <w:sz w:val="20"/>
        </w:rPr>
        <w:t>Floor Price</w:t>
      </w:r>
      <w:r>
        <w:rPr>
          <w:rFonts w:ascii="Times New Roman" w:hAnsi="Times New Roman"/>
          <w:sz w:val="20"/>
        </w:rPr>
        <w:t xml:space="preserve">”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34"/>
        <w:gridCol w:w="9771"/>
      </w:tblGrid>
      <w:tr>
        <w:trPr/>
        <w:tc>
          <w:tcPr>
            <w:tcW w:w="434" w:type="dxa"/>
            <w:tcBorders/>
          </w:tcPr>
          <w:p>
            <w:pPr>
              <w:pStyle w:val="TableContents"/>
              <w:bidi w:val="0"/>
              <w:spacing w:before="0" w:after="283"/>
              <w:jc w:val="left"/>
              <w:rPr/>
            </w:pPr>
            <w:r>
              <w:rPr/>
              <w:t>SM </w:t>
            </w:r>
          </w:p>
        </w:tc>
        <w:tc>
          <w:tcPr>
            <w:tcW w:w="9771" w:type="dxa"/>
            <w:tcBorders/>
          </w:tcPr>
          <w:p>
            <w:pPr>
              <w:pStyle w:val="TableContents"/>
              <w:bidi w:val="0"/>
              <w:spacing w:before="0" w:after="0"/>
              <w:jc w:val="left"/>
              <w:rPr/>
            </w:pPr>
            <w:r>
              <w:rPr/>
              <w:t>“</w:t>
            </w:r>
            <w:r>
              <w:rPr>
                <w:rFonts w:ascii="Times New Roman" w:hAnsi="Times New Roman"/>
                <w:sz w:val="20"/>
              </w:rPr>
              <w:t xml:space="preserve">Open Market Sale Agreement” is a service mark of Jefferies LLC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rPr>
        <w:t>Issuance Amount</w:t>
      </w:r>
      <w:r>
        <w:rPr>
          <w:rFonts w:ascii="Times New Roman" w:hAnsi="Times New Roman"/>
          <w:sz w:val="20"/>
        </w:rPr>
        <w:t xml:space="preserve">” means the aggregate Sales Price of the Shares to be sold by the Agent pursuant to any Issuance Notice. </w:t>
      </w:r>
    </w:p>
    <w:p>
      <w:pPr>
        <w:pStyle w:val="TextBody"/>
        <w:bidi w:val="0"/>
        <w:spacing w:before="240" w:after="0"/>
        <w:jc w:val="left"/>
        <w:rPr/>
      </w:pPr>
      <w:r>
        <w:rPr/>
        <w:t>“</w:t>
      </w:r>
      <w:r>
        <w:rPr>
          <w:rFonts w:ascii="Times New Roman" w:hAnsi="Times New Roman"/>
          <w:b/>
          <w:sz w:val="20"/>
        </w:rPr>
        <w:t>Issuance Notice</w:t>
      </w:r>
      <w:r>
        <w:rPr>
          <w:rFonts w:ascii="Times New Roman" w:hAnsi="Times New Roman"/>
          <w:sz w:val="20"/>
        </w:rPr>
        <w:t xml:space="preserve">” means a written notice delivered to the Agent by the Company in accordance with this Agreement in the form attached hereto as Exhibit A that is executed by its Chief Executive Officer, President, Chief Financial Officer, Principal Financial Officer or Chief Legal Officer. </w:t>
      </w:r>
    </w:p>
    <w:p>
      <w:pPr>
        <w:pStyle w:val="TextBody"/>
        <w:bidi w:val="0"/>
        <w:spacing w:before="240" w:after="0"/>
        <w:jc w:val="left"/>
        <w:rPr/>
      </w:pPr>
      <w:r>
        <w:rPr/>
        <w:t>“</w:t>
      </w:r>
      <w:r>
        <w:rPr>
          <w:rFonts w:ascii="Times New Roman" w:hAnsi="Times New Roman"/>
          <w:b/>
          <w:sz w:val="20"/>
        </w:rPr>
        <w:t>Issuance Notice Date</w:t>
      </w:r>
      <w:r>
        <w:rPr>
          <w:rFonts w:ascii="Times New Roman" w:hAnsi="Times New Roman"/>
          <w:sz w:val="20"/>
        </w:rPr>
        <w:t xml:space="preserve">” means any Trading Day during the Agency Period that an Issuance Notice is delivered pursuant to </w:t>
      </w:r>
      <w:r>
        <w:rPr>
          <w:rFonts w:ascii="Times New Roman" w:hAnsi="Times New Roman"/>
          <w:sz w:val="20"/>
          <w:u w:val="single"/>
        </w:rPr>
        <w:t>Section 3(b)(i)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Issuance Price</w:t>
      </w:r>
      <w:r>
        <w:rPr>
          <w:rFonts w:ascii="Times New Roman" w:hAnsi="Times New Roman"/>
          <w:sz w:val="20"/>
        </w:rPr>
        <w:t xml:space="preserve">” means the Sales Price less the Selling Commission. </w:t>
      </w:r>
    </w:p>
    <w:p>
      <w:pPr>
        <w:pStyle w:val="TextBody"/>
        <w:bidi w:val="0"/>
        <w:spacing w:before="240" w:after="0"/>
        <w:jc w:val="left"/>
        <w:rPr/>
      </w:pPr>
      <w:r>
        <w:rPr/>
        <w:t>“</w:t>
      </w:r>
      <w:r>
        <w:rPr>
          <w:rFonts w:ascii="Times New Roman" w:hAnsi="Times New Roman"/>
          <w:b/>
          <w:sz w:val="20"/>
        </w:rPr>
        <w:t>Maximum Program Amount</w:t>
      </w:r>
      <w:r>
        <w:rPr>
          <w:rFonts w:ascii="Times New Roman" w:hAnsi="Times New Roman"/>
          <w:sz w:val="20"/>
        </w:rPr>
        <w:t xml:space="preserve">”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or a corporation, partnership, limited liability company, trust, incorporated or unincorporated association, joint venture, joint stock company, governmental authority or other entity of any kind. </w:t>
      </w:r>
    </w:p>
    <w:p>
      <w:pPr>
        <w:pStyle w:val="TextBody"/>
        <w:bidi w:val="0"/>
        <w:spacing w:before="240" w:after="0"/>
        <w:jc w:val="left"/>
        <w:rPr/>
      </w:pPr>
      <w:r>
        <w:rPr/>
        <w:t>“</w:t>
      </w:r>
      <w:r>
        <w:rPr>
          <w:rFonts w:ascii="Times New Roman" w:hAnsi="Times New Roman"/>
          <w:b/>
          <w:sz w:val="20"/>
        </w:rPr>
        <w:t>Principal Market</w:t>
      </w:r>
      <w:r>
        <w:rPr>
          <w:rFonts w:ascii="Times New Roman" w:hAnsi="Times New Roman"/>
          <w:sz w:val="20"/>
        </w:rPr>
        <w:t xml:space="preserve">” means the Nasdaq Global Select Market or such other national securities exchange on which the Common Shares, including any Shares, are then listed. </w:t>
      </w:r>
    </w:p>
    <w:p>
      <w:pPr>
        <w:pStyle w:val="TextBody"/>
        <w:bidi w:val="0"/>
        <w:spacing w:before="240" w:after="0"/>
        <w:jc w:val="left"/>
        <w:rPr/>
      </w:pPr>
      <w:r>
        <w:rPr/>
        <w:t>“</w:t>
      </w:r>
      <w:r>
        <w:rPr>
          <w:rFonts w:ascii="Times New Roman" w:hAnsi="Times New Roman"/>
          <w:b/>
          <w:sz w:val="20"/>
        </w:rPr>
        <w:t>Rule 462(b) Registration Statement</w:t>
      </w:r>
      <w:r>
        <w:rPr>
          <w:rFonts w:ascii="Times New Roman" w:hAnsi="Times New Roman"/>
          <w:sz w:val="20"/>
        </w:rPr>
        <w:t xml:space="preserve">” means any registration statement filed by the Company pursuant to Rule 462(b) under the Securities Act in connection with the offer and sale of Shares. </w:t>
      </w:r>
    </w:p>
    <w:p>
      <w:pPr>
        <w:pStyle w:val="TextBody"/>
        <w:bidi w:val="0"/>
        <w:spacing w:before="240" w:after="0"/>
        <w:jc w:val="left"/>
        <w:rPr/>
      </w:pPr>
      <w:r>
        <w:rPr/>
        <w:t>“</w:t>
      </w:r>
      <w:r>
        <w:rPr>
          <w:rFonts w:ascii="Times New Roman" w:hAnsi="Times New Roman"/>
          <w:b/>
          <w:sz w:val="20"/>
        </w:rPr>
        <w:t>Sales Price</w:t>
      </w:r>
      <w:r>
        <w:rPr>
          <w:rFonts w:ascii="Times New Roman" w:hAnsi="Times New Roman"/>
          <w:sz w:val="20"/>
        </w:rPr>
        <w:t xml:space="preserve">” means the actual sale execution price of each Share placed by the Agent pursuant to this Agreement.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of the Commission thereunder. </w:t>
      </w:r>
    </w:p>
    <w:p>
      <w:pPr>
        <w:pStyle w:val="TextBody"/>
        <w:bidi w:val="0"/>
        <w:spacing w:before="240" w:after="0"/>
        <w:jc w:val="left"/>
        <w:rPr/>
      </w:pPr>
      <w:r>
        <w:rPr/>
        <w:t>“</w:t>
      </w:r>
      <w:r>
        <w:rPr>
          <w:rFonts w:ascii="Times New Roman" w:hAnsi="Times New Roman"/>
          <w:b/>
          <w:sz w:val="20"/>
        </w:rPr>
        <w:t>Selling Commission</w:t>
      </w:r>
      <w:r>
        <w:rPr>
          <w:rFonts w:ascii="Times New Roman" w:hAnsi="Times New Roman"/>
          <w:sz w:val="20"/>
        </w:rPr>
        <w:t xml:space="preserve">” means up to three percent (3.0%) of the gross proceeds of Shares sold pursuant to this Agreement, or as otherwise agreed between the Company and the Agent with respect to any Shares sold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Settlement Date</w:t>
      </w:r>
      <w:r>
        <w:rPr>
          <w:rFonts w:ascii="Times New Roman" w:hAnsi="Times New Roman"/>
          <w:sz w:val="20"/>
        </w:rPr>
        <w:t xml:space="preserve">” means the first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shall mean the Company’s Common Shares issued or issuable pursuant to this Agreement.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day on which the Principal Market is open for trading.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 REPRESENTATIONS AND WARRANTIES OF THE COMPANY </w:t>
      </w:r>
    </w:p>
    <w:p>
      <w:pPr>
        <w:pStyle w:val="TextBody"/>
        <w:bidi w:val="0"/>
        <w:spacing w:before="120" w:after="0"/>
        <w:jc w:val="left"/>
        <w:rPr>
          <w:rFonts w:ascii="Times New Roman" w:hAnsi="Times New Roman"/>
          <w:sz w:val="20"/>
        </w:rPr>
      </w:pPr>
      <w:r>
        <w:rPr>
          <w:rFonts w:ascii="Times New Roman" w:hAnsi="Times New Roman"/>
          <w:sz w:val="20"/>
        </w:rPr>
        <w:t>The Company represents and warrants to, and agrees with, the Agent that as of (1) the date of this Agreement, (2) each Issuance Notice Date, (3) each Settlement Date, (4) each Triggering Event Date (as defined below) and (5) each Time of Sale (as defined below) (each of the times referenced above is referred to herein as a “</w:t>
      </w:r>
      <w:r>
        <w:rPr>
          <w:rFonts w:ascii="Times New Roman" w:hAnsi="Times New Roman"/>
          <w:b/>
          <w:sz w:val="20"/>
        </w:rPr>
        <w:t>Representation Date</w:t>
      </w:r>
      <w:r>
        <w:rPr>
          <w:rFonts w:ascii="Times New Roman" w:hAnsi="Times New Roman"/>
          <w:sz w:val="20"/>
        </w:rPr>
        <w:t xml:space="preserve">”), except as may be disclosed in the Prospectus (including any documents incorporated by reference therein and any supplements thereto) on or before a Representation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w:t>
      </w:r>
      <w:r>
        <w:rPr>
          <w:rFonts w:ascii="Times New Roman" w:hAnsi="Times New Roman"/>
          <w:sz w:val="20"/>
        </w:rPr>
        <w:t>. The Company has filed with the Commission a shelf registration statement on Form S-3 (File No. 333-293390)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hAnsi="Times New Roman"/>
          <w:b/>
          <w:sz w:val="20"/>
        </w:rPr>
        <w:t>Registration Statement,</w:t>
      </w:r>
      <w:r>
        <w:rPr>
          <w:rFonts w:ascii="Times New Roman" w:hAnsi="Times New Roman"/>
          <w:sz w:val="20"/>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hAnsi="Times New Roman"/>
          <w:b/>
          <w:sz w:val="20"/>
        </w:rPr>
        <w:t>Prospectus,</w:t>
      </w:r>
      <w:r>
        <w:rPr>
          <w:rFonts w:ascii="Times New Roman" w:hAnsi="Times New Roman"/>
          <w:sz w:val="20"/>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hAnsi="Times New Roman"/>
          <w:b/>
          <w:sz w:val="20"/>
        </w:rPr>
        <w:t>Prospectus</w:t>
      </w:r>
      <w:r>
        <w:rPr>
          <w:rFonts w:ascii="Times New Roman" w:hAnsi="Times New Roman"/>
          <w:sz w:val="20"/>
        </w:rPr>
        <w:t>” shall refer to such revised prospectus from and after the time it is first provided to the Agent for such use. The Registration Statement at the time it originally became effective is herein called the “</w:t>
      </w:r>
      <w:r>
        <w:rPr>
          <w:rFonts w:ascii="Times New Roman" w:hAnsi="Times New Roman"/>
          <w:b/>
          <w:sz w:val="20"/>
        </w:rPr>
        <w:t>Original Registration Statement.</w:t>
      </w:r>
      <w:r>
        <w:rPr>
          <w:rFonts w:ascii="Times New Roman" w:hAnsi="Times New Roman"/>
          <w:sz w:val="20"/>
        </w:rPr>
        <w:t xml:space="preserve">”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At the time the Original Registration Statement became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Registration Requirements</w:t>
      </w:r>
      <w:r>
        <w:rPr>
          <w:rFonts w:ascii="Times New Roman" w:hAnsi="Times New Roman"/>
          <w:sz w:val="20"/>
        </w:rPr>
        <w:t xml:space="preserve">. The Original Registration Statement and any Rule 462(b) Registration Statement have been declared or deemed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The Prospectus when filed complied or will comply in all material respects with the Securities Act and, if filed with the Commission through its Electronic Data Gathering, Analysis and Retrieval system (“</w:t>
      </w:r>
      <w:r>
        <w:rPr>
          <w:rFonts w:ascii="Times New Roman" w:hAnsi="Times New Roman"/>
          <w:b/>
          <w:sz w:val="20"/>
        </w:rPr>
        <w:t>EDGAR</w:t>
      </w:r>
      <w:r>
        <w:rPr>
          <w:rFonts w:ascii="Times New Roman" w:hAnsi="Times New Roman"/>
          <w:sz w:val="20"/>
        </w:rPr>
        <w:t>”)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hAnsi="Times New Roman"/>
          <w:b/>
          <w:sz w:val="20"/>
        </w:rPr>
        <w:t>Time of Sale Information</w:t>
      </w:r>
      <w:r>
        <w:rPr>
          <w:rFonts w:ascii="Times New Roman" w:hAnsi="Times New Roman"/>
          <w:sz w:val="20"/>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 w:hAnsi="Times New Roman"/>
          <w:sz w:val="20"/>
          <w:u w:val="single"/>
        </w:rPr>
        <w:t>Section 6</w:t>
      </w:r>
      <w:r>
        <w:rPr>
          <w:rFonts w:ascii="Times New Roman" w:hAnsi="Times New Roman"/>
          <w:sz w:val="20"/>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Ineligible Issuer Status</w:t>
      </w:r>
      <w:r>
        <w:rPr>
          <w:rFonts w:ascii="Times New Roman" w:hAnsi="Times New Roman"/>
          <w:sz w:val="20"/>
        </w:rPr>
        <w:t xml:space="preserve">.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such consent not to be unreasonably withheld, conditioned or delayed, prepare, use or refer to, any Free Writing Prospectus.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Incorporated Documents</w:t>
      </w:r>
      <w:r>
        <w:rPr>
          <w:rFonts w:ascii="Times New Roman" w:hAnsi="Times New Roman"/>
          <w:sz w:val="20"/>
        </w:rPr>
        <w:t xml:space="preserve">. The documents incorporated by reference in the Registration Statement and the Prospectus,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and the Prospectus,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Financial Statements</w:t>
      </w:r>
      <w:r>
        <w:rPr>
          <w:rFonts w:ascii="Times New Roman" w:hAnsi="Times New Roman"/>
          <w:sz w:val="20"/>
        </w:rPr>
        <w:t>. The financial statements (including the related notes thereto) of the Company and its consolidated subsidiary included or incorporated by reference in the Registration Statement and the Prospectus comply in all material respects with the applicable requirements of the Securities Act and the Exchange Act, as applicable, and present fairly in all material respects the financial position of the Company and its consolidated subsidiary as of the dates indicated and the results of their operations and the changes in their cash flows for the periods specified; such financial statements have been prepared in conformity with generally accepted accounting principles (“</w:t>
      </w:r>
      <w:r>
        <w:rPr>
          <w:rFonts w:ascii="Times New Roman" w:hAnsi="Times New Roman"/>
          <w:b/>
          <w:sz w:val="20"/>
        </w:rPr>
        <w:t>GAAP</w:t>
      </w:r>
      <w:r>
        <w:rPr>
          <w:rFonts w:ascii="Times New Roman" w:hAnsi="Times New Roman"/>
          <w:sz w:val="20"/>
        </w:rPr>
        <w:t xml:space="preserve">”) in the United States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and the Prospectus has been derived from the accounting records of the Company and its consolidated subsidiary and presents fairly in all material respects the information shown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Material Adverse Change</w:t>
      </w:r>
      <w:r>
        <w:rPr>
          <w:rFonts w:ascii="Times New Roman" w:hAnsi="Times New Roman"/>
          <w:sz w:val="20"/>
        </w:rPr>
        <w:t xml:space="preserve">. Since the date of the most recent financial statements of the Company included or incorporated by reference in the Registration Statement and the Prospectus, (i) there has not been any change in the capital stock (other than the issuance of Common Shares upon exercise of stock options described as outstanding in, and the grant of options and the grant, vesting and settlement of awards under existing equity incentive plans described in, the Registration Statement and the Prospectus), short-term debt or long-term debt of the Company or its subsidiary,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subsidiary taken as a whole; (ii) neither the Company nor its subsidiary has entered into any transaction or agreement (whether or not in the ordinary course of business) that is material to the Company and its subsidiary taken as a whole or incurred any liability or obligation, direct or contingent, that is material to the Company and its subsidiary taken as a whole; and (iii) neither the Company nor its subsidiary has sustained any loss or interference with its business that is material to the Company and its subsidiary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Organization and Good Standing</w:t>
      </w:r>
      <w:r>
        <w:rPr>
          <w:rFonts w:ascii="Times New Roman" w:hAnsi="Times New Roman"/>
          <w:sz w:val="20"/>
        </w:rPr>
        <w:t>. The Company and its subsidiary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reasonably be expected to have a material adverse effect on the business, properties, management, financial position, stockholders’ equity, results of operations or prospects of the Company and its subsidiary taken as a whole or on the performance by the Company of its obligations under this Agreement (a “</w:t>
      </w:r>
      <w:r>
        <w:rPr>
          <w:rFonts w:ascii="Times New Roman" w:hAnsi="Times New Roman"/>
          <w:b/>
          <w:sz w:val="20"/>
        </w:rPr>
        <w:t>Material Adverse Effect</w:t>
      </w:r>
      <w:r>
        <w:rPr>
          <w:rFonts w:ascii="Times New Roman" w:hAnsi="Times New Roman"/>
          <w:sz w:val="20"/>
        </w:rPr>
        <w:t xml:space="preserve">”). The Company does not own or control, directly or indirectly, any corporation, association or other entity other than as disclosed in Exhibit 21.1 to the Company’s most recent Annual Report on Form 10-K.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Capitalization</w:t>
      </w:r>
      <w:r>
        <w:rPr>
          <w:rFonts w:ascii="Times New Roman" w:hAnsi="Times New Roman"/>
          <w:sz w:val="20"/>
        </w:rPr>
        <w:t>. The Company has an authorized capitalization as set forth in the Registration Statement and the Prospectus under the heading “</w:t>
      </w:r>
      <w:r>
        <w:rPr>
          <w:rFonts w:ascii="Times New Roman" w:hAnsi="Times New Roman"/>
          <w:b/>
          <w:sz w:val="20"/>
        </w:rPr>
        <w:t>Description of Capital Stock</w:t>
      </w:r>
      <w:r>
        <w:rPr>
          <w:rFonts w:ascii="Times New Roman" w:hAnsi="Times New Roman"/>
          <w:sz w:val="20"/>
        </w:rPr>
        <w:t xml:space="preserve">”; all the outstanding shares of capital stock of the Company have been duly and validly authorized and issued and are fully paid and non-assessable and are not subject to any pre-emptive or similar rights; except as described in or expressly contemplated by the Registration Statement and the Prospectus, there are no outstanding rights (including, without limitation, pre-emptive rights), warrants or options to acquire, or instruments convertible into or exchangeable for, any shares of capital stock or other equity interest in the Company or its subsidiary,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Stock Options</w:t>
      </w:r>
      <w:r>
        <w:rPr>
          <w:rFonts w:ascii="Times New Roman" w:hAnsi="Times New Roman"/>
          <w:sz w:val="20"/>
        </w:rPr>
        <w:t>. With respect to the stock options (the “</w:t>
      </w:r>
      <w:r>
        <w:rPr>
          <w:rFonts w:ascii="Times New Roman" w:hAnsi="Times New Roman"/>
          <w:b/>
          <w:sz w:val="20"/>
        </w:rPr>
        <w:t>Stock Options</w:t>
      </w:r>
      <w:r>
        <w:rPr>
          <w:rFonts w:ascii="Times New Roman" w:hAnsi="Times New Roman"/>
          <w:sz w:val="20"/>
        </w:rPr>
        <w:t>”) granted pursuant to the stock-based compensation plans of the Company and its subsidiary (the “</w:t>
      </w:r>
      <w:r>
        <w:rPr>
          <w:rFonts w:ascii="Times New Roman" w:hAnsi="Times New Roman"/>
          <w:b/>
          <w:sz w:val="20"/>
        </w:rPr>
        <w:t>Company Stock Plans</w:t>
      </w:r>
      <w:r>
        <w:rPr>
          <w:rFonts w:ascii="Times New Roman" w:hAnsi="Times New Roman"/>
          <w:sz w:val="20"/>
        </w:rPr>
        <w:t>”), except as would not, individually or in the aggregate, reasonably be expected to have a Material Adverse Effect, (i) each Stock Option intended to qualify as an “incentive stock option” under Section 422 of the Internal Revenue Code of 1986, as amended, and the regulations and published interpretations thereunder (the “</w:t>
      </w:r>
      <w:r>
        <w:rPr>
          <w:rFonts w:ascii="Times New Roman" w:hAnsi="Times New Roman"/>
          <w:b/>
          <w:sz w:val="20"/>
        </w:rPr>
        <w:t>Code</w:t>
      </w:r>
      <w:r>
        <w:rPr>
          <w:rFonts w:ascii="Times New Roman" w:hAnsi="Times New Roman"/>
          <w:sz w:val="20"/>
        </w:rPr>
        <w:t xml:space="preserve">”)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Principal Market and any other exchange on which Company securities are traded, and (iv) each such grant was properly accounted for in accordance with GAAP in the financial statements (including the related notes) of the Company and disclosed in the Company’s filings with the Commission in accordance with the Exchange Act and all other applicable laws.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subsidiary or their results of operations or prospects.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Due Authorization</w:t>
      </w:r>
      <w:r>
        <w:rPr>
          <w:rFonts w:ascii="Times New Roman" w:hAnsi="Times New Roman"/>
          <w:sz w:val="20"/>
        </w:rPr>
        <w:t xml:space="preserve">.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This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The Shares</w:t>
      </w:r>
      <w:r>
        <w:rPr>
          <w:rFonts w:ascii="Times New Roman" w:hAnsi="Times New Roman"/>
          <w:sz w:val="20"/>
        </w:rPr>
        <w:t xml:space="preserve">. The Shares to be issued and sold by the Company hereunder have been duly authorized by the Company and, when issued and delivered and paid for as provided herein, will be duly and validly issued, will be fully paid and nonassessable and will conform to the descriptions thereof in the Registration Statement and the Prospectus; and the issuance of the Shares is not subject to any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Description of this Agreement</w:t>
      </w:r>
      <w:r>
        <w:rPr>
          <w:rFonts w:ascii="Times New Roman" w:hAnsi="Times New Roman"/>
          <w:sz w:val="20"/>
        </w:rPr>
        <w:t xml:space="preserve">. This Agreement conforms in all material respects to the description thereof contained in the Registration Statement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No Violation or Default</w:t>
      </w:r>
      <w:r>
        <w:rPr>
          <w:rFonts w:ascii="Times New Roman" w:hAnsi="Times New Roman"/>
          <w:sz w:val="20"/>
        </w:rPr>
        <w:t xml:space="preserve">. Neither the Company nor its subsidiary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its subsidiary is a party or by which the Company or its subsidiary is bound or to which any property or asset of the Company or its subsidiary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No Conflicts</w:t>
      </w:r>
      <w:r>
        <w:rPr>
          <w:rFonts w:ascii="Times New Roman" w:hAnsi="Times New Roman"/>
          <w:sz w:val="20"/>
        </w:rPr>
        <w:t xml:space="preserve">. The execution, delivery and performance by the Company of this Agreement, the issuance and sale of the Shares and the consummation of the transactions contemplated by this Agreement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its subsidiary pursuant to, any indenture, mortgage, deed of trust, loan agreement or other agreement or instrument to which the Company or its subsidiary is a party or by which the Company or its subsidiary is bound or to which any property, right or asset of the Company or its subsidiary is subject, (ii) result in any violation of the provisions of the charter or by-laws or similar organizational documents of the Company or its subsidiary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No Consents Required</w:t>
      </w:r>
      <w:r>
        <w:rPr>
          <w:rFonts w:ascii="Times New Roman" w:hAnsi="Times New Roman"/>
          <w:sz w:val="20"/>
        </w:rPr>
        <w:t>. No consent, approval, authorization, order, registration or qualification of or with any court or arbitrator or governmental or regulatory authority is required for the execution, delivery and performance by the Company of this Agreement, the issuance and sale of the Shares and the consummation of the transactions contemplated by this Agreement, except for the registration of the Shares under the Securities Act and such consents, approvals, authorizations, orders and registrations or qualifications as may be required by the Financial Industry Regulatory Authority, Inc. (“</w:t>
      </w:r>
      <w:r>
        <w:rPr>
          <w:rFonts w:ascii="Times New Roman" w:hAnsi="Times New Roman"/>
          <w:b/>
          <w:sz w:val="20"/>
        </w:rPr>
        <w:t>FINRA</w:t>
      </w:r>
      <w:r>
        <w:rPr>
          <w:rFonts w:ascii="Times New Roman" w:hAnsi="Times New Roman"/>
          <w:sz w:val="20"/>
        </w:rPr>
        <w:t xml:space="preserve">”), the Principal Market and under applicable state securities laws in connection with the purchase and distribution of the Shares by the Agent.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Legal Proceedings</w:t>
      </w:r>
      <w:r>
        <w:rPr>
          <w:rFonts w:ascii="Times New Roman" w:hAnsi="Times New Roman"/>
          <w:sz w:val="20"/>
        </w:rPr>
        <w:t>. Except as described in the Registration Statement and the Prospectus, there are no legal, governmental or regulatory investigations, actions, demands, claims, suits, arbitrations, inquiries or proceedings (“</w:t>
      </w:r>
      <w:r>
        <w:rPr>
          <w:rFonts w:ascii="Times New Roman" w:hAnsi="Times New Roman"/>
          <w:b/>
          <w:sz w:val="20"/>
        </w:rPr>
        <w:t>Actions</w:t>
      </w:r>
      <w:r>
        <w:rPr>
          <w:rFonts w:ascii="Times New Roman" w:hAnsi="Times New Roman"/>
          <w:sz w:val="20"/>
        </w:rPr>
        <w:t xml:space="preserve">”) pending to which the Company or its subsidiary is or may be a party or to which any property of the Company or its subsidiary is or may be the subject that, individually or in the aggregate, if determined adversely to the Company or its subsidiary, would reasonably be expected to have a Material Adverse Effect; and no such Actions are threatened or, to the knowledge of the Company, contemplated by any governmental or regulatory authority or threatened by others; and (i) there are no current or pending Actions that are required under the Securities Act to be described in the Registration Statement or the Prospectus that are not so described in the Registration Statement and the Prospectus and (ii) there are no statutes, regulations or contracts or other documents that are required under the Securities Act to be filed as exhibits to the Registration Statement or described in the Registration Statement or the Prospectus that are not so filed as exhibits to the Registration Statement or described in the Registration Statement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Independent Accountants</w:t>
      </w:r>
      <w:r>
        <w:rPr>
          <w:rFonts w:ascii="Times New Roman" w:hAnsi="Times New Roman"/>
          <w:sz w:val="20"/>
        </w:rPr>
        <w:t xml:space="preserve">. PricewaterhouseCoopers LLP, who has expressed its opinion with respect to certain financial statements of the Company and its subsidiary, is an independent registered public accounting firm with respect to the Company and its subsidiary within the applicable rules and regulations adopted by the Commission and the Public Company Accounting Oversight Board (United States) and as required by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Title to Real and Personal Property</w:t>
      </w:r>
      <w:r>
        <w:rPr>
          <w:rFonts w:ascii="Times New Roman" w:hAnsi="Times New Roman"/>
          <w:sz w:val="20"/>
        </w:rPr>
        <w:t xml:space="preserve">. The Company and its subsidiary have good and marketable title in fee simple to, or have valid rights to lease or otherwise use, all items of real and personal property that are material to the respective businesses of the Company and its subsidiary, in each case free and clear of all liens, encumbrances, claims and defects and imperfections of title except those that (i) do not materially interfere with the use made and proposed to be made of such property by the Company and its subsidiary or (ii)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Intellectual Property</w:t>
      </w:r>
      <w:r>
        <w:rPr>
          <w:rFonts w:ascii="Times New Roman" w:hAnsi="Times New Roman"/>
          <w:sz w:val="20"/>
        </w:rPr>
        <w:t>. (i) To the knowledge of the Company, the Company and its subsidiary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w:t>
      </w:r>
      <w:r>
        <w:rPr>
          <w:rFonts w:ascii="Times New Roman" w:hAnsi="Times New Roman"/>
          <w:b/>
          <w:sz w:val="20"/>
        </w:rPr>
        <w:t>Intellectual Property</w:t>
      </w:r>
      <w:r>
        <w:rPr>
          <w:rFonts w:ascii="Times New Roman" w:hAnsi="Times New Roman"/>
          <w:sz w:val="20"/>
        </w:rPr>
        <w:t xml:space="preserve">”) used in the conduct of their respective businesses as currently conducted or as currently proposed to be conducted, except as would not, individually or in the aggregate, reasonably be expected to have a Material Adverse Effect; (ii) the Company’s and its subsidiary’s conduct of their respective businesses does not, to the knowledge of the Company, infringe, misappropriate or otherwise violate any Intellectual Property of any person; and (iii) the Company and its subsidiary have not received any notice of any claim relating to the Intellectual Property rights of others that would, individually or in the aggregate, reasonably be expected to have a Material Adverse Effect. The Intellectual Property of the Company and its subsidiary has not been adjudged by a court of competent jurisdiction to be invalid or unenforceable, in whole or in part. To the Company’s knowledge, except as disclosed in the Registration Statement and the Prospectus: (i) there are no third parties who have rights to any Intellectual Property of the Company and its subsidiary, except for customary reversionary rights of third-party licensors with respect to Intellectual Property that is disclosed in the Registration Statement and the Prospectus as licensed to the Company or its subsidiary; (ii) there is no infringement, misappropriation, or other violation by third parties of any Intellectual Property of the Company and its subsidiary; (iii) there are no material defects of form in the preparation or filing of any of the patents or patent applications included in the Intellectual Property of the Company and its subsidiary; (iv) the Company and its subsidiary have taken commercially reasonable steps to protect, maintain and safeguard its Intellectual Property, including the execution of appropriate nondisclosure, confidentiality agreements and invention assignment agreements and invention assignments with their employees; (v) no employee of the Company and its subsidiary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one or more of its subsidiary; (vi) the duty of candor and good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faith as required by the United States Patent and Trademark Office during the prosecution of the United States patents and patent applications included in the Intellectual Property of the Company and its subsidiary has been complied with; and in all foreign offices having similar requirements, all such requirements have been complied with; and (vii) none of the Intellectual Property of the Company and its subsidiary or technology (including information technology and outsourced arrangements) employed by the Company or its subsidiary has been obtained or is being used by the Company or its subsidiary in violation of any contractual obligation binding on the Company or its subsidiary or, to the knowledge of the Company, any of their respective officers, directors or employees or otherwise in violation of the rights of any persons. Except as disclosed in the Registration Statement and the Prospectus, and except with respect to the prosecution of patent applications within the Intellectual Property occurring before national and regional patent offices in the normal course of business, there is no pending or, to the Company’s knowledge, threatened action, suit, proceeding or claim by others: (A) challenging the Company’s and its subsidiary’s rights in or to any Intellectual Property, and the Company is unaware of any facts which would form a reasonable basis for any such action, suit, proceeding or claim; (B) challenging the validity, enforceability or scope of any Intellectual Property of the Company and its subsidiary; or (C) asserting that the Company or its subsidiary infringes or otherwise violates, or would, upon the commercialization of any product or service described in the Registration Statement or the Prospectus as under development, infringe or violate, any intellectual property rights of others. To the knowledge of the Company, the Company and its subsidiary have complied with the terms of each agreement pursuant to which Intellectual Property has been licensed to the Company or any subsidiary, in all material respects, and all such agreements are, to the knowledge of the Company, in full force and effect. The product candidates described in the Registration Statement and the Prospectus as under development by the Company or any subsidiary fall within the scope of the claims of one or more patents or patent applications owned by, or exclusively licensed to, the Company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No Undisclosed Relationships</w:t>
      </w:r>
      <w:r>
        <w:rPr>
          <w:rFonts w:ascii="Times New Roman" w:hAnsi="Times New Roman"/>
          <w:sz w:val="20"/>
        </w:rPr>
        <w:t xml:space="preserve">. No relationship, direct or indirect, exists between or among the Company or its subsidiary, on the one hand, and the directors, officers, stockholders, customers, suppliers or other affiliates of the Company or any of its subsidiary, on the other, that is required by the Securities Act to be described in each of the Registration Statement and the Prospectus and that is not so described in such documents.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Investment Company Act</w:t>
      </w:r>
      <w:r>
        <w:rPr>
          <w:rFonts w:ascii="Times New Roman" w:hAnsi="Times New Roman"/>
          <w:sz w:val="20"/>
        </w:rPr>
        <w:t>. The Company is not and, after giving effect to the offering and sale of the Shares and the application of the proceeds thereof as described in the Registration Statement and the Prospectus, will not be required to register as an “investment company” or an entity “controlled” by an “investment company” within the meaning of the Investment Company Act of 1940, as amended, and the rules and regulations of the Commission thereunder (collectively, the “</w:t>
      </w:r>
      <w:r>
        <w:rPr>
          <w:rFonts w:ascii="Times New Roman" w:hAnsi="Times New Roman"/>
          <w:b/>
          <w:sz w:val="20"/>
        </w:rPr>
        <w:t>Investment Company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Taxes</w:t>
      </w:r>
      <w:r>
        <w:rPr>
          <w:rFonts w:ascii="Times New Roman" w:hAnsi="Times New Roman"/>
          <w:sz w:val="20"/>
        </w:rPr>
        <w:t xml:space="preserve">. Except as would not reasonably be expected to have a Material Adverse Effect, the Company and its subsidiary have filed all federal, state, local and foreign tax returns required to be filed through the date hereof and have paid all taxes required to be paid whether or not reported thereon; and except as otherwise disclosed in each of the Registration Statement and the Prospectus and as would not reasonably be expected to have a Material Adverse Effect, there is no tax deficiency that has been, or could reasonably be expected to be, asserted against the Company or its subsidiary or any of their respective properties or assets. There are no outstanding agreements or waivers extending the statutory period of limitation applicable to any federal, state, local or foreign tax return for any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Licenses and Permits</w:t>
      </w:r>
      <w:r>
        <w:rPr>
          <w:rFonts w:ascii="Times New Roman" w:hAnsi="Times New Roman"/>
          <w:sz w:val="20"/>
        </w:rPr>
        <w:t>. The Company and its subsidiary possess all licenses, sub-licenses, certificates, permits, registrations, applications, approvals, clearances, exemptions, franchises, consents and other authorizations issued by, and have made all declarations and filings with, the appropriate federal, state, local or foreign governmental or regulatory authorities, including the FDA, that are necessary for the ownership or lease of their respective properties or the conduct of their respective businesses as described in each of the Registration Statement and the Prospectus (collectively, “</w:t>
      </w:r>
      <w:r>
        <w:rPr>
          <w:rFonts w:ascii="Times New Roman" w:hAnsi="Times New Roman"/>
          <w:b/>
          <w:sz w:val="20"/>
        </w:rPr>
        <w:t>Licenses</w:t>
      </w:r>
      <w:r>
        <w:rPr>
          <w:rFonts w:ascii="Times New Roman" w:hAnsi="Times New Roman"/>
          <w:sz w:val="20"/>
        </w:rPr>
        <w:t xml:space="preserve">”), except where the failure to possess or make the same would not, individually or in the aggregate, reasonably be expected to have a Material Adverse Effect; and except as described in each of the Registration Statement and the Prospectus, neither the Company nor its subsidiary has received notice that any governmental or regulatory authority, including the FDA, has taken, is taking, or intends to take action to limit, suspend, modify or revoke any License and has no knowledge that any action is being considered; and neither the Company nor its subsidiary has any reason to believe that any License will not be renewed in the ordinary course, in each case except where such notice or non-renewal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FDA Compliance</w:t>
      </w:r>
      <w:r>
        <w:rPr>
          <w:rFonts w:ascii="Times New Roman" w:hAnsi="Times New Roman"/>
          <w:sz w:val="20"/>
        </w:rPr>
        <w:t>. The Company and its subsidiary: (A) are and at all times have been in material compliance with the Federal Food, Drug and Cosmetic Act (“</w:t>
      </w:r>
      <w:r>
        <w:rPr>
          <w:rFonts w:ascii="Times New Roman" w:hAnsi="Times New Roman"/>
          <w:b/>
          <w:sz w:val="20"/>
        </w:rPr>
        <w:t>FDCA</w:t>
      </w:r>
      <w:r>
        <w:rPr>
          <w:rFonts w:ascii="Times New Roman" w:hAnsi="Times New Roman"/>
          <w:sz w:val="20"/>
        </w:rPr>
        <w:t>”), and all statutes, rules or regulations of the U.S. Food and Drug Administration (“</w:t>
      </w:r>
      <w:r>
        <w:rPr>
          <w:rFonts w:ascii="Times New Roman" w:hAnsi="Times New Roman"/>
          <w:b/>
          <w:sz w:val="20"/>
        </w:rPr>
        <w:t>FDA</w:t>
      </w:r>
      <w:r>
        <w:rPr>
          <w:rFonts w:ascii="Times New Roman" w:hAnsi="Times New Roman"/>
          <w:sz w:val="20"/>
        </w:rPr>
        <w:t>”) and of other comparable governmental or regulatory authorities applicable to the ownership, testing, development, manufacture, packaging, processing, use, distribution, marketing, labeling, promotion, sale, offer for sale, storage, import, export or disposal of any product under development, manufactured or distributed by or on behalf of the Company (“</w:t>
      </w:r>
      <w:r>
        <w:rPr>
          <w:rFonts w:ascii="Times New Roman" w:hAnsi="Times New Roman"/>
          <w:b/>
          <w:sz w:val="20"/>
        </w:rPr>
        <w:t>Applicable Laws</w:t>
      </w:r>
      <w:r>
        <w:rPr>
          <w:rFonts w:ascii="Times New Roman" w:hAnsi="Times New Roman"/>
          <w:sz w:val="20"/>
        </w:rPr>
        <w:t xml:space="preserve">”); (B) have not received any FDA Form 483, written notice of adverse finding, warning letter, untitled letter or other correspondence or notice from the FDA or any governmental or regulatory authority alleging or asserting noncompliance with any Applicable Laws or any Licenses, except as would not, individually or in the aggregate, reasonably be expected to have a Material Adverse Effect; (C) possess all Licenses and such Licenses are valid and in full force and effect and the Company and its subsidiary are not in violation of any term of any such Licenses, except as would not, individually or in the aggregate, reasonably be expected to have a Material Adverse Effect; (D) have not received written notice of any claim, action, suit, proceeding, hearing, enforcement, investigation, arbitration or other action from the FDA or any governmental or regulatory authority or third party alleging that any product operation or activity is in violation of any Applicable Laws or Licenses and have no knowledge that the FDA or any governmental or regulatory authority or third party is considering any such claim, litigation, arbitration, action, suit, investigation or proceeding; and (E) have filed, obtained, maintained or submitted all reports, documents, forms, notices, applications, records, claims, submissions and supplements or amendments as required by any Applicable Laws or Licenses and that all such reports, documents, forms, notices, applications, records, claims, submissions and supplements or amendments were complete and correct in all material respects on the date filed (or were corrected or supplemented by a subsequent submission).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Tests and Preclinical and Clinical Trials</w:t>
      </w:r>
      <w:r>
        <w:rPr>
          <w:rFonts w:ascii="Times New Roman" w:hAnsi="Times New Roman"/>
          <w:sz w:val="20"/>
        </w:rPr>
        <w:t xml:space="preserve">. (A) The studies, tests and preclinical and clinical trials conducted by or, to the Company’s knowledge, on behalf of the Company that are described in, or the results of which are referred to in, the Registration Statement or the Prospectus were and, if still ongoing, are, and with respect to those studies not conducted by the Company are to the Company’s knowledge, being conducted in all material respects in accordance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protocols submitted to the FDA or any comparable foreign governmental or regulatory authority exercising comparable authority, procedures and controls pursuant to, where applicable, accepted professional scientific standards, and all Licenses and Applicable Laws and regulations, and any applicable rules and regulations of the jurisdiction in which such trials and studies are being conducted; (B) the descriptions of the results of such studies, tests and trials contained in the Registration Statement and the Prospectus are accurate and complete in all material respects; (C) the Company is not aware of any studies, tests or trials, the results of which the Company believes reasonably call into question the study, test, or trial results described or referred to in the Registration Statement and the Prospectus when viewed in the context in which such results are described and the clinical state of development; and (D) the Company has not received any written notices or correspondence from the FDA or any governmental or regulatory authority requiring the termination or suspension of any studies, tests or preclinical or clinical trials conducted by or on behalf of the Company that are described or referred to in the Registration Statement or the Prospectus, other than ordinary course communications with respect to modifications in connection with the design and implementation of such trials.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Compliance with Health Care Laws</w:t>
      </w:r>
      <w:r>
        <w:rPr>
          <w:rFonts w:ascii="Times New Roman" w:hAnsi="Times New Roman"/>
          <w:sz w:val="20"/>
        </w:rPr>
        <w:t>. The Company and its subsidiary are, and at all times have been, in material compliance with all Health Care Laws. For purposes of this Agreement, “</w:t>
      </w:r>
      <w:r>
        <w:rPr>
          <w:rFonts w:ascii="Times New Roman" w:hAnsi="Times New Roman"/>
          <w:b/>
          <w:sz w:val="20"/>
        </w:rPr>
        <w:t>Health Care Laws</w:t>
      </w:r>
      <w:r>
        <w:rPr>
          <w:rFonts w:ascii="Times New Roman" w:hAnsi="Times New Roman"/>
          <w:sz w:val="20"/>
        </w:rPr>
        <w:t xml:space="preserve">” means: (i) all applicable federal, state, local and foreign health care fraud and abuse laws, including, without limitation, the U.S. Anti-Kickback Statute (42 U.S.C. Section 1320a-7b(b)), the U.S. Civil False Claims Act (31 U.S.C. Section 3729 et seq.), the criminal False Statements Law (42 U.S.C. Section 1320a-7b(a)), 18 U.S.C. Sections 286, 287 and 1349, the health care fraud criminal provisions under HIPAA (as defined below), the civil monetary penalties law (42 U.S.C. Section 1320a-7a), the exclusions law (42 U.S.C. Section 1320a-7), the Physician Payments Sunshine Act (42 U.S.C. Section 1320a-7h), and the laws governing U.S. government funded or sponsored healthcare programs; (ii) all other local, state, federal, national, supranational and foreign laws, relating to the regulation of the Company or its subsidiary, and (iii) the regulations promulgated pursuant to such statutes and any state or non-U.S. counterpart thereof. Neither the Company, nor its subsidiary, nor, to the knowledge of the Company, any of its respective officers, directors, employees or agents, have engaged or are engaging in activities which are cause for liability under any applicable Health Care Laws, including the FDCA. Neither the Company nor its subsidiary has received written notice of any claim, action, suit, proceeding, hearing, enforcement, investigation, arbitration or other material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material action threatened. The Company and its subsidiary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its subsidiary is a party to any corporate integrity agreements, monitoring agreements, consent decrees, settlement orders, or similar agreements with or imposed by any governmental or regulatory authority. Neither the Company, nor its subsidiary, nor any of its respective officers, directors, employees, clinical investigators,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No Labor Disputes</w:t>
      </w:r>
      <w:r>
        <w:rPr>
          <w:rFonts w:ascii="Times New Roman" w:hAnsi="Times New Roman"/>
          <w:sz w:val="20"/>
        </w:rPr>
        <w:t xml:space="preserve">. No labor disturbance by or dispute with employees of the Company or its subsidiary exists or, to the knowledge of the Company, is contemplated or threatened, and the Company is not aware of any existing or imminent labor disturbance by, or dispute with, the employees of its or its subsidiary’s principal suppliers, contractors or customers, except as would not reasonably be expected to have a Material Adverse Effect. Neither the Company nor its subsidiary has received any notice of cancellation or termination with respect to any collective bargaining agreement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Certain Environmental Matters</w:t>
      </w:r>
      <w:r>
        <w:rPr>
          <w:rFonts w:ascii="Times New Roman" w:hAnsi="Times New Roman"/>
          <w:sz w:val="20"/>
        </w:rPr>
        <w:t>. (i) The Company and its subsidiary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Times New Roman" w:hAnsi="Times New Roman"/>
          <w:b/>
          <w:sz w:val="20"/>
        </w:rPr>
        <w:t>Environmental Laws</w:t>
      </w:r>
      <w:r>
        <w:rPr>
          <w:rFonts w:ascii="Times New Roman" w:hAnsi="Times New Roman"/>
          <w:sz w:val="20"/>
        </w:rPr>
        <w:t xml:space="preserve">”);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or its subsidiary, except in the case of each of (i) and (ii) above, for any such matter as would not, individually or in the aggregate, reasonably be expected to have a Material Adverse Effect; and (iii) except as described in the Prospectus, (y) the Company and its subsidiary are not aware of any facts or issues regarding compliance with Environmental Laws, or liabilities or other obligations under Environmental Laws or concerning hazardous or toxic substances or wastes, pollutants or contaminants, that could reasonably be expected to have a Material Adverse Effect on the capital expenditures, earnings or competitive position of the Company and its subsidiary, and (z) neither the Company nor its subsidiary anticipates capital expenditures relating to any Environmental Laws except as would not reasonably be expected to have a Material Adverse Effect. There is no pending or, to the Company’s knowledge, threatened administrative, regulatory or judicial action, claim or notice of noncompliance or violation, investigation or proceedings relating to any Environmental Law against the Company or its subsidiary, except in each case which, individually or in the aggregate,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Compliance with ERISA</w:t>
      </w:r>
      <w:r>
        <w:rPr>
          <w:rFonts w:ascii="Times New Roman" w:hAnsi="Times New Roman"/>
          <w:sz w:val="20"/>
        </w:rPr>
        <w:t>. (i) Each employee benefit plan, within the meaning of Section 3(3) of the Employee Retirement Income Security Act of 1974, as amended (“</w:t>
      </w:r>
      <w:r>
        <w:rPr>
          <w:rFonts w:ascii="Times New Roman" w:hAnsi="Times New Roman"/>
          <w:b/>
          <w:sz w:val="20"/>
        </w:rPr>
        <w:t>ERISA</w:t>
      </w:r>
      <w:r>
        <w:rPr>
          <w:rFonts w:ascii="Times New Roman" w:hAnsi="Times New Roman"/>
          <w:sz w:val="20"/>
        </w:rPr>
        <w:t>”), for which the Company or any member of its “</w:t>
      </w:r>
      <w:r>
        <w:rPr>
          <w:rFonts w:ascii="Times New Roman" w:hAnsi="Times New Roman"/>
          <w:b/>
          <w:sz w:val="20"/>
        </w:rPr>
        <w:t>Controlled Group</w:t>
      </w:r>
      <w:r>
        <w:rPr>
          <w:rFonts w:ascii="Times New Roman" w:hAnsi="Times New Roman"/>
          <w:sz w:val="20"/>
        </w:rPr>
        <w:t>” (defined as any entity, whether or not incorporated, that is under common control with the Company within the meaning of Section 4001(a)(14) of ERISA or any entity that would be regarded as a single employer with the Company under Section 414(b),(c),(m) or (o) of the Code) would have any liability (each, a “</w:t>
      </w:r>
      <w:r>
        <w:rPr>
          <w:rFonts w:ascii="Times New Roman" w:hAnsi="Times New Roman"/>
          <w:b/>
          <w:sz w:val="20"/>
        </w:rPr>
        <w:t>Plan</w:t>
      </w:r>
      <w:r>
        <w:rPr>
          <w:rFonts w:ascii="Times New Roman" w:hAnsi="Times New Roman"/>
          <w:sz w:val="20"/>
        </w:rPr>
        <w:t xml:space="preserve">”)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subsidiary’s “accumulated post-retirement benefit obligations” (within the meaning of Accounting Standards Codification Topic 715-60) compared to the amount of such obligations in the Company and its subsidiary’s most recently completed fiscal year, except in each case with respect to the events or conditions set forth in (i) through (ix) hereof,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Disclosure Controls</w:t>
      </w:r>
      <w:r>
        <w:rPr>
          <w:rFonts w:ascii="Times New Roman" w:hAnsi="Times New Roman"/>
          <w:sz w:val="20"/>
        </w:rPr>
        <w:t xml:space="preserve">. The Company and its subsidiary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subsidiary have carried out evaluations of the effectiveness of their disclosure controls and procedures as required by Rule 13a-15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Accounting Controls</w:t>
      </w:r>
      <w:r>
        <w:rPr>
          <w:rFonts w:ascii="Times New Roman" w:hAnsi="Times New Roman"/>
          <w:sz w:val="20"/>
        </w:rPr>
        <w:t xml:space="preserve">. The Company and its subsidiary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subsidiary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Based on the Company’s most recent evaluation of its internal controls over financial reporting pursuant to Rule 13a-15(c) of the Exchange Act,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eXtensible Business Reporting Language</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Insurance</w:t>
      </w:r>
      <w:r>
        <w:rPr>
          <w:rFonts w:ascii="Times New Roman" w:hAnsi="Times New Roman"/>
          <w:sz w:val="20"/>
        </w:rPr>
        <w:t xml:space="preserve">. The Company and its subsidiary have insurance covering their respective properties, operations, personnel and businesses, including business interruption insurance, which insurance is in amounts and insures against such losses and risks as the Company reasonably considers are adequate to protect the Company and its subsidiary and their respective businesses; and neither the Company nor its subsidiary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a cost that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Cybersecurity; Data Protection</w:t>
      </w:r>
      <w:r>
        <w:rPr>
          <w:rFonts w:ascii="Times New Roman" w:hAnsi="Times New Roman"/>
          <w:sz w:val="20"/>
        </w:rPr>
        <w:t>. The Company and its subsidiary’s information technology assets and equipment, computers, systems, networks, hardware, software, websites, applications, databases, and any third party services (collectively, “</w:t>
      </w:r>
      <w:r>
        <w:rPr>
          <w:rFonts w:ascii="Times New Roman" w:hAnsi="Times New Roman"/>
          <w:b/>
          <w:sz w:val="20"/>
        </w:rPr>
        <w:t>IT Systems</w:t>
      </w:r>
      <w:r>
        <w:rPr>
          <w:rFonts w:ascii="Times New Roman" w:hAnsi="Times New Roman"/>
          <w:sz w:val="20"/>
        </w:rPr>
        <w:t xml:space="preserve">”) are (i) adequate for, and operate and perform in all material respects as required in connection with the operation of the business of the Company and its subsidiary as currently conducted, and (ii) to the knowledge of the Company, free and clear of all material bugs, errors, defects, Trojan horses, time bombs, malware and other corruptants. The Company and its subsidiary have implemented and at all times maintained and complied in all material respects with commercially reasonable controls, policies, procedures, and safeguards to maintain and protect the confidentiality, integrity, availability, privacy and security of all Personal Data (defined below) and all other sensitive, confidential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regulated data maintained by or on behalf of the Company (collectively, “</w:t>
      </w:r>
      <w:r>
        <w:rPr>
          <w:rFonts w:ascii="Times New Roman" w:hAnsi="Times New Roman"/>
          <w:b/>
          <w:sz w:val="20"/>
        </w:rPr>
        <w:t>Confidential Data</w:t>
      </w:r>
      <w:r>
        <w:rPr>
          <w:rFonts w:ascii="Times New Roman" w:hAnsi="Times New Roman"/>
          <w:sz w:val="20"/>
        </w:rPr>
        <w:t>”) used in connection with their businesses, and there have been no material breaches, violations, outages or unauthorized uses of or accesses to IT Systems or Confidential Data, except for those that have been remedied without material cost or liability or the duty to notify any other person, nor any incidents under internal review or investigations relating to the same. The Company and its subsidiary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 The Company and its subsidiary comply, and have at all times complied, in all material respects, with all applicable laws, statutes, rule, directives, industry standards and regulations concerning the protection, collection, use, disclosure, transfer, storage, disposal, privacy, confidentiality, integrity, security, or other processing of Personal Data (including without limitation, in each case as applicable, the Health Insurance Portability and Accountability Act of 1996 (“</w:t>
      </w:r>
      <w:r>
        <w:rPr>
          <w:rFonts w:ascii="Times New Roman" w:hAnsi="Times New Roman"/>
          <w:b/>
          <w:sz w:val="20"/>
        </w:rPr>
        <w:t>HIPAA</w:t>
      </w:r>
      <w:r>
        <w:rPr>
          <w:rFonts w:ascii="Times New Roman" w:hAnsi="Times New Roman"/>
          <w:sz w:val="20"/>
        </w:rPr>
        <w:t>”) as amended by the Health Information Technology for Economic and Clinical Health Act (the “</w:t>
      </w:r>
      <w:r>
        <w:rPr>
          <w:rFonts w:ascii="Times New Roman" w:hAnsi="Times New Roman"/>
          <w:b/>
          <w:sz w:val="20"/>
        </w:rPr>
        <w:t>HITECH Act</w:t>
      </w:r>
      <w:r>
        <w:rPr>
          <w:rFonts w:ascii="Times New Roman" w:hAnsi="Times New Roman"/>
          <w:sz w:val="20"/>
        </w:rPr>
        <w:t>”); the European Union General Data Protection Regulation (“GDPR”) (EU 2016/679); the UK GDPR; Access to U.S. Sensitive Personal Data and Government-Related Data by Countries of Concern or Covered Persons,” 90 Fed. Reg. 1636 (Jan. 8, 2025) codified at 28 C.F.R. § 202, including any amendments thereto and guidance issued thereunder (together, the “</w:t>
      </w:r>
      <w:r>
        <w:rPr>
          <w:rFonts w:ascii="Times New Roman" w:hAnsi="Times New Roman"/>
          <w:b/>
          <w:sz w:val="20"/>
        </w:rPr>
        <w:t>U.S. Data Security Program</w:t>
      </w:r>
      <w:r>
        <w:rPr>
          <w:rFonts w:ascii="Times New Roman" w:hAnsi="Times New Roman"/>
          <w:sz w:val="20"/>
        </w:rPr>
        <w:t>”); and the California Consumer Privacy Act (“</w:t>
      </w:r>
      <w:r>
        <w:rPr>
          <w:rFonts w:ascii="Times New Roman" w:hAnsi="Times New Roman"/>
          <w:b/>
          <w:sz w:val="20"/>
        </w:rPr>
        <w:t>CCPA</w:t>
      </w:r>
      <w:r>
        <w:rPr>
          <w:rFonts w:ascii="Times New Roman" w:hAnsi="Times New Roman"/>
          <w:sz w:val="20"/>
        </w:rPr>
        <w:t>”) (collectively, the “</w:t>
      </w:r>
      <w:r>
        <w:rPr>
          <w:rFonts w:ascii="Times New Roman" w:hAnsi="Times New Roman"/>
          <w:b/>
          <w:sz w:val="20"/>
        </w:rPr>
        <w:t>Privacy Laws</w:t>
      </w:r>
      <w:r>
        <w:rPr>
          <w:rFonts w:ascii="Times New Roman" w:hAnsi="Times New Roman"/>
          <w:sz w:val="20"/>
        </w:rPr>
        <w:t>”)). The Company has made all required disclosures to and obtained all necessary consents from individuals, users or customers required under applicable Privacy Laws for the Company’s collection, use, disclosure, transfer, and other processing of Personal Data, and has complied with all such disclosures and consents in all material respects. None of such disclosures made or contained in any policies or notices have been inaccurate or in violation of any Privacy Laws in any material respect. “</w:t>
      </w:r>
      <w:r>
        <w:rPr>
          <w:rFonts w:ascii="Times New Roman" w:hAnsi="Times New Roman"/>
          <w:b/>
          <w:sz w:val="20"/>
        </w:rPr>
        <w:t>Personal Data</w:t>
      </w:r>
      <w:r>
        <w:rPr>
          <w:rFonts w:ascii="Times New Roman" w:hAnsi="Times New Roman"/>
          <w:sz w:val="20"/>
        </w:rPr>
        <w:t xml:space="preserve">” means (i) any information which would qualify as “personally identifying information”, “personal information”, “personally identifying information”, or similar term as defined by Privacy Laws; or (ii) any other piece of information that relates to an identified or identifiable natural person, or that is reasonably capable of being used to identify, contact, or precisely locate a natural person.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No Unlawful Payments</w:t>
      </w:r>
      <w:r>
        <w:rPr>
          <w:rFonts w:ascii="Times New Roman" w:hAnsi="Times New Roman"/>
          <w:sz w:val="20"/>
        </w:rPr>
        <w:t xml:space="preserve">. Neither the Company nor its subsidiary nor any director, officer or employee of the Company or its subsidiary nor, to the knowledge of the Company, any agent, affiliate or other person associated with or acting on behalf of the Company or its subsidiary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furtherance of any unlawful bribe or other unlawful benefit, including, without limitation, any rebate, payoff, influence payment, kickback or other unlawful or improper payment or benefit. The Company and its subsidiary have instituted, maintain and enforce, and will continue to maintain and enforce policies and procedures designed to promote and ensure compliance with all applicable anti-bribery and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Compliance with Anti-Money Laundering Laws</w:t>
      </w:r>
      <w:r>
        <w:rPr>
          <w:rFonts w:ascii="Times New Roman" w:hAnsi="Times New Roman"/>
          <w:sz w:val="20"/>
        </w:rPr>
        <w:t>. The operations of the Company and its subsidiary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its subsidiary conducts business, the rules and regulations thereunder and any related or similar rules, regulations or guidelines issued, administered or enforced by any governmental agency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or governmental agency, authority or body or any arbitrator involving the Company or its subsidiary with respect to the Anti-Money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No Conflicts with Sanctions Laws</w:t>
      </w:r>
      <w:r>
        <w:rPr>
          <w:rFonts w:ascii="Times New Roman" w:hAnsi="Times New Roman"/>
          <w:sz w:val="20"/>
        </w:rPr>
        <w:t>. Neither the Company nor its subsidiary, directors, officers, or employees, nor, to the knowledge of the Company, any agent, affiliate or other person associated with or acting on behalf of the Company or its subsidiary is currently the subject or the target of any sanctions administered or enforced by the U.S. government, (including, without limitation, the Office of Foreign Assets Control of the U.S. Department of the Treasury (“</w:t>
      </w:r>
      <w:r>
        <w:rPr>
          <w:rFonts w:ascii="Times New Roman" w:hAnsi="Times New Roman"/>
          <w:b/>
          <w:sz w:val="20"/>
        </w:rPr>
        <w:t>OFAC</w:t>
      </w:r>
      <w:r>
        <w:rPr>
          <w:rFonts w:ascii="Times New Roman" w:hAnsi="Times New Roman"/>
          <w:sz w:val="20"/>
        </w:rPr>
        <w:t>”) or the U.S. Department of State and including, without limitation, the designation as a “specially designated national” or “blocked person”), the United Nations Security Council (“</w:t>
      </w:r>
      <w:r>
        <w:rPr>
          <w:rFonts w:ascii="Times New Roman" w:hAnsi="Times New Roman"/>
          <w:b/>
          <w:sz w:val="20"/>
        </w:rPr>
        <w:t>UNSC</w:t>
      </w:r>
      <w:r>
        <w:rPr>
          <w:rFonts w:ascii="Times New Roman" w:hAnsi="Times New Roman"/>
          <w:sz w:val="20"/>
        </w:rPr>
        <w:t>”), the European Union, His Majesty’s Treasury (“</w:t>
      </w:r>
      <w:r>
        <w:rPr>
          <w:rFonts w:ascii="Times New Roman" w:hAnsi="Times New Roman"/>
          <w:b/>
          <w:sz w:val="20"/>
        </w:rPr>
        <w:t>HMT</w:t>
      </w:r>
      <w:r>
        <w:rPr>
          <w:rFonts w:ascii="Times New Roman" w:hAnsi="Times New Roman"/>
          <w:sz w:val="20"/>
        </w:rPr>
        <w:t>”) or other relevant sanctions authority (collectively, “</w:t>
      </w:r>
      <w:r>
        <w:rPr>
          <w:rFonts w:ascii="Times New Roman" w:hAnsi="Times New Roman"/>
          <w:b/>
          <w:sz w:val="20"/>
        </w:rPr>
        <w:t>Sanctions</w:t>
      </w:r>
      <w:r>
        <w:rPr>
          <w:rFonts w:ascii="Times New Roman" w:hAnsi="Times New Roman"/>
          <w:sz w:val="20"/>
        </w:rPr>
        <w:t>”), nor is the Company or its subsidiary located, organized or resident in a country or territory that is the subject or target of Sanctions, including, without limitation, the Crimea Region of Ukraine, the so-called Donetsk People’s Republic, the so-called Luhansk People’s Republic, Cuba, Iran, North Korea and Syria (each, a “</w:t>
      </w:r>
      <w:r>
        <w:rPr>
          <w:rFonts w:ascii="Times New Roman" w:hAnsi="Times New Roman"/>
          <w:b/>
          <w:sz w:val="20"/>
        </w:rPr>
        <w:t>Sanctioned Country</w:t>
      </w:r>
      <w:r>
        <w:rPr>
          <w:rFonts w:ascii="Times New Roman" w:hAnsi="Times New Roman"/>
          <w:sz w:val="20"/>
        </w:rPr>
        <w:t xml:space="preserve">”);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the Company and its subsidiary have not knowingly engaged in and are not now knowingly engaged in any dealings or transactions with any person that at the time of the dealing or transaction is or was the subject or the target of Sanctions or with any Sanctioned Country.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Outbound Investment Security Program</w:t>
      </w:r>
      <w:r>
        <w:rPr>
          <w:rFonts w:ascii="Times New Roman" w:hAnsi="Times New Roman"/>
          <w:sz w:val="20"/>
        </w:rPr>
        <w:t>. Neither the Company nor its subsidiary is a “covered foreign person”, as that term is defined in 31 C.F.R. § 850.209. Neither the Company nor its subsidiary currently engages, or has plans to engage, directly or indirectly, in a “covered activity”, as that term is defined in in 31 C.F.R. § 850.208 (“</w:t>
      </w:r>
      <w:r>
        <w:rPr>
          <w:rFonts w:ascii="Times New Roman" w:hAnsi="Times New Roman"/>
          <w:b/>
          <w:sz w:val="20"/>
        </w:rPr>
        <w:t>Covered Activity</w:t>
      </w:r>
      <w:r>
        <w:rPr>
          <w:rFonts w:ascii="Times New Roman" w:hAnsi="Times New Roman"/>
          <w:sz w:val="20"/>
        </w:rPr>
        <w:t xml:space="preserve">”).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No Restrictions on Subsidiaries</w:t>
      </w:r>
      <w:r>
        <w:rPr>
          <w:rFonts w:ascii="Times New Roman" w:hAnsi="Times New Roman"/>
          <w:sz w:val="20"/>
        </w:rPr>
        <w:t xml:space="preserve">.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sz w:val="20"/>
          <w:u w:val="single"/>
        </w:rPr>
        <w:t>No Broker’s Fees</w:t>
      </w:r>
      <w:r>
        <w:rPr>
          <w:rFonts w:ascii="Times New Roman" w:hAnsi="Times New Roman"/>
          <w:sz w:val="20"/>
        </w:rPr>
        <w:t xml:space="preserve">. Neither the Company nor its subsidiary is a party to any contract, agreement or understanding with any person (other than this Agreement) that would give rise to a valid claim against either of them or the Agent for a brokerage commission, finder’s fee or like payment in connection with the offering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sz w:val="20"/>
          <w:u w:val="single"/>
        </w:rPr>
        <w:t>No Registration Rights</w:t>
      </w:r>
      <w:r>
        <w:rPr>
          <w:rFonts w:ascii="Times New Roman" w:hAnsi="Times New Roman"/>
          <w:sz w:val="20"/>
        </w:rPr>
        <w:t xml:space="preserve">. No person has the right to require the Company or its subsidiary to register any securities for sale under the Securities Act by reason of the filing of the Registration Statement with the Commission or the issuance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(qq) </w:t>
      </w:r>
      <w:r>
        <w:rPr>
          <w:rFonts w:ascii="Times New Roman" w:hAnsi="Times New Roman"/>
          <w:sz w:val="20"/>
          <w:u w:val="single"/>
        </w:rPr>
        <w:t>No Stabilization</w:t>
      </w:r>
      <w:r>
        <w:rPr>
          <w:rFonts w:ascii="Times New Roman" w:hAnsi="Times New Roman"/>
          <w:sz w:val="20"/>
        </w:rPr>
        <w:t xml:space="preserve">. Neither the Company nor its subsidiary or affiliates has taken, directly or indirectly, any action designed to or that could reasonably be expected to cause or result in any stabilization or manipulation of the price of the Shares, whether to facilitate the sale or resale of the Shares or otherwise, and has taken no action which would directly or indirectly violate Regulation M.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sz w:val="20"/>
          <w:u w:val="single"/>
        </w:rPr>
        <w:t>Margin Rules</w:t>
      </w:r>
      <w:r>
        <w:rPr>
          <w:rFonts w:ascii="Times New Roman" w:hAnsi="Times New Roman"/>
          <w:sz w:val="20"/>
        </w:rPr>
        <w:t xml:space="preserve">. Neither the issuance, sale and delivery of the Shares nor the application of the proceeds thereof by the Company as described in each of the Registration Statement and the Prospectus will violate Regulation T, U or X of the Board of Governors of the Federal Reserve System or any other regulation of such Board of Governors. </w:t>
      </w:r>
    </w:p>
    <w:p>
      <w:pPr>
        <w:pStyle w:val="TextBody"/>
        <w:bidi w:val="0"/>
        <w:spacing w:before="120" w:after="0"/>
        <w:jc w:val="left"/>
        <w:rPr>
          <w:rFonts w:ascii="Times New Roman" w:hAnsi="Times New Roman"/>
          <w:sz w:val="20"/>
        </w:rPr>
      </w:pPr>
      <w:r>
        <w:rPr>
          <w:rFonts w:ascii="Times New Roman" w:hAnsi="Times New Roman"/>
          <w:sz w:val="20"/>
        </w:rPr>
        <w:t xml:space="preserve">(ss) </w:t>
      </w:r>
      <w:r>
        <w:rPr>
          <w:rFonts w:ascii="Times New Roman" w:hAnsi="Times New Roman"/>
          <w:sz w:val="20"/>
          <w:u w:val="single"/>
        </w:rPr>
        <w:t>Forward-Looking Statements</w:t>
      </w:r>
      <w:r>
        <w:rPr>
          <w:rFonts w:ascii="Times New Roman" w:hAnsi="Times New Roman"/>
          <w:sz w:val="20"/>
        </w:rPr>
        <w:t xml:space="preserve">. No forward-looking statement (within the meaning of Section 27A of the Securities Act and Section 21E of the Exchange Act) included or incorporated by reference in either of the Registration Statement or the Prospectus has been made or reaffirmed without a reasonable basis or has been disclosed other than in good faith and is accompanied by meaningful cautionary statements identifying those factors that could cause actual results to differ materially from those in such forward-looking statements. No such statement was made with the knowledge of an executive officer or director of the Company that it was false and misleading.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sz w:val="20"/>
          <w:u w:val="single"/>
        </w:rPr>
        <w:t>Statistical and Market Data</w:t>
      </w:r>
      <w:r>
        <w:rPr>
          <w:rFonts w:ascii="Times New Roman" w:hAnsi="Times New Roman"/>
          <w:sz w:val="20"/>
        </w:rPr>
        <w:t xml:space="preserve">. Nothing has come to the attention of the Company that has caused the Company to believe that the statistical and market-related data included or incorporated by reference in each of the Registration Statement and the Prospectus is not based on or derived from sources that are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(uu) </w:t>
      </w:r>
      <w:r>
        <w:rPr>
          <w:rFonts w:ascii="Times New Roman" w:hAnsi="Times New Roman"/>
          <w:sz w:val="20"/>
          <w:u w:val="single"/>
        </w:rPr>
        <w:t>Sarbanes-Oxley Act</w:t>
      </w:r>
      <w:r>
        <w:rPr>
          <w:rFonts w:ascii="Times New Roman" w:hAnsi="Times New Roman"/>
          <w:sz w:val="20"/>
        </w:rPr>
        <w:t xml:space="preserve">. There is and has been no failure on the part of the Company or any of the Company’s directors or officers, in their capacities as such, to comply in all material respects with any provision of the Sarbanes-Oxley Act of 2002, as amended and the rules and regulations promulgated in connection therewith, including Section 402 related to loans and Sections 302 and 906 related to certifications.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(vv) </w:t>
      </w:r>
      <w:r>
        <w:rPr>
          <w:rFonts w:ascii="Times New Roman" w:hAnsi="Times New Roman"/>
          <w:sz w:val="20"/>
          <w:u w:val="single"/>
        </w:rPr>
        <w:t>Status under the Securities Act</w:t>
      </w:r>
      <w:r>
        <w:rPr>
          <w:rFonts w:ascii="Times New Roman" w:hAnsi="Times New Roman"/>
          <w:sz w:val="20"/>
        </w:rPr>
        <w:t xml:space="preserve">. At the time of filing the Registration Statement and any post-effective amendment thereto, at the earliest time thereafter that the Company or any offering participant made a bona fide offer (within the meaning of Rule 164(h)(2) under the Securities Act) of the Shares and at the date hereof, the Company was not and is not an “ineligible issuer”, as defined in Rule 405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(ww) </w:t>
      </w:r>
      <w:r>
        <w:rPr>
          <w:rFonts w:ascii="Times New Roman" w:hAnsi="Times New Roman"/>
          <w:sz w:val="20"/>
          <w:u w:val="single"/>
        </w:rPr>
        <w:t>No Ratings</w:t>
      </w:r>
      <w:r>
        <w:rPr>
          <w:rFonts w:ascii="Times New Roman" w:hAnsi="Times New Roman"/>
          <w:sz w:val="20"/>
        </w:rPr>
        <w:t xml:space="preserve">. There are no debt securities, convertible securities or preferred stock issued or guaranteed by the Company or its subsidiary that are rated by a “nationally recognized statistical rating organization”, as such term is defined in Section 3(a)(62)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No Outstanding Loans or Other Extensions of Credit</w:t>
      </w:r>
      <w:r>
        <w:rPr>
          <w:rFonts w:ascii="Times New Roman" w:hAnsi="Times New Roman"/>
          <w:sz w:val="20"/>
        </w:rPr>
        <w:t xml:space="preserve">. The Company does not have any outstanding extension of credit, in the form of a personal loan, to or for any director or executive officer (or equivalent thereof) of the Company except for such extensions of credit as are expressly permitted by Section 13(k)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(yy) </w:t>
      </w:r>
      <w:r>
        <w:rPr>
          <w:rFonts w:ascii="Times New Roman" w:hAnsi="Times New Roman"/>
          <w:sz w:val="20"/>
          <w:u w:val="single"/>
        </w:rPr>
        <w:t>Other Underwriting Agreements</w:t>
      </w:r>
      <w:r>
        <w:rPr>
          <w:rFonts w:ascii="Times New Roman" w:hAnsi="Times New Roman"/>
          <w:sz w:val="20"/>
        </w:rPr>
        <w:t xml:space="preserve">. The Company is not a party to any agreement with an agent or underwriter for any other “at-the-market” or continuous equity transaction. </w:t>
      </w:r>
    </w:p>
    <w:p>
      <w:pPr>
        <w:pStyle w:val="TextBody"/>
        <w:bidi w:val="0"/>
        <w:spacing w:before="120" w:after="0"/>
        <w:jc w:val="left"/>
        <w:rPr>
          <w:rFonts w:ascii="Times New Roman" w:hAnsi="Times New Roman"/>
          <w:sz w:val="20"/>
        </w:rPr>
      </w:pPr>
      <w:r>
        <w:rPr>
          <w:rFonts w:ascii="Times New Roman" w:hAnsi="Times New Roman"/>
          <w:sz w:val="20"/>
        </w:rPr>
        <w:t xml:space="preserve">(zz) </w:t>
      </w:r>
      <w:r>
        <w:rPr>
          <w:rFonts w:ascii="Times New Roman" w:hAnsi="Times New Roman"/>
          <w:sz w:val="20"/>
          <w:u w:val="single"/>
        </w:rPr>
        <w:t>FINRA Matters</w:t>
      </w:r>
      <w:r>
        <w:rPr>
          <w:rFonts w:ascii="Times New Roman" w:hAnsi="Times New Roman"/>
          <w:sz w:val="20"/>
        </w:rPr>
        <w:t xml:space="preserve">.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in all material respects with FINRA’s rules and any letters, filings or other supplemental information provided to FINRA pursuant to FINRA Rules or NASD Conduct Rules is true, complete and correct in all material respects. The Company meets the definition of the term “experienced issuer” specified in FINRA Rule 5110(j)(6).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or representative of the Company or its subsidiary and delivered to the Agent or counsel for the Agent in connection with an issuance of Shares shall be deemed a representation and warranty by the Company to the Agent as to the matters covered thereby on the date of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that the Agent and, for purposes of the opinions to be delivered pursuant to </w:t>
      </w:r>
      <w:r>
        <w:rPr>
          <w:rFonts w:ascii="Times New Roman" w:hAnsi="Times New Roman"/>
          <w:sz w:val="20"/>
          <w:u w:val="single"/>
        </w:rPr>
        <w:t>Section 4(p)</w:t>
      </w:r>
      <w:r>
        <w:rPr>
          <w:rFonts w:ascii="Times New Roman" w:hAnsi="Times New Roman"/>
          <w:sz w:val="20"/>
        </w:rPr>
        <w:t xml:space="preserve"> hereof, counsel to the Company and counsel to the Agent, will rely upon the accuracy and truthfulness of the foregoing representations and hereby consents to such reliance.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 ISSUANCE AND SALE OF COMMON SHARES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Sale of Securities</w:t>
      </w:r>
      <w:r>
        <w:rPr>
          <w:rFonts w:ascii="Times New Roman" w:hAnsi="Times New Roman"/>
          <w:sz w:val="20"/>
        </w:rPr>
        <w:t xml:space="preserve">.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Mechanics of Issuances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Issuance Notice</w:t>
      </w:r>
      <w:r>
        <w:rPr>
          <w:rFonts w:ascii="Times New Roman" w:hAnsi="Times New Roman"/>
          <w:sz w:val="20"/>
        </w:rPr>
        <w:t xml:space="preserve">. Upon the terms and subject to the conditions set forth herein, on any Trading Day during the Agency Period on which the conditions set forth in </w:t>
      </w:r>
      <w:r>
        <w:rPr>
          <w:rFonts w:ascii="Times New Roman" w:hAnsi="Times New Roman"/>
          <w:sz w:val="20"/>
          <w:u w:val="single"/>
        </w:rPr>
        <w:t>Section 5(a)</w:t>
      </w:r>
      <w:r>
        <w:rPr>
          <w:rFonts w:ascii="Times New Roman" w:hAnsi="Times New Roman"/>
          <w:sz w:val="20"/>
        </w:rPr>
        <w:t xml:space="preserve"> and </w:t>
      </w:r>
      <w:r>
        <w:rPr>
          <w:rFonts w:ascii="Times New Roman" w:hAnsi="Times New Roman"/>
          <w:sz w:val="20"/>
          <w:u w:val="single"/>
        </w:rPr>
        <w:t>Section 5(b)</w:t>
      </w:r>
      <w:r>
        <w:rPr>
          <w:rFonts w:ascii="Times New Roman" w:hAnsi="Times New Roman"/>
          <w:sz w:val="20"/>
        </w:rPr>
        <w:t xml:space="preserve"> shall have been satisfied, the Company may exercise its right to request an issuance of Shares by delivering to the Agent an Issuance Notice; provided, however,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Agent Efforts</w:t>
      </w:r>
      <w:r>
        <w:rPr>
          <w:rFonts w:ascii="Times New Roman" w:hAnsi="Times New Roman"/>
          <w:sz w:val="20"/>
        </w:rPr>
        <w:t xml:space="preserve">.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Method of Offer and Sale</w:t>
      </w:r>
      <w:r>
        <w:rPr>
          <w:rFonts w:ascii="Times New Roman" w:hAnsi="Times New Roman"/>
          <w:sz w:val="20"/>
        </w:rPr>
        <w:t>. The Shares may be offered and sold (A) in negotiated transactions with the consent of the Company or (B) by any other method permitted by law deemed to be an “</w:t>
      </w:r>
      <w:r>
        <w:rPr>
          <w:rFonts w:ascii="Times New Roman" w:hAnsi="Times New Roman"/>
          <w:b/>
          <w:sz w:val="20"/>
        </w:rPr>
        <w:t>at the market offering</w:t>
      </w:r>
      <w:r>
        <w:rPr>
          <w:rFonts w:ascii="Times New Roman" w:hAnsi="Times New Roman"/>
          <w:sz w:val="20"/>
        </w:rPr>
        <w:t xml:space="preserve">”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Agent shall be at the Agent’s discretion.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Confirmation to the Company</w:t>
      </w:r>
      <w:r>
        <w:rPr>
          <w:rFonts w:ascii="Times New Roman" w:hAnsi="Times New Roman"/>
          <w:sz w:val="20"/>
        </w:rPr>
        <w:t xml:space="preserve">. If acting as sales agent hereunder, the Agent will provide written confirmation to the Company no later than the opening of the Trading Day next following the Trading Day on which it has placed Shares hereunder setting forth the number of such Shares sold on such Trading Day, the corresponding Sales Price and the Issuance Price payable to the Company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Settlement</w:t>
      </w:r>
      <w:r>
        <w:rPr>
          <w:rFonts w:ascii="Times New Roman" w:hAnsi="Times New Roman"/>
          <w:sz w:val="20"/>
        </w:rPr>
        <w:t xml:space="preserve">. Each issuance of Shares will be settled on the applicable Settlement Date for such issuance of Shares and, subject to the provisions of </w:t>
      </w:r>
      <w:r>
        <w:rPr>
          <w:rFonts w:ascii="Times New Roman" w:hAnsi="Times New Roman"/>
          <w:sz w:val="20"/>
          <w:u w:val="single"/>
        </w:rPr>
        <w:t>Section 5</w:t>
      </w:r>
      <w:r>
        <w:rPr>
          <w:rFonts w:ascii="Times New Roman" w:hAnsi="Times New Roman"/>
          <w:sz w:val="20"/>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 w:hAnsi="Times New Roman"/>
          <w:b/>
          <w:sz w:val="20"/>
        </w:rPr>
        <w:t>Time of Sale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Suspension or Termination of Sales</w:t>
      </w:r>
      <w:r>
        <w:rPr>
          <w:rFonts w:ascii="Times New Roman" w:hAnsi="Times New Roman"/>
          <w:sz w:val="20"/>
        </w:rPr>
        <w:t xml:space="preserve">. Consistent with standard market settlement practices, the Company or the Agent may, upon notice to the other party hereto in writing (including by email) or by telephone (confirmed promptly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hAnsi="Times New Roman"/>
          <w:sz w:val="20"/>
          <w:u w:val="single"/>
        </w:rPr>
        <w:t>Section 3(b)(v)</w:t>
      </w:r>
      <w:r>
        <w:rPr>
          <w:rFonts w:ascii="Times New Roman" w:hAnsi="Times New Roman"/>
          <w:sz w:val="20"/>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and documented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hAnsi="Times New Roman"/>
          <w:sz w:val="20"/>
          <w:u w:val="single"/>
        </w:rPr>
        <w:t>Section 3(b)(i)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No Guarantee of Placement, Etc</w:t>
      </w:r>
      <w:r>
        <w:rPr>
          <w:rFonts w:ascii="Times New Roman" w:hAnsi="Times New Roman"/>
          <w:sz w:val="20"/>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Material Non-Public Information</w:t>
      </w:r>
      <w:r>
        <w:rPr>
          <w:rFonts w:ascii="Times New Roman" w:hAnsi="Times New Roman"/>
          <w:sz w:val="20"/>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Fees</w:t>
      </w:r>
      <w:r>
        <w:rPr>
          <w:rFonts w:ascii="Times New Roman" w:hAnsi="Times New Roman"/>
          <w:sz w:val="20"/>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hAnsi="Times New Roman"/>
          <w:sz w:val="20"/>
          <w:u w:val="single"/>
        </w:rPr>
        <w:t>Section 3(b)(vi)</w:t>
      </w:r>
      <w:r>
        <w:rPr>
          <w:rFonts w:ascii="Times New Roman" w:hAnsi="Times New Roman"/>
          <w:sz w:val="20"/>
        </w:rPr>
        <w:t xml:space="preserve">) by the Agent deducting the Selling Commission from the applicable Issuance Amount.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Expenses</w:t>
      </w:r>
      <w:r>
        <w:rPr>
          <w:rFonts w:ascii="Times New Roman" w:hAnsi="Times New Roman"/>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hAnsi="Times New Roman"/>
          <w:b/>
          <w:sz w:val="20"/>
        </w:rPr>
        <w:t>Blue Sky Survey</w:t>
      </w:r>
      <w:r>
        <w:rPr>
          <w:rFonts w:ascii="Times New Roman" w:hAnsi="Times New Roman"/>
          <w:sz w:val="20"/>
        </w:rPr>
        <w:t xml:space="preserve">” or memorandum and a “Canadian wrapper”, and any supplements thereto, advising the Agent of such qualifications, registrations, determinations and exemptions; (vii) the reasonable and documented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$75,000 in connection with the execution of this Agreement; (B) $25,000 in connection with each Triggering Event Date (as defined below) involving the filing of a Form 10-K on which the Company is required to provide a certificate pursuant to </w:t>
      </w:r>
      <w:r>
        <w:rPr>
          <w:rFonts w:ascii="Times New Roman" w:hAnsi="Times New Roman"/>
          <w:sz w:val="20"/>
          <w:u w:val="single"/>
        </w:rPr>
        <w:t xml:space="preserve">Section 4(o) </w:t>
      </w:r>
      <w:r>
        <w:rPr>
          <w:rFonts w:ascii="Times New Roman" w:hAnsi="Times New Roman"/>
          <w:sz w:val="20"/>
        </w:rPr>
        <w:t xml:space="preserve">and (C) $15,000 in connection with each other Triggering Event Date (as defined below) on which the Company is required to provide a certificate pursuant to </w:t>
      </w:r>
      <w:r>
        <w:rPr>
          <w:rFonts w:ascii="Times New Roman" w:hAnsi="Times New Roman"/>
          <w:sz w:val="20"/>
          <w:u w:val="single"/>
        </w:rPr>
        <w:t>Section 4(o)</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 ADDITIONAL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and agrees with the Agent as follows, in addition to any other covenants and agreements made elsewhere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Act Compliance</w:t>
      </w:r>
      <w:r>
        <w:rPr>
          <w:rFonts w:ascii="Times New Roman" w:hAnsi="Times New Roman"/>
          <w:sz w:val="20"/>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 w:hAnsi="Times New Roman"/>
          <w:b/>
          <w:sz w:val="20"/>
        </w:rPr>
        <w:t>Interim Prospectus Supplement</w:t>
      </w:r>
      <w:r>
        <w:rPr>
          <w:rFonts w:ascii="Times New Roman" w:hAnsi="Times New Roman"/>
          <w:sz w:val="20"/>
        </w:rPr>
        <w:t xml:space="preserve">”), such summary information and, at least once a quarter and subject to this </w:t>
      </w:r>
      <w:r>
        <w:rPr>
          <w:rFonts w:ascii="Times New Roman" w:hAnsi="Times New Roman"/>
          <w:sz w:val="20"/>
          <w:u w:val="single"/>
        </w:rPr>
        <w:t>Section 4</w:t>
      </w:r>
      <w:r>
        <w:rPr>
          <w:rFonts w:ascii="Times New Roman" w:hAnsi="Times New Roman"/>
          <w:sz w:val="20"/>
        </w:rPr>
        <w:t xml:space="preserve">, file such Interim Prospectus Supplement pursuant to Rule 424(b) under the Securities Act (and within the time periods required by Rule 424(b) and Rule 430B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Securities Act Compliance</w:t>
      </w:r>
      <w:r>
        <w:rPr>
          <w:rFonts w:ascii="Times New Roman" w:hAnsi="Times New Roman"/>
          <w:sz w:val="20"/>
        </w:rPr>
        <w:t xml:space="preserve">.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Amendments and Supplements to the Prospectus and Other Securities Act Matters</w:t>
      </w:r>
      <w:r>
        <w:rPr>
          <w:rFonts w:ascii="Times New Roman" w:hAnsi="Times New Roman"/>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Times New Roman" w:hAnsi="Times New Roman"/>
          <w:sz w:val="20"/>
          <w:u w:val="single"/>
        </w:rPr>
        <w:t>Section 4(d)</w:t>
      </w:r>
      <w:r>
        <w:rPr>
          <w:rFonts w:ascii="Times New Roman" w:hAnsi="Times New Roman"/>
          <w:sz w:val="20"/>
        </w:rPr>
        <w:t xml:space="preserve"> and </w:t>
      </w:r>
      <w:r>
        <w:rPr>
          <w:rFonts w:ascii="Times New Roman" w:hAnsi="Times New Roman"/>
          <w:sz w:val="20"/>
          <w:u w:val="single"/>
        </w:rPr>
        <w:t>Section 4(f)</w:t>
      </w:r>
      <w:r>
        <w:rPr>
          <w:rFonts w:ascii="Times New Roman" w:hAnsi="Times New Roman"/>
          <w:sz w:val="20"/>
        </w:rPr>
        <w:t xml:space="preserve">)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Times New Roman" w:hAnsi="Times New Roman"/>
          <w:sz w:val="20"/>
          <w:u w:val="single"/>
        </w:rPr>
        <w:t>Section 4(d)</w:t>
      </w:r>
      <w:r>
        <w:rPr>
          <w:rFonts w:ascii="Times New Roman" w:hAnsi="Times New Roman"/>
          <w:sz w:val="20"/>
        </w:rPr>
        <w:t xml:space="preserve"> and </w:t>
      </w:r>
      <w:r>
        <w:rPr>
          <w:rFonts w:ascii="Times New Roman" w:hAnsi="Times New Roman"/>
          <w:sz w:val="20"/>
          <w:u w:val="single"/>
        </w:rPr>
        <w:t>Section 4(f)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Agent’s Review of Proposed Amendments and Supplements</w:t>
      </w:r>
      <w:r>
        <w:rPr>
          <w:rFonts w:ascii="Times New Roman" w:hAnsi="Times New Roman"/>
          <w:sz w:val="20"/>
        </w:rPr>
        <w:t xml:space="preserve">. Prior to amending or supplementing the Registration Statement (including any Rule 462(b) Registration Statement)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such consent not to be unreasonably withheld, conditioned or delayed, and to file with the Commission within the applicable period specified in Rule 424(b) under the Securities Act any prospectus required to be filed pursuant to such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Use of Free Writing Prospectus</w:t>
      </w:r>
      <w:r>
        <w:rPr>
          <w:rFonts w:ascii="Times New Roman" w:hAnsi="Times New Roman"/>
          <w:sz w:val="20"/>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hAnsi="Times New Roman"/>
          <w:b/>
          <w:sz w:val="20"/>
        </w:rPr>
        <w:t>Free Writing Prospectus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Free Writing Prospectuses</w:t>
      </w:r>
      <w:r>
        <w:rPr>
          <w:rFonts w:ascii="Times New Roman" w:hAnsi="Times New Roman"/>
          <w:sz w:val="20"/>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such consent not to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Filing of Agent Free Writing Prospectuses</w:t>
      </w:r>
      <w:r>
        <w:rPr>
          <w:rFonts w:ascii="Times New Roman" w:hAnsi="Times New Roman"/>
          <w:sz w:val="20"/>
        </w:rPr>
        <w:t xml:space="preserve">.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Copies of Registration Statement and Prospectus</w:t>
      </w:r>
      <w:r>
        <w:rPr>
          <w:rFonts w:ascii="Times New Roman" w:hAnsi="Times New Roman"/>
          <w:sz w:val="20"/>
        </w:rPr>
        <w:t xml:space="preserve">.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Blue Sky Compliance</w:t>
      </w:r>
      <w:r>
        <w:rPr>
          <w:rFonts w:ascii="Times New Roman" w:hAnsi="Times New Roman"/>
          <w:sz w:val="20"/>
        </w:rPr>
        <w:t xml:space="preserve">.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commercially reasonable efforts to obtain the withdrawal thereof as soon as practicable.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Earnings Statement</w:t>
      </w:r>
      <w:r>
        <w:rPr>
          <w:rFonts w:ascii="Times New Roman" w:hAnsi="Times New Roman"/>
          <w:sz w:val="20"/>
        </w:rPr>
        <w:t xml:space="preserve">.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which requirement may be satisfied by publicly filing or furnishing the required information on EDGAR.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Listing; Reservation of Shares</w:t>
      </w:r>
      <w:r>
        <w:rPr>
          <w:rFonts w:ascii="Times New Roman" w:hAnsi="Times New Roman"/>
          <w:sz w:val="20"/>
        </w:rPr>
        <w:t xml:space="preserve">. (a) The Company will maintain the listing of the Shares on the Principal Market; and (b) the Company will reserve and keep available at all times, free of preemptive rights, Shares for the purpose of enabling the Company to satisfy its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Transfer Agent</w:t>
      </w:r>
      <w:r>
        <w:rPr>
          <w:rFonts w:ascii="Times New Roman" w:hAnsi="Times New Roman"/>
          <w:sz w:val="20"/>
        </w:rPr>
        <w:t xml:space="preserve">. The Company shall engage and maintain, at its expense, a registrar and transfer agent for the Shares.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Due Diligence</w:t>
      </w:r>
      <w:r>
        <w:rPr>
          <w:rFonts w:ascii="Times New Roman" w:hAnsi="Times New Roman"/>
          <w:sz w:val="20"/>
        </w:rPr>
        <w:t xml:space="preserve">.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Representations and Warranties</w:t>
      </w:r>
      <w:r>
        <w:rPr>
          <w:rFonts w:ascii="Times New Roman" w:hAnsi="Times New Roman"/>
          <w:sz w:val="20"/>
        </w:rPr>
        <w:t xml:space="preserve">.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Deliverables at Triggering Event Dates; Certificates</w:t>
      </w:r>
      <w:r>
        <w:rPr>
          <w:rFonts w:ascii="Times New Roman" w:hAnsi="Times New Roman"/>
          <w:sz w:val="20"/>
        </w:rPr>
        <w:t xml:space="preserve">. The Company agrees that on or prior to the date of the first Issuance Notice and, during the term of this Agreement after the date of the first Issuance Notice, upon: </w:t>
      </w:r>
    </w:p>
    <w:p>
      <w:pPr>
        <w:pStyle w:val="TextBody"/>
        <w:bidi w:val="0"/>
        <w:spacing w:before="120" w:after="0"/>
        <w:jc w:val="left"/>
        <w:rPr>
          <w:rFonts w:ascii="Times New Roman" w:hAnsi="Times New Roman"/>
          <w:sz w:val="20"/>
        </w:rPr>
      </w:pPr>
      <w:r>
        <w:rPr>
          <w:rFonts w:ascii="Times New Roman" w:hAnsi="Times New Roman"/>
          <w:sz w:val="20"/>
        </w:rPr>
        <w:t xml:space="preserve">(A) the filing of the Prospectus or the amendment or supplement of any Registration Statement or Prospectus (other than a prospectus supplement relating solely to an offering of securities other than the Shares or a prospectus filed pursuant to </w:t>
      </w:r>
      <w:r>
        <w:rPr>
          <w:rFonts w:ascii="Times New Roman" w:hAnsi="Times New Roman"/>
          <w:sz w:val="20"/>
          <w:u w:val="single"/>
        </w:rPr>
        <w:t>Section 4(a)(ii)(B)</w:t>
      </w:r>
      <w:r>
        <w:rPr>
          <w:rFonts w:ascii="Times New Roman" w:hAnsi="Times New Roman"/>
          <w:sz w:val="20"/>
        </w:rPr>
        <w:t xml:space="preserve">), by means of a post-effective amendment, sticker or supplement, but not by means of incorporation of documents by reference into the Registration Statement or Prospectus; </w:t>
      </w:r>
    </w:p>
    <w:p>
      <w:pPr>
        <w:pStyle w:val="TextBody"/>
        <w:bidi w:val="0"/>
        <w:spacing w:before="120" w:after="0"/>
        <w:jc w:val="left"/>
        <w:rPr>
          <w:rFonts w:ascii="Times New Roman" w:hAnsi="Times New Roman"/>
          <w:sz w:val="20"/>
        </w:rPr>
      </w:pPr>
      <w:r>
        <w:rPr>
          <w:rFonts w:ascii="Times New Roman" w:hAnsi="Times New Roman"/>
          <w:sz w:val="20"/>
        </w:rPr>
        <w:t xml:space="preserve">(B) 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(C) 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such event, a “</w:t>
      </w:r>
      <w:r>
        <w:rPr>
          <w:rFonts w:ascii="Times New Roman" w:hAnsi="Times New Roman"/>
          <w:b/>
          <w:sz w:val="20"/>
        </w:rPr>
        <w:t>Triggering Event Date</w:t>
      </w:r>
      <w:r>
        <w:rPr>
          <w:rFonts w:ascii="Times New Roman" w:hAnsi="Times New Roman"/>
          <w:sz w:val="20"/>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hAnsi="Times New Roman"/>
          <w:sz w:val="20"/>
          <w:u w:val="single"/>
        </w:rPr>
        <w:t>Section 5(a)(iii)</w:t>
      </w:r>
      <w:r>
        <w:rPr>
          <w:rFonts w:ascii="Times New Roman" w:hAnsi="Times New Roman"/>
          <w:sz w:val="20"/>
        </w:rPr>
        <w:t xml:space="preserve"> hereof, and (C) containing any other certification that the Agent shall reasonably request. The requirement to provide a certificate under this </w:t>
      </w:r>
      <w:r>
        <w:rPr>
          <w:rFonts w:ascii="Times New Roman" w:hAnsi="Times New Roman"/>
          <w:sz w:val="20"/>
          <w:u w:val="single"/>
        </w:rPr>
        <w:t>Section 4(o)</w:t>
      </w:r>
      <w:r>
        <w:rPr>
          <w:rFonts w:ascii="Times New Roman" w:hAnsi="Times New Roman"/>
          <w:sz w:val="20"/>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Times New Roman" w:hAnsi="Times New Roman"/>
          <w:sz w:val="20"/>
          <w:u w:val="single"/>
        </w:rPr>
        <w:t>Section 4(o)</w:t>
      </w:r>
      <w:r>
        <w:rPr>
          <w:rFonts w:ascii="Times New Roman" w:hAnsi="Times New Roman"/>
          <w:sz w:val="20"/>
        </w:rPr>
        <w:t xml:space="preserve">, then before the Company delivers the instructions for the sale of Shares or the Agent sells any Shares pursuant to such instructions, the Company shall provide the Agent with a certificate in conformity with this </w:t>
      </w:r>
      <w:r>
        <w:rPr>
          <w:rFonts w:ascii="Times New Roman" w:hAnsi="Times New Roman"/>
          <w:sz w:val="20"/>
          <w:u w:val="single"/>
        </w:rPr>
        <w:t>Section 4(o)</w:t>
      </w:r>
      <w:r>
        <w:rPr>
          <w:rFonts w:ascii="Times New Roman" w:hAnsi="Times New Roman"/>
          <w:sz w:val="20"/>
        </w:rPr>
        <w:t xml:space="preserve"> dated as of the date that the instructions for the sale of Shares are issued.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Legal Opinions</w:t>
      </w:r>
      <w:r>
        <w:rPr>
          <w:rFonts w:ascii="Times New Roman" w:hAnsi="Times New Roman"/>
          <w:sz w:val="20"/>
        </w:rPr>
        <w:t xml:space="preserve">. On or prior to the date of the first Issuance Notice and on or prior to each Triggering Event Date with respect to which the Company is obligated to deliver a certificate pursuant to </w:t>
      </w:r>
      <w:r>
        <w:rPr>
          <w:rFonts w:ascii="Times New Roman" w:hAnsi="Times New Roman"/>
          <w:sz w:val="20"/>
          <w:u w:val="single"/>
        </w:rPr>
        <w:t>Section 4(o)</w:t>
      </w:r>
      <w:r>
        <w:rPr>
          <w:rFonts w:ascii="Times New Roman" w:hAnsi="Times New Roman"/>
          <w:sz w:val="20"/>
        </w:rPr>
        <w:t xml:space="preserve"> for which no waiver is applicable and excluding the date of this Agreement, the Company shall cause to be delivered (i) a negative assurance letter and the written legal opinion of Foley Hoag LLP, counsel to the Company and (ii) the written legal opinion of Elmore Patent Law Group, PC, intellectual property counsel to the Company,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Comfort Letter</w:t>
      </w:r>
      <w:r>
        <w:rPr>
          <w:rFonts w:ascii="Times New Roman" w:hAnsi="Times New Roman"/>
          <w:sz w:val="20"/>
        </w:rPr>
        <w:t xml:space="preserve">. On or prior to the date of the first Issuance Notice and on or prior to each Triggering Event Date with respect to which the Company is obligated to deliver a certificate pursuant to </w:t>
      </w:r>
      <w:r>
        <w:rPr>
          <w:rFonts w:ascii="Times New Roman" w:hAnsi="Times New Roman"/>
          <w:sz w:val="20"/>
          <w:u w:val="single"/>
        </w:rPr>
        <w:t>Section 4(o)</w:t>
      </w:r>
      <w:r>
        <w:rPr>
          <w:rFonts w:ascii="Times New Roman" w:hAnsi="Times New Roman"/>
          <w:sz w:val="20"/>
        </w:rPr>
        <w:t xml:space="preserve"> for which no waiver is applicable and excluding the date of this Agreement, the Company shall cause PricewaterhouseCoopers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contains financial statements filed with the Commission under the Exchange Act and incorporated or deemed to be incorporated by reference into a Prospectus. If requested by the Agent during a period in which there is an outstanding Issuance Notice or prior to the next Issuance Notice,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Secretary’s Certificate</w:t>
      </w:r>
      <w:r>
        <w:rPr>
          <w:rFonts w:ascii="Times New Roman" w:hAnsi="Times New Roman"/>
          <w:sz w:val="20"/>
        </w:rPr>
        <w:t xml:space="preserve">. On or prior to the date of the first Issuance Notice and on or prior to each Triggering Event Date with respect to which the Company is obligated to deliver a certificate pursuant to </w:t>
      </w:r>
      <w:r>
        <w:rPr>
          <w:rFonts w:ascii="Times New Roman" w:hAnsi="Times New Roman"/>
          <w:sz w:val="20"/>
          <w:u w:val="single"/>
        </w:rPr>
        <w:t>Section 4(o)</w:t>
      </w:r>
      <w:r>
        <w:rPr>
          <w:rFonts w:ascii="Times New Roman" w:hAnsi="Times New Roman"/>
          <w:sz w:val="20"/>
        </w:rPr>
        <w:t xml:space="preserve"> for which no waiver is applicable and excluding the date of this Agreement,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Agent’s Own Account; Clients’ Account</w:t>
      </w:r>
      <w:r>
        <w:rPr>
          <w:rFonts w:ascii="Times New Roman" w:hAnsi="Times New Roman"/>
          <w:sz w:val="20"/>
        </w:rPr>
        <w:t xml:space="preserve">. The Company consents to the Agent trading, in compliance with applicable law, in the Common Shares for the Agent’s own account and for the account of its clients at the same time as sales of the Shares occur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Investment Limitation</w:t>
      </w:r>
      <w:r>
        <w:rPr>
          <w:rFonts w:ascii="Times New Roman" w:hAnsi="Times New Roman"/>
          <w:sz w:val="20"/>
        </w:rPr>
        <w:t xml:space="preserve">. The Company shall not invest, or otherwise use the proceeds received by the Company from its sale of the Shares in such a manner as would require the Company or any of its subsidiaries to register as an investment company 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Market Activities</w:t>
      </w:r>
      <w:r>
        <w:rPr>
          <w:rFonts w:ascii="Times New Roman" w:hAnsi="Times New Roman"/>
          <w:sz w:val="20"/>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hAnsi="Times New Roman"/>
          <w:b/>
          <w:sz w:val="20"/>
        </w:rPr>
        <w:t>Rule 102</w:t>
      </w:r>
      <w:r>
        <w:rPr>
          <w:rFonts w:ascii="Times New Roman" w:hAnsi="Times New Roman"/>
          <w:sz w:val="20"/>
        </w:rPr>
        <w:t xml:space="preserve">”)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Notice of Other Sale</w:t>
      </w:r>
      <w:r>
        <w:rPr>
          <w:rFonts w:ascii="Times New Roman" w:hAnsi="Times New Roman"/>
          <w:sz w:val="20"/>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or the vesting and settlement of the foregoing, pursuant to any employee or director share option, incentive or benefit plan, share purchase or ownership plan, long-term incentive plan, dividend reinvestment plan, inducement award under Nasdaq rules or other compensation plan of the Company or its subsidiary, whether now in effect or hereafter implemented, (ii) issuance or sale of Common Shares issuable upon exchange, conversion or redemption of securities or the exercise or vesting of warrants, options or other equity awards outstanding at the date of this Agreement, (iii) issue or sale of Common Shares or securities convertible into or exchangeable for Common Shares as consideration for mergers, acquisitions, other business combinations, collaboration agreements or strategic alliances occurring after the date of this Agreement which are not issued primarily for capital raising purposes; provided, however, that if any Issuance Notice is pending, the Company will not issue Common Shares pursuant to clause (iii) of this</w:t>
      </w:r>
      <w:r>
        <w:rPr>
          <w:rFonts w:ascii="Times New Roman" w:hAnsi="Times New Roman"/>
          <w:sz w:val="20"/>
          <w:u w:val="single"/>
        </w:rPr>
        <w:t> Section 4(v)</w:t>
      </w:r>
      <w:r>
        <w:rPr>
          <w:rFonts w:ascii="Times New Roman" w:hAnsi="Times New Roman"/>
          <w:sz w:val="20"/>
        </w:rPr>
        <w:t xml:space="preserve"> while such Issuance Notice is pending if, following such issuance, the number of Common Shares issued or issuable in connection with all such issuances pursuant to clause (iii) would exceed 10% of the aggregate number of the Common Shares outstanding as of the date of this Agreement; and (iv) modification of any outstanding options, warrants or any rights to purchase or acquire Common Shares.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 CONDITIONS TO DELIVERY OF ISSUANCE NOTICES AND TO SETTLEMENT </w:t>
      </w:r>
    </w:p>
    <w:p>
      <w:pPr>
        <w:pStyle w:val="TextBody"/>
        <w:bidi w:val="0"/>
        <w:spacing w:before="120" w:after="0"/>
        <w:jc w:val="left"/>
        <w:rPr>
          <w:rFonts w:ascii="Times New Roman" w:hAnsi="Times New Roman"/>
          <w:sz w:val="20"/>
        </w:rPr>
      </w:pPr>
      <w:r>
        <w:rPr>
          <w:rFonts w:ascii="Times New Roman" w:hAnsi="Times New Roman"/>
          <w:sz w:val="20"/>
        </w:rPr>
        <w:t xml:space="preserve">(a) Conditions </w:t>
      </w:r>
      <w:r>
        <w:rPr>
          <w:rFonts w:ascii="Times New Roman" w:hAnsi="Times New Roman"/>
          <w:sz w:val="20"/>
          <w:u w:val="single"/>
        </w:rPr>
        <w:t>Precedent to the Right of the Company to Deliver an Issuance Notice and the Obligation of the Agent to Sell Shares</w:t>
      </w:r>
      <w:r>
        <w:rPr>
          <w:rFonts w:ascii="Times New Roman" w:hAnsi="Times New Roman"/>
          <w:sz w:val="20"/>
        </w:rPr>
        <w:t xml:space="preserve">.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Accuracy of the Company’s Representations and Warranties; Performance by the Company</w:t>
      </w:r>
      <w:r>
        <w:rPr>
          <w:rFonts w:ascii="Times New Roman" w:hAnsi="Times New Roman"/>
          <w:sz w:val="20"/>
        </w:rPr>
        <w:t xml:space="preserve">. The Company shall have delivered the certificate required to be delivered pursuant to </w:t>
      </w:r>
      <w:r>
        <w:rPr>
          <w:rFonts w:ascii="Times New Roman" w:hAnsi="Times New Roman"/>
          <w:sz w:val="20"/>
          <w:u w:val="single"/>
        </w:rPr>
        <w:t>Section 4(o)</w:t>
      </w:r>
      <w:r>
        <w:rPr>
          <w:rFonts w:ascii="Times New Roman" w:hAnsi="Times New Roman"/>
          <w:sz w:val="20"/>
        </w:rPr>
        <w:t xml:space="preserve"> on or before the date on which delivery of such certificate is required pursuant to </w:t>
      </w:r>
      <w:r>
        <w:rPr>
          <w:rFonts w:ascii="Times New Roman" w:hAnsi="Times New Roman"/>
          <w:sz w:val="20"/>
          <w:u w:val="single"/>
        </w:rPr>
        <w:t>Section 4(o)</w:t>
      </w:r>
      <w:r>
        <w:rPr>
          <w:rFonts w:ascii="Times New Roman" w:hAnsi="Times New Roman"/>
          <w:sz w:val="20"/>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hAnsi="Times New Roman"/>
          <w:sz w:val="20"/>
          <w:u w:val="single"/>
        </w:rPr>
        <w:t>Section 4(p)</w:t>
      </w:r>
      <w:r>
        <w:rPr>
          <w:rFonts w:ascii="Times New Roman" w:hAnsi="Times New Roman"/>
          <w:sz w:val="20"/>
        </w:rPr>
        <w:t xml:space="preserve">, </w:t>
      </w:r>
      <w:r>
        <w:rPr>
          <w:rFonts w:ascii="Times New Roman" w:hAnsi="Times New Roman"/>
          <w:sz w:val="20"/>
          <w:u w:val="single"/>
        </w:rPr>
        <w:t>Section 4(q)</w:t>
      </w:r>
      <w:r>
        <w:rPr>
          <w:rFonts w:ascii="Times New Roman" w:hAnsi="Times New Roman"/>
          <w:sz w:val="20"/>
        </w:rPr>
        <w:t xml:space="preserve"> and </w:t>
      </w:r>
      <w:r>
        <w:rPr>
          <w:rFonts w:ascii="Times New Roman" w:hAnsi="Times New Roman"/>
          <w:sz w:val="20"/>
          <w:u w:val="single"/>
        </w:rPr>
        <w:t>Section 4(r)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 Injunction</w:t>
      </w:r>
      <w:r>
        <w:rPr>
          <w:rFonts w:ascii="Times New Roman" w:hAnsi="Times New Roman"/>
          <w:sz w:val="20"/>
        </w:rPr>
        <w:t xml:space="preserve">.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Material Adverse Changes</w:t>
      </w:r>
      <w:r>
        <w:rPr>
          <w:rFonts w:ascii="Times New Roman" w:hAnsi="Times New Roman"/>
          <w:sz w:val="20"/>
        </w:rPr>
        <w:t xml:space="preserve">.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No Suspension of Trading in or Delisting of Common Shares; Other Events</w:t>
      </w:r>
      <w:r>
        <w:rPr>
          <w:rFonts w:ascii="Times New Roman" w:hAnsi="Times New Roman"/>
          <w:sz w:val="20"/>
        </w:rPr>
        <w:t xml:space="preserve">.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 or any of its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the FINRA; (ii) a general banking moratorium shall have been declared by any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Documents Required to be Delivered on each Issuance Notice Date</w:t>
      </w:r>
      <w:r>
        <w:rPr>
          <w:rFonts w:ascii="Times New Roman" w:hAnsi="Times New Roman"/>
          <w:sz w:val="20"/>
        </w:rPr>
        <w:t xml:space="preserve">.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Chief Financial Officer or Principal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Misstatement or Material Omission</w:t>
      </w:r>
      <w:r>
        <w:rPr>
          <w:rFonts w:ascii="Times New Roman" w:hAnsi="Times New Roman"/>
          <w:sz w:val="20"/>
        </w:rPr>
        <w:t xml:space="preserve">. The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Agent Counsel Legal Opinion</w:t>
      </w:r>
      <w:r>
        <w:rPr>
          <w:rFonts w:ascii="Times New Roman" w:hAnsi="Times New Roman"/>
          <w:sz w:val="20"/>
        </w:rPr>
        <w:t xml:space="preserve">. The Agent shall have received from Cooley LLP, counsel for Agent, such opinion or opinions, on or before the date on which the delivery of the Company counsel legal opinion is required pursuant to </w:t>
      </w:r>
      <w:r>
        <w:rPr>
          <w:rFonts w:ascii="Times New Roman" w:hAnsi="Times New Roman"/>
          <w:sz w:val="20"/>
          <w:u w:val="single"/>
        </w:rPr>
        <w:t>Section 4(p)</w:t>
      </w:r>
      <w:r>
        <w:rPr>
          <w:rFonts w:ascii="Times New Roman" w:hAnsi="Times New Roman"/>
          <w:sz w:val="20"/>
        </w:rPr>
        <w:t xml:space="preserve">, with respect to such matters as Agent may reasonably require, and the Company shall have furnished to such counsel such documents as they request for enabling them to pass upon such matters.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 INDEMNIFICATION AND CONTRIBUTION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 of the Agent</w:t>
      </w:r>
      <w:r>
        <w:rPr>
          <w:rFonts w:ascii="Times New Roman" w:hAnsi="Times New Roman"/>
          <w:sz w:val="20"/>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fees and disbursements of counsel chosen by the Agent) as such expenses are documented and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Times New Roman" w:hAnsi="Times New Roman"/>
          <w:sz w:val="20"/>
          <w:u w:val="single"/>
        </w:rPr>
        <w:t>Section 6(a)</w:t>
      </w:r>
      <w:r>
        <w:rPr>
          <w:rFonts w:ascii="Times New Roman" w:hAnsi="Times New Roman"/>
          <w:sz w:val="20"/>
        </w:rPr>
        <w:t xml:space="preserve"> shall be in addition to any liabilities that the Company may otherwise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of the Company and its Directors and Officers</w:t>
      </w:r>
      <w:r>
        <w:rPr>
          <w:rFonts w:ascii="Times New Roman" w:hAnsi="Times New Roman"/>
          <w:sz w:val="20"/>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Times New Roman" w:hAnsi="Times New Roman"/>
          <w:sz w:val="20"/>
          <w:u w:val="single"/>
        </w:rPr>
        <w:t>Section 6(b)</w:t>
      </w:r>
      <w:r>
        <w:rPr>
          <w:rFonts w:ascii="Times New Roman" w:hAnsi="Times New Roman"/>
          <w:sz w:val="20"/>
        </w:rPr>
        <w:t xml:space="preserve"> shall be in addition to any liabilities that the Agent or the Company may otherwise have.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Notifications and Other Indemnification Procedures</w:t>
      </w:r>
      <w:r>
        <w:rPr>
          <w:rFonts w:ascii="Times New Roman" w:hAnsi="Times New Roman"/>
          <w:sz w:val="20"/>
        </w:rPr>
        <w:t xml:space="preserve">. Promptly after receipt by an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such indemnified party will, if a claim in respect thereof is to be made against an indemnifying party under this </w:t>
      </w:r>
      <w:r>
        <w:rPr>
          <w:rFonts w:ascii="Times New Roman" w:hAnsi="Times New Roman"/>
          <w:sz w:val="20"/>
          <w:u w:val="single"/>
        </w:rPr>
        <w:t>Section 6</w:t>
      </w:r>
      <w:r>
        <w:rPr>
          <w:rFonts w:ascii="Times New Roman" w:hAnsi="Times New Roman"/>
          <w:sz w:val="20"/>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 w:hAnsi="Times New Roman"/>
          <w:sz w:val="20"/>
          <w:u w:val="single"/>
        </w:rPr>
        <w:t>Section 6</w:t>
      </w:r>
      <w:r>
        <w:rPr>
          <w:rFonts w:ascii="Times New Roman" w:hAnsi="Times New Roman"/>
          <w:sz w:val="20"/>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hAnsi="Times New Roman"/>
          <w:sz w:val="20"/>
          <w:u w:val="single"/>
        </w:rPr>
        <w:t>Section 6</w:t>
      </w:r>
      <w:r>
        <w:rPr>
          <w:rFonts w:ascii="Times New Roman" w:hAnsi="Times New Roman"/>
          <w:sz w:val="20"/>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 w:hAnsi="Times New Roman"/>
          <w:sz w:val="20"/>
          <w:u w:val="single"/>
        </w:rPr>
        <w:t>Section 6(a)</w:t>
      </w:r>
      <w:r>
        <w:rPr>
          <w:rFonts w:ascii="Times New Roman" w:hAnsi="Times New Roman"/>
          <w:sz w:val="20"/>
        </w:rPr>
        <w:t xml:space="preserve"> and </w:t>
      </w:r>
      <w:r>
        <w:rPr>
          <w:rFonts w:ascii="Times New Roman" w:hAnsi="Times New Roman"/>
          <w:sz w:val="20"/>
          <w:u w:val="single"/>
        </w:rPr>
        <w:t>Section 6(b)</w:t>
      </w:r>
      <w:r>
        <w:rPr>
          <w:rFonts w:ascii="Times New Roman" w:hAnsi="Times New Roman"/>
          <w:sz w:val="20"/>
        </w:rPr>
        <w:t xml:space="preserve">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Settlements</w:t>
      </w:r>
      <w:r>
        <w:rPr>
          <w:rFonts w:ascii="Times New Roman" w:hAnsi="Times New Roman"/>
          <w:sz w:val="20"/>
        </w:rPr>
        <w:t xml:space="preserve">. The indemnifying party under this </w:t>
      </w:r>
      <w:r>
        <w:rPr>
          <w:rFonts w:ascii="Times New Roman" w:hAnsi="Times New Roman"/>
          <w:sz w:val="20"/>
          <w:u w:val="single"/>
        </w:rPr>
        <w:t>Section 6</w:t>
      </w:r>
      <w:r>
        <w:rPr>
          <w:rFonts w:ascii="Times New Roman" w:hAnsi="Times New Roman"/>
          <w:sz w:val="20"/>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hAnsi="Times New Roman"/>
          <w:sz w:val="20"/>
          <w:u w:val="single"/>
        </w:rPr>
        <w:t>Section 6(c)</w:t>
      </w:r>
      <w:r>
        <w:rPr>
          <w:rFonts w:ascii="Times New Roman" w:hAnsi="Times New Roman"/>
          <w:sz w:val="20"/>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Contribution</w:t>
      </w:r>
      <w:r>
        <w:rPr>
          <w:rFonts w:ascii="Times New Roman" w:hAnsi="Times New Roman"/>
          <w:sz w:val="20"/>
        </w:rPr>
        <w:t xml:space="preserve">. If the indemnification provided for in this </w:t>
      </w:r>
      <w:r>
        <w:rPr>
          <w:rFonts w:ascii="Times New Roman" w:hAnsi="Times New Roman"/>
          <w:sz w:val="20"/>
          <w:u w:val="single"/>
        </w:rPr>
        <w:t>Section 6</w:t>
      </w:r>
      <w:r>
        <w:rPr>
          <w:rFonts w:ascii="Times New Roman" w:hAnsi="Times New Roman"/>
          <w:sz w:val="20"/>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amount paid or payable by a party as a result of the losses, claims, damages, liabilities and expenses referred to above shall be deemed to include, subject to the limitations set forth in </w:t>
      </w:r>
      <w:r>
        <w:rPr>
          <w:rFonts w:ascii="Times New Roman" w:hAnsi="Times New Roman"/>
          <w:sz w:val="20"/>
          <w:u w:val="single"/>
        </w:rPr>
        <w:t>Section 6(c)</w:t>
      </w:r>
      <w:r>
        <w:rPr>
          <w:rFonts w:ascii="Times New Roman" w:hAnsi="Times New Roman"/>
          <w:sz w:val="20"/>
        </w:rPr>
        <w:t xml:space="preserve">, any legal or other fees or expenses reasonably incurred by such party in connection with investigating or defending any action or claim. The provisions set forth in </w:t>
      </w:r>
      <w:r>
        <w:rPr>
          <w:rFonts w:ascii="Times New Roman" w:hAnsi="Times New Roman"/>
          <w:sz w:val="20"/>
          <w:u w:val="single"/>
        </w:rPr>
        <w:t>Section 6(c)</w:t>
      </w:r>
      <w:r>
        <w:rPr>
          <w:rFonts w:ascii="Times New Roman" w:hAnsi="Times New Roman"/>
          <w:sz w:val="20"/>
        </w:rPr>
        <w:t xml:space="preserve"> with respect to notice of commencement of any action shall apply if a claim for contribution is to be made under this </w:t>
      </w:r>
      <w:r>
        <w:rPr>
          <w:rFonts w:ascii="Times New Roman" w:hAnsi="Times New Roman"/>
          <w:sz w:val="20"/>
          <w:u w:val="single"/>
        </w:rPr>
        <w:t>Section 6(e)</w:t>
      </w:r>
      <w:r>
        <w:rPr>
          <w:rFonts w:ascii="Times New Roman" w:hAnsi="Times New Roman"/>
          <w:sz w:val="20"/>
        </w:rPr>
        <w:t xml:space="preserve">; provided, however, that no additional notice shall be required with respect to any action for which notice has been given under </w:t>
      </w:r>
      <w:r>
        <w:rPr>
          <w:rFonts w:ascii="Times New Roman" w:hAnsi="Times New Roman"/>
          <w:sz w:val="20"/>
          <w:u w:val="single"/>
        </w:rPr>
        <w:t>Section 6(c)</w:t>
      </w:r>
      <w:r>
        <w:rPr>
          <w:rFonts w:ascii="Times New Roman" w:hAnsi="Times New Roman"/>
          <w:sz w:val="20"/>
        </w:rPr>
        <w:t xml:space="preserve"> for purposes of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Agent agree that it would not be just and equitable if contribution pursuant to this </w:t>
      </w:r>
      <w:r>
        <w:rPr>
          <w:rFonts w:ascii="Times New Roman" w:hAnsi="Times New Roman"/>
          <w:sz w:val="20"/>
          <w:u w:val="single"/>
        </w:rPr>
        <w:t>Section 6(e)</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Section 6(e)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6(e)</w:t>
      </w:r>
      <w:r>
        <w:rPr>
          <w:rFonts w:ascii="Times New Roman" w:hAnsi="Times New Roman"/>
          <w:sz w:val="20"/>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hAnsi="Times New Roman"/>
          <w:sz w:val="20"/>
          <w:u w:val="single"/>
        </w:rPr>
        <w:t>Section 6(e)</w:t>
      </w:r>
      <w:r>
        <w:rPr>
          <w:rFonts w:ascii="Times New Roman" w:hAnsi="Times New Roman"/>
          <w:sz w:val="20"/>
        </w:rPr>
        <w:t xml:space="preserve">,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 TERMINATION &amp; SURVIVAL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w:t>
      </w:r>
      <w:r>
        <w:rPr>
          <w:rFonts w:ascii="Times New Roman" w:hAnsi="Times New Roman"/>
          <w:sz w:val="20"/>
        </w:rPr>
        <w:t xml:space="preserve">. Subject to the provisions of this </w:t>
      </w:r>
      <w:r>
        <w:rPr>
          <w:rFonts w:ascii="Times New Roman" w:hAnsi="Times New Roman"/>
          <w:sz w:val="20"/>
          <w:u w:val="single"/>
        </w:rPr>
        <w:t>Section 7</w:t>
      </w:r>
      <w:r>
        <w:rPr>
          <w:rFonts w:ascii="Times New Roman" w:hAnsi="Times New Roman"/>
          <w:sz w:val="20"/>
        </w:rPr>
        <w:t xml:space="preserve">, the term of this Agreement shall continue from the date of this Agreement until the end of the Agency Period, unless earlier terminated by the parties to this Agreement pursuant to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Survival Following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hAnsi="Times New Roman"/>
          <w:sz w:val="20"/>
          <w:u w:val="single"/>
        </w:rPr>
        <w:t>Section 3(b)(v)</w:t>
      </w:r>
      <w:r>
        <w:rPr>
          <w:rFonts w:ascii="Times New Roman" w:hAnsi="Times New Roman"/>
          <w:sz w:val="20"/>
        </w:rPr>
        <w:t xml:space="preserve"> with respect to such Shares and (B)</w:t>
      </w:r>
      <w:r>
        <w:rPr>
          <w:rFonts w:ascii="Times New Roman" w:hAnsi="Times New Roman"/>
          <w:sz w:val="20"/>
          <w:u w:val="single"/>
        </w:rPr>
        <w:t> Section 2</w:t>
      </w:r>
      <w:r>
        <w:rPr>
          <w:rFonts w:ascii="Times New Roman" w:hAnsi="Times New Roman"/>
          <w:sz w:val="20"/>
        </w:rPr>
        <w:t xml:space="preserve">, </w:t>
      </w:r>
      <w:r>
        <w:rPr>
          <w:rFonts w:ascii="Times New Roman" w:hAnsi="Times New Roman"/>
          <w:sz w:val="20"/>
          <w:u w:val="single"/>
        </w:rPr>
        <w:t>Section 3(d)</w:t>
      </w:r>
      <w:r>
        <w:rPr>
          <w:rFonts w:ascii="Times New Roman" w:hAnsi="Times New Roman"/>
          <w:sz w:val="20"/>
        </w:rPr>
        <w:t xml:space="preserve">, </w:t>
      </w:r>
      <w:r>
        <w:rPr>
          <w:rFonts w:ascii="Times New Roman" w:hAnsi="Times New Roman"/>
          <w:sz w:val="20"/>
          <w:u w:val="single"/>
        </w:rPr>
        <w:t>Section 6</w:t>
      </w:r>
      <w:r>
        <w:rPr>
          <w:rFonts w:ascii="Times New Roman" w:hAnsi="Times New Roman"/>
          <w:sz w:val="20"/>
        </w:rPr>
        <w:t xml:space="preserve">, </w:t>
      </w:r>
      <w:r>
        <w:rPr>
          <w:rFonts w:ascii="Times New Roman" w:hAnsi="Times New Roman"/>
          <w:sz w:val="20"/>
          <w:u w:val="single"/>
        </w:rPr>
        <w:t>Section 7</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 shall survive termination of this Agreement. If termination shall occur prior to the Settlement Date for any sale of Shares, such sale shall nevertheless settle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In addition to the survival provision of </w:t>
      </w:r>
      <w:r>
        <w:rPr>
          <w:rFonts w:ascii="Times New Roman" w:hAnsi="Times New Roman"/>
          <w:sz w:val="20"/>
          <w:u w:val="single"/>
        </w:rPr>
        <w:t>Section 7(b)(i)</w:t>
      </w:r>
      <w:r>
        <w:rPr>
          <w:rFonts w:ascii="Times New Roman" w:hAnsi="Times New Roman"/>
          <w:sz w:val="20"/>
        </w:rPr>
        <w:t xml:space="preserve">,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 MISCELLANEOUS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Press Releases and Disclosure</w:t>
      </w:r>
      <w:r>
        <w:rPr>
          <w:rFonts w:ascii="Times New Roman" w:hAnsi="Times New Roman"/>
          <w:sz w:val="20"/>
        </w:rPr>
        <w:t xml:space="preserve">.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Advisory or Fiduciary Relationship</w:t>
      </w:r>
      <w:r>
        <w:rPr>
          <w:rFonts w:ascii="Times New Roman" w:hAnsi="Times New Roman"/>
          <w:sz w:val="20"/>
        </w:rPr>
        <w:t xml:space="preserve">.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Research Analyst Independence</w:t>
      </w:r>
      <w:r>
        <w:rPr>
          <w:rFonts w:ascii="Times New Roman" w:hAnsi="Times New Roman"/>
          <w:sz w:val="20"/>
        </w:rPr>
        <w:t xml:space="preserve">.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Notices</w:t>
      </w:r>
      <w:r>
        <w:rPr>
          <w:rFonts w:ascii="Times New Roman" w:hAnsi="Times New Roman"/>
          <w:sz w:val="20"/>
        </w:rPr>
        <w:t xml:space="preserve">. All communications hereunder shall be in writing and shall be mailed, hand delivered, sent via electronic mail (if applicable) or telecopied and confirmed to the parties hereto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Agent: </w:t>
      </w:r>
    </w:p>
    <w:p>
      <w:pPr>
        <w:pStyle w:val="TextBody"/>
        <w:bidi w:val="0"/>
        <w:spacing w:before="12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Facsimile: (646) 786-5719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Daniel I. Goldberg, Esq.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Enanta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4 Kingsbury Avenue </w:t>
      </w:r>
    </w:p>
    <w:p>
      <w:pPr>
        <w:pStyle w:val="TextBody"/>
        <w:bidi w:val="0"/>
        <w:spacing w:before="0" w:after="0"/>
        <w:jc w:val="left"/>
        <w:rPr>
          <w:rFonts w:ascii="Times New Roman" w:hAnsi="Times New Roman"/>
          <w:sz w:val="20"/>
        </w:rPr>
      </w:pPr>
      <w:r>
        <w:rPr>
          <w:rFonts w:ascii="Times New Roman" w:hAnsi="Times New Roman"/>
          <w:sz w:val="20"/>
        </w:rPr>
        <w:t xml:space="preserve">Watertown, MA 02472 </w:t>
      </w:r>
    </w:p>
    <w:p>
      <w:pPr>
        <w:pStyle w:val="TextBody"/>
        <w:bidi w:val="0"/>
        <w:spacing w:before="0" w:after="0"/>
        <w:jc w:val="left"/>
        <w:rPr>
          <w:rFonts w:ascii="Times New Roman" w:hAnsi="Times New Roman"/>
          <w:sz w:val="20"/>
        </w:rPr>
      </w:pPr>
      <w:r>
        <w:rPr>
          <w:rFonts w:ascii="Times New Roman" w:hAnsi="Times New Roman"/>
          <w:sz w:val="20"/>
        </w:rPr>
        <w:t xml:space="preserve">Attention: Matthew P. Kowalsky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Foley Hoag LLP </w:t>
      </w:r>
    </w:p>
    <w:p>
      <w:pPr>
        <w:pStyle w:val="TextBody"/>
        <w:bidi w:val="0"/>
        <w:spacing w:before="0" w:after="0"/>
        <w:jc w:val="left"/>
        <w:rPr>
          <w:rFonts w:ascii="Times New Roman" w:hAnsi="Times New Roman"/>
          <w:sz w:val="20"/>
        </w:rPr>
      </w:pPr>
      <w:r>
        <w:rPr>
          <w:rFonts w:ascii="Times New Roman" w:hAnsi="Times New Roman"/>
          <w:sz w:val="20"/>
        </w:rPr>
        <w:t xml:space="preserve">Seaport West </w:t>
      </w:r>
    </w:p>
    <w:p>
      <w:pPr>
        <w:pStyle w:val="TextBody"/>
        <w:bidi w:val="0"/>
        <w:spacing w:before="0" w:after="0"/>
        <w:jc w:val="left"/>
        <w:rPr>
          <w:rFonts w:ascii="Times New Roman" w:hAnsi="Times New Roman"/>
          <w:sz w:val="20"/>
        </w:rPr>
      </w:pPr>
      <w:r>
        <w:rPr>
          <w:rFonts w:ascii="Times New Roman" w:hAnsi="Times New Roman"/>
          <w:sz w:val="20"/>
        </w:rPr>
        <w:t xml:space="preserve">155 Seaport Boulevard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Stacie S. Aarestad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in accordance with this </w:t>
      </w:r>
      <w:r>
        <w:rPr>
          <w:rFonts w:ascii="Times New Roman" w:hAnsi="Times New Roman"/>
          <w:sz w:val="20"/>
          <w:u w:val="single"/>
        </w:rPr>
        <w:t>Section 8(d)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Successors</w:t>
      </w:r>
      <w:r>
        <w:rPr>
          <w:rFonts w:ascii="Times New Roman" w:hAnsi="Times New Roman"/>
          <w:sz w:val="20"/>
        </w:rPr>
        <w:t xml:space="preserve">. This Agreement will inure to the benefit of and be binding upon the parties hereto, and to the benefit of the employees, officers and directors and controlling persons referred to in </w:t>
      </w:r>
      <w:r>
        <w:rPr>
          <w:rFonts w:ascii="Times New Roman" w:hAnsi="Times New Roman"/>
          <w:sz w:val="20"/>
          <w:u w:val="single"/>
        </w:rPr>
        <w:t>Section 6</w:t>
      </w:r>
      <w:r>
        <w:rPr>
          <w:rFonts w:ascii="Times New Roman" w:hAnsi="Times New Roman"/>
          <w:sz w:val="20"/>
        </w:rPr>
        <w:t xml:space="preserve">, and in each case their respective successors, and no other person will have any right or obligation hereunder. The term “successors” shall not include any purchaser of the Shares as such from the Agent merely by reason of such purchase.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Partial Unenforceability</w:t>
      </w:r>
      <w:r>
        <w:rPr>
          <w:rFonts w:ascii="Times New Roman" w:hAnsi="Times New Roman"/>
          <w:sz w:val="20"/>
        </w:rPr>
        <w:t xml:space="preserve">.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Governing Law Provisions</w:t>
      </w:r>
      <w:r>
        <w:rPr>
          <w:rFonts w:ascii="Times New Roman" w:hAnsi="Times New Roman"/>
          <w:sz w:val="20"/>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hAnsi="Times New Roman"/>
          <w:b/>
          <w:sz w:val="20"/>
        </w:rPr>
        <w:t>Specified Courts</w:t>
      </w:r>
      <w:r>
        <w:rPr>
          <w:rFonts w:ascii="Times New Roman" w:hAnsi="Times New Roman"/>
          <w:sz w:val="20"/>
        </w:rPr>
        <w:t xml:space="preserve">”),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General Provisions</w:t>
      </w:r>
      <w:r>
        <w:rPr>
          <w:rFonts w:ascii="Times New Roman" w:hAnsi="Times New Roman"/>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Immediately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kindly sign and return to the Company the enclosed copies hereof, whereupon this instrument, along with all counterparts hereof, shall become a binding agreement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9"/>
        <w:gridCol w:w="60"/>
        <w:gridCol w:w="3633"/>
      </w:tblGrid>
      <w:tr>
        <w:trPr/>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ENANTA PHARMACEUTICALS, INC.</w:t>
            </w:r>
          </w:p>
        </w:tc>
      </w:tr>
      <w:tr>
        <w:trPr>
          <w:trHeight w:val="240" w:hRule="atLeast"/>
        </w:trPr>
        <w:tc>
          <w:tcPr>
            <w:tcW w:w="389"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Jay R. Luly, Ph.D.</w:t>
            </w:r>
          </w:p>
        </w:tc>
      </w:tr>
      <w:tr>
        <w:trPr/>
        <w:tc>
          <w:tcPr>
            <w:tcW w:w="38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tcPr>
          <w:p>
            <w:pPr>
              <w:pStyle w:val="TableContents"/>
              <w:bidi w:val="0"/>
              <w:spacing w:before="0" w:after="283"/>
              <w:jc w:val="left"/>
              <w:rPr/>
            </w:pPr>
            <w:r>
              <w:rPr/>
              <w:t>Name: Jay R. Luly, Ph.D.</w:t>
            </w:r>
          </w:p>
        </w:tc>
      </w:tr>
      <w:tr>
        <w:trPr/>
        <w:tc>
          <w:tcPr>
            <w:tcW w:w="38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tcPr>
          <w:p>
            <w:pPr>
              <w:pStyle w:val="TableContents"/>
              <w:bidi w:val="0"/>
              <w:spacing w:before="0" w:after="283"/>
              <w:jc w:val="left"/>
              <w:rPr/>
            </w:pPr>
            <w:r>
              <w:rPr/>
              <w:t>Title: 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confirmed and accepted by the Agent in New York, New York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JEFFERIES LLC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Donald Lynaugh</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Donald Lynaugh</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Managing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ISSUANCE NOTICE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Attn: [__________] </w:t>
      </w:r>
    </w:p>
    <w:p>
      <w:pPr>
        <w:pStyle w:val="TextBody"/>
        <w:bidi w:val="0"/>
        <w:spacing w:before="240" w:after="0"/>
        <w:jc w:val="left"/>
        <w:rPr>
          <w:rFonts w:ascii="Times New Roman" w:hAnsi="Times New Roman"/>
          <w:sz w:val="20"/>
        </w:rPr>
      </w:pPr>
      <w:r>
        <w:rPr>
          <w:rFonts w:ascii="Times New Roman" w:hAnsi="Times New Roman"/>
          <w:sz w:val="20"/>
        </w:rPr>
        <w:t>Reference is made to the Open Market Sale AgreementSM between Enanta Pharmaceuticals, Inc., a Delaware corporation (the “</w:t>
      </w:r>
      <w:r>
        <w:rPr>
          <w:rFonts w:ascii="Times New Roman" w:hAnsi="Times New Roman"/>
          <w:b/>
          <w:sz w:val="20"/>
        </w:rPr>
        <w:t>Company</w:t>
      </w:r>
      <w:r>
        <w:rPr>
          <w:rFonts w:ascii="Times New Roman" w:hAnsi="Times New Roman"/>
          <w:sz w:val="20"/>
        </w:rPr>
        <w:t>”), and Jefferies LLC (the “</w:t>
      </w:r>
      <w:r>
        <w:rPr>
          <w:rFonts w:ascii="Times New Roman" w:hAnsi="Times New Roman"/>
          <w:b/>
          <w:sz w:val="20"/>
        </w:rPr>
        <w:t>Agent</w:t>
      </w:r>
      <w:r>
        <w:rPr>
          <w:rFonts w:ascii="Times New Roman" w:hAnsi="Times New Roman"/>
          <w:sz w:val="20"/>
        </w:rPr>
        <w:t xml:space="preserve">”) dated as of July 2, 2026. The Company confirms that all conditions to the delivery of this Issuance Notice are satisfied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Date that the Registration Statement Expires: 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 of Delivery of Issuance Notice (determined pursuant to </w:t>
      </w:r>
      <w:r>
        <w:rPr>
          <w:rFonts w:ascii="Times New Roman" w:hAnsi="Times New Roman"/>
          <w:sz w:val="20"/>
          <w:u w:val="single"/>
        </w:rPr>
        <w:t>Section 3(b)(i)</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16"/>
        <w:gridCol w:w="122"/>
        <w:gridCol w:w="4567"/>
      </w:tblGrid>
      <w:tr>
        <w:trPr/>
        <w:tc>
          <w:tcPr>
            <w:tcW w:w="551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Issuance Amount (equal to the total Sales Price for such Shares): $_______________________</w:t>
            </w:r>
          </w:p>
        </w:tc>
      </w:tr>
      <w:tr>
        <w:trPr>
          <w:trHeight w:val="120" w:hRule="atLeast"/>
        </w:trPr>
        <w:tc>
          <w:tcPr>
            <w:tcW w:w="5516" w:type="dxa"/>
            <w:tcBorders/>
            <w:vAlign w:val="center"/>
          </w:tcPr>
          <w:p>
            <w:pPr>
              <w:pStyle w:val="TableContents"/>
              <w:bidi w:val="0"/>
              <w:spacing w:before="0" w:after="283"/>
              <w:jc w:val="left"/>
              <w:rPr>
                <w:sz w:val="4"/>
                <w:szCs w:val="4"/>
              </w:rPr>
            </w:pPr>
            <w:r>
              <w:rPr>
                <w:sz w:val="4"/>
                <w:szCs w:val="4"/>
              </w:rPr>
            </w:r>
          </w:p>
        </w:tc>
        <w:tc>
          <w:tcPr>
            <w:tcW w:w="4689" w:type="dxa"/>
            <w:gridSpan w:val="2"/>
            <w:tcBorders/>
            <w:vAlign w:val="center"/>
          </w:tcPr>
          <w:p>
            <w:pPr>
              <w:pStyle w:val="TableContents"/>
              <w:bidi w:val="0"/>
              <w:spacing w:before="0" w:after="283"/>
              <w:jc w:val="left"/>
              <w:rPr>
                <w:sz w:val="4"/>
                <w:szCs w:val="4"/>
              </w:rPr>
            </w:pPr>
            <w:r>
              <w:rPr>
                <w:sz w:val="4"/>
                <w:szCs w:val="4"/>
              </w:rPr>
            </w:r>
          </w:p>
        </w:tc>
      </w:tr>
      <w:tr>
        <w:trPr/>
        <w:tc>
          <w:tcPr>
            <w:tcW w:w="5516" w:type="dxa"/>
            <w:tcBorders/>
          </w:tcPr>
          <w:p>
            <w:pPr>
              <w:pStyle w:val="TableContents"/>
              <w:bidi w:val="0"/>
              <w:spacing w:before="0" w:after="283"/>
              <w:jc w:val="left"/>
              <w:rPr/>
            </w:pPr>
            <w:r>
              <w:rPr/>
              <w:t xml:space="preserve">Number of days in selling period: </w:t>
            </w:r>
          </w:p>
        </w:tc>
        <w:tc>
          <w:tcPr>
            <w:tcW w:w="122" w:type="dxa"/>
            <w:tcBorders/>
            <w:vAlign w:val="bottom"/>
          </w:tcPr>
          <w:p>
            <w:pPr>
              <w:pStyle w:val="TableContents"/>
              <w:bidi w:val="0"/>
              <w:spacing w:before="0" w:after="283"/>
              <w:jc w:val="left"/>
              <w:rPr/>
            </w:pPr>
            <w:r>
              <w:rPr/>
              <w:t>  </w:t>
            </w:r>
          </w:p>
        </w:tc>
        <w:tc>
          <w:tcPr>
            <w:tcW w:w="4567" w:type="dxa"/>
            <w:tcBorders/>
          </w:tcPr>
          <w:p>
            <w:pPr>
              <w:pStyle w:val="TableContents"/>
              <w:pBdr>
                <w:bottom w:val="single" w:sz="2" w:space="1" w:color="000000"/>
              </w:pBdr>
              <w:bidi w:val="0"/>
              <w:spacing w:before="0" w:after="20"/>
              <w:jc w:val="left"/>
              <w:rPr/>
            </w:pPr>
            <w:r>
              <w:rPr/>
              <w:t> </w:t>
            </w:r>
          </w:p>
        </w:tc>
      </w:tr>
      <w:tr>
        <w:trPr>
          <w:trHeight w:val="120" w:hRule="atLeast"/>
        </w:trPr>
        <w:tc>
          <w:tcPr>
            <w:tcW w:w="5516" w:type="dxa"/>
            <w:tcBorders/>
            <w:vAlign w:val="center"/>
          </w:tcPr>
          <w:p>
            <w:pPr>
              <w:pStyle w:val="TableContents"/>
              <w:bidi w:val="0"/>
              <w:spacing w:before="0" w:after="283"/>
              <w:jc w:val="left"/>
              <w:rPr>
                <w:sz w:val="4"/>
                <w:szCs w:val="4"/>
              </w:rPr>
            </w:pPr>
            <w:r>
              <w:rPr>
                <w:sz w:val="4"/>
                <w:szCs w:val="4"/>
              </w:rPr>
            </w:r>
          </w:p>
        </w:tc>
        <w:tc>
          <w:tcPr>
            <w:tcW w:w="4689" w:type="dxa"/>
            <w:gridSpan w:val="2"/>
            <w:tcBorders/>
            <w:vAlign w:val="center"/>
          </w:tcPr>
          <w:p>
            <w:pPr>
              <w:pStyle w:val="TableContents"/>
              <w:bidi w:val="0"/>
              <w:spacing w:before="0" w:after="283"/>
              <w:jc w:val="left"/>
              <w:rPr>
                <w:sz w:val="4"/>
                <w:szCs w:val="4"/>
              </w:rPr>
            </w:pPr>
            <w:r>
              <w:rPr>
                <w:sz w:val="4"/>
                <w:szCs w:val="4"/>
              </w:rPr>
            </w:r>
          </w:p>
        </w:tc>
      </w:tr>
      <w:tr>
        <w:trPr/>
        <w:tc>
          <w:tcPr>
            <w:tcW w:w="5516" w:type="dxa"/>
            <w:tcBorders/>
          </w:tcPr>
          <w:p>
            <w:pPr>
              <w:pStyle w:val="TableContents"/>
              <w:bidi w:val="0"/>
              <w:spacing w:before="0" w:after="283"/>
              <w:jc w:val="left"/>
              <w:rPr/>
            </w:pPr>
            <w:r>
              <w:rPr/>
              <w:t xml:space="preserve">First date of selling period: </w:t>
            </w:r>
          </w:p>
        </w:tc>
        <w:tc>
          <w:tcPr>
            <w:tcW w:w="122" w:type="dxa"/>
            <w:tcBorders/>
            <w:vAlign w:val="bottom"/>
          </w:tcPr>
          <w:p>
            <w:pPr>
              <w:pStyle w:val="TableContents"/>
              <w:bidi w:val="0"/>
              <w:spacing w:before="0" w:after="283"/>
              <w:jc w:val="left"/>
              <w:rPr/>
            </w:pPr>
            <w:r>
              <w:rPr/>
              <w:t>  </w:t>
            </w:r>
          </w:p>
        </w:tc>
        <w:tc>
          <w:tcPr>
            <w:tcW w:w="4567" w:type="dxa"/>
            <w:tcBorders/>
          </w:tcPr>
          <w:p>
            <w:pPr>
              <w:pStyle w:val="TableContents"/>
              <w:pBdr>
                <w:bottom w:val="single" w:sz="2" w:space="1" w:color="000000"/>
              </w:pBdr>
              <w:bidi w:val="0"/>
              <w:spacing w:before="0" w:after="20"/>
              <w:jc w:val="left"/>
              <w:rPr/>
            </w:pPr>
            <w:r>
              <w:rPr/>
              <w:t> </w:t>
            </w:r>
          </w:p>
        </w:tc>
      </w:tr>
      <w:tr>
        <w:trPr>
          <w:trHeight w:val="120" w:hRule="atLeast"/>
        </w:trPr>
        <w:tc>
          <w:tcPr>
            <w:tcW w:w="5516" w:type="dxa"/>
            <w:tcBorders/>
            <w:vAlign w:val="center"/>
          </w:tcPr>
          <w:p>
            <w:pPr>
              <w:pStyle w:val="TableContents"/>
              <w:bidi w:val="0"/>
              <w:spacing w:before="0" w:after="283"/>
              <w:jc w:val="left"/>
              <w:rPr>
                <w:sz w:val="4"/>
                <w:szCs w:val="4"/>
              </w:rPr>
            </w:pPr>
            <w:r>
              <w:rPr>
                <w:sz w:val="4"/>
                <w:szCs w:val="4"/>
              </w:rPr>
            </w:r>
          </w:p>
        </w:tc>
        <w:tc>
          <w:tcPr>
            <w:tcW w:w="4689" w:type="dxa"/>
            <w:gridSpan w:val="2"/>
            <w:tcBorders/>
            <w:vAlign w:val="center"/>
          </w:tcPr>
          <w:p>
            <w:pPr>
              <w:pStyle w:val="TableContents"/>
              <w:bidi w:val="0"/>
              <w:spacing w:before="0" w:after="283"/>
              <w:jc w:val="left"/>
              <w:rPr>
                <w:sz w:val="4"/>
                <w:szCs w:val="4"/>
              </w:rPr>
            </w:pPr>
            <w:r>
              <w:rPr>
                <w:sz w:val="4"/>
                <w:szCs w:val="4"/>
              </w:rPr>
            </w:r>
          </w:p>
        </w:tc>
      </w:tr>
      <w:tr>
        <w:trPr/>
        <w:tc>
          <w:tcPr>
            <w:tcW w:w="5516" w:type="dxa"/>
            <w:tcBorders/>
          </w:tcPr>
          <w:p>
            <w:pPr>
              <w:pStyle w:val="TableContents"/>
              <w:bidi w:val="0"/>
              <w:spacing w:before="0" w:after="283"/>
              <w:jc w:val="left"/>
              <w:rPr/>
            </w:pPr>
            <w:r>
              <w:rPr/>
              <w:t xml:space="preserve">Last date of selling period: </w:t>
            </w:r>
          </w:p>
        </w:tc>
        <w:tc>
          <w:tcPr>
            <w:tcW w:w="122" w:type="dxa"/>
            <w:tcBorders/>
            <w:vAlign w:val="bottom"/>
          </w:tcPr>
          <w:p>
            <w:pPr>
              <w:pStyle w:val="TableContents"/>
              <w:bidi w:val="0"/>
              <w:spacing w:before="0" w:after="283"/>
              <w:jc w:val="left"/>
              <w:rPr/>
            </w:pPr>
            <w:r>
              <w:rPr/>
              <w:t>  </w:t>
            </w:r>
          </w:p>
        </w:tc>
        <w:tc>
          <w:tcPr>
            <w:tcW w:w="4567" w:type="dxa"/>
            <w:tcBorders/>
          </w:tcPr>
          <w:p>
            <w:pPr>
              <w:pStyle w:val="TableContents"/>
              <w:pBdr>
                <w:bottom w:val="single" w:sz="2" w:space="1" w:color="000000"/>
              </w:pBdr>
              <w:bidi w:val="0"/>
              <w:spacing w:before="0" w:after="20"/>
              <w:jc w:val="left"/>
              <w:rPr/>
            </w:pPr>
            <w:r>
              <w:rPr/>
              <w:t> </w:t>
            </w:r>
          </w:p>
        </w:tc>
      </w:tr>
      <w:tr>
        <w:trPr>
          <w:trHeight w:val="120" w:hRule="atLeast"/>
        </w:trPr>
        <w:tc>
          <w:tcPr>
            <w:tcW w:w="5516" w:type="dxa"/>
            <w:tcBorders/>
            <w:vAlign w:val="center"/>
          </w:tcPr>
          <w:p>
            <w:pPr>
              <w:pStyle w:val="TableContents"/>
              <w:bidi w:val="0"/>
              <w:spacing w:before="0" w:after="283"/>
              <w:jc w:val="left"/>
              <w:rPr>
                <w:sz w:val="4"/>
                <w:szCs w:val="4"/>
              </w:rPr>
            </w:pPr>
            <w:r>
              <w:rPr>
                <w:sz w:val="4"/>
                <w:szCs w:val="4"/>
              </w:rPr>
            </w:r>
          </w:p>
        </w:tc>
        <w:tc>
          <w:tcPr>
            <w:tcW w:w="4689" w:type="dxa"/>
            <w:gridSpan w:val="2"/>
            <w:tcBorders/>
            <w:vAlign w:val="center"/>
          </w:tcPr>
          <w:p>
            <w:pPr>
              <w:pStyle w:val="TableContents"/>
              <w:bidi w:val="0"/>
              <w:spacing w:before="0" w:after="283"/>
              <w:jc w:val="left"/>
              <w:rPr>
                <w:sz w:val="4"/>
                <w:szCs w:val="4"/>
              </w:rPr>
            </w:pPr>
            <w:r>
              <w:rPr>
                <w:sz w:val="4"/>
                <w:szCs w:val="4"/>
              </w:rPr>
            </w:r>
          </w:p>
        </w:tc>
      </w:tr>
      <w:tr>
        <w:trPr/>
        <w:tc>
          <w:tcPr>
            <w:tcW w:w="5516" w:type="dxa"/>
            <w:tcBorders/>
          </w:tcPr>
          <w:p>
            <w:pPr>
              <w:pStyle w:val="TableContents"/>
              <w:bidi w:val="0"/>
              <w:spacing w:before="0" w:after="283"/>
              <w:jc w:val="left"/>
              <w:rPr/>
            </w:pPr>
            <w:r>
              <w:rPr/>
              <w:t>Settlement Date(s) if other than standard T+1 settlement:</w:t>
            </w:r>
          </w:p>
        </w:tc>
        <w:tc>
          <w:tcPr>
            <w:tcW w:w="122" w:type="dxa"/>
            <w:tcBorders/>
            <w:vAlign w:val="bottom"/>
          </w:tcPr>
          <w:p>
            <w:pPr>
              <w:pStyle w:val="TableContents"/>
              <w:bidi w:val="0"/>
              <w:spacing w:before="0" w:after="283"/>
              <w:jc w:val="left"/>
              <w:rPr/>
            </w:pPr>
            <w:r>
              <w:rPr/>
              <w:t>  </w:t>
            </w:r>
          </w:p>
        </w:tc>
        <w:tc>
          <w:tcPr>
            <w:tcW w:w="4567" w:type="dxa"/>
            <w:tcBorders/>
          </w:tcPr>
          <w:p>
            <w:pPr>
              <w:pStyle w:val="TableContents"/>
              <w:bidi w:val="0"/>
              <w:spacing w:before="0" w:after="283"/>
              <w:jc w:val="left"/>
              <w:rPr>
                <w:sz w:val="4"/>
                <w:szCs w:val="4"/>
              </w:rPr>
            </w:pPr>
            <w:r>
              <w:rPr>
                <w:sz w:val="4"/>
                <w:szCs w:val="4"/>
              </w:rPr>
            </w:r>
          </w:p>
        </w:tc>
      </w:tr>
      <w:tr>
        <w:trPr>
          <w:trHeight w:val="120" w:hRule="atLeast"/>
        </w:trPr>
        <w:tc>
          <w:tcPr>
            <w:tcW w:w="5516" w:type="dxa"/>
            <w:tcBorders/>
            <w:vAlign w:val="center"/>
          </w:tcPr>
          <w:p>
            <w:pPr>
              <w:pStyle w:val="TableContents"/>
              <w:bidi w:val="0"/>
              <w:spacing w:before="0" w:after="283"/>
              <w:jc w:val="left"/>
              <w:rPr>
                <w:sz w:val="4"/>
                <w:szCs w:val="4"/>
              </w:rPr>
            </w:pPr>
            <w:r>
              <w:rPr>
                <w:sz w:val="4"/>
                <w:szCs w:val="4"/>
              </w:rPr>
            </w:r>
          </w:p>
        </w:tc>
        <w:tc>
          <w:tcPr>
            <w:tcW w:w="4689" w:type="dxa"/>
            <w:gridSpan w:val="2"/>
            <w:tcBorders/>
            <w:vAlign w:val="center"/>
          </w:tcPr>
          <w:p>
            <w:pPr>
              <w:pStyle w:val="TableContents"/>
              <w:bidi w:val="0"/>
              <w:spacing w:before="0" w:after="283"/>
              <w:jc w:val="left"/>
              <w:rPr>
                <w:sz w:val="4"/>
                <w:szCs w:val="4"/>
              </w:rPr>
            </w:pPr>
            <w:r>
              <w:rPr>
                <w:sz w:val="4"/>
                <w:szCs w:val="4"/>
              </w:rPr>
            </w:r>
          </w:p>
        </w:tc>
      </w:tr>
      <w:tr>
        <w:trPr/>
        <w:tc>
          <w:tcPr>
            <w:tcW w:w="551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567"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Floor Price Limitation (in no event less than $1.00 without the prior written consent of the Agent, which consent may be withheld in the Agent’s sole discretion): $ ____ per share </w:t>
      </w:r>
    </w:p>
    <w:p>
      <w:pPr>
        <w:pStyle w:val="TextBody"/>
        <w:bidi w:val="0"/>
        <w:spacing w:before="240" w:after="0"/>
        <w:jc w:val="left"/>
        <w:rPr>
          <w:rFonts w:ascii="Times New Roman" w:hAnsi="Times New Roman"/>
          <w:sz w:val="20"/>
        </w:rPr>
      </w:pPr>
      <w:r>
        <w:rPr>
          <w:rFonts w:ascii="Times New Roman" w:hAnsi="Times New Roman"/>
          <w:sz w:val="20"/>
        </w:rPr>
        <w:t xml:space="preserve">Comments: </w:t>
      </w:r>
      <w:r>
        <w:rPr>
          <w:rFonts w:ascii="Times New Roman" w:hAnsi="Times New Roman"/>
          <w:sz w:val="20"/>
          <w:u w:val="single"/>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Parties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Jay R. Luly </w:t>
      </w:r>
    </w:p>
    <w:p>
      <w:pPr>
        <w:pStyle w:val="TextBody"/>
        <w:bidi w:val="0"/>
        <w:spacing w:before="240" w:after="0"/>
        <w:jc w:val="left"/>
        <w:rPr>
          <w:rFonts w:ascii="Times New Roman" w:hAnsi="Times New Roman"/>
          <w:sz w:val="20"/>
        </w:rPr>
      </w:pPr>
      <w:r>
        <w:rPr>
          <w:rFonts w:ascii="Times New Roman" w:hAnsi="Times New Roman"/>
          <w:sz w:val="20"/>
        </w:rPr>
        <w:t xml:space="preserve">Harry R. Trout III </w:t>
      </w:r>
    </w:p>
    <w:p>
      <w:pPr>
        <w:pStyle w:val="TextBody"/>
        <w:bidi w:val="0"/>
        <w:spacing w:before="240" w:after="0"/>
        <w:jc w:val="left"/>
        <w:rPr>
          <w:rFonts w:ascii="Times New Roman" w:hAnsi="Times New Roman"/>
          <w:sz w:val="20"/>
        </w:rPr>
      </w:pPr>
      <w:r>
        <w:rPr>
          <w:rFonts w:ascii="Times New Roman" w:hAnsi="Times New Roman"/>
          <w:sz w:val="20"/>
        </w:rPr>
        <w:t xml:space="preserve">Matthew P. Kowalsky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The Agent </w:t>
      </w:r>
    </w:p>
    <w:p>
      <w:pPr>
        <w:pStyle w:val="TextBody"/>
        <w:bidi w:val="0"/>
        <w:spacing w:before="240" w:after="0"/>
        <w:jc w:val="left"/>
        <w:rPr>
          <w:rFonts w:ascii="Times New Roman" w:hAnsi="Times New Roman"/>
          <w:sz w:val="20"/>
        </w:rPr>
      </w:pPr>
      <w:r>
        <w:rPr>
          <w:rFonts w:ascii="Times New Roman" w:hAnsi="Times New Roman"/>
          <w:sz w:val="20"/>
        </w:rPr>
        <w:t xml:space="preserve">Donald Lynaugh </w:t>
      </w:r>
    </w:p>
    <w:p>
      <w:pPr>
        <w:pStyle w:val="TextBody"/>
        <w:bidi w:val="0"/>
        <w:spacing w:before="240" w:after="0"/>
        <w:jc w:val="left"/>
        <w:rPr>
          <w:rFonts w:ascii="Times New Roman" w:hAnsi="Times New Roman"/>
          <w:sz w:val="20"/>
        </w:rPr>
      </w:pPr>
      <w:r>
        <w:rPr>
          <w:rFonts w:ascii="Times New Roman" w:hAnsi="Times New Roman"/>
          <w:sz w:val="20"/>
        </w:rPr>
        <w:t xml:space="preserve">Michael Magarro </w:t>
      </w:r>
    </w:p>
    <w:p>
      <w:pPr>
        <w:pStyle w:val="TextBody"/>
        <w:bidi w:val="0"/>
        <w:spacing w:before="0" w:after="0"/>
        <w:jc w:val="right"/>
        <w:rPr>
          <w:rFonts w:ascii="Times New Roman" w:hAnsi="Times New Roman"/>
          <w:b/>
          <w:sz w:val="20"/>
        </w:rPr>
      </w:pPr>
      <w:bookmarkStart w:id="4" w:name="d123412dex51.htm"/>
      <w:bookmarkStart w:id="5" w:name="ksd123412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50"/>
        <w:gridCol w:w="122"/>
        <w:gridCol w:w="3233"/>
      </w:tblGrid>
      <w:tr>
        <w:trPr/>
        <w:tc>
          <w:tcPr>
            <w:tcW w:w="685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6850" w:type="dxa"/>
            <w:tcBorders/>
          </w:tcPr>
          <w:p>
            <w:pPr>
              <w:pStyle w:val="TableContents"/>
              <w:bidi w:val="0"/>
              <w:spacing w:before="0" w:after="283"/>
              <w:jc w:val="left"/>
              <w:rPr/>
            </w:pPr>
            <w:r>
              <w:rPr/>
              <w:drawing>
                <wp:inline distT="0" distB="0" distL="0" distR="0">
                  <wp:extent cx="140017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0175" cy="5334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0"/>
              <w:jc w:val="left"/>
              <w:rPr>
                <w:rFonts w:ascii="Times New Roman" w:hAnsi="Times New Roman"/>
                <w:sz w:val="20"/>
              </w:rPr>
            </w:pPr>
            <w:r>
              <w:rPr>
                <w:rFonts w:ascii="Times New Roman" w:hAnsi="Times New Roman"/>
                <w:sz w:val="20"/>
              </w:rPr>
              <w:t>Seaport West</w:t>
            </w:r>
          </w:p>
          <w:p>
            <w:pPr>
              <w:pStyle w:val="TableContents"/>
              <w:bidi w:val="0"/>
              <w:spacing w:before="0" w:after="0"/>
              <w:jc w:val="left"/>
              <w:rPr>
                <w:rFonts w:ascii="Times New Roman" w:hAnsi="Times New Roman"/>
                <w:sz w:val="20"/>
              </w:rPr>
            </w:pPr>
            <w:r>
              <w:rPr>
                <w:rFonts w:ascii="Times New Roman" w:hAnsi="Times New Roman"/>
                <w:sz w:val="20"/>
              </w:rPr>
              <w:t>155 Seaport Boulevard</w:t>
            </w:r>
          </w:p>
          <w:p>
            <w:pPr>
              <w:pStyle w:val="TableContents"/>
              <w:bidi w:val="0"/>
              <w:spacing w:before="0" w:after="0"/>
              <w:jc w:val="left"/>
              <w:rPr>
                <w:rFonts w:ascii="Times New Roman" w:hAnsi="Times New Roman"/>
                <w:sz w:val="20"/>
              </w:rPr>
            </w:pPr>
            <w:r>
              <w:rPr>
                <w:rFonts w:ascii="Times New Roman" w:hAnsi="Times New Roman"/>
                <w:sz w:val="20"/>
              </w:rPr>
              <w:t>Boston, MA 02210-2600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617 832 1000 main</w:t>
            </w:r>
          </w:p>
          <w:p>
            <w:pPr>
              <w:pStyle w:val="TableContents"/>
              <w:bidi w:val="0"/>
              <w:spacing w:before="0" w:after="20"/>
              <w:jc w:val="left"/>
              <w:rPr>
                <w:rFonts w:ascii="Times New Roman" w:hAnsi="Times New Roman"/>
                <w:sz w:val="20"/>
              </w:rPr>
            </w:pPr>
            <w:r>
              <w:rPr>
                <w:rFonts w:ascii="Times New Roman" w:hAnsi="Times New Roman"/>
                <w:sz w:val="20"/>
              </w:rPr>
              <w:t>617 832 7000 fax</w:t>
            </w:r>
          </w:p>
        </w:tc>
      </w:tr>
    </w:tbl>
    <w:p>
      <w:pPr>
        <w:pStyle w:val="TextBody"/>
        <w:bidi w:val="0"/>
        <w:spacing w:before="240" w:after="0"/>
        <w:jc w:val="left"/>
        <w:rPr>
          <w:rFonts w:ascii="Times New Roman" w:hAnsi="Times New Roman"/>
          <w:sz w:val="20"/>
        </w:rPr>
      </w:pPr>
      <w:r>
        <w:rPr>
          <w:rFonts w:ascii="Times New Roman" w:hAnsi="Times New Roman"/>
          <w:sz w:val="20"/>
        </w:rPr>
        <w:t xml:space="preserve">July 2, 2026 </w:t>
      </w:r>
    </w:p>
    <w:p>
      <w:pPr>
        <w:pStyle w:val="TextBody"/>
        <w:bidi w:val="0"/>
        <w:spacing w:before="240" w:after="0"/>
        <w:jc w:val="left"/>
        <w:rPr>
          <w:rFonts w:ascii="Times New Roman" w:hAnsi="Times New Roman"/>
          <w:sz w:val="20"/>
        </w:rPr>
      </w:pPr>
      <w:r>
        <w:rPr>
          <w:rFonts w:ascii="Times New Roman" w:hAnsi="Times New Roman"/>
          <w:sz w:val="20"/>
        </w:rPr>
        <w:t xml:space="preserve">Enanta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4 Kingsbury Avenue </w:t>
      </w:r>
    </w:p>
    <w:p>
      <w:pPr>
        <w:pStyle w:val="TextBody"/>
        <w:bidi w:val="0"/>
        <w:spacing w:before="0" w:after="0"/>
        <w:jc w:val="left"/>
        <w:rPr>
          <w:rFonts w:ascii="Times New Roman" w:hAnsi="Times New Roman"/>
          <w:sz w:val="20"/>
        </w:rPr>
      </w:pPr>
      <w:r>
        <w:rPr>
          <w:rFonts w:ascii="Times New Roman" w:hAnsi="Times New Roman"/>
          <w:sz w:val="20"/>
        </w:rPr>
        <w:t xml:space="preserve">Watertown, MA 02472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Market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Enanta Pharmaceuticals, Inc., a Delaware corporation (the “</w:t>
      </w:r>
      <w:r>
        <w:rPr>
          <w:rFonts w:ascii="Times New Roman" w:hAnsi="Times New Roman"/>
          <w:b/>
          <w:sz w:val="20"/>
        </w:rPr>
        <w:t>Corporation</w:t>
      </w:r>
      <w:r>
        <w:rPr>
          <w:rFonts w:ascii="Times New Roman" w:hAnsi="Times New Roman"/>
          <w:sz w:val="20"/>
        </w:rPr>
        <w:t>”), in connection with the issuance and sale of shares of the common stock, $0.01 par value (the “</w:t>
      </w:r>
      <w:r>
        <w:rPr>
          <w:rFonts w:ascii="Times New Roman" w:hAnsi="Times New Roman"/>
          <w:b/>
          <w:sz w:val="20"/>
        </w:rPr>
        <w:t>Common Stock</w:t>
      </w:r>
      <w:r>
        <w:rPr>
          <w:rFonts w:ascii="Times New Roman" w:hAnsi="Times New Roman"/>
          <w:sz w:val="20"/>
        </w:rPr>
        <w:t>”) of the Corporation having an aggregate offering price of up to $75,000,000 (the “</w:t>
      </w:r>
      <w:r>
        <w:rPr>
          <w:rFonts w:ascii="Times New Roman" w:hAnsi="Times New Roman"/>
          <w:b/>
          <w:sz w:val="20"/>
        </w:rPr>
        <w:t>Shares</w:t>
      </w:r>
      <w:r>
        <w:rPr>
          <w:rFonts w:ascii="Times New Roman" w:hAnsi="Times New Roman"/>
          <w:sz w:val="20"/>
        </w:rPr>
        <w:t>”), which the Corporation may issue and sell from time to time on a delayed or continuous basis pursuant to Rule 415 under the Securities Act of 1933, as amended (the “</w:t>
      </w:r>
      <w:r>
        <w:rPr>
          <w:rFonts w:ascii="Times New Roman" w:hAnsi="Times New Roman"/>
          <w:b/>
          <w:sz w:val="20"/>
        </w:rPr>
        <w:t>Securities Act</w:t>
      </w:r>
      <w:r>
        <w:rPr>
          <w:rFonts w:ascii="Times New Roman" w:hAnsi="Times New Roman"/>
          <w:sz w:val="20"/>
        </w:rPr>
        <w:t>”). The Shares are being offered pursuant to the Corporation’s shelf registration statement on Form S-3 filed with the Securities and Exchange Commission (the “</w:t>
      </w:r>
      <w:r>
        <w:rPr>
          <w:rFonts w:ascii="Times New Roman" w:hAnsi="Times New Roman"/>
          <w:b/>
          <w:sz w:val="20"/>
        </w:rPr>
        <w:t>Commission</w:t>
      </w:r>
      <w:r>
        <w:rPr>
          <w:rFonts w:ascii="Times New Roman" w:hAnsi="Times New Roman"/>
          <w:sz w:val="20"/>
        </w:rPr>
        <w:t>”) on February 11, 2026 and declared effective on February 20, 2026 (the “</w:t>
      </w:r>
      <w:r>
        <w:rPr>
          <w:rFonts w:ascii="Times New Roman" w:hAnsi="Times New Roman"/>
          <w:b/>
          <w:sz w:val="20"/>
        </w:rPr>
        <w:t>Registration Statement</w:t>
      </w:r>
      <w:r>
        <w:rPr>
          <w:rFonts w:ascii="Times New Roman" w:hAnsi="Times New Roman"/>
          <w:sz w:val="20"/>
        </w:rPr>
        <w:t>”) and the related prospectus supplement dated July 2, 2026 (the “</w:t>
      </w:r>
      <w:r>
        <w:rPr>
          <w:rFonts w:ascii="Times New Roman" w:hAnsi="Times New Roman"/>
          <w:b/>
          <w:sz w:val="20"/>
        </w:rPr>
        <w:t>Prospectus Supplement</w:t>
      </w:r>
      <w:r>
        <w:rPr>
          <w:rFonts w:ascii="Times New Roman" w:hAnsi="Times New Roman"/>
          <w:sz w:val="20"/>
        </w:rPr>
        <w:t>”). The offering and sale of the Shares are being made pursuant to the Open Market Sale AgreementSM, dated July 2, 2026, by and between the Corporation and Jefferies LLC (the “</w:t>
      </w:r>
      <w:r>
        <w:rPr>
          <w:rFonts w:ascii="Times New Roman" w:hAnsi="Times New Roman"/>
          <w:b/>
          <w:sz w:val="20"/>
        </w:rPr>
        <w:t>Sales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copies of the Sales Agreement, the Registration Statement, the base prospectus that forms a part thereof and the Prospectus Supplement and such matters of fact and questions of law as we have considered appropriate for purposes of this letter. We have relied upon the certificate of incorporation and by-laws of the Corporation in effect on the date hereof, as and in the forms certified to us by the Corporation. We have relied upon certificates and other assurances of officers of the Corporation and others as to factual matters without having independently verified such factual matters. In our examination, we have assumed the genuineness of all signatures, the authenticity of all documents submitted to us as originals, the conformity to authentic original documents of all documents submitted to us as copies and the due authorization, execution and delivery of all documents by all persons other than the Company where authorization, execution and delivery are prerequisites to the effectiveness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any law other than the General Corporation Law of the State of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b/>
              </w:rPr>
            </w:pPr>
            <w:r>
              <w:rPr>
                <w:b/>
              </w:rPr>
              <w:t>ATTORNEYS AT LAW</w:t>
            </w:r>
          </w:p>
        </w:tc>
        <w:tc>
          <w:tcPr>
            <w:tcW w:w="203"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center"/>
              <w:rPr/>
            </w:pPr>
            <w:r>
              <w:rPr/>
              <w:t>BOSTON | NEW YORK | PARIS | WASHINGTON | FOLEYHOAG.COM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Enanta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July 2,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the other matters set forth herein, it is our opinion that the Shares have been duly authorized by the Corporation and when issued and paid for in accordance with the terms and conditions of the Sales Agreement in the manner contemplated by the Registration Statement and the Prospectus Supplement,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to be relied upon only in connection with the offer and sale of the Securities while the Registration Statement and any and all required post-effective amendments thereto are effective.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delivered solely for the benefit of the Corporation and such other persons as are entitled to rely upon it pursuant to applicable provisions of the Securities Act. This opinion may not be used, quoted, relied upon or referred to for any other purpose, nor may this opinion be used, quoted, relied upon or referred to by any other person, for any purpose, in each case without our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based upon currently existing statutes, rules and regulations and judicial decisions and is rendered as of the date hereof, and we disclaim any obligation to advise you of any change in any of the foregoing sources of law or subsequent developments in law or changes in facts or circumstances which might affect any matters or opinions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shall be interpreted in accordance with the Core Opinion Principles jointly issued by the Committee on Legal Opinions of the American Bar Association’s Business Law Section and the Working Group on Legal Opinions Foundation as published in 74 Business Lawyer 815 (2019). </w:t>
      </w:r>
    </w:p>
    <w:p>
      <w:pPr>
        <w:pStyle w:val="TextBody"/>
        <w:bidi w:val="0"/>
        <w:spacing w:before="240" w:after="0"/>
        <w:jc w:val="left"/>
        <w:rPr>
          <w:rFonts w:ascii="Times New Roman" w:hAnsi="Times New Roman"/>
          <w:sz w:val="20"/>
        </w:rPr>
      </w:pPr>
      <w:r>
        <w:rPr>
          <w:rFonts w:ascii="Times New Roman" w:hAnsi="Times New Roman"/>
          <w:sz w:val="20"/>
        </w:rPr>
        <w:t xml:space="preserve">We consent to your filing this opinion as an exhibit to the Company’s Current Report on Form 8-K, filed on or about July 2, 2026 for incorporation by reference into the Registration Statement and to the reference to our firm in the Prospectus Supplement under the heading “Legal Matters.” In giving such consent,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FOLEY HOAG </w:t>
            </w:r>
            <w:r>
              <w:rPr>
                <w:sz w:val="20"/>
              </w:rPr>
              <w:t>LLP</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Stacie S. Aarestad</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A Partner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24248</Words>
  <Characters>128088</Characters>
  <CharactersWithSpaces>152429</CharactersWithSpaces>
  <Paragraphs>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