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4" w:space="1" w:color="000000"/>
        </w:pBdr>
        <w:bidi w:val="0"/>
        <w:jc w:val="left"/>
        <w:rPr>
          <w:rFonts w:ascii="Times New Roman" w:hAnsi="Times New Roman"/>
          <w:b/>
          <w:color w:val="000000"/>
          <w:sz w:val="2"/>
        </w:rPr>
      </w:pPr>
      <w:bookmarkStart w:id="0" w:name="enta-20251231.htm"/>
      <w:bookmarkStart w:id="1" w:name="ksenta20251231"/>
      <w:bookmarkEnd w:id="0"/>
      <w:bookmarkEnd w:id="1"/>
      <w:r>
        <w:rPr>
          <w:rFonts w:ascii="Times New Roman" w:hAnsi="Times New Roman"/>
          <w:b/>
          <w:color w:val="000000"/>
          <w:sz w:val="2"/>
        </w:rPr>
        <w:t>e</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4"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4"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ended December 31,</w:t>
      </w:r>
      <w:r>
        <w:rPr>
          <w:rFonts w:ascii="Times New Roman" w:hAnsi="Times New Roman"/>
          <w:color w:val="000000"/>
          <w:sz w:val="20"/>
        </w:rPr>
        <w:t xml:space="preserve"> </w:t>
      </w:r>
      <w:r>
        <w:rPr>
          <w:rFonts w:ascii="Times New Roman" w:hAnsi="Times New Roman"/>
          <w:b/>
          <w:color w:val="000000"/>
          <w:sz w:val="20"/>
        </w:rPr>
        <w:t>2025</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4"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4"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001-35839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ENANTA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4333" w:type="dxa"/>
        <w:jc w:val="left"/>
        <w:tblInd w:w="0" w:type="dxa"/>
        <w:tblLayout w:type="fixed"/>
        <w:tblCellMar>
          <w:top w:w="28" w:type="dxa"/>
          <w:left w:w="28" w:type="dxa"/>
          <w:bottom w:w="28" w:type="dxa"/>
          <w:right w:w="28" w:type="dxa"/>
        </w:tblCellMar>
      </w:tblPr>
      <w:tblGrid>
        <w:gridCol w:w="2371"/>
        <w:gridCol w:w="146"/>
        <w:gridCol w:w="18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04-3205099</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bl>
    <w:p>
      <w:pPr>
        <w:pStyle w:val="TextBody"/>
        <w:bidi w:val="0"/>
        <w:spacing w:before="120" w:after="283"/>
        <w:jc w:val="center"/>
        <w:rPr/>
      </w:pPr>
      <w:r>
        <w:rPr/>
        <w:t> </w:t>
      </w:r>
    </w:p>
    <w:tbl>
      <w:tblPr>
        <w:tblW w:w="4003" w:type="dxa"/>
        <w:jc w:val="left"/>
        <w:tblInd w:w="0" w:type="dxa"/>
        <w:tblLayout w:type="fixed"/>
        <w:tblCellMar>
          <w:top w:w="28" w:type="dxa"/>
          <w:left w:w="28" w:type="dxa"/>
          <w:bottom w:w="28" w:type="dxa"/>
          <w:right w:w="28" w:type="dxa"/>
        </w:tblCellMar>
      </w:tblPr>
      <w:tblGrid>
        <w:gridCol w:w="2926"/>
        <w:gridCol w:w="146"/>
        <w:gridCol w:w="93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4 Kingsbury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Watertown, Massachusetts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02472</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(617) 607-0800</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268" w:type="dxa"/>
        <w:jc w:val="left"/>
        <w:tblInd w:w="0" w:type="dxa"/>
        <w:tblLayout w:type="fixed"/>
        <w:tblCellMar>
          <w:top w:w="28" w:type="dxa"/>
          <w:left w:w="28" w:type="dxa"/>
          <w:bottom w:w="28" w:type="dxa"/>
          <w:right w:w="28" w:type="dxa"/>
        </w:tblCellMar>
      </w:tblPr>
      <w:tblGrid>
        <w:gridCol w:w="3496"/>
        <w:gridCol w:w="1456"/>
        <w:gridCol w:w="3316"/>
      </w:tblGrid>
      <w:tr>
        <w:trPr/>
        <w:tc>
          <w:tcPr>
            <w:tcW w:w="349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4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64"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64"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64"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49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42" w:after="42"/>
              <w:jc w:val="center"/>
              <w:rPr>
                <w:rFonts w:ascii="Times New Roman" w:hAnsi="Times New Roman"/>
                <w:color w:val="000000"/>
                <w:sz w:val="20"/>
              </w:rPr>
            </w:pPr>
            <w:r>
              <w:rPr>
                <w:rFonts w:ascii="Times New Roman" w:hAnsi="Times New Roman"/>
                <w:color w:val="000000"/>
                <w:sz w:val="20"/>
              </w:rPr>
              <w:t>Common Stock, par value $0.01 per share</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42" w:after="42"/>
              <w:jc w:val="center"/>
              <w:rPr>
                <w:rFonts w:ascii="Times New Roman" w:hAnsi="Times New Roman"/>
                <w:color w:val="000000"/>
                <w:sz w:val="20"/>
              </w:rPr>
            </w:pPr>
            <w:r>
              <w:rPr>
                <w:rFonts w:ascii="Times New Roman" w:hAnsi="Times New Roman"/>
                <w:color w:val="000000"/>
                <w:sz w:val="20"/>
              </w:rPr>
              <w:t>ENTA</w:t>
            </w:r>
          </w:p>
        </w:tc>
        <w:tc>
          <w:tcPr>
            <w:tcW w:w="3316" w:type="dxa"/>
            <w:tcBorders>
              <w:bottom w:val="single" w:sz="4" w:space="0" w:color="000000"/>
              <w:right w:val="single" w:sz="4" w:space="0" w:color="000000"/>
            </w:tcBorders>
            <w:tcMar>
              <w:top w:w="0" w:type="dxa"/>
              <w:left w:w="0" w:type="dxa"/>
            </w:tcMar>
            <w:vAlign w:val="center"/>
          </w:tcPr>
          <w:p>
            <w:pPr>
              <w:pStyle w:val="TableContents"/>
              <w:bidi w:val="0"/>
              <w:spacing w:before="42" w:after="42"/>
              <w:jc w:val="center"/>
              <w:rPr>
                <w:rFonts w:ascii="Times New Roman" w:hAnsi="Times New Roman"/>
                <w:color w:val="000000"/>
                <w:sz w:val="20"/>
              </w:rPr>
            </w:pPr>
            <w:r>
              <w:rPr>
                <w:rFonts w:ascii="Times New Roman" w:hAnsi="Times New Roman"/>
                <w:color w:val="000000"/>
                <w:sz w:val="20"/>
              </w:rPr>
              <w:t>NASDAQ</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822" w:type="dxa"/>
        <w:jc w:val="left"/>
        <w:tblInd w:w="0" w:type="dxa"/>
        <w:tblLayout w:type="fixed"/>
        <w:tblCellMar>
          <w:top w:w="28" w:type="dxa"/>
          <w:left w:w="28" w:type="dxa"/>
          <w:bottom w:w="28" w:type="dxa"/>
          <w:right w:w="28" w:type="dxa"/>
        </w:tblCellMar>
      </w:tblPr>
      <w:tblGrid>
        <w:gridCol w:w="2326"/>
        <w:gridCol w:w="146"/>
        <w:gridCol w:w="376"/>
        <w:gridCol w:w="109"/>
        <w:gridCol w:w="1155"/>
        <w:gridCol w:w="1155"/>
        <w:gridCol w:w="109"/>
        <w:gridCol w:w="109"/>
        <w:gridCol w:w="146"/>
        <w:gridCol w:w="1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264"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37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February 5, 2026, the registrant had 29,019,344 shares of common stock, $0.01 par value per share, outstanding. </w:t>
      </w:r>
    </w:p>
    <w:p>
      <w:pPr>
        <w:pStyle w:val="TextBody"/>
        <w:pBdr>
          <w:bottom w:val="double" w:sz="4" w:space="1" w:color="000000"/>
        </w:pBdr>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UNAUDITED 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consolidated_financial_statements">
              <w:r>
                <w:rPr>
                  <w:rStyle w:val="InternetLink"/>
                  <w:rFonts w:ascii="Times New Roman" w:hAnsi="Times New Roman"/>
                  <w:color w:val="0000FF"/>
                  <w:sz w:val="20"/>
                  <w:u w:val="single"/>
                </w:rPr>
                <w:t>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Condensed 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omp_loss">
              <w:r>
                <w:rPr>
                  <w:rStyle w:val="InternetLink"/>
                  <w:rFonts w:ascii="Times New Roman" w:hAnsi="Times New Roman"/>
                  <w:color w:val="0000FF"/>
                  <w:sz w:val="20"/>
                  <w:u w:val="single"/>
                </w:rPr>
                <w:t>Condensed Consolidated Statements of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mt_stockholders_equity">
              <w:r>
                <w:rPr>
                  <w:rStyle w:val="InternetLink"/>
                  <w:rFonts w:ascii="Times New Roman" w:hAnsi="Times New Roman"/>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
              <w:r>
                <w:rPr>
                  <w:rStyle w:val="InternetLink"/>
                  <w:rFonts w:ascii="Times New Roman" w:hAnsi="Times New Roman"/>
                  <w:color w:val="0000FF"/>
                  <w:sz w:val="20"/>
                  <w:u w:val="single"/>
                </w:rPr>
                <w:t>Notes to Condensed Consolidated 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2_mda">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
              <w:r>
                <w:rPr>
                  <w:rStyle w:val="InternetLink"/>
                  <w:rFonts w:ascii="Times New Roman" w:hAnsi="Times New Roman"/>
                  <w:color w:val="0000FF"/>
                  <w:sz w:val="24"/>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5other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REGARDING 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This Quarterly Report on Form 10-Q (“Quarterly Report”)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“on track,” “plan,” “potentially,” “predict,” “project,” “should,” “will” or the negative of these terms or other similar expressions. We caution you that the foregoing list may not encompass all of the forward-looking statements made in this Quarterly Report.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in our Annual Report on Form 10-K for the fiscal year ended September 30, 2025 and as updated in Item 1A herein.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I—UNAUDITED FINANCIAL INFORMATION</w:t>
      </w:r>
    </w:p>
    <w:p>
      <w:pPr>
        <w:pStyle w:val="TextBody"/>
        <w:bidi w:val="0"/>
        <w:spacing w:before="120" w:after="283"/>
        <w:jc w:val="left"/>
        <w:rPr>
          <w:rFonts w:ascii="Times New Roman" w:hAnsi="Times New Roman"/>
          <w:b/>
          <w:color w:val="000000"/>
          <w:sz w:val="20"/>
        </w:rPr>
      </w:pPr>
      <w:bookmarkStart w:id="3" w:name="item_1_consolidated_financial_statements"/>
      <w:bookmarkEnd w:id="3"/>
      <w:r>
        <w:rPr>
          <w:rFonts w:ascii="Times New Roman" w:hAnsi="Times New Roman"/>
          <w:b/>
          <w:color w:val="000000"/>
          <w:sz w:val="20"/>
        </w:rPr>
        <w:t>ITEM 1. CONDENSED CONSOLIDATED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ENANTA PHARMACEUTICALS, INC.</w:t>
      </w:r>
    </w:p>
    <w:p>
      <w:pPr>
        <w:pStyle w:val="TextBody"/>
        <w:bidi w:val="0"/>
        <w:jc w:val="center"/>
        <w:rPr>
          <w:rFonts w:ascii="Times New Roman" w:hAnsi="Times New Roman"/>
          <w:b/>
          <w:color w:val="000000"/>
          <w:sz w:val="20"/>
        </w:rPr>
      </w:pPr>
      <w:bookmarkStart w:id="4" w:name="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left"/>
        <w:rPr/>
      </w:pPr>
      <w:r>
        <w:rPr/>
        <w:t> </w:t>
      </w:r>
    </w:p>
    <w:tbl>
      <w:tblPr>
        <w:tblW w:w="9520" w:type="dxa"/>
        <w:jc w:val="left"/>
        <w:tblInd w:w="0" w:type="dxa"/>
        <w:tblLayout w:type="fixed"/>
        <w:tblCellMar>
          <w:top w:w="28" w:type="dxa"/>
          <w:left w:w="28" w:type="dxa"/>
          <w:bottom w:w="28" w:type="dxa"/>
          <w:right w:w="28" w:type="dxa"/>
        </w:tblCellMar>
      </w:tblPr>
      <w:tblGrid>
        <w:gridCol w:w="6216"/>
        <w:gridCol w:w="146"/>
        <w:gridCol w:w="219"/>
        <w:gridCol w:w="876"/>
        <w:gridCol w:w="166"/>
        <w:gridCol w:w="146"/>
        <w:gridCol w:w="228"/>
        <w:gridCol w:w="912"/>
        <w:gridCol w:w="611"/>
      </w:tblGrid>
      <w:tr>
        <w:trPr/>
        <w:tc>
          <w:tcPr>
            <w:tcW w:w="6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204,336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280,732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Liability related to the sale of future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48,555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the sale of future royalties,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111,132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1 nonconvertible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216,015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$0.01 par value per share, 100,000 shares authorized; </w:t>
              <w:br/>
              <w:t>  29,019 and 21,387 shares issued and outstanding at December 31, 2025</w:t>
              <w:br/>
              <w:t>  and September 30,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469,771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(404,929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64,717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280,732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ENANTA PHARMACEUTICALS, INC.</w:t>
      </w:r>
    </w:p>
    <w:p>
      <w:pPr>
        <w:pStyle w:val="TextBody"/>
        <w:bidi w:val="0"/>
        <w:jc w:val="center"/>
        <w:rPr>
          <w:rFonts w:ascii="Times New Roman" w:hAnsi="Times New Roman"/>
          <w:b/>
          <w:color w:val="000000"/>
          <w:sz w:val="20"/>
        </w:rPr>
      </w:pPr>
      <w:bookmarkStart w:id="5" w:name="consolidated_statements_of_operations"/>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tbl>
      <w:tblPr>
        <w:tblW w:w="8176" w:type="dxa"/>
        <w:jc w:val="left"/>
        <w:tblInd w:w="0" w:type="dxa"/>
        <w:tblLayout w:type="fixed"/>
        <w:tblCellMar>
          <w:top w:w="28" w:type="dxa"/>
          <w:left w:w="28" w:type="dxa"/>
          <w:bottom w:w="28" w:type="dxa"/>
          <w:right w:w="28" w:type="dxa"/>
        </w:tblCellMar>
      </w:tblPr>
      <w:tblGrid>
        <w:gridCol w:w="4801"/>
        <w:gridCol w:w="146"/>
        <w:gridCol w:w="252"/>
        <w:gridCol w:w="881"/>
        <w:gridCol w:w="198"/>
        <w:gridCol w:w="174"/>
        <w:gridCol w:w="252"/>
        <w:gridCol w:w="881"/>
        <w:gridCol w:w="591"/>
      </w:tblGrid>
      <w:tr>
        <w:trPr/>
        <w:tc>
          <w:tcPr>
            <w:tcW w:w="4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8"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18,615</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9,009</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29,868</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investment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(11,938</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common shares outstanding, basic and </w:t>
              <w:br/>
              <w:t>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28,748</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ENANTA PHARMACEUTICALS, INC.</w:t>
      </w:r>
    </w:p>
    <w:p>
      <w:pPr>
        <w:pStyle w:val="TextBody"/>
        <w:bidi w:val="0"/>
        <w:jc w:val="center"/>
        <w:rPr>
          <w:rFonts w:ascii="Times New Roman" w:hAnsi="Times New Roman"/>
          <w:b/>
          <w:color w:val="000000"/>
          <w:sz w:val="20"/>
        </w:rPr>
      </w:pPr>
      <w:bookmarkStart w:id="6" w:name="consolidated_statements_of_comp_loss"/>
      <w:bookmarkEnd w:id="6"/>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7796" w:type="dxa"/>
        <w:jc w:val="left"/>
        <w:tblInd w:w="0" w:type="dxa"/>
        <w:tblLayout w:type="fixed"/>
        <w:tblCellMar>
          <w:top w:w="28" w:type="dxa"/>
          <w:left w:w="28" w:type="dxa"/>
          <w:bottom w:w="28" w:type="dxa"/>
          <w:right w:w="28" w:type="dxa"/>
        </w:tblCellMar>
      </w:tblPr>
      <w:tblGrid>
        <w:gridCol w:w="4401"/>
        <w:gridCol w:w="146"/>
        <w:gridCol w:w="252"/>
        <w:gridCol w:w="881"/>
        <w:gridCol w:w="198"/>
        <w:gridCol w:w="174"/>
        <w:gridCol w:w="252"/>
        <w:gridCol w:w="881"/>
        <w:gridCol w:w="611"/>
      </w:tblGrid>
      <w:tr>
        <w:trPr/>
        <w:tc>
          <w:tcPr>
            <w:tcW w:w="4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8"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unrealized gain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(11,928</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ENANTA PHARMACEUTICALS, INC.</w:t>
      </w:r>
    </w:p>
    <w:p>
      <w:pPr>
        <w:pStyle w:val="TextBody"/>
        <w:bidi w:val="0"/>
        <w:jc w:val="center"/>
        <w:rPr>
          <w:rFonts w:ascii="Times New Roman" w:hAnsi="Times New Roman"/>
          <w:b/>
          <w:color w:val="000000"/>
          <w:sz w:val="20"/>
        </w:rPr>
      </w:pPr>
      <w:bookmarkStart w:id="7" w:name="consolidated_stmt_stockholders_equity"/>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before="40" w:after="283"/>
        <w:jc w:val="center"/>
        <w:rPr/>
      </w:pPr>
      <w:r>
        <w:rPr/>
        <w:t> </w:t>
      </w:r>
    </w:p>
    <w:p>
      <w:pPr>
        <w:pStyle w:val="TextBody"/>
        <w:bidi w:val="0"/>
        <w:spacing w:before="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2412"/>
        <w:gridCol w:w="246"/>
        <w:gridCol w:w="146"/>
        <w:gridCol w:w="676"/>
        <w:gridCol w:w="146"/>
        <w:gridCol w:w="146"/>
        <w:gridCol w:w="230"/>
        <w:gridCol w:w="461"/>
        <w:gridCol w:w="146"/>
        <w:gridCol w:w="146"/>
        <w:gridCol w:w="211"/>
        <w:gridCol w:w="781"/>
        <w:gridCol w:w="166"/>
        <w:gridCol w:w="146"/>
        <w:gridCol w:w="370"/>
        <w:gridCol w:w="846"/>
        <w:gridCol w:w="166"/>
        <w:gridCol w:w="146"/>
        <w:gridCol w:w="211"/>
        <w:gridCol w:w="841"/>
        <w:gridCol w:w="166"/>
        <w:gridCol w:w="146"/>
        <w:gridCol w:w="221"/>
        <w:gridCol w:w="821"/>
        <w:gridCol w:w="212"/>
      </w:tblGrid>
      <w:tr>
        <w:trPr/>
        <w:tc>
          <w:tcPr>
            <w:tcW w:w="241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Balances, September 30, 2025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64,717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common stock from October 2025 public offering, net of issuance costs of $4,802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restricted stock units, net of withholding</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(11,938</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Balances, December 31, 2025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543,497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126,591</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04"/>
        <w:gridCol w:w="246"/>
        <w:gridCol w:w="146"/>
        <w:gridCol w:w="676"/>
        <w:gridCol w:w="146"/>
        <w:gridCol w:w="146"/>
        <w:gridCol w:w="230"/>
        <w:gridCol w:w="461"/>
        <w:gridCol w:w="146"/>
        <w:gridCol w:w="146"/>
        <w:gridCol w:w="211"/>
        <w:gridCol w:w="781"/>
        <w:gridCol w:w="166"/>
        <w:gridCol w:w="146"/>
        <w:gridCol w:w="370"/>
        <w:gridCol w:w="846"/>
        <w:gridCol w:w="166"/>
        <w:gridCol w:w="146"/>
        <w:gridCol w:w="211"/>
        <w:gridCol w:w="841"/>
        <w:gridCol w:w="166"/>
        <w:gridCol w:w="146"/>
        <w:gridCol w:w="222"/>
        <w:gridCol w:w="827"/>
        <w:gridCol w:w="213"/>
      </w:tblGrid>
      <w:tr>
        <w:trPr/>
        <w:tc>
          <w:tcPr>
            <w:tcW w:w="240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Balances, September 30, 2024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128,814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Vesting of restricted stock units, net of withholding</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loss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Balances, December 31, 2024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456,962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111,816</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ENANTA PHARMACEUTICALS, INC.</w:t>
      </w:r>
    </w:p>
    <w:p>
      <w:pPr>
        <w:pStyle w:val="TextBody"/>
        <w:bidi w:val="0"/>
        <w:jc w:val="center"/>
        <w:rPr>
          <w:rFonts w:ascii="Times New Roman" w:hAnsi="Times New Roman"/>
          <w:b/>
          <w:color w:val="000000"/>
          <w:sz w:val="20"/>
        </w:rPr>
      </w:pPr>
      <w:bookmarkStart w:id="8" w:name="consolidated_statements_of_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9637" w:type="dxa"/>
        <w:jc w:val="left"/>
        <w:tblInd w:w="0" w:type="dxa"/>
        <w:tblLayout w:type="fixed"/>
        <w:tblCellMar>
          <w:top w:w="28" w:type="dxa"/>
          <w:left w:w="28" w:type="dxa"/>
          <w:bottom w:w="28" w:type="dxa"/>
          <w:right w:w="28" w:type="dxa"/>
        </w:tblCellMar>
      </w:tblPr>
      <w:tblGrid>
        <w:gridCol w:w="6241"/>
        <w:gridCol w:w="146"/>
        <w:gridCol w:w="241"/>
        <w:gridCol w:w="961"/>
        <w:gridCol w:w="189"/>
        <w:gridCol w:w="166"/>
        <w:gridCol w:w="241"/>
        <w:gridCol w:w="841"/>
        <w:gridCol w:w="611"/>
      </w:tblGrid>
      <w:tr>
        <w:trPr/>
        <w:tc>
          <w:tcPr>
            <w:tcW w:w="6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(11,938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(22,290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3,810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1,230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Non-cash interest associated with the sale of future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Non-cash royalty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(1,879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Premium paid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Amortization of premiums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Change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(1,611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4,248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1,729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Income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1,530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(5,176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(834</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1,445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(11,699</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(16,801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(148,624</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maturities and sale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101,469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77,648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(143</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(8,745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(47,298</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68,903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October 2025 public offering, net of issuance costs of $4,802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69,948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on royalty sale liability, net of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(5,856</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(4,943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for settlement of share-based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the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141</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64,136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(4,986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5,139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47,116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35,658</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41,201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40,797</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88,317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disclosure of non-cash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Purchases of fixed assets included in accounts payable and</w:t>
              <w:br/>
              <w:t>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2,427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liabilities arising from obtaining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2,379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received from tenant improvement allowances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2,710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ENANTA PHARMACEUTICALS, INC.</w:t>
      </w:r>
    </w:p>
    <w:p>
      <w:pPr>
        <w:pStyle w:val="TextBody"/>
        <w:bidi w:val="0"/>
        <w:jc w:val="center"/>
        <w:rPr>
          <w:rFonts w:ascii="Times New Roman" w:hAnsi="Times New Roman"/>
          <w:b/>
          <w:color w:val="000000"/>
          <w:sz w:val="20"/>
        </w:rPr>
      </w:pPr>
      <w:bookmarkStart w:id="9" w:name="notes_to_consolidated_financial"/>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per share data)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Nature of the Business and Basis of Presentation</w:t>
      </w:r>
    </w:p>
    <w:p>
      <w:pPr>
        <w:pStyle w:val="TextBody"/>
        <w:bidi w:val="0"/>
        <w:spacing w:before="120" w:after="283"/>
        <w:jc w:val="left"/>
        <w:rPr>
          <w:rFonts w:ascii="Times New Roman" w:hAnsi="Times New Roman"/>
          <w:sz w:val="20"/>
        </w:rPr>
      </w:pPr>
      <w:r>
        <w:rPr>
          <w:rFonts w:ascii="Times New Roman" w:hAnsi="Times New Roman"/>
          <w:color w:val="000000"/>
          <w:sz w:val="20"/>
        </w:rPr>
        <w:t>Enanta Pharmaceuticals, Inc. (collectively with its subsidiary, the “Company”), incorporated in Delaware in 1995, is a biotechnology company that uses its robust, chemistry-driven approach and drug discovery capabilities to discover and develop small molecule drugs for virology and immunology indications. The Company discovered glecaprevir, the second of two antiviral protease inhibitors developed through its collaboration with AbbVie for the treatment of acute or chronic infection with hepatitis C virus, or HCV. Glecaprevir is co-formulated as part of AbbVie’s leading brand of direct-acting antiviral, or DAA, combination treatment for HCV, which has been marketed under the tradenames MAVYRET</w:t>
      </w:r>
      <w:r>
        <w:rPr>
          <w:rFonts w:ascii="Times New Roman" w:hAnsi="Times New Roman"/>
          <w:color w:val="000000"/>
          <w:sz w:val="13"/>
        </w:rPr>
        <w:t xml:space="preserve">® </w:t>
      </w:r>
      <w:r>
        <w:rPr>
          <w:rFonts w:ascii="Times New Roman" w:hAnsi="Times New Roman"/>
          <w:color w:val="000000"/>
          <w:sz w:val="20"/>
        </w:rPr>
        <w:t>(U.S.) and MAVIRET</w:t>
      </w:r>
      <w:r>
        <w:rPr>
          <w:rFonts w:ascii="Times New Roman" w:hAnsi="Times New Roman"/>
          <w:color w:val="000000"/>
          <w:sz w:val="13"/>
        </w:rPr>
        <w:t>®</w:t>
      </w:r>
      <w:r>
        <w:rPr>
          <w:rFonts w:ascii="Times New Roman" w:hAnsi="Times New Roman"/>
          <w:color w:val="000000"/>
          <w:sz w:val="20"/>
        </w:rPr>
        <w:t xml:space="preserve"> (ex-U.S.) (glecaprevir/pibrentasvir) since 2017.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and infrastructure, and extensive compliance reporting capabilities.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Unaudited Interim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consolidated balance sheet as of September 30, 2025 was derived from audited financial statements but does not include all disclosures required by accounting principles generally accepted in the United States of America (“GAAP”). The accompanying unaudited condensed consolidated financial statements as of December 31, 2025 and for the three months ended December 31, 2025 and 2024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condensed consolidated financial statements should be read in conjunction with the Company’s audited consolidated financial statements and the notes thereto included in the Company’s Annual Report on Form 10-K for the fiscal year ended September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opinion of management, all adjustments, consisting of normal recurring adjustments necessary for a fair statement of the Company’s financial position as of December 31, 2025 and results of operations for the three months ended December 31, 2025 and 2024 and cash flows for the three months ended December 31, 2025 and 2024 have been made. The results of operations for the three months ended December 31, 2025 are not necessarily indicative of the results of operations that may be expected for subsequent quarters or the year ending September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in conformity with GAAP. All amounts in the condensed consolidated financial statements and in the notes to the condensed consolidated financial statements, except per share amounts, are in thousands unless otherwise indicated.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based on continuity of operations, realization of assets and the satisfaction of liabilities and commitments in the ordinary course of business. The Company began reporting a net loss in fiscal 2020 and reported a net loss of $11,938 for the three months ended December 31, 2025 and $81,889 for the year ended September 30, 2025. As of December 31, 2025, the Company had an accumulated deficit of $416,867. The Company expects to continue to generate operating losses for the foreseeable future as the Company continues to advance its wholly-owned programs. As of December 31, 2025, the Company had $241,904 in cash, cash equivalents and short-term and long-term marketable securities. The Company expects that its cash, cash equivalents and short-term and long-term marketable securities will be sufficient to fund its operating expenses and capital expenditure requirements for at least 12 months from the issuance date of the interim condensed consolidated financial statements. The Company may seek additional funding through equity offerings, non-dilutive financings, collaborations, strategic alliances or licensing agreements. The Company may not be able to obtain sufficient financing on acceptable terms, or at all, and the Company may not be able to enter into collaborations or other arrangements. The terms of any financing may adversely affect the holdings or the rights of the Company’s stockholders. If the Company is unable to obtain funding, the Company could be forced to delay, reduce or eliminate some or all of its research and development programs, product expansion or commercialization efforts, or the Company may be unable to continue operations.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Follow-on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2025, the Company closed an underwritten public offering of its common stock. The Company issued and sold 7,475 shares of its common stock at a public offering price of $10.00 per share. The aggregate gross proceeds of the offering, before deducting underwriting discounts and commissions and other offering expenses, were $74,750.</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Company’s Significant Accounting Policies, please refer to its Annual Report on Form 10-K for the fiscal year ended September 30, 2025. Any reference in these notes to applicable guidance is meant to refer to the authoritative GAAP as found in the Accounting Standards Codification and Accounting Standards Update (“ASU”) of the Financial Accounting Standards Board (“FASB”).</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Significant estimates and assumptions reflected in these condensed consolidated financial statements include, but are not limited to, management’s judgments with respect to its revenue arrangements; liability related to the sale of future royalties; valuation of stock-based awards and the accrual of research and development expenses. Estimates are periodically reviewed in light of changes in circumstances, facts and experience.</w:t>
      </w:r>
    </w:p>
    <w:p>
      <w:pPr>
        <w:pStyle w:val="TextBody"/>
        <w:bidi w:val="0"/>
        <w:spacing w:before="240" w:after="283"/>
        <w:jc w:val="left"/>
        <w:rPr>
          <w:rFonts w:ascii="Times New Roman" w:hAnsi="Times New Roman"/>
          <w:sz w:val="20"/>
        </w:rPr>
      </w:pPr>
      <w:r>
        <w:rPr>
          <w:rFonts w:ascii="Times New Roman" w:hAnsi="Times New Roman"/>
          <w:b/>
          <w:color w:val="000000"/>
          <w:sz w:val="20"/>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common share is computed by dividing the net loss by the weighted average number of shares of common stock outstanding for the period. In periods in which the Company has reported a net loss, diluted net loss per common share is the same as basic net loss per common share since dilutive common shares are not assumed to have been issued if their effect is anti-dilutive. Therefore, the Company excluded the following potential common shares, presented based on amounts outstanding at each period end, from the computation of diluted net loss as its effect would have been anti-dilutive:</w:t>
      </w:r>
    </w:p>
    <w:p>
      <w:pPr>
        <w:pStyle w:val="TextBody"/>
        <w:bidi w:val="0"/>
        <w:jc w:val="left"/>
        <w:rPr/>
      </w:pPr>
      <w:r>
        <w:rPr/>
        <w:t> </w:t>
      </w:r>
    </w:p>
    <w:p>
      <w:pPr>
        <w:pStyle w:val="TextBody"/>
        <w:bidi w:val="0"/>
        <w:jc w:val="left"/>
        <w:rPr/>
      </w:pPr>
      <w:r>
        <w:rPr/>
        <w:t> </w:t>
      </w:r>
    </w:p>
    <w:tbl>
      <w:tblPr>
        <w:tblW w:w="5034" w:type="dxa"/>
        <w:jc w:val="left"/>
        <w:tblInd w:w="0" w:type="dxa"/>
        <w:tblLayout w:type="fixed"/>
        <w:tblCellMar>
          <w:top w:w="28" w:type="dxa"/>
          <w:left w:w="28" w:type="dxa"/>
          <w:bottom w:w="28" w:type="dxa"/>
          <w:right w:w="28" w:type="dxa"/>
        </w:tblCellMar>
      </w:tblPr>
      <w:tblGrid>
        <w:gridCol w:w="2971"/>
        <w:gridCol w:w="146"/>
        <w:gridCol w:w="146"/>
        <w:gridCol w:w="571"/>
        <w:gridCol w:w="146"/>
        <w:gridCol w:w="146"/>
        <w:gridCol w:w="146"/>
        <w:gridCol w:w="57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rTSRUs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 xml:space="preserve">Income Taxes (Topic 740) </w:t>
      </w:r>
      <w:r>
        <w:rPr>
          <w:rFonts w:ascii="Times New Roman" w:hAnsi="Times New Roman"/>
          <w:color w:val="000000"/>
          <w:sz w:val="20"/>
        </w:rPr>
        <w:t>(“ASU 2023-09”), which requires public entities, on an annual basis, to provide disclosure of specific categories in the rate reconciliation, as well as disclosure of income taxes paid disaggregated by jurisdiction. ASU 2023-09 is effective for the Company in the fiscal year beginning October 1, 2025, with early adoption permitted. The Company does not expect ASU 2023-09 to have a material impact on the Company’s consolidated financial statements and related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 xml:space="preserve">Income Statement – Reporting Comprehensive Income – Expense Disaggregation Disclosures (Subtopic 220-40) </w:t>
      </w:r>
      <w:r>
        <w:rPr>
          <w:rFonts w:ascii="Times New Roman" w:hAnsi="Times New Roman"/>
          <w:color w:val="000000"/>
          <w:sz w:val="20"/>
        </w:rPr>
        <w:t xml:space="preserve">(“ASU 2024-03”), which requires public entities to provide disaggregated disclosure of income statement expenses. Public entities are required to disaggregate, in a tabular presentation, each relevant expense caption on the face of the consolidated statements of operations such as the following expenses: purchases of inventory, employee compensation, intangible asset amortization, and depreciation. ASU 2024-03 is effective for the Company in the fiscal year beginning October 1, 2027, with early adoption permitted. The Company is currently evaluating the potential impact that ASU 2024-03 may have on its financial statement disclosures.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Fair Value of Financial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information about the Company’s financial assets and liabilities that were subject to fair value measurement on a recurring basis as of December 31, 2025 and September 30, 2025, and indicate the fair value hierarchy of the valuation inputs utilized to determine such fair value:</w:t>
      </w:r>
    </w:p>
    <w:tbl>
      <w:tblPr>
        <w:tblW w:w="8080" w:type="dxa"/>
        <w:jc w:val="left"/>
        <w:tblInd w:w="0" w:type="dxa"/>
        <w:tblLayout w:type="fixed"/>
        <w:tblCellMar>
          <w:top w:w="28" w:type="dxa"/>
          <w:left w:w="28" w:type="dxa"/>
          <w:bottom w:w="28" w:type="dxa"/>
          <w:right w:w="28" w:type="dxa"/>
        </w:tblCellMar>
      </w:tblPr>
      <w:tblGrid>
        <w:gridCol w:w="3286"/>
        <w:gridCol w:w="146"/>
        <w:gridCol w:w="216"/>
        <w:gridCol w:w="800"/>
        <w:gridCol w:w="149"/>
        <w:gridCol w:w="149"/>
        <w:gridCol w:w="239"/>
        <w:gridCol w:w="391"/>
        <w:gridCol w:w="149"/>
        <w:gridCol w:w="149"/>
        <w:gridCol w:w="216"/>
        <w:gridCol w:w="585"/>
        <w:gridCol w:w="149"/>
        <w:gridCol w:w="149"/>
        <w:gridCol w:w="216"/>
        <w:gridCol w:w="800"/>
        <w:gridCol w:w="2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December 31, 2025 Using:</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35,905</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204,467</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204,467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240,372</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240,372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1 nonconvertible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122" w:type="dxa"/>
        <w:jc w:val="left"/>
        <w:tblInd w:w="0" w:type="dxa"/>
        <w:tblLayout w:type="fixed"/>
        <w:tblCellMar>
          <w:top w:w="28" w:type="dxa"/>
          <w:left w:w="28" w:type="dxa"/>
          <w:bottom w:w="28" w:type="dxa"/>
          <w:right w:w="28" w:type="dxa"/>
        </w:tblCellMar>
      </w:tblPr>
      <w:tblGrid>
        <w:gridCol w:w="3286"/>
        <w:gridCol w:w="146"/>
        <w:gridCol w:w="218"/>
        <w:gridCol w:w="809"/>
        <w:gridCol w:w="151"/>
        <w:gridCol w:w="151"/>
        <w:gridCol w:w="238"/>
        <w:gridCol w:w="392"/>
        <w:gridCol w:w="151"/>
        <w:gridCol w:w="151"/>
        <w:gridCol w:w="218"/>
        <w:gridCol w:w="591"/>
        <w:gridCol w:w="151"/>
        <w:gridCol w:w="151"/>
        <w:gridCol w:w="218"/>
        <w:gridCol w:w="809"/>
        <w:gridCol w:w="2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September 30, 2025 Using:</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156,566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156,566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168,146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168,146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1 nonconvertible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December 31, 2025 and 2024, there were no transfers between Level 1, Level 2 and Level 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Level 1 instruments are valued using quoted prices in active markets. The fair value of Level 2 instruments classified as marketable securities are typically determined through third-party pricing services. The pricing services use many observable market inputs to determine value, including reportable trades, benchmark yields, credit spreads, broker/dealer quotes, bids, offers, and current spot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1,930 outstanding shares of Series 1 nonconvertible preferred stock as of December 31, 2025 and September 30, 2025 are measured at fair value. These outstanding shares are financial instruments that might require a transfer of assets because of the liquidation features in the contract and are therefore recorded as liabilities and measured at fair value. The fair value of the outstanding shares is based on significant inputs not observable in the market, which represent a Level 3 measurement within the fair value hierarchy. The Company utilizes a probability-weighted valuation model which takes into consideration various outcomes that may require the Company to transfer assets upon liquidation. Changes in the fair values of the Series 1 nonconvertible preferred stock are recognized in other income (expense) in the condensed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recurring Level 3 fair value measurements of the Company’s outstanding Series 1 nonconvertible preferred stock using probability-weighted discounted cash flow include the following significant unobservable inputs:</w:t>
      </w:r>
    </w:p>
    <w:p>
      <w:pPr>
        <w:pStyle w:val="TextBody"/>
        <w:bidi w:val="0"/>
        <w:jc w:val="left"/>
        <w:rPr/>
      </w:pPr>
      <w:r>
        <w:rPr/>
        <w:t> </w:t>
      </w:r>
    </w:p>
    <w:tbl>
      <w:tblPr>
        <w:tblW w:w="4701" w:type="dxa"/>
        <w:jc w:val="left"/>
        <w:tblInd w:w="0" w:type="dxa"/>
        <w:tblLayout w:type="fixed"/>
        <w:tblCellMar>
          <w:top w:w="28" w:type="dxa"/>
          <w:left w:w="28" w:type="dxa"/>
          <w:bottom w:w="28" w:type="dxa"/>
          <w:right w:w="28" w:type="dxa"/>
        </w:tblCellMar>
      </w:tblPr>
      <w:tblGrid>
        <w:gridCol w:w="1981"/>
        <w:gridCol w:w="146"/>
        <w:gridCol w:w="1096"/>
        <w:gridCol w:w="146"/>
        <w:gridCol w:w="1141"/>
        <w:gridCol w:w="1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 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Probabilities of payout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were no changes in the fair value of nonconvertible preferred stock during the three months ended December 31, 2025 and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2023, the Company entered into a royalty sale agreement with an affiliate of OMERS, pursuant to which the Company was paid a $200,000 cash purchase price in exchange for 54.5% of future quarterly royalty payments on net sales of MAVYRET/MAVIRET, after June 30, 2023, through June 30, 2032, subject to a cap on aggregate payments equal to 1.42 times the purchase price. The Company accounted for the upfront payment as a liability related to the sale of future royalties. The carrying value of the liability related to the sale of future royalties approximates fair value as of December 31, 2025 and is based on current estimates of future royalties expected to be paid to OMERS over the next 7 years, which are considered Level 3 inputs. See Note 7 for a rollforward of the liability.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and September 30, 2025, the fair value of available-for-sale marketable securities, by type of security, was as follows:</w:t>
      </w:r>
    </w:p>
    <w:tbl>
      <w:tblPr>
        <w:tblW w:w="8027" w:type="dxa"/>
        <w:jc w:val="left"/>
        <w:tblInd w:w="0" w:type="dxa"/>
        <w:tblLayout w:type="fixed"/>
        <w:tblCellMar>
          <w:top w:w="28" w:type="dxa"/>
          <w:left w:w="28" w:type="dxa"/>
          <w:bottom w:w="28" w:type="dxa"/>
          <w:right w:w="28" w:type="dxa"/>
        </w:tblCellMar>
      </w:tblPr>
      <w:tblGrid>
        <w:gridCol w:w="1681"/>
        <w:gridCol w:w="146"/>
        <w:gridCol w:w="211"/>
        <w:gridCol w:w="781"/>
        <w:gridCol w:w="146"/>
        <w:gridCol w:w="146"/>
        <w:gridCol w:w="354"/>
        <w:gridCol w:w="532"/>
        <w:gridCol w:w="146"/>
        <w:gridCol w:w="146"/>
        <w:gridCol w:w="387"/>
        <w:gridCol w:w="499"/>
        <w:gridCol w:w="166"/>
        <w:gridCol w:w="146"/>
        <w:gridCol w:w="403"/>
        <w:gridCol w:w="662"/>
        <w:gridCol w:w="146"/>
        <w:gridCol w:w="146"/>
        <w:gridCol w:w="211"/>
        <w:gridCol w:w="78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9"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204,467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027" w:type="dxa"/>
        <w:jc w:val="left"/>
        <w:tblInd w:w="0" w:type="dxa"/>
        <w:tblLayout w:type="fixed"/>
        <w:tblCellMar>
          <w:top w:w="28" w:type="dxa"/>
          <w:left w:w="28" w:type="dxa"/>
          <w:bottom w:w="28" w:type="dxa"/>
          <w:right w:w="28" w:type="dxa"/>
        </w:tblCellMar>
      </w:tblPr>
      <w:tblGrid>
        <w:gridCol w:w="1681"/>
        <w:gridCol w:w="146"/>
        <w:gridCol w:w="211"/>
        <w:gridCol w:w="781"/>
        <w:gridCol w:w="146"/>
        <w:gridCol w:w="146"/>
        <w:gridCol w:w="354"/>
        <w:gridCol w:w="532"/>
        <w:gridCol w:w="146"/>
        <w:gridCol w:w="146"/>
        <w:gridCol w:w="387"/>
        <w:gridCol w:w="499"/>
        <w:gridCol w:w="166"/>
        <w:gridCol w:w="146"/>
        <w:gridCol w:w="403"/>
        <w:gridCol w:w="662"/>
        <w:gridCol w:w="146"/>
        <w:gridCol w:w="146"/>
        <w:gridCol w:w="211"/>
        <w:gridCol w:w="78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0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9"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156,566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156,566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2025 and September 30, 2025, marketable securities consisted of investments that mature within one year, with the exception of certain U.S. Treasury notes as of December 31, 2025 which have maturities between one and two years and an aggregate fair value of $56,055.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as of December 31, 2025 and September 30, 2025:</w:t>
      </w:r>
    </w:p>
    <w:tbl>
      <w:tblPr>
        <w:tblW w:w="6600" w:type="dxa"/>
        <w:jc w:val="left"/>
        <w:tblInd w:w="0" w:type="dxa"/>
        <w:tblLayout w:type="fixed"/>
        <w:tblCellMar>
          <w:top w:w="28" w:type="dxa"/>
          <w:left w:w="28" w:type="dxa"/>
          <w:bottom w:w="28" w:type="dxa"/>
          <w:right w:w="28" w:type="dxa"/>
        </w:tblCellMar>
      </w:tblPr>
      <w:tblGrid>
        <w:gridCol w:w="3736"/>
        <w:gridCol w:w="146"/>
        <w:gridCol w:w="294"/>
        <w:gridCol w:w="801"/>
        <w:gridCol w:w="146"/>
        <w:gridCol w:w="146"/>
        <w:gridCol w:w="271"/>
        <w:gridCol w:w="869"/>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September</w:t>
            </w:r>
            <w:r>
              <w:rPr>
                <w:rFonts w:ascii="Times New Roman" w:hAnsi="Times New Roman"/>
                <w:color w:val="000000"/>
                <w:sz w:val="16"/>
              </w:rPr>
              <w:t xml:space="preserve"> </w:t>
            </w:r>
            <w:r>
              <w:rPr>
                <w:rFonts w:ascii="Times New Roman" w:hAnsi="Times New Roman"/>
                <w:b/>
                <w:color w:val="000000"/>
                <w:sz w:val="16"/>
              </w:rPr>
              <w:t>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pharmaceutical drug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6. AbbVie Collaboration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$1,356,000 through December 31, 2025. Since the Company satisfied all of its performance obligations under the AbbVie Agreement by the end of fiscal 2011, all milestone payments received since then have been recognized as revenue when the milestones were achieved by AbbVie.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receiving annually tiered royalties per Company protease product ranging from ten percent up to twenty percent, or on a blended basis from ten percent up to the high teens, on the portion of AbbVie’s calendar year net sales of each HCV regimen that is allocated to the protease inhibitor in the regimen. Beginning with each January 1, the cumulative net sales of a given royalty-bearing protease inhibitor product start at zero for purposes of calculating the tiered royalties on a product-by-product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160" w:after="120"/>
        <w:jc w:val="left"/>
        <w:rPr>
          <w:rFonts w:ascii="Times New Roman" w:hAnsi="Times New Roman"/>
          <w:sz w:val="20"/>
        </w:rPr>
      </w:pPr>
      <w:r>
        <w:rPr>
          <w:rFonts w:ascii="Times New Roman" w:hAnsi="Times New Roman"/>
          <w:b/>
          <w:color w:val="000000"/>
          <w:sz w:val="20"/>
        </w:rPr>
        <w:t>7.</w:t>
      </w:r>
      <w:r>
        <w:rPr>
          <w:rFonts w:ascii="Times New Roman" w:hAnsi="Times New Roman"/>
          <w:color w:val="000000"/>
          <w:sz w:val="20"/>
        </w:rPr>
        <w:t xml:space="preserve"> </w:t>
      </w:r>
      <w:r>
        <w:rPr>
          <w:rFonts w:ascii="Times New Roman" w:hAnsi="Times New Roman"/>
          <w:b/>
          <w:color w:val="000000"/>
          <w:sz w:val="20"/>
        </w:rPr>
        <w:t>Liability Related to the Sale of Future Royalties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April 2023, the Company entered into a royalty sale agreement with an affiliate of OMERS, pursuant to which the Company was paid a $200,000 cash purchase price in exchange for 54.5% of future quarterly royalty payments on net sales of MAVYRET/MAVIRET, after June 30, 2023, through June 30, 2032, subject to a cap on aggregate payments equal to 1.42 times the purchase price.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Because the royalty sale agreement will be paid back to OMERS up to a capped amount, as well as the Company’s significant continuing involvement in the generation of future cash flows under its AbbVie Agreement, the Company recorded the proceeds from the transaction as a liability on its condensed consolidated balance sheets which will be amortized as interest expense in the condensed consolidated statements of operations under the effective interest rate method over the life of the royalty sale agreement. The Company will continue to record the full amount of royalties earned on MAVYRET/MAVIRET sales as royalty revenue in its condensed consolidated statements of operations.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Company’s liability related to the sale of future royalties is estimated based on forecasted worldwide MAVYRET/MAVYRET royalties to be paid to OMERS over the course of the royalty sale agreement. This estimate requires significant judgment, including the amount and timing of royalty payments up until the end of the royalty sale agreement, which is estimated to be the stated term of June 30, 2032. As royalties are earned by OMERS, the liability is reduced on the Company’s condensed consolidated balance sheets.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At December 31, 2025, the estimated future cash flows resulted in an effective annual imputed interest rate of approximately 8.6%.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the activity of the liability related to the sale of future royalties:</w:t>
      </w:r>
    </w:p>
    <w:tbl>
      <w:tblPr>
        <w:tblW w:w="6503" w:type="dxa"/>
        <w:jc w:val="left"/>
        <w:tblInd w:w="0" w:type="dxa"/>
        <w:tblLayout w:type="fixed"/>
        <w:tblCellMar>
          <w:top w:w="28" w:type="dxa"/>
          <w:left w:w="28" w:type="dxa"/>
          <w:bottom w:w="28" w:type="dxa"/>
          <w:right w:w="28" w:type="dxa"/>
        </w:tblCellMar>
      </w:tblPr>
      <w:tblGrid>
        <w:gridCol w:w="2626"/>
        <w:gridCol w:w="146"/>
        <w:gridCol w:w="727"/>
        <w:gridCol w:w="2693"/>
        <w:gridCol w:w="31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Liability related to the sale of future royalties</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141,842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Royalty payable to purchaser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134,803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Stock-Based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grants stock-based awards, including stock options, restricted stock units and other unit awards under its 2019 Equity Incentive Plan (the “2019 Plan”), which was approved by its stockholders on February 28, 2019 and amended in March 2021, March 2022, March 2023, March 2024, December 2024 and March 2025 and its 2024 Inducement Stock Incentive Plan, which was adopted by the Board of Directors in April 2024 for awards to new employees and amended in December 2024. The Company also has outstanding stock option awards under its 2012 Equity Incentive Plan (the “2012 Plan”), but is no longer granting awards under this plan.</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stock option activity, including aggregate intrinsic value, for the year-to-date period ending December 31, 2025:</w:t>
      </w:r>
    </w:p>
    <w:tbl>
      <w:tblPr>
        <w:tblW w:w="9236" w:type="dxa"/>
        <w:jc w:val="left"/>
        <w:tblInd w:w="0" w:type="dxa"/>
        <w:tblLayout w:type="fixed"/>
        <w:tblCellMar>
          <w:top w:w="28" w:type="dxa"/>
          <w:left w:w="28" w:type="dxa"/>
          <w:bottom w:w="28" w:type="dxa"/>
          <w:right w:w="28" w:type="dxa"/>
        </w:tblCellMar>
      </w:tblPr>
      <w:tblGrid>
        <w:gridCol w:w="3766"/>
        <w:gridCol w:w="146"/>
        <w:gridCol w:w="229"/>
        <w:gridCol w:w="896"/>
        <w:gridCol w:w="166"/>
        <w:gridCol w:w="146"/>
        <w:gridCol w:w="214"/>
        <w:gridCol w:w="582"/>
        <w:gridCol w:w="146"/>
        <w:gridCol w:w="146"/>
        <w:gridCol w:w="285"/>
        <w:gridCol w:w="706"/>
        <w:gridCol w:w="146"/>
        <w:gridCol w:w="146"/>
        <w:gridCol w:w="267"/>
        <w:gridCol w:w="858"/>
        <w:gridCol w:w="3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 xml:space="preserve">Issuable </w:t>
              <w:br/>
              <w:t>Under</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Options vested and expected to vest as of </w:t>
              <w:br/>
              <w: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Market and Performance-Based Stock Unit Awards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awards both performance share units, or PSUs, and relative total stockholder return units, or rTSRUs, to its executive officers. The number of units granted represents the target number of shares of common stock that may be earned; however, the actual number of shares that may be earned ranges from 0% to 150% of the target number. The number of shares cancelled represents the target number of shares, less any shares that vested. The following table summarizes PSU and rTSRU activity (at target) for the year-to-date period ending December 31, 2025:</w:t>
      </w:r>
    </w:p>
    <w:tbl>
      <w:tblPr>
        <w:tblW w:w="9334" w:type="dxa"/>
        <w:jc w:val="left"/>
        <w:tblInd w:w="0" w:type="dxa"/>
        <w:tblLayout w:type="fixed"/>
        <w:tblCellMar>
          <w:top w:w="28" w:type="dxa"/>
          <w:left w:w="28" w:type="dxa"/>
          <w:bottom w:w="28" w:type="dxa"/>
          <w:right w:w="28" w:type="dxa"/>
        </w:tblCellMar>
      </w:tblPr>
      <w:tblGrid>
        <w:gridCol w:w="2971"/>
        <w:gridCol w:w="146"/>
        <w:gridCol w:w="287"/>
        <w:gridCol w:w="838"/>
        <w:gridCol w:w="146"/>
        <w:gridCol w:w="146"/>
        <w:gridCol w:w="363"/>
        <w:gridCol w:w="987"/>
        <w:gridCol w:w="146"/>
        <w:gridCol w:w="146"/>
        <w:gridCol w:w="287"/>
        <w:gridCol w:w="838"/>
        <w:gridCol w:w="146"/>
        <w:gridCol w:w="146"/>
        <w:gridCol w:w="363"/>
        <w:gridCol w:w="987"/>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rTSRUs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Grant Date Fair </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Grant Date Fair </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Restricted Stock Units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restricted stock unit activity for the year-to-date period ending December 31, 2025:</w:t>
      </w:r>
    </w:p>
    <w:tbl>
      <w:tblPr>
        <w:tblW w:w="6415" w:type="dxa"/>
        <w:jc w:val="left"/>
        <w:tblInd w:w="0" w:type="dxa"/>
        <w:tblLayout w:type="fixed"/>
        <w:tblCellMar>
          <w:top w:w="28" w:type="dxa"/>
          <w:left w:w="28" w:type="dxa"/>
          <w:bottom w:w="28" w:type="dxa"/>
          <w:right w:w="28" w:type="dxa"/>
        </w:tblCellMar>
      </w:tblPr>
      <w:tblGrid>
        <w:gridCol w:w="2971"/>
        <w:gridCol w:w="146"/>
        <w:gridCol w:w="309"/>
        <w:gridCol w:w="1026"/>
        <w:gridCol w:w="166"/>
        <w:gridCol w:w="146"/>
        <w:gridCol w:w="339"/>
        <w:gridCol w:w="921"/>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Restricted Stock </w:t>
              <w:b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Grant </w:t>
              <w:br/>
              <w:t xml:space="preserve">Date Fair </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Stock-Based Compensation Expense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During the three months ended December 31, 2025 and 2024, the Company recognized the following stock-based compensation expense:</w:t>
      </w:r>
    </w:p>
    <w:tbl>
      <w:tblPr>
        <w:tblW w:w="5286" w:type="dxa"/>
        <w:jc w:val="left"/>
        <w:tblInd w:w="0" w:type="dxa"/>
        <w:tblLayout w:type="fixed"/>
        <w:tblCellMar>
          <w:top w:w="28" w:type="dxa"/>
          <w:left w:w="28" w:type="dxa"/>
          <w:bottom w:w="28" w:type="dxa"/>
          <w:right w:w="28" w:type="dxa"/>
        </w:tblCellMar>
      </w:tblPr>
      <w:tblGrid>
        <w:gridCol w:w="2311"/>
        <w:gridCol w:w="146"/>
        <w:gridCol w:w="300"/>
        <w:gridCol w:w="812"/>
        <w:gridCol w:w="207"/>
        <w:gridCol w:w="207"/>
        <w:gridCol w:w="300"/>
        <w:gridCol w:w="812"/>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031" w:type="dxa"/>
        <w:jc w:val="left"/>
        <w:tblInd w:w="0" w:type="dxa"/>
        <w:tblLayout w:type="fixed"/>
        <w:tblCellMar>
          <w:top w:w="28" w:type="dxa"/>
          <w:left w:w="28" w:type="dxa"/>
          <w:bottom w:w="28" w:type="dxa"/>
          <w:right w:w="28" w:type="dxa"/>
        </w:tblCellMar>
      </w:tblPr>
      <w:tblGrid>
        <w:gridCol w:w="2056"/>
        <w:gridCol w:w="146"/>
        <w:gridCol w:w="300"/>
        <w:gridCol w:w="812"/>
        <w:gridCol w:w="207"/>
        <w:gridCol w:w="207"/>
        <w:gridCol w:w="300"/>
        <w:gridCol w:w="812"/>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rTSRUs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months ended December 31, 2025 and 2024, the Company recognized stock-based compensation expense for performance-based stock units for which vesting became probable upon achievement of performance-based targets that occurred during the performance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Company had an aggregate of $27,744 of unrecognized stock-based compensation cost, which is expected to be recognized over a weighted average period of 2.6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160" w:after="120"/>
        <w:jc w:val="left"/>
        <w:rPr>
          <w:rFonts w:ascii="Times New Roman" w:hAnsi="Times New Roman"/>
          <w:sz w:val="20"/>
        </w:rPr>
      </w:pPr>
      <w:r>
        <w:rPr>
          <w:rFonts w:ascii="Times New Roman" w:hAnsi="Times New Roman"/>
          <w:b/>
          <w:color w:val="000000"/>
          <w:sz w:val="20"/>
        </w:rPr>
        <w:t>9.</w:t>
      </w:r>
      <w:r>
        <w:rPr>
          <w:rFonts w:ascii="Times New Roman" w:hAnsi="Times New Roman"/>
          <w:color w:val="000000"/>
          <w:sz w:val="20"/>
        </w:rPr>
        <w:t xml:space="preserve"> </w:t>
      </w:r>
      <w:r>
        <w:rPr>
          <w:rFonts w:ascii="Times New Roman" w:hAnsi="Times New Roman"/>
          <w:b/>
          <w:color w:val="000000"/>
          <w:sz w:val="20"/>
        </w:rPr>
        <w:t>Income Taxes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For the three months ended December 31, 2025 and 2024, the Company recorded an income tax expense of $24 and an income tax benefit of $416, respectively. The income tax benefit for the three months ended December 31, 2024 was primarily due to interest earned on the federal income tax refund. The federal income tax refund of $33,785, inclusive of interest, was received in April 2025.</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4, 2025, the U.S. government enacted the One Big Beautiful Bill Act, which includes several changes to U.S. federal income tax law, including the temporary and permanent extension of expiring provisions of the Tax Cuts and Jobs Act of 2017, such as 100% bonus depreciation and immediate expensing of domestic research and development costs. The new legislation has multiple effective dates, with certain provisions effective in 2025 and others in the future. The Company determined that the legislation does not have a material impact on its condensed consolidated financial statements for the three months ended December 31, 2025 . </w:t>
      </w:r>
    </w:p>
    <w:p>
      <w:pPr>
        <w:pStyle w:val="TextBody"/>
        <w:bidi w:val="0"/>
        <w:spacing w:before="160" w:after="120"/>
        <w:jc w:val="left"/>
        <w:rPr>
          <w:rFonts w:ascii="Times New Roman" w:hAnsi="Times New Roman"/>
          <w:sz w:val="20"/>
        </w:rPr>
      </w:pPr>
      <w:r>
        <w:rPr>
          <w:rFonts w:ascii="Times New Roman" w:hAnsi="Times New Roman"/>
          <w:b/>
          <w:color w:val="000000"/>
          <w:sz w:val="20"/>
        </w:rPr>
        <w:t>10.</w:t>
      </w:r>
      <w:r>
        <w:rPr>
          <w:rFonts w:ascii="Times New Roman" w:hAnsi="Times New Roman"/>
          <w:color w:val="000000"/>
          <w:sz w:val="20"/>
        </w:rPr>
        <w:t xml:space="preserve"> </w:t>
      </w:r>
      <w:r>
        <w:rPr>
          <w:rFonts w:ascii="Times New Roman" w:hAnsi="Times New Roman"/>
          <w:b/>
          <w:color w:val="000000"/>
          <w:sz w:val="20"/>
        </w:rPr>
        <w:t>Commitments and Contingencies</w:t>
      </w:r>
    </w:p>
    <w:p>
      <w:pPr>
        <w:pStyle w:val="TextBody"/>
        <w:bidi w:val="0"/>
        <w:jc w:val="left"/>
        <w:rPr>
          <w:rFonts w:ascii="Times New Roman" w:hAnsi="Times New Roman"/>
          <w:b/>
          <w:color w:val="000000"/>
          <w:sz w:val="20"/>
        </w:rPr>
      </w:pPr>
      <w:r>
        <w:rPr>
          <w:rFonts w:ascii="Times New Roman" w:hAnsi="Times New Roman"/>
          <w:b/>
          <w:color w:val="000000"/>
          <w:sz w:val="20"/>
        </w:rPr>
        <w:t>Litigation and Contingencies Related to Use of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become subject to legal proceedings, claims and litigation arising in the ordinary course of business. Except as described below, the Company currently is not a party to any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2022, the Company announced that it filed suit in the United States District Court for the District of Massachusetts on June 21, 2022 against Pfizer Inc. seeking damages for infringement of U.S. Patent No. 11,358,953 (the “’953 Patent”) in the manufacture, use, and sale of Pfizer’s COVID-19 antiviral, Paxlovid (nirmatrelvir tablets; ritonavir tablets). The United States Patent and Trademark Office awarded the ’953 Patent to the Company in June 2022 based on the Company's July 2020 patent application describing coronavirus protease inhibitors invented by the Company. The Company is seeking fair compensation for Pfizer’s use of a coronavirus protease inhibitor claimed in the ’953 Patent. In May 2024, the Company and Pfizer each filed motions for summary judgment and, on December 23, 2024, the District Court issued a summary judgment decision ruling that the asserted claims of the ’953 Patent were invalid. In its decision, the District Court also denied the Company’s partial motion for summary judgment of infringement as moot in light of its allowance of summary judgment on invalidity. On February 3, 2025, the Company filed a notice of appeal with the United States Court of Appeals for the Federal Circuit. The Company filed its opening brief with the Federal Circuit on March 21, 2025. On May 21, 2025, Pfizer filed its response brief. The Company filed its reply on June 13, 2025. The timing for a decision on the appeal is currently uncertain.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20, 2025, the Company filed a patent infringement action in the Unified Patent Court (UPC) of the European Union against Pfizer Inc. and certain of its subsidiaries. The suit seeks a determination of liability for infringement of European Patent No. EP 4 051 265 (the “’265 Patent”) in connection with Pfizer’s manufacture, use, and sale of Paxlovid (nirmatrelvir tablets; ritonavir tablets) in the 18 EU member states participating in the UPC. The ’265 Patent is the European counterpart to the ‘953 Patent. Under UPC procedures, a hearing on the infringement action is expected within the UPC’s published 12-month target, with a decision rendered within weeks thereafter. If the UPC determines there has been infringement, subsequent proceedings would be required to determine damages. All timelines remain subject to potential rights of appeal and other customary proceedings in European patent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all legal expenses associated with the patent infringement suits as incurred in the consolidated statements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Indemnification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directors’ and officers’ insurance coverage. The Company does not believe that the outcome of any claims under indemnification arrangements will have a material effect on its financial position, results of operations or cash flows, and has not accrued any liabilities related to such obligations in its condensed consolidated financial statements as of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Segment Information</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Company manages its operations as a single operating segment for the purpose of assessing performance and making operating decisions. The Company’s singular focus is on discovering and developing small molecule drugs with an emphasis on virology and immunology indications. The Company’s Chief Operating Decision Maker (“CODM”) is the Company’s Chief Executive Officer (“CEO”). The CODM reviews consolidated operating results and utilizes net loss from the Statement of Operations against budget forecasts as the primary measure of segment profit or loss in making decisions surrounding allocating resources and assessing performance of the Company. The CODM is regularly provided detailed expense information, including expenses by expense category and program. The CODM makes decisions surrounding capital and personnel allocation using this information on a consolidated basis. Asset information on a reportable segment basis is not disclosed as this information is not separately identified and internally reported to the Company’s CODM. The CODM is regularly provided information on total cash, which is inclusive of cash, cash equivalents and short-term and long-term marketable securities, as a measure of segment assets. As of December 31, 2025, the Company’s cash, cash equivalents and short-term and long-term marketable securities were $241,904. The following table presents selected financial information with respect to the Company’s single operating segment for the three months ended December 31, 2025 and 2024 (in thousands):</w:t>
      </w:r>
    </w:p>
    <w:tbl>
      <w:tblPr>
        <w:tblW w:w="6611" w:type="dxa"/>
        <w:jc w:val="left"/>
        <w:tblInd w:w="0" w:type="dxa"/>
        <w:tblLayout w:type="fixed"/>
        <w:tblCellMar>
          <w:top w:w="28" w:type="dxa"/>
          <w:left w:w="28" w:type="dxa"/>
          <w:bottom w:w="28" w:type="dxa"/>
          <w:right w:w="28" w:type="dxa"/>
        </w:tblCellMar>
      </w:tblPr>
      <w:tblGrid>
        <w:gridCol w:w="3236"/>
        <w:gridCol w:w="146"/>
        <w:gridCol w:w="252"/>
        <w:gridCol w:w="881"/>
        <w:gridCol w:w="198"/>
        <w:gridCol w:w="174"/>
        <w:gridCol w:w="252"/>
        <w:gridCol w:w="881"/>
        <w:gridCol w:w="591"/>
      </w:tblGrid>
      <w:tr>
        <w:trPr/>
        <w:tc>
          <w:tcPr>
            <w:tcW w:w="3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18,615</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virology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KIT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MRGPRX2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immunology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Early discovery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programs for out-licensing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(11,253</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investment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(11,938</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10" w:name="item2_mda"/>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the unaudited condensed consolidated financial statements and notes thereto included elsewhere in this Quarterly Report on Form 10-Q, or Form 10-Q, and the audited consolidated financial statements and notes thereto for our fiscal year ended September 30, 2025 included in our Annual Report on Form 10-K for that fiscal year, which is referred to as our 2025 Form 10-K. Please refer to our note regarding forward-looking statements on page 2 of this Form 10-Q, which is incorporated herein by this reference.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Enanta name and logo are our trademarks. This Form 10-Q also includes trademarks, trade names and service marks of other persons. All other trademarks, trade names and service marks appearing in this Form 10-Q are the property of their respective owners.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biotechnology company that uses our robust, chemistry-driven approach and drug discovery capabilities to discover and develop small molecule drugs for virology and immunology indications.</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Virology:</w:t>
      </w:r>
    </w:p>
    <w:p>
      <w:pPr>
        <w:pStyle w:val="TextBody"/>
        <w:bidi w:val="0"/>
        <w:spacing w:before="120" w:after="283"/>
        <w:jc w:val="left"/>
        <w:rPr>
          <w:rFonts w:ascii="Times New Roman" w:hAnsi="Times New Roman"/>
          <w:sz w:val="20"/>
        </w:rPr>
      </w:pPr>
      <w:r>
        <w:rPr>
          <w:rFonts w:ascii="Times New Roman" w:hAnsi="Times New Roman"/>
          <w:color w:val="000000"/>
          <w:sz w:val="20"/>
        </w:rPr>
        <w:t>We discovered glecaprevir, the second of two antiviral protease inhibitors developed through our collaboration with AbbVie for the treatment of acute or chronic infection with hepatitis C virus, or HCV. Glecaprevir is co-formulated as part of AbbVie’s leading brand of direct-acting antiviral, or DAA, combination treatment for HCV, which has been marketed under the tradenames MAVYRET</w:t>
      </w:r>
      <w:r>
        <w:rPr>
          <w:rFonts w:ascii="Times New Roman" w:hAnsi="Times New Roman"/>
          <w:color w:val="000000"/>
          <w:sz w:val="13"/>
        </w:rPr>
        <w:t xml:space="preserve">® </w:t>
      </w:r>
      <w:r>
        <w:rPr>
          <w:rFonts w:ascii="Times New Roman" w:hAnsi="Times New Roman"/>
          <w:color w:val="000000"/>
          <w:sz w:val="20"/>
        </w:rPr>
        <w:t>(U.S.) and MAVIRET</w:t>
      </w:r>
      <w:r>
        <w:rPr>
          <w:rFonts w:ascii="Times New Roman" w:hAnsi="Times New Roman"/>
          <w:color w:val="000000"/>
          <w:sz w:val="13"/>
        </w:rPr>
        <w:t>®</w:t>
      </w:r>
      <w:r>
        <w:rPr>
          <w:rFonts w:ascii="Times New Roman" w:hAnsi="Times New Roman"/>
          <w:color w:val="000000"/>
          <w:sz w:val="20"/>
        </w:rPr>
        <w:t xml:space="preserve"> (ex-U.S.) (glecaprevir/pibrentasvir) since 2017 for the treatment of chronic HCV. MAVYRET</w:t>
      </w:r>
      <w:r>
        <w:rPr>
          <w:rFonts w:ascii="Times New Roman" w:hAnsi="Times New Roman"/>
          <w:color w:val="000000"/>
          <w:sz w:val="13"/>
        </w:rPr>
        <w:t xml:space="preserve">® </w:t>
      </w:r>
      <w:r>
        <w:rPr>
          <w:rFonts w:ascii="Times New Roman" w:hAnsi="Times New Roman"/>
          <w:color w:val="000000"/>
          <w:sz w:val="20"/>
        </w:rPr>
        <w:t xml:space="preserve">was also approved as the first and only treatment for acute HCV infection in June 2025.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active development programs in virology are focused on respiratory syncytial virus, or RSV, the most common cause of bronchiolitis and pneumonia and a leading cause of U.S. hospitalization in young children and a significant cause of respiratory illness in older adults. Populations at high risk for severe RSV infection include infants and young children, adults older than 65 years of age, and those with comorbidities such as chronic heart or lung disease. Recent CDC estimates suggest a significant RSV burden in the U.S., with up to 6.5 million outpatient visits, 350,000 hospitalizations and 23,000 deaths annually.</w:t>
      </w:r>
    </w:p>
    <w:p>
      <w:pPr>
        <w:pStyle w:val="TextBody"/>
        <w:bidi w:val="0"/>
        <w:jc w:val="left"/>
        <w:rPr>
          <w:rFonts w:ascii="Times New Roman" w:hAnsi="Times New Roman"/>
          <w:color w:val="000000"/>
          <w:sz w:val="20"/>
        </w:rPr>
      </w:pPr>
      <w:r>
        <w:rPr>
          <w:rFonts w:ascii="Times New Roman" w:hAnsi="Times New Roman"/>
          <w:color w:val="000000"/>
          <w:sz w:val="20"/>
        </w:rPr>
        <w:t>We also have clinical-stage programs in virology for SARS-CoV-2, the virus that causes COVID-19, and Hepatitis B virus, or HBV, the most prevalent chronic hepatitis.</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Immunology: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immunology, we are designing and developing highly potent and selective, oral small molecule inhibitors for the treatment of type 2 inflammatory disease by targeting key mechanisms of the immune response. An overactive response is a primary driver of a number of inflammatory diseases for which there is an enduring unmet need including atopic dermatitis, or AD, urticarias, asthma, prurigo nodularis, or PN, chronic rhinosinusitis with nasal polyps, or CRSwNP, as well as some forms of chronic obstructive pulmonary disease, or COPD, and other conditions. Based on industry reports, by 2030 the market is projected to be approximately $5 billion for urticaria, $30 billion for AD and $35 billion for the combined market of asthma, COPD, CRSwNP, and PN.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initial immunology targets involve the following mechanisms of immune response: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KIT, a receptor tyrosine kinase, critical for regulating mast cell survival and activation, including release of potent inflammatory mediators such as histamine, which is a primary driver of inflammation and implicated in multiple allergic diseases;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STAT6, a transcription factor uniquely responsible for interleukin-4, or IL-4, and interleukin-13, or IL-13, cell signaling, which drives a type 2 dominant phenotype and downstream inflammation;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MRGPRX2, a non-canonical G-Protein-Coupled-Receptor (GPCR) expressed predominantly on mast cells, which upon activation triggers degranulation and release of inflammation mediating components, leading to an inflammatory response that is a driver in multiple allergic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mechanisms are implicated, along with others, in several diseases, and it is not uncommon for an efficacious treatment for one disease to be tested and approved for other immunology indications. In addition, these mechanisms are orthogonal approaches that may provide additive or complementary benefit if used in combination. We currently plan to focus our initial immunology drug development, proof-of-concept efforts on the following disease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Urticaria, including chronic spontaneous urticaria, or CSU, a severely debilitating, chronic inflammatory skin disease manifested by hives, angioedema, which is swelling of soft tissues, or both, but with no identified triggers, which has an estimated global prevalence of between 0.5% – 1% of the population, resulting in approximately 1.75–3.5 million people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this condition at any given time in the U.S. alone or chronic inducible urticaria (CIndU) of various forms with a variety of known triggers;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Atopic dermatitis, or AD, a chronic dermatological disease characterized by dry, red, inflamed, irritated and itchy skin with significant quality of life impacts such as leading a limited lifestyle, avoidance of social interactions and a reduced range of activities, with AD affecting 7.3% of the US adult population, of whom approximately 40% have moderate to severe disease.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2025, we had $241.9 million in cash, cash equivalents and short-term and long-term marketable securities. Based on our operating plan, we believe that our existing cash, cash equivalents and short-term and long-term marketable securities as of December 31, 2025, as well as the cash flows from our retained portion of future HCV royalties, will enable us to fund our operating expenses and capital expenditure requirements into fiscal 2029.</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Wholly-Owned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of our development programs are wholly-owned, including our RSV and immunology programs. </w:t>
      </w:r>
    </w:p>
    <w:p>
      <w:pPr>
        <w:pStyle w:val="TextBody"/>
        <w:bidi w:val="0"/>
        <w:spacing w:before="120" w:after="283"/>
        <w:jc w:val="left"/>
        <w:rPr>
          <w:rFonts w:ascii="Times New Roman" w:hAnsi="Times New Roman"/>
          <w:sz w:val="20"/>
        </w:rPr>
      </w:pPr>
      <w:r>
        <w:rPr>
          <w:rFonts w:ascii="Times New Roman" w:hAnsi="Times New Roman"/>
          <w:b/>
          <w:color w:val="000000"/>
          <w:sz w:val="20"/>
        </w:rPr>
        <w:t>RSV</w:t>
      </w:r>
      <w:r>
        <w:rPr>
          <w:rFonts w:ascii="Times New Roman" w:hAnsi="Times New Roman"/>
          <w:color w:val="000000"/>
          <w:sz w:val="20"/>
        </w:rPr>
        <w:t>. We have two clinical stage candidates for RSV – zelicapavir (formerly EDP-938) and EDP-323. Both candidates inhibit viral replication and the production of new virions. These clinical candidates differ from fusion inhibitors, which act only at viral entry. Zelicapavir, which has Fast Track designation from the U.S. Food and Drug Administration, or FDA, is a potent inhibitor of the RSV N-protein. EDP-323, which also has a Fast Track designation from the FDA, is an inhibitor of the RSV L-protein.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u w:val="single"/>
        </w:rPr>
        <w:t>Zelicapavir - N-protein Inhibitor Candidate:</w:t>
      </w:r>
      <w:r>
        <w:rPr>
          <w:color w:val="000000"/>
        </w:rPr>
        <w:t xml:space="preserve"> </w:t>
      </w:r>
      <w:r>
        <w:rPr>
          <w:rFonts w:ascii="Times New Roman" w:hAnsi="Times New Roman"/>
          <w:color w:val="000000"/>
          <w:sz w:val="20"/>
        </w:rPr>
        <w:t>Zelicapavir, a once-daily, oral, direct-acting antiviral selectively targeting the N-protein, has demonstrated statistically significant reductions in RSV viral load and symptoms in a Phase 2 human challenge model clinical study. We believe that zelicapavir has the greatest potential to show optimal efficacy in high-risk populations since these patients have reduced RSV immunity or other comorbidities, which manifest in a higher and longer duration of viral replication and greater disease severity, allowing a bigger window to realize the full potential of zelicapavir. Our development program is focused on evaluating zelicapavir in high-risk populations, including high-risk adults and pediatric patients, all of which have significant unmet need: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i/>
          <w:color w:val="000000"/>
          <w:sz w:val="20"/>
          <w:u w:val="single"/>
        </w:rPr>
        <w:t>High-Risk Adults Study of Zelicapavir</w:t>
      </w:r>
      <w:r>
        <w:rPr>
          <w:rFonts w:ascii="Times New Roman" w:hAnsi="Times New Roman"/>
          <w:i/>
          <w:color w:val="000000"/>
          <w:sz w:val="20"/>
        </w:rPr>
        <w:t xml:space="preserve">. </w:t>
      </w:r>
      <w:r>
        <w:rPr>
          <w:rFonts w:ascii="Times New Roman" w:hAnsi="Times New Roman"/>
          <w:color w:val="000000"/>
          <w:sz w:val="20"/>
        </w:rPr>
        <w:t>In September 2025, we announced positive topline results from a Phase 2b randomized, double-blind, placebo-controlled study evaluating zelicapavir in high-risk adults with RSV, including those who are older than 65 years of age and those who have asthma, chronic obstructive pulmonary disease, or congestive heart failure.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120"/>
        <w:jc w:val="left"/>
        <w:rPr/>
      </w:pPr>
      <w:r>
        <w:rPr>
          <w:rFonts w:ascii="Times New Roman" w:hAnsi="Times New Roman"/>
          <w:i/>
          <w:color w:val="000000"/>
          <w:sz w:val="20"/>
          <w:u w:val="single"/>
        </w:rPr>
        <w:t>Pediatric Study of Zelicapavir</w:t>
      </w:r>
      <w:r>
        <w:rPr>
          <w:rFonts w:ascii="Times New Roman" w:hAnsi="Times New Roman"/>
          <w:i/>
          <w:color w:val="000000"/>
          <w:sz w:val="20"/>
        </w:rPr>
        <w:t xml:space="preserve">. </w:t>
      </w:r>
      <w:r>
        <w:rPr>
          <w:rFonts w:ascii="Times New Roman" w:hAnsi="Times New Roman"/>
          <w:color w:val="000000"/>
          <w:sz w:val="20"/>
        </w:rPr>
        <w:t xml:space="preserve">In December 2024, we announced positive topline results from the first-in-pediatrics Phase 2 randomized, double-blind, placebo-controlled study evaluating zelicapavir in hospitalized and non-hospitalized children aged 28 days to 36 months with RSV. </w:t>
      </w:r>
    </w:p>
    <w:p>
      <w:pPr>
        <w:pStyle w:val="TextBody"/>
        <w:bidi w:val="0"/>
        <w:jc w:val="left"/>
        <w:rPr>
          <w:rFonts w:ascii="Times New Roman" w:hAnsi="Times New Roman"/>
          <w:color w:val="000000"/>
          <w:sz w:val="20"/>
        </w:rPr>
      </w:pPr>
      <w:r>
        <w:rPr>
          <w:rFonts w:ascii="Times New Roman" w:hAnsi="Times New Roman"/>
          <w:color w:val="000000"/>
          <w:sz w:val="20"/>
        </w:rPr>
        <w:t>In these Phase 2 clinical studies, zelicapavir has demonstrated a favorable safety profile, consistent with that observed in over 700 subjects exposed to zelicapavir to date, as well as antiviral activity and reductions in symptom duration. We are continuing to conduct Phase 3 enabling activities for zelicapavir, with the goal of aligning with the FDA in the second quarter of 2026 on an adult Phase 3 trial design and overall registration path. In parallel, we are exploring potential business development opportunities to advance our RSV programs to the next stage of clinical development.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u w:val="single"/>
        </w:rPr>
        <w:t>EDP-323 - L-protein Inhibitor Candidate:</w:t>
      </w:r>
      <w:r>
        <w:rPr>
          <w:color w:val="000000"/>
        </w:rPr>
        <w:t xml:space="preserve"> </w:t>
      </w:r>
      <w:r>
        <w:rPr>
          <w:rFonts w:ascii="Times New Roman" w:hAnsi="Times New Roman"/>
          <w:color w:val="000000"/>
          <w:sz w:val="20"/>
        </w:rPr>
        <w:t xml:space="preserve">Our second clinical RSV candidate, EDP-323, is an oral, once-daily, direct-acting antiviral selectively targeting the RSV L-protein, a viral RNA-dependent RNA polymerase enzyme that contains multiple enzymatic activities required for RSV replication. EDP-323 has sub-nanomolar potency </w:t>
      </w:r>
      <w:r>
        <w:rPr>
          <w:rFonts w:ascii="Times New Roman" w:hAnsi="Times New Roman"/>
          <w:i/>
          <w:color w:val="000000"/>
          <w:sz w:val="20"/>
        </w:rPr>
        <w:t>in vitro</w:t>
      </w:r>
      <w:r>
        <w:rPr>
          <w:color w:val="000000"/>
        </w:rPr>
        <w:t xml:space="preserve"> </w:t>
      </w:r>
      <w:r>
        <w:rPr>
          <w:rFonts w:ascii="Times New Roman" w:hAnsi="Times New Roman"/>
          <w:color w:val="000000"/>
          <w:sz w:val="20"/>
        </w:rPr>
        <w:t xml:space="preserve">and protected mice from RSV infection in a dose-dependent manner as demonstrated by both virological and pathological endpoints. EDP-323 is not expected to have cross-resistance to other classes of inhibitors and has the potential to be used alone, or in combination with other RSV mechanisms, to broaden the treatment window or addressable patient populations.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i/>
          <w:color w:val="000000"/>
          <w:sz w:val="20"/>
          <w:u w:val="single"/>
        </w:rPr>
        <w:t>Phase 2a Study of EDP-323</w:t>
      </w:r>
      <w:r>
        <w:rPr>
          <w:rFonts w:ascii="Times New Roman" w:hAnsi="Times New Roman"/>
          <w:color w:val="000000"/>
          <w:sz w:val="20"/>
        </w:rPr>
        <w:t>. In September 2024, we announced positive topline results for EDP-323 in a Phase 2a challenge study of healthy adults infected with RSV, which demonstrated statistically significant reductions in RSV viral load and symptoms. In addition, a post-exposure prophylaxis analysis was performed in subjects who were not infected by Day 5 after RSV exposure. The data showed the potential for EDP-323 to be effective in preventing RSV infection when initiated up to five days after RSV exposure.</w:t>
      </w:r>
    </w:p>
    <w:p>
      <w:pPr>
        <w:pStyle w:val="TextBody"/>
        <w:bidi w:val="0"/>
        <w:spacing w:before="120" w:after="283"/>
        <w:jc w:val="left"/>
        <w:rPr>
          <w:rFonts w:ascii="Times New Roman" w:hAnsi="Times New Roman"/>
          <w:sz w:val="20"/>
        </w:rPr>
      </w:pPr>
      <w:r>
        <w:rPr>
          <w:rFonts w:ascii="Times New Roman" w:hAnsi="Times New Roman"/>
          <w:b/>
          <w:color w:val="000000"/>
          <w:sz w:val="20"/>
        </w:rPr>
        <w:t>Immunology</w:t>
      </w:r>
      <w:r>
        <w:rPr>
          <w:rFonts w:ascii="Times New Roman" w:hAnsi="Times New Roman"/>
          <w:color w:val="000000"/>
          <w:sz w:val="20"/>
        </w:rPr>
        <w:t>. We are leveraging our expertise in developing small molecule inhibitors to design and develop highly potent and selective oral medicines targeting the following mechanisms of immune response: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KIT Inhibitors</w:t>
      </w:r>
      <w:r>
        <w:rPr>
          <w:rFonts w:ascii="Times New Roman" w:hAnsi="Times New Roman"/>
          <w:color w:val="000000"/>
          <w:sz w:val="20"/>
        </w:rPr>
        <w:t xml:space="preserve">. We have a preclinical-stage program to develop oral KIT inhibitors for the treatment of CSU and potentially other mast cell-associated indications by depleting mast cells, thereby addressing a primary driver of these diseases. We have selected EDP-978 as our clinical candidate. EDP-978 demonstrates potent nanomolar activity in both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120" w:after="283"/>
        <w:jc w:val="left"/>
        <w:rPr/>
      </w:pPr>
      <w:r>
        <w:rPr>
          <w:rFonts w:ascii="Times New Roman" w:hAnsi="Times New Roman"/>
          <w:color w:val="000000"/>
          <w:sz w:val="20"/>
        </w:rPr>
        <w:t xml:space="preserve">binding and cellular function assays, sub-nanomolar activity </w:t>
      </w:r>
      <w:r>
        <w:rPr>
          <w:rFonts w:ascii="Times New Roman" w:hAnsi="Times New Roman"/>
          <w:i/>
          <w:color w:val="000000"/>
          <w:sz w:val="20"/>
        </w:rPr>
        <w:t>in vivo</w:t>
      </w:r>
      <w:r>
        <w:rPr>
          <w:rFonts w:ascii="Times New Roman" w:hAnsi="Times New Roman"/>
          <w:color w:val="000000"/>
          <w:sz w:val="20"/>
        </w:rPr>
        <w:t xml:space="preserve">, and high selectivity for KIT versus other kinases. EDP-978 also demonstrates strong </w:t>
      </w:r>
      <w:r>
        <w:rPr>
          <w:rFonts w:ascii="Times New Roman" w:hAnsi="Times New Roman"/>
          <w:i/>
          <w:color w:val="000000"/>
          <w:sz w:val="20"/>
        </w:rPr>
        <w:t>in vitro</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in vivo</w:t>
      </w:r>
      <w:r>
        <w:rPr>
          <w:color w:val="000000"/>
        </w:rPr>
        <w:t xml:space="preserve"> </w:t>
      </w:r>
      <w:r>
        <w:rPr>
          <w:rFonts w:ascii="Times New Roman" w:hAnsi="Times New Roman"/>
          <w:color w:val="000000"/>
          <w:sz w:val="20"/>
        </w:rPr>
        <w:t>absorption, distribution, metabolism and excretion, or ADME, properties, supporting once-daily dosing. We are on track to file an Investigational New Drug application, or IND, for this program in the first quarter of 2026, with topline Phase 1 data expected in the fourth quarter of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STAT6 Inhibitors</w:t>
      </w:r>
      <w:r>
        <w:rPr>
          <w:rFonts w:ascii="Times New Roman" w:hAnsi="Times New Roman"/>
          <w:color w:val="000000"/>
          <w:sz w:val="20"/>
        </w:rPr>
        <w:t xml:space="preserve">. We have a preclinical stage program to develop oral inhibitors of the signal transducer and activator of transcription 6 transcription factor, known as STAT6, for the treatment of type 2 immune-driven diseases. STAT6 is responsible for IL-4/IL-13 signaling, the pathway targeted by dupilumab, an IL-4 and IL-13 monoclonal antibody marketed as DUPIXENT®. We are initially focusing on AD for a proof-of-concept clinical study, and subsequently other indications where dupilumab is approved or has shown clinical activity. EPS-3903 is our lead development candidate, which has demonstrated nanomolar potency in both binding and cellular assays and is highly selective for STAT6 versus other STATs. EPS-3903 results in a rapid, continuous and complete (&gt;90%) inhibition of phosphorylated STAT6 after oral dosing in mice. Importantly, EPS-3903 shows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efficacy comparable to dupilumab, or an anti-mouse IL-4/IL-13 antibody, in multiple disease models of asthma (ovalbumin, house dust mite) and AD (MC903). EPS-3903 displays favorable </w:t>
      </w:r>
      <w:r>
        <w:rPr>
          <w:rFonts w:ascii="Times New Roman" w:hAnsi="Times New Roman"/>
          <w:i/>
          <w:color w:val="000000"/>
          <w:sz w:val="20"/>
        </w:rPr>
        <w:t>in vitro</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in vivo</w:t>
      </w:r>
      <w:r>
        <w:rPr>
          <w:color w:val="000000"/>
        </w:rPr>
        <w:t xml:space="preserve"> </w:t>
      </w:r>
      <w:r>
        <w:rPr>
          <w:rFonts w:ascii="Times New Roman" w:hAnsi="Times New Roman"/>
          <w:color w:val="000000"/>
          <w:sz w:val="20"/>
        </w:rPr>
        <w:t>ADME properties, supportive of once-daily dosing potential. We are currently performing scale-up and IND enabling activities and are on track to file an IND in the second half of 2026.</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MRGPRX2 Inhibitors</w:t>
      </w:r>
      <w:r>
        <w:rPr>
          <w:rFonts w:ascii="Times New Roman" w:hAnsi="Times New Roman"/>
          <w:color w:val="000000"/>
          <w:sz w:val="20"/>
        </w:rPr>
        <w:t xml:space="preserve">. In January 2026, we announced a preclinical program targeting MRGPRX2, a non-canonical G protein-coupled receptor, or GPCR, expressed predominantly on mast cells, for the treatment of type 2 immune driven diseases. MRGPRX2 inhibitors act through non-depleting mast cell modulation, including IgE-independent pathways, and may have the potential to address multiple chronic inflammatory diseases, including urticaria, asthma, prurigo nodularis and others, with strong efficacy and a best-in-disease safety profile. Currently, our prototype inhibitors demonstrate MRGPRX2 inhibition with nanomolar potency (EC50 of 1-2nM) in cellular assays and prevent skin mast cell activation in humanized MRGPRX2 mouse models. Further, our prototype inhibitors show potent activity across multiple MRGPRX2 agonists, with high selectivity for MRGPRX2 versus other GPCRs. These prototypes also demonstrate favorable </w:t>
      </w:r>
      <w:r>
        <w:rPr>
          <w:rFonts w:ascii="Times New Roman" w:hAnsi="Times New Roman"/>
          <w:i/>
          <w:color w:val="000000"/>
          <w:sz w:val="20"/>
        </w:rPr>
        <w:t>in vitro</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in vivo</w:t>
      </w:r>
      <w:r>
        <w:rPr>
          <w:color w:val="000000"/>
        </w:rPr>
        <w:t xml:space="preserve"> </w:t>
      </w:r>
      <w:r>
        <w:rPr>
          <w:rFonts w:ascii="Times New Roman" w:hAnsi="Times New Roman"/>
          <w:color w:val="000000"/>
          <w:sz w:val="20"/>
        </w:rPr>
        <w:t>ADME properties, supportive of once-daily dosing potential. We are continuing to evaluate multiple compounds in preclinical studies and expect to select a development candidate in the second half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utilized our internal chemistry and drug discovery capabilities to generate all of our development-stage programs. We continue to invest substantial resources in research programs to discover compounds targeting new disease areas.</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product development pipeline in our virology and immunology programs:</w:t>
      </w:r>
    </w:p>
    <w:p>
      <w:pPr>
        <w:pStyle w:val="TextBody"/>
        <w:bidi w:val="0"/>
        <w:jc w:val="left"/>
        <w:rPr/>
      </w:pPr>
      <w:r>
        <w:rPr/>
        <w:t> </w:t>
      </w:r>
    </w:p>
    <w:p>
      <w:pPr>
        <w:pStyle w:val="TextBody"/>
        <w:bidi w:val="0"/>
        <w:jc w:val="left"/>
        <w:rPr/>
      </w:pPr>
      <w:r>
        <w:rPr/>
        <w:drawing>
          <wp:inline distT="0" distB="0" distL="0" distR="0">
            <wp:extent cx="6858000" cy="3000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000375"/>
                    </a:xfrm>
                    <a:prstGeom prst="rect">
                      <a:avLst/>
                    </a:prstGeom>
                  </pic:spPr>
                </pic:pic>
              </a:graphicData>
            </a:graphic>
          </wp:inline>
        </w:drawing>
      </w:r>
    </w:p>
    <w:p>
      <w:pPr>
        <w:pStyle w:val="TextBody"/>
        <w:bidi w:val="0"/>
        <w:jc w:val="left"/>
        <w:rPr>
          <w:rFonts w:ascii="Times New Roman" w:hAnsi="Times New Roman"/>
          <w:sz w:val="20"/>
        </w:rPr>
      </w:pPr>
      <w:r>
        <w:rPr>
          <w:rFonts w:ascii="Times New Roman" w:hAnsi="Times New Roman"/>
          <w:color w:val="000000"/>
          <w:sz w:val="15"/>
        </w:rPr>
        <w:t>*Fixed-dose antiviral combination contains glecaprevir and AbbVie's NS5A inhibitor, pibrentasvir. Marketed by AbbVie as MAVYRET® (U.S.) and MAVIRET® (ex-U.S.).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5"/>
        </w:rPr>
        <w:t>**Continued development dependent on a future collaboration.</w:t>
      </w:r>
      <w:r>
        <w:rPr>
          <w:rFonts w:ascii="Times New Roman" w:hAnsi="Times New Roman"/>
          <w:color w:val="000000"/>
          <w:sz w:val="20"/>
        </w:rPr>
        <w:t xml:space="preserve"> </w:t>
      </w:r>
    </w:p>
    <w:p>
      <w:pPr>
        <w:pStyle w:val="TextBody"/>
        <w:bidi w:val="0"/>
        <w:jc w:val="left"/>
        <w:rPr>
          <w:rFonts w:ascii="Times New Roman" w:hAnsi="Times New Roman"/>
          <w:color w:val="000000"/>
          <w:sz w:val="15"/>
        </w:rPr>
      </w:pPr>
      <w:r>
        <w:rPr>
          <w:rFonts w:ascii="Times New Roman" w:hAnsi="Times New Roman"/>
          <w:color w:val="000000"/>
          <w:sz w:val="15"/>
        </w:rPr>
        <w:t>***Initial indications. Potential future indications include asthma, chronic inducible urticaria (CIndU), eosinophilic esophagitis (EoE); prurigo nodularis (PN), migraine and others.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Royalty Revenue Collaboration and Royalty Sale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royalty revenue is generated through our Collaborative Development and License Agreement with AbbVie, under which we have discovered and out-licensed to AbbVie two protease inhibitor compounds that have been clinically tested, manufactured, and commercialized by AbbVie as part of its combination regimens for HCV. </w:t>
      </w:r>
    </w:p>
    <w:p>
      <w:pPr>
        <w:pStyle w:val="TextBody"/>
        <w:bidi w:val="0"/>
        <w:spacing w:before="120" w:after="283"/>
        <w:jc w:val="left"/>
        <w:rPr>
          <w:rFonts w:ascii="Times New Roman" w:hAnsi="Times New Roman"/>
          <w:sz w:val="20"/>
        </w:rPr>
      </w:pPr>
      <w:r>
        <w:rPr>
          <w:rFonts w:ascii="Times New Roman" w:hAnsi="Times New Roman"/>
          <w:color w:val="000000"/>
          <w:sz w:val="20"/>
        </w:rPr>
        <w:t>Glecaprevir is the HCV protease inhibitor we discovered that was developed by AbbVie in a fixed-dose combination with its NS5A inhibitor, pibrentasvir, for the treatment of chronic HCV. In June 2025 it was also approved by the FDA as the first and only treatment for acute HCV infection. This patented combination, currently marketed under the brand names MAVYRET</w:t>
      </w:r>
      <w:r>
        <w:rPr>
          <w:rFonts w:ascii="Times New Roman" w:hAnsi="Times New Roman"/>
          <w:color w:val="000000"/>
          <w:sz w:val="13"/>
        </w:rPr>
        <w:t>®</w:t>
      </w:r>
      <w:r>
        <w:rPr>
          <w:rFonts w:ascii="Times New Roman" w:hAnsi="Times New Roman"/>
          <w:color w:val="000000"/>
          <w:sz w:val="20"/>
        </w:rPr>
        <w:t xml:space="preserve"> (U.S.) and MAVIRET</w:t>
      </w:r>
      <w:r>
        <w:rPr>
          <w:rFonts w:ascii="Times New Roman" w:hAnsi="Times New Roman"/>
          <w:color w:val="000000"/>
          <w:sz w:val="13"/>
        </w:rPr>
        <w:t>®</w:t>
      </w:r>
      <w:r>
        <w:rPr>
          <w:rFonts w:ascii="Times New Roman" w:hAnsi="Times New Roman"/>
          <w:color w:val="000000"/>
          <w:sz w:val="20"/>
        </w:rPr>
        <w:t xml:space="preserve"> (ex-U.S.), is referred to in this report as MAVYRET/MAVIRET. The first protease inhibitor developed through this collaboration, paritaprevir, is part of AbbVie’s initial HCV regimens, which have been almost entirely replaced by MAVYRET/MAVIRET. Since August 2017, substantially all of our royalty revenue has been derived from AbbVie’s net sales of MAVYRET/MAVIRET. Our ongoing royalty revenues from this regimen consist of annually tiered, double-digit, per-product royalties on 50% of the calendar year net sales of the glecaprevir/pibrentasvir combination in MAVYRET/MAVIRET. The annual royalty tiers return to the lowest tier for sales on and after each January 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2023, we entered into a royalty sale agreement with an affiliate of OMERS, a Canadian public employee pension fund, pursuant to which we were paid a $200.0 million cash purchase price in exchange for 54.5% of our future quarterly royalty payments on net sales of MAVYRET/MAVIRET, after June 30, 2023, through June 30, 2032, subject to a cap on aggregate payments to OMERS equal to 1.42 times the purchase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accounting purposes, we continue to record 100% of HCV royalties earned under the AbbVie agreement as royalty revenue in our consolidated statements of operations. The $200.0 million received in April 2023 was recognized on our condensed consolidated balance sheets as a liability, which will be reduced by the payments made to OMERS over the term of the Agreement. We recognize imputed interest expense over the life of the royalty sale agreement based on our estimated future MAVYRET/MAVIRET royalties.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currently funding all research and development for our wholly-owned programs, which are targeted toward the discovery and development of novel compounds. We completed two Phase 2b studies of zelicapavir and a Phase 2a human challenge study of EDP-323, both of which are in our virology program. We also are conducting preclinical discovery research efforts in immunology.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timing of our clinical and preclinical development programs, we expect our research and development expenses will fluctuate from period to period. However, in the next 12 months, we expect our external research and development expenses generally to decrease since we have completed our Phase 2 studies of zelicapavir and EDP-323 and we are exploring potential business development opportunities for the RSV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funded our operations primarily through royalty payments received under our collaboration agreement with AbbVie, a $200.0 million payment received in April 2023 from our royalty sale agreement and our existing cash, cash equivalents and short-term and long-term marketable securities. Based on our operating plan, we believe that our existing cash, cash equivalents and short-term and long-term marketable securities, as well as the cash flows from our retained portion of future HCV royalties, will enable us to fund our operating expenses and capital expenditure requirements into fiscal 2029.</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 is primarily derived from our collaboration agreement with AbbVie and AbbVie’s sales of MAVYRET/MAVIRET, an 8-week treatment regimen for acute or chronic HCV.</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is a summary of revenue recognized for the three months ended December 31, 2025 and 2024:</w:t>
      </w:r>
    </w:p>
    <w:tbl>
      <w:tblPr>
        <w:tblW w:w="4792" w:type="dxa"/>
        <w:jc w:val="left"/>
        <w:tblInd w:w="0" w:type="dxa"/>
        <w:tblLayout w:type="fixed"/>
        <w:tblCellMar>
          <w:top w:w="28" w:type="dxa"/>
          <w:left w:w="28" w:type="dxa"/>
          <w:bottom w:w="28" w:type="dxa"/>
          <w:right w:w="28" w:type="dxa"/>
        </w:tblCellMar>
      </w:tblPr>
      <w:tblGrid>
        <w:gridCol w:w="1571"/>
        <w:gridCol w:w="146"/>
        <w:gridCol w:w="269"/>
        <w:gridCol w:w="864"/>
        <w:gridCol w:w="186"/>
        <w:gridCol w:w="186"/>
        <w:gridCol w:w="269"/>
        <w:gridCol w:w="864"/>
        <w:gridCol w:w="146"/>
        <w:gridCol w:w="291"/>
      </w:tblGrid>
      <w:tr>
        <w:trPr/>
        <w:tc>
          <w:tcPr>
            <w:tcW w:w="1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5"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Royalty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18,615</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18,615</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As disclosed above regarding our OMERS royalty sale agreement, we only retain 45.5% of the cash payments from royalties on net sales of MAVYRET/MAVIRET occurring after June 30, 2023 through June 30, 2032, subject to a cap on aggregate payments to OMERS equal to 1.42 times OMERS’ purchase price.</w:t>
      </w:r>
    </w:p>
    <w:p>
      <w:pPr>
        <w:pStyle w:val="TextBody"/>
        <w:bidi w:val="0"/>
        <w:spacing w:before="120" w:after="12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Internal Programs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our internal product candidates are currently in preclinical or Phase 2 clinical development, we have not generated any revenue from our own product sales. We do not expect to generate any revenue from product sales derived from these product candidates for at least the next several years.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operating expenses are comprised of research and development expenses and general and administrative expenses. </w:t>
      </w:r>
    </w:p>
    <w:p>
      <w:pPr>
        <w:pStyle w:val="TextBody"/>
        <w:bidi w:val="0"/>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contract costs relating to research, formulation, manufacturing, preclinical study, and clinical trial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 costs, including salaries, related benefits, and stock-based compensation for employees engaged in scientific research and development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allocated facility-related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laboratory consumables;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license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any given time, we have later stage programs in clinical development as well as several active early-stage research and drug discovery projects. Our internal resources, employees and infrastructure are utilized across multiple projects, including our early-stage discovery projects. As such, we report information regarding costs incurred based on our programs (i.e., disease area) rather than on a project specific basis. All indirect costs are allocated to programs based on headcount and square footage of our facilities. We expect that our research and development expenses will fluctuate from period to period as we advance our research and development programs. However, in the next 12 months, we expect our external research and development expenses generally to decrease since we have completed our Phase 2 studies of zelicapavir and EDP-323 and we are exploring potential business development opportunities for our RSV programs. To date, we have not identified any significant impact of inflation on spending in research and development, but it is uncertain whether there will be inflationary impacts in future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drug discovery and development programs are in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allocated facility-related costs not otherwise included in research and development expenses, directors’ and officers’ liability insurance premiums, professional fees for auditing, tax, and legal services, patent expenses and litigation expenses associated with prosecuting our patent infringement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general and administrative expenses may increase in the long term. To date we have not experienced a significant impact of inflation on general and administrative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(expense) consists of interest expense, interest and investment income, net and the change in fair value of our outstanding Series 1 nonconvertible preferred stock. Interest expense consists of the interest expense and amortization of debt issuance costs associated with the royalty sale agreement with an affiliate of OMERS. Interest income consists of interest earned on our cash equivalents and marketable securities balances. Investment income consists of the amortization or accretion of any purchased premium or discount, respectively, on our marketable securities. The change in fair value of our Series 1 nonconvertible preferred stock relates to the remeasurement of these financial instruments from period to period as these instruments may require a transfer of assets because of the liquidation preference features of the underlying instrument.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Income Tax (Expense)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benefit is based on our best estimate of taxable net income (loss), applicable income tax rates, net research and development tax credits and carryforwards, net operating loss carrybacks and interest earned on such refunds, changes in valuation allowance estimates and deferred income taxes.</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Comparison of the Three Months Ended December 31, 2025 and 2024</w:t>
      </w:r>
    </w:p>
    <w:tbl>
      <w:tblPr>
        <w:tblW w:w="5996" w:type="dxa"/>
        <w:jc w:val="left"/>
        <w:tblInd w:w="0" w:type="dxa"/>
        <w:tblLayout w:type="fixed"/>
        <w:tblCellMar>
          <w:top w:w="28" w:type="dxa"/>
          <w:left w:w="28" w:type="dxa"/>
          <w:bottom w:w="28" w:type="dxa"/>
          <w:right w:w="28" w:type="dxa"/>
        </w:tblCellMar>
      </w:tblPr>
      <w:tblGrid>
        <w:gridCol w:w="3001"/>
        <w:gridCol w:w="146"/>
        <w:gridCol w:w="252"/>
        <w:gridCol w:w="881"/>
        <w:gridCol w:w="198"/>
        <w:gridCol w:w="174"/>
        <w:gridCol w:w="252"/>
        <w:gridCol w:w="881"/>
        <w:gridCol w:w="21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investment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(11,938</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Revenue</w:t>
      </w:r>
    </w:p>
    <w:p>
      <w:pPr>
        <w:pStyle w:val="TextBody"/>
        <w:bidi w:val="0"/>
        <w:jc w:val="left"/>
        <w:rPr>
          <w:rFonts w:ascii="Times New Roman" w:hAnsi="Times New Roman"/>
          <w:color w:val="000000"/>
          <w:sz w:val="20"/>
        </w:rPr>
      </w:pPr>
      <w:r>
        <w:rPr>
          <w:rFonts w:ascii="Times New Roman" w:hAnsi="Times New Roman"/>
          <w:color w:val="000000"/>
          <w:sz w:val="20"/>
        </w:rPr>
        <w:t>We recognized revenue of $18.6 million during the three months ended December 31, 2025 as compared to $17.0 million during the three months ended December 31, 2024. The $1.7 million increase in revenue was primarily due to AbbVie’s higher reported HCV sales as compared to the same period in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royalty revenues eligible to be earned in the future will depend on AbbVie’s HCV market share, the pricing of the MAVYRET/MAVIRET regimen, the number of patients treated and the effect of the label expansion for MAVYRET in the United States for the treatment of patients with acute HCV. In addition, at the beginning of each calendar year (the second quarter of our fiscal year), our royalty rate resets to the lowest tier for each of our royalty-bearing products licensed to AbbVie.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Beginning with the quarter ended September 30, 2023, 54.5% of our quarterly royalty payments on net sales of MAVYRET/MAVIRET that are included in our total revenue are paid to OMERS through June 30, 2032, subject to a cap on aggregate payments equal to 1.42 times the purchase price. The $200.0 million received in April 2023 was recognized on our condensed consolidated balance sheets as a liability which will be reduced by the payments made to OMERS over the term of the royalty sale agreement. We will continue to record 100% of HCV royalties earned under the AbbVie Agreement as royalty revenue in our condensed consolidated statements of operations since the AbbVie Agreement has not been amended and is independent of our agreement with OMERS.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Research and development expenses</w:t>
      </w:r>
    </w:p>
    <w:tbl>
      <w:tblPr>
        <w:tblW w:w="7071" w:type="dxa"/>
        <w:jc w:val="left"/>
        <w:tblInd w:w="0" w:type="dxa"/>
        <w:tblLayout w:type="fixed"/>
        <w:tblCellMar>
          <w:top w:w="28" w:type="dxa"/>
          <w:left w:w="28" w:type="dxa"/>
          <w:bottom w:w="28" w:type="dxa"/>
          <w:right w:w="28" w:type="dxa"/>
        </w:tblCellMar>
      </w:tblPr>
      <w:tblGrid>
        <w:gridCol w:w="3696"/>
        <w:gridCol w:w="146"/>
        <w:gridCol w:w="269"/>
        <w:gridCol w:w="864"/>
        <w:gridCol w:w="186"/>
        <w:gridCol w:w="186"/>
        <w:gridCol w:w="269"/>
        <w:gridCol w:w="864"/>
        <w:gridCol w:w="591"/>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R&amp;D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i/>
                <w:color w:val="000000"/>
                <w:sz w:val="20"/>
              </w:rPr>
            </w:pPr>
            <w:r>
              <w:rPr>
                <w:rFonts w:ascii="Times New Roman" w:hAnsi="Times New Roman"/>
                <w:b/>
                <w:i/>
                <w:color w:val="000000"/>
                <w:sz w:val="20"/>
              </w:rPr>
              <w:t>Virology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Total Virology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i/>
                <w:color w:val="000000"/>
                <w:sz w:val="20"/>
              </w:rPr>
            </w:pPr>
            <w:r>
              <w:rPr>
                <w:rFonts w:ascii="Times New Roman" w:hAnsi="Times New Roman"/>
                <w:b/>
                <w:i/>
                <w:color w:val="000000"/>
                <w:sz w:val="20"/>
              </w:rPr>
              <w:t>Immunology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KIT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STAT6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7,101</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MRGPRX2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Total Immunology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14,203</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i/>
                <w:color w:val="000000"/>
                <w:sz w:val="20"/>
              </w:rPr>
            </w:pPr>
            <w:r>
              <w:rPr>
                <w:rFonts w:ascii="Times New Roman" w:hAnsi="Times New Roman"/>
                <w:b/>
                <w:i/>
                <w:color w:val="000000"/>
                <w:sz w:val="20"/>
              </w:rPr>
              <w:t>Other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Early discovery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pipeline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Total Other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20,859</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for the three months ended December 31, 2025 decreased by $6.8 million compared to the same period in 2024.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Virology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 our virology programs decreased by $13.5 million primarily due to the timing of clinical trials in our RSV programs.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Immunology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 our immunology programs increased by $5.6 million due to scale-up and IND-enabling activities for such programs.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program costs increased by $1.1 million as we advanced early-stage drug discovery efforts.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decreased by $3.8 million for the three months ended December 31, 2025 compared to the same period in 2024. The decrease was due to a decrease in stock-based compensation expenses and a decrease in legal expenses related to our patent infringement suit against Pfizer for the ’953 Patent.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components of other income (expense) were as follows: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expense increased by $1.1 million for the three months ended December 31, 2025, as compared to the same period in 2024, due to an increase in royalties arising from AbbVie’s product sales under the AbbVie Agreement and corresponding royalty payment to OMERS arising from such sales pursuant to our OMERS royalty sales agreement.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Interest and investment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investment income, net, decreased by $0.4 million for the three months ended December 31, 2025, as compared to the same period in 2024. The decrease was due to lower interest rates year over year.</w:t>
      </w:r>
    </w:p>
    <w:p>
      <w:pPr>
        <w:pStyle w:val="TextBody"/>
        <w:bidi w:val="0"/>
        <w:spacing w:before="120" w:after="283"/>
        <w:jc w:val="left"/>
        <w:rPr>
          <w:rFonts w:ascii="Times New Roman" w:hAnsi="Times New Roman"/>
          <w:sz w:val="20"/>
        </w:rPr>
      </w:pPr>
      <w:r>
        <w:rPr>
          <w:rFonts w:ascii="Times New Roman" w:hAnsi="Times New Roman"/>
          <w:b/>
          <w:i/>
          <w:color w:val="000000"/>
          <w:sz w:val="20"/>
        </w:rPr>
        <w:t>Income tax (expense) benefit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income tax expense during the three months ended December 31, 2025 was primarily due to state income taxes. The income tax benefit during the three months ended December 31, 2024 related to interest recorded on our $33.8 million federal tax refund, which we received in April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4, 2025, the U.S. government enacted the One Big Beautiful Bill Act, which includes several changes to U.S. federal income tax law, including the temporary and permanent extension of expiring provisions of the Tax Cuts and Jobs Act of 2017, such as 100% bonus depreciation and immediate expensing of domestic research and development costs. The new legislation has multiple effective dates, with certain provisions effective in 2025 and others in the future. We determined that the legislation does not have a material impact on our condensed consolidated financial statements for the three months ended December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fund our operations with cash flows from our retained portion of our royalty revenue and our existing financial resources. At December 31, 2025, our principal sources of liquidity were cash and cash equivalents and short-term and long-term marketable securities of $241.9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a summary of our cash flows:</w:t>
      </w:r>
    </w:p>
    <w:p>
      <w:pPr>
        <w:pStyle w:val="TextBody"/>
        <w:bidi w:val="0"/>
        <w:spacing w:before="120" w:after="283"/>
        <w:jc w:val="left"/>
        <w:rPr/>
      </w:pPr>
      <w:r>
        <w:rPr/>
        <w:t> </w:t>
      </w:r>
    </w:p>
    <w:tbl>
      <w:tblPr>
        <w:tblW w:w="8406" w:type="dxa"/>
        <w:jc w:val="left"/>
        <w:tblInd w:w="0" w:type="dxa"/>
        <w:tblLayout w:type="fixed"/>
        <w:tblCellMar>
          <w:top w:w="28" w:type="dxa"/>
          <w:left w:w="28" w:type="dxa"/>
          <w:bottom w:w="28" w:type="dxa"/>
          <w:right w:w="28" w:type="dxa"/>
        </w:tblCellMar>
      </w:tblPr>
      <w:tblGrid>
        <w:gridCol w:w="5011"/>
        <w:gridCol w:w="246"/>
        <w:gridCol w:w="252"/>
        <w:gridCol w:w="881"/>
        <w:gridCol w:w="198"/>
        <w:gridCol w:w="174"/>
        <w:gridCol w:w="252"/>
        <w:gridCol w:w="881"/>
        <w:gridCol w:w="511"/>
      </w:tblGrid>
      <w:tr>
        <w:trPr/>
        <w:tc>
          <w:tcPr>
            <w:tcW w:w="50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8"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(used in):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(47,298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68,903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64,136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5,139</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47,116</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i/>
          <w:color w:val="000000"/>
          <w:sz w:val="20"/>
        </w:rPr>
        <w:t>Net cash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operating activities was $11.7 million for the three months ended December 31, 2025 as compared to cash used in operating activities of $16.8 million for the same period in 2024. Our cash used in operating activities decreased $5.1 million primarily due to lower research and development payments.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cash (used in) provided by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used in investing activities was $47.3 million for the three months ended December 31, 2025 as compared to cash provided by investing activities of $68.9 million for the same period in 2024. Our cash used in investing activities increased $116.2 million, driven by the timing of purchases and maturities of marketable securities in 2025 compared to 2024. </w:t>
      </w:r>
    </w:p>
    <w:p>
      <w:pPr>
        <w:pStyle w:val="TextBody"/>
        <w:bidi w:val="0"/>
        <w:spacing w:before="240" w:after="283"/>
        <w:jc w:val="left"/>
        <w:rPr>
          <w:rFonts w:ascii="Times New Roman" w:hAnsi="Times New Roman"/>
          <w:sz w:val="20"/>
        </w:rPr>
      </w:pPr>
      <w:r>
        <w:rPr>
          <w:rFonts w:ascii="Times New Roman" w:hAnsi="Times New Roman"/>
          <w:b/>
          <w:i/>
          <w:color w:val="000000"/>
          <w:sz w:val="20"/>
        </w:rPr>
        <w:t>Net cash provided by (used in)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provided by financing activities was $64.1 million for the three months ended December 31, 2025 as compared to cash used in financing activities of $5.0 million for the same period in 2024. Our cash provided by financing activities increased $69.1 million, driven primarily by proceeds received from our public offering which closed in October 2025.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$241.9 million in cash, cash equivalents and short-term and long-term marketable securities. Based on our operating plan, we believe that our existing cash, cash equivalents and short-term and long-term marketable securities as of December 31, 2025, as well as the cash flows from our retained portion of future HCV royalties, will enable us to fund our operating expenses and capital expenditure requirements into fiscal 2029. However, our projection of the period of time through which our financial resources will be adequate to support our operations is a forward-looking statement that involves risks and uncertainties, and actual results could vary materially.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capital requirements are difficult to forecast and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characteristics of our research and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researching and developing our product candidates on our own, including conducting advanced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new collaborations, licensing or other arrangements, if any, and the financial terms of such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our retained portion of royalties generated from MAVYRET/MAVIRET sales under our existing collaboration with AbbVie;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and additional expenses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manufacturing our product candidates for clinical development and any products we successfully commercialize independently;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opportunities to in-license or otherwise acquire new technologies and therapeutic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prosecuting our patent infringement litigation regarding use of a coronavirus 3CL protease inhibitor in Paxlovid, Pfizer's antiviral treatment for COVID-19;</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and the costs involved in, obtaining regulatory approvals for any product candidates we develop independently;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commercialization activities, if any, of any product candidates we develop independently that are approved for sale, including marketing, sales and distribution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amount of any sales of our product candidates, if any, or royalties thereon;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involved in preparing, filing, prosecuting, maintaining, defending and enforcing patents, including any litigation costs and the outcomes of any such litigation;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fluctuations in foreign currency exchange rates.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engage in any off-balance sheet financing activities. We do not have any interest in entities referred to as variable interest entities, which include special purpose entities and other structured finance entities.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Facility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date of this report, we lease space in Watertown, Massachusetts, under two separate lease agreements with one landlord.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2022, we entered into a ten-year lease for new laboratory and office space in Watertown, Massachusetts, adjacent to our 400 Talcott Avenue premises at Arsenal on the Charles at 4 Kingsbury Avenue since our lease for office and laboratory space at 500 Arsenal Street was to expire on September 1, 2027. The construction of the facility shell was completed and we gained access to the building to construct tenant improvements during the three months ended March 31, 2024. Upon gaining access to the 4 Kingsbury Avenue building, we capitalized a right-of-use asset and lease liability of approximately $32 million on our consolidated balance sheets which reflects our fixed base rent payments, net of approximately $15 million of a tenant improvement allowance provided by the landlord, over the 10-year term of the lease. The 4 Kingsbury Avenue lease ends on September 30, 2034.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conjunction with the commencement of our lease at 4 Kingsbury Avenue, during the three months ended March 31, 2024, we adjusted our 500 Arsenal Street lease liability to shorten the expiration date from September 2027 to the date the 4 Kingsbury Avenue building became ready for our occupancy. This resulted in a decrease in the lease liability and right-of-use asset on our consolidated balance sheets by approximately $9.0 million. The rent commencement date for our 4 Kingsbury Avenue lease was September 12, 2024, and we moved into the space in November 2024, at which time our lease at 500 Arsenal Street expired.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second lease for office space located at 400 Talcott Avenue commenced on September 24, 2018 for a term of six years. In May 2022, we amended this lease to expand the rented space and extend the lease term through June 1, 2034. We spent approximately $6.3 million in capital expenditures for the additional space, which primarily relate to tenant improvements. We received a tenant improvement allowance from the landlord of $2.5 million. In July 2024, we amended our lease agreement to confirm alignment with the lease end date of our 4 Kingsbury Avenue lease at September 30, 2034.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estimated minimum lease payments for the next 5 years and thereafter under our existing facility and leased equipment agreements are $5.7 million for the remainder of 2026, $8.7 million in 2027, $9.0 million in 2028, $9.3 million in 2029, $9.5 million in 2030, and $41.1 million thereafter.</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OMERS Agreement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April 2023, we entered into a royalty sale agreement with an affiliate of OMERS, pursuant to which we were paid a $200.0 million cash purchase price in exchange for 54.5% of our future quarterly royalty payments on net sales of MAVYRET/MAVIRET after June 30, 2023, through June 30, 2032, subject to a cap on aggregate payments equal to 1.42 times the purchase price.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$200.0 million received in April 2023 was recognized on our condensed consolidated balance sheets as a liability which will be reduced by the payments made to OMERS over the term of the Agreement. </w:t>
      </w:r>
    </w:p>
    <w:p>
      <w:pPr>
        <w:pStyle w:val="TextBody"/>
        <w:bidi w:val="0"/>
        <w:jc w:val="left"/>
        <w:rPr>
          <w:rFonts w:ascii="Times New Roman" w:hAnsi="Times New Roman"/>
          <w:i/>
          <w:color w:val="000000"/>
          <w:sz w:val="20"/>
        </w:rPr>
      </w:pPr>
      <w:r>
        <w:rPr>
          <w:rFonts w:ascii="Times New Roman" w:hAnsi="Times New Roman"/>
          <w:i/>
          <w:color w:val="000000"/>
          <w:sz w:val="20"/>
        </w:rPr>
        <w:t>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1.9 million outstanding shares of Series 1 nonconvertible preferred stock, all of which we classified as a long-term liability on our consolidated balance sheet and recorded at fair value of $1.3 million. The fair value of the preferred stock was measured based on significant inputs not observable in the market, which represented a Level 3 measurement within the fair value hierarchy. The fair value of these instruments represents less than 10% of liabilities as of December 31, 2025. The Series 1 nonconvertible preferred stock issued would require the payment of $2.0 million in the event of a qualifying merger or sale of the company.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Critical Accounting Policies</w:t>
      </w:r>
    </w:p>
    <w:p>
      <w:pPr>
        <w:pStyle w:val="TextBody"/>
        <w:bidi w:val="0"/>
        <w:jc w:val="left"/>
        <w:rPr>
          <w:rFonts w:ascii="Times New Roman" w:hAnsi="Times New Roman"/>
          <w:color w:val="000000"/>
          <w:sz w:val="20"/>
        </w:rPr>
      </w:pPr>
      <w:r>
        <w:rPr>
          <w:rFonts w:ascii="Times New Roman" w:hAnsi="Times New Roman"/>
          <w:color w:val="000000"/>
          <w:sz w:val="20"/>
        </w:rPr>
        <w:t>Our condensed consolidated financial statements are prepared in accordance with accounting principles generally accepted in the United States of America. The preparation of our condensed consolidated financial statements and related disclosures requires us to make estimates and assumptions that affect the reported amount of assets, liabilities, revenue, costs and expenses, and related disclosures. We evaluate our estimates and assumptions on an ongoing basis. Our actual results may differ from these estimates under different assumptions and conditions. See our 2025 Form 10-K for information about our critical accounting policies as well as a description of our other significant accounting policies. There have been no significant changes to our critical accounting policies since the beginning of this fiscal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and results of operations is set forth in Note 2 to the condensed consolidated financial statements included in this Form 10-Q.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bookmarkStart w:id="11" w:name="item_3"/>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December 31, 2025, there were no material changes to our market risk disclosures as set forth in Part II, Item 7A “Quantitative and Qualitative Disclosures About Market Risk” in our Annual Report on Form 10-K for the fiscal year ended September 30, 2025. </w:t>
      </w:r>
    </w:p>
    <w:p>
      <w:pPr>
        <w:pStyle w:val="TextBody"/>
        <w:bidi w:val="0"/>
        <w:spacing w:before="360" w:after="283"/>
        <w:jc w:val="left"/>
        <w:rPr>
          <w:rFonts w:ascii="Times New Roman" w:hAnsi="Times New Roman"/>
          <w:b/>
          <w:color w:val="000000"/>
          <w:sz w:val="20"/>
        </w:rPr>
      </w:pPr>
      <w:bookmarkStart w:id="12" w:name="item_4"/>
      <w:bookmarkEnd w:id="12"/>
      <w:r>
        <w:rPr>
          <w:rFonts w:ascii="Times New Roman" w:hAnsi="Times New Roman"/>
          <w:b/>
          <w:color w:val="000000"/>
          <w:sz w:val="20"/>
        </w:rPr>
        <w:t>ITEM 4. CONTROLS AND PROCEDURES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Disclosure Controls and Procedures and Internal Control over Financial Reporting</w:t>
      </w:r>
    </w:p>
    <w:p>
      <w:pPr>
        <w:pStyle w:val="TextBody"/>
        <w:bidi w:val="0"/>
        <w:spacing w:before="120" w:after="283"/>
        <w:jc w:val="left"/>
        <w:rPr>
          <w:rFonts w:ascii="Times New Roman" w:hAnsi="Times New Roman"/>
          <w:sz w:val="20"/>
        </w:rPr>
      </w:pPr>
      <w:r>
        <w:rPr>
          <w:rFonts w:ascii="Times New Roman" w:hAnsi="Times New Roman"/>
          <w:i/>
          <w:color w:val="000000"/>
          <w:sz w:val="20"/>
        </w:rPr>
        <w:t>Evaluation</w:t>
      </w:r>
      <w:r>
        <w:rPr>
          <w:rFonts w:ascii="Times New Roman" w:hAnsi="Times New Roman"/>
          <w:color w:val="000000"/>
          <w:sz w:val="20"/>
        </w:rPr>
        <w:t xml:space="preserve"> </w:t>
      </w:r>
      <w:r>
        <w:rPr>
          <w:rFonts w:ascii="Times New Roman" w:hAnsi="Times New Roman"/>
          <w:i/>
          <w:color w:val="000000"/>
          <w:sz w:val="20"/>
        </w:rPr>
        <w:t>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or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quarter ended December 31, 2025 that have materially affected, or are reasonably likely to materially affect, our internal control over financial reporting.</w:t>
      </w:r>
    </w:p>
    <w:p>
      <w:pPr>
        <w:pStyle w:val="TextBody"/>
        <w:bidi w:val="0"/>
        <w:spacing w:before="240" w:after="283"/>
        <w:jc w:val="left"/>
        <w:rPr>
          <w:rFonts w:ascii="Times New Roman" w:hAnsi="Times New Roman"/>
          <w:b/>
          <w:color w:val="000000"/>
          <w:sz w:val="20"/>
        </w:rPr>
      </w:pPr>
      <w:bookmarkStart w:id="13" w:name="part_ii"/>
      <w:bookmarkEnd w:id="13"/>
      <w:r>
        <w:rPr>
          <w:rFonts w:ascii="Times New Roman" w:hAnsi="Times New Roman"/>
          <w:b/>
          <w:color w:val="000000"/>
          <w:sz w:val="20"/>
        </w:rPr>
        <w:t>PART II —OTHER INFORMATION</w:t>
      </w:r>
    </w:p>
    <w:p>
      <w:pPr>
        <w:pStyle w:val="TextBody"/>
        <w:bidi w:val="0"/>
        <w:jc w:val="left"/>
        <w:rPr/>
      </w:pPr>
      <w:r>
        <w:rPr/>
        <w:t> </w:t>
      </w:r>
    </w:p>
    <w:p>
      <w:pPr>
        <w:pStyle w:val="TextBody"/>
        <w:bidi w:val="0"/>
        <w:jc w:val="left"/>
        <w:rPr>
          <w:rFonts w:ascii="Times New Roman" w:hAnsi="Times New Roman"/>
          <w:b/>
          <w:color w:val="000000"/>
          <w:sz w:val="20"/>
        </w:rPr>
      </w:pPr>
      <w:bookmarkStart w:id="14" w:name="item_1"/>
      <w:bookmarkEnd w:id="14"/>
      <w:r>
        <w:rPr>
          <w:rFonts w:ascii="Times New Roman" w:hAnsi="Times New Roman"/>
          <w:b/>
          <w:color w:val="000000"/>
          <w:sz w:val="20"/>
        </w:rPr>
        <w:t>ITEM 1. LEGAL PROCEEDINGS</w:t>
      </w:r>
    </w:p>
    <w:p>
      <w:pPr>
        <w:pStyle w:val="TextBody"/>
        <w:bidi w:val="0"/>
        <w:jc w:val="left"/>
        <w:rPr>
          <w:rFonts w:ascii="Times New Roman" w:hAnsi="Times New Roman"/>
          <w:color w:val="000000"/>
          <w:sz w:val="20"/>
        </w:rPr>
      </w:pPr>
      <w:r>
        <w:rPr>
          <w:rFonts w:ascii="Times New Roman" w:hAnsi="Times New Roman"/>
          <w:color w:val="000000"/>
          <w:sz w:val="20"/>
        </w:rPr>
        <w:t>Information with respect to legal proceedings is included in Note 10 of the Notes to the Unaudited Condensed Consolidated Financial Statements contained in Part I, Item 1 of this Quarterly Report on Form 10-Q, which is incorporated herein by reference.</w:t>
      </w:r>
    </w:p>
    <w:p>
      <w:pPr>
        <w:pStyle w:val="TextBody"/>
        <w:bidi w:val="0"/>
        <w:jc w:val="left"/>
        <w:rPr/>
      </w:pPr>
      <w:r>
        <w:rPr/>
        <w:t> </w:t>
      </w:r>
    </w:p>
    <w:p>
      <w:pPr>
        <w:pStyle w:val="TextBody"/>
        <w:bidi w:val="0"/>
        <w:jc w:val="left"/>
        <w:rPr>
          <w:rFonts w:ascii="Times New Roman" w:hAnsi="Times New Roman"/>
          <w:b/>
          <w:color w:val="000000"/>
          <w:sz w:val="20"/>
        </w:rPr>
      </w:pPr>
      <w:bookmarkStart w:id="15" w:name="item_1a"/>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detailed discussion of risk factors included in our 2025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material changes to such risk factors during the quarter ended December 31, 2025. Other events that we do not currently anticipate or that we currently deem immaterial may also affect our business, prospects, financial condition and results of operations. </w:t>
      </w:r>
    </w:p>
    <w:p>
      <w:pPr>
        <w:pStyle w:val="TextBody"/>
        <w:bidi w:val="0"/>
        <w:spacing w:before="360" w:after="283"/>
        <w:jc w:val="left"/>
        <w:rPr>
          <w:rFonts w:ascii="Times New Roman" w:hAnsi="Times New Roman"/>
          <w:sz w:val="20"/>
        </w:rPr>
      </w:pPr>
      <w:bookmarkStart w:id="16" w:name="item5otherinformation"/>
      <w:bookmarkEnd w:id="16"/>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Rule 10b5-1 Trading Arrangements.</w:t>
      </w:r>
      <w:r>
        <w:rPr>
          <w:rFonts w:ascii="Times New Roman" w:hAnsi="Times New Roman"/>
          <w:color w:val="000000"/>
          <w:sz w:val="20"/>
        </w:rPr>
        <w:t xml:space="preserve"> During the three months ended December 31, 2025, no director or officer (as defined in Rule 16a-1(f) under the Exchange Act) of the Company adopted or terminated a “Rule 10b5-1 trading arrangement” or “non-rule 10b5-1 trading arrangement,” as each term is defined in item 408(a)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17" w:name="item_6"/>
      <w:bookmarkEnd w:id="17"/>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5"/>
        <w:gridCol w:w="146"/>
        <w:gridCol w:w="5110"/>
        <w:gridCol w:w="146"/>
        <w:gridCol w:w="511"/>
        <w:gridCol w:w="146"/>
        <w:gridCol w:w="669"/>
        <w:gridCol w:w="146"/>
        <w:gridCol w:w="691"/>
        <w:gridCol w:w="146"/>
        <w:gridCol w:w="774"/>
        <w:gridCol w:w="146"/>
        <w:gridCol w:w="829"/>
      </w:tblGrid>
      <w:tr>
        <w:trPr/>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83"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1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00"/>
                  <w:sz w:val="20"/>
                </w:rPr>
                <w:t>Restated Certificate of Incorporation of Enanta Pharmaceuticals,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03/28/2013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001-35839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00"/>
                  <w:sz w:val="20"/>
                </w:rPr>
                <w:t>Amended and Restated Bylaws of Enanta Pharmaceuticals, Inc. (as amended and restated in August 2015)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08/18/2015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001-35839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10.1</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pPr>
            <w:hyperlink w:anchor="enta-ex10_1.htm">
              <w:r>
                <w:rPr>
                  <w:rStyle w:val="InternetLink"/>
                  <w:rFonts w:ascii="Times New Roman" w:hAnsi="Times New Roman"/>
                  <w:color w:val="000000"/>
                  <w:sz w:val="20"/>
                </w:rPr>
                <w:t>Incentive Stock Option Grant Notice and Option Agreement (2019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jc w:val="center"/>
              <w:rPr>
                <w:color w:val="000000"/>
              </w:rPr>
            </w:pPr>
            <w:r>
              <w:rPr>
                <w:color w:val="000000"/>
              </w:rPr>
              <w:t>—</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jc w:val="center"/>
              <w:rPr>
                <w:color w:val="000000"/>
              </w:rPr>
            </w:pPr>
            <w:r>
              <w:rPr>
                <w:color w:val="000000"/>
              </w:rPr>
              <w:t>—</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jc w:val="center"/>
              <w:rPr>
                <w:color w:val="000000"/>
              </w:rPr>
            </w:pPr>
            <w:r>
              <w:rPr>
                <w:color w:val="000000"/>
              </w:rPr>
              <w:t>—</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jc w:val="center"/>
              <w:rPr>
                <w:color w:val="000000"/>
              </w:rPr>
            </w:pPr>
            <w:r>
              <w:rPr>
                <w:color w:val="000000"/>
              </w:rPr>
              <w:t>—</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pPr>
            <w:hyperlink w:anchor="enta-ex31_1.htm">
              <w:r>
                <w:rPr>
                  <w:rStyle w:val="InternetLink"/>
                  <w:rFonts w:ascii="Times New Roman" w:hAnsi="Times New Roman"/>
                  <w:color w:val="000000"/>
                  <w:sz w:val="20"/>
                </w:rPr>
                <w:t>Certification of the Principal Executive Officer pursuant to Rule 13a-14(a) or 15d-14(a) of the Securities Exchange Act of 1934.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pPr>
            <w:hyperlink w:anchor="enta-ex31_2.htm">
              <w:r>
                <w:rPr>
                  <w:rStyle w:val="InternetLink"/>
                  <w:rFonts w:ascii="Times New Roman" w:hAnsi="Times New Roman"/>
                  <w:color w:val="000000"/>
                  <w:sz w:val="20"/>
                </w:rPr>
                <w:t>Certification of the Principal Financial Officer pursuant to Rule 13a-14(a) or 15d-14(a) of the Securities Exchange Act of 1934.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pPr>
            <w:hyperlink w:anchor="enta-ex32_1.htm">
              <w:r>
                <w:rPr>
                  <w:rStyle w:val="InternetLink"/>
                  <w:rFonts w:ascii="Times New Roman" w:hAnsi="Times New Roman"/>
                  <w:color w:val="000080"/>
                  <w:sz w:val="20"/>
                </w:rPr>
                <w:t xml:space="preserve">Certification of the Principal Executive Officer and </w:t>
              </w:r>
            </w:hyperlink>
            <w:r>
              <w:rPr>
                <w:rFonts w:ascii="Times New Roman" w:hAnsi="Times New Roman"/>
                <w:color w:val="000000"/>
                <w:sz w:val="20"/>
              </w:rPr>
              <w:t>Principal Financial Officer</w:t>
            </w:r>
            <w:hyperlink w:anchor="enta-ex32_1.htm">
              <w:r>
                <w:rPr>
                  <w:rStyle w:val="InternetLink"/>
                  <w:rFonts w:ascii="Times New Roman" w:hAnsi="Times New Roman"/>
                  <w:color w:val="000080"/>
                  <w:sz w:val="20"/>
                </w:rPr>
                <w:t xml:space="preserve">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Linkbases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104</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Cover Page Interactive Data File (formatted as Inline XBRL with applicable Taxonomy Extension information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ENANTA PHARMACEUTICALS, INC.</w:t>
      </w:r>
    </w:p>
    <w:p>
      <w:pPr>
        <w:pStyle w:val="TextBody"/>
        <w:bidi w:val="0"/>
        <w:spacing w:before="240" w:after="283"/>
        <w:jc w:val="center"/>
        <w:rPr>
          <w:rFonts w:ascii="Times New Roman" w:hAnsi="Times New Roman"/>
          <w:b/>
          <w:color w:val="000000"/>
          <w:sz w:val="20"/>
        </w:rPr>
      </w:pPr>
      <w:bookmarkStart w:id="18" w:name="signature"/>
      <w:bookmarkEnd w:id="18"/>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563" w:type="dxa"/>
        <w:jc w:val="left"/>
        <w:tblInd w:w="0" w:type="dxa"/>
        <w:tblLayout w:type="fixed"/>
        <w:tblCellMar>
          <w:top w:w="28" w:type="dxa"/>
          <w:left w:w="28" w:type="dxa"/>
          <w:bottom w:w="28" w:type="dxa"/>
          <w:right w:w="28" w:type="dxa"/>
        </w:tblCellMar>
      </w:tblPr>
      <w:tblGrid>
        <w:gridCol w:w="2086"/>
        <w:gridCol w:w="146"/>
        <w:gridCol w:w="333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ENANTA PHARMACEUTICALS, INC.</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11,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Jay R. Luly, Ph.D.</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Jay R. Luly, Ph.D.</w:t>
            </w:r>
          </w:p>
          <w:p>
            <w:pPr>
              <w:pStyle w:val="TableContents"/>
              <w:bidi w:val="0"/>
              <w:jc w:val="left"/>
              <w:rPr>
                <w:rFonts w:ascii="Times New Roman" w:hAnsi="Times New Roman"/>
                <w:i/>
                <w:color w:val="000000"/>
                <w:sz w:val="20"/>
              </w:rPr>
            </w:pPr>
            <w:r>
              <w:rPr>
                <w:rFonts w:ascii="Times New Roman" w:hAnsi="Times New Roman"/>
                <w:i/>
                <w:color w:val="000000"/>
                <w:sz w:val="20"/>
              </w:rPr>
              <w:t>President and 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9" w:name="enta-ex10_1.htm"/>
      <w:bookmarkStart w:id="20" w:name="ksentaex10_1"/>
      <w:bookmarkEnd w:id="19"/>
      <w:bookmarkEnd w:id="20"/>
      <w:r>
        <w:rPr>
          <w:rFonts w:ascii="Times New Roman" w:hAnsi="Times New Roman"/>
          <w:b/>
          <w:color w:val="000000"/>
          <w:sz w:val="20"/>
        </w:rPr>
        <w:t>Exhibit 10.1</w:t>
      </w:r>
      <w:r>
        <w:br w:type="page"/>
      </w:r>
    </w:p>
    <w:p>
      <w:pPr>
        <w:pStyle w:val="TextBody"/>
        <w:bidi w:val="0"/>
        <w:spacing w:before="81" w:after="283"/>
        <w:jc w:val="center"/>
        <w:rPr>
          <w:rFonts w:ascii="Times New Roman" w:hAnsi="Times New Roman"/>
          <w:b/>
          <w:color w:val="000000"/>
          <w:sz w:val="20"/>
        </w:rPr>
      </w:pPr>
      <w:r>
        <w:rPr>
          <w:rFonts w:ascii="Times New Roman" w:hAnsi="Times New Roman"/>
          <w:b/>
          <w:color w:val="000000"/>
          <w:sz w:val="20"/>
        </w:rPr>
        <w:t>Enanta Pharmaceuticals, Inc.</w:t>
      </w:r>
    </w:p>
    <w:p>
      <w:pPr>
        <w:pStyle w:val="TextBody"/>
        <w:bidi w:val="0"/>
        <w:spacing w:before="81" w:after="283"/>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INCENTIVE STOCK OPTION GRANT NOTICE AND OPTION AGREEMENT</w:t>
      </w:r>
    </w:p>
    <w:p>
      <w:pPr>
        <w:pStyle w:val="TextBody"/>
        <w:bidi w:val="0"/>
        <w:jc w:val="center"/>
        <w:rPr>
          <w:rFonts w:ascii="Times New Roman" w:hAnsi="Times New Roman"/>
          <w:sz w:val="20"/>
        </w:rPr>
      </w:pPr>
      <w:r>
        <w:rPr>
          <w:rFonts w:ascii="Times New Roman" w:hAnsi="Times New Roman"/>
          <w:b/>
          <w:color w:val="000000"/>
          <w:sz w:val="20"/>
        </w:rPr>
        <w:t>(2019 E</w:t>
      </w:r>
      <w:r>
        <w:rPr>
          <w:rFonts w:ascii="Times New Roman" w:hAnsi="Times New Roman"/>
          <w:b/>
          <w:color w:val="000000"/>
          <w:sz w:val="16"/>
        </w:rPr>
        <w:t xml:space="preserve">QUITY </w:t>
      </w:r>
      <w:r>
        <w:rPr>
          <w:rFonts w:ascii="Times New Roman" w:hAnsi="Times New Roman"/>
          <w:b/>
          <w:color w:val="000000"/>
          <w:sz w:val="20"/>
        </w:rPr>
        <w:t>I</w:t>
      </w:r>
      <w:r>
        <w:rPr>
          <w:rFonts w:ascii="Times New Roman" w:hAnsi="Times New Roman"/>
          <w:b/>
          <w:color w:val="000000"/>
          <w:sz w:val="16"/>
        </w:rPr>
        <w:t xml:space="preserve">NCENTIVE </w:t>
      </w:r>
      <w:r>
        <w:rPr>
          <w:rFonts w:ascii="Times New Roman" w:hAnsi="Times New Roman"/>
          <w:b/>
          <w:color w:val="000000"/>
          <w:sz w:val="20"/>
        </w:rPr>
        <w:t>P</w:t>
      </w:r>
      <w:r>
        <w:rPr>
          <w:rFonts w:ascii="Times New Roman" w:hAnsi="Times New Roman"/>
          <w:b/>
          <w:color w:val="000000"/>
          <w:sz w:val="16"/>
        </w:rPr>
        <w:t>LAN</w:t>
      </w:r>
      <w:r>
        <w:rPr>
          <w:rFonts w:ascii="Times New Roman" w:hAnsi="Times New Roman"/>
          <w:b/>
          <w:color w:val="000000"/>
          <w:sz w:val="20"/>
        </w:rPr>
        <w:t>)</w:t>
      </w:r>
    </w:p>
    <w:p>
      <w:pPr>
        <w:pStyle w:val="TextBody"/>
        <w:bidi w:val="0"/>
        <w:spacing w:before="11"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This notice confirms that Enanta Pharmaceuticals, Inc. (the “</w:t>
      </w:r>
      <w:r>
        <w:rPr>
          <w:rFonts w:ascii="Times New Roman" w:hAnsi="Times New Roman"/>
          <w:color w:val="000000"/>
          <w:sz w:val="20"/>
          <w:u w:val="single"/>
        </w:rPr>
        <w:t>Company</w:t>
      </w:r>
      <w:r>
        <w:rPr>
          <w:rFonts w:ascii="Times New Roman" w:hAnsi="Times New Roman"/>
          <w:color w:val="000000"/>
          <w:sz w:val="20"/>
        </w:rPr>
        <w:t>”), a Delaware corporation, has granted to the person named below (“</w:t>
      </w:r>
      <w:r>
        <w:rPr>
          <w:rFonts w:ascii="Times New Roman" w:hAnsi="Times New Roman"/>
          <w:color w:val="000000"/>
          <w:sz w:val="20"/>
          <w:u w:val="single"/>
        </w:rPr>
        <w:t>Participant</w:t>
      </w:r>
      <w:r>
        <w:rPr>
          <w:rFonts w:ascii="Times New Roman" w:hAnsi="Times New Roman"/>
          <w:color w:val="000000"/>
          <w:sz w:val="20"/>
        </w:rPr>
        <w:t>”) an award (this “</w:t>
      </w:r>
      <w:r>
        <w:rPr>
          <w:rFonts w:ascii="Times New Roman" w:hAnsi="Times New Roman"/>
          <w:color w:val="000000"/>
          <w:sz w:val="20"/>
          <w:u w:val="single"/>
        </w:rPr>
        <w:t>Option Agreement</w:t>
      </w:r>
      <w:r>
        <w:rPr>
          <w:rFonts w:ascii="Times New Roman" w:hAnsi="Times New Roman"/>
          <w:color w:val="000000"/>
          <w:sz w:val="20"/>
        </w:rPr>
        <w:t>”) of the number of Incentive Stock Options (“</w:t>
      </w:r>
      <w:r>
        <w:rPr>
          <w:rFonts w:ascii="Times New Roman" w:hAnsi="Times New Roman"/>
          <w:color w:val="000000"/>
          <w:sz w:val="20"/>
          <w:u w:val="single"/>
        </w:rPr>
        <w:t>ISOs</w:t>
      </w:r>
      <w:r>
        <w:rPr>
          <w:rFonts w:ascii="Times New Roman" w:hAnsi="Times New Roman"/>
          <w:color w:val="000000"/>
          <w:sz w:val="20"/>
        </w:rPr>
        <w:t>”) set forth below pursuant to the Company’s 2019 Equity Incentive Plan (the “</w:t>
      </w:r>
      <w:r>
        <w:rPr>
          <w:rFonts w:ascii="Times New Roman" w:hAnsi="Times New Roman"/>
          <w:color w:val="000000"/>
          <w:sz w:val="20"/>
          <w:u w:val="single"/>
        </w:rPr>
        <w:t>Plan</w:t>
      </w:r>
      <w:r>
        <w:rPr>
          <w:rFonts w:ascii="Times New Roman" w:hAnsi="Times New Roman"/>
          <w:color w:val="000000"/>
          <w:sz w:val="20"/>
        </w:rPr>
        <w:t>”), each ISO representing the right to purchase one share of the Company’s Common Stock, $.01 par value per share (the “</w:t>
      </w:r>
      <w:r>
        <w:rPr>
          <w:rFonts w:ascii="Times New Roman" w:hAnsi="Times New Roman"/>
          <w:color w:val="000000"/>
          <w:sz w:val="20"/>
          <w:u w:val="single"/>
        </w:rPr>
        <w:t>Common Stock</w:t>
      </w:r>
      <w:r>
        <w:rPr>
          <w:rFonts w:ascii="Times New Roman" w:hAnsi="Times New Roman"/>
          <w:color w:val="000000"/>
          <w:sz w:val="20"/>
        </w:rPr>
        <w:t>”), as provided below and subject to the definitions and terms and conditions referenced below.</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u w:val="single"/>
        </w:rPr>
        <w:t>Participant: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Address: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City, State, Zip Code: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Award Number: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Date of Grant: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Number of ISOs: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Option Price Per Share: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Total Option Price: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Expiration Date:</w:t>
      </w:r>
      <w:r>
        <w:rPr>
          <w:rFonts w:ascii="Times New Roman" w:hAnsi="Times New Roman"/>
          <w:color w:val="000000"/>
          <w:sz w:val="20"/>
        </w:rPr>
        <w:t xml:space="preserve"> </w:t>
      </w:r>
    </w:p>
    <w:p>
      <w:pPr>
        <w:pStyle w:val="TextBody"/>
        <w:bidi w:val="0"/>
        <w:jc w:val="left"/>
        <w:rPr/>
      </w:pPr>
      <w:r>
        <w:rPr/>
        <w:t> </w:t>
      </w:r>
    </w:p>
    <w:p>
      <w:pPr>
        <w:pStyle w:val="TextBody"/>
        <w:bidi w:val="0"/>
        <w:spacing w:before="3" w:after="283"/>
        <w:jc w:val="left"/>
        <w:rPr/>
      </w:pPr>
      <w:r>
        <w:rPr/>
        <w:t> </w:t>
      </w:r>
    </w:p>
    <w:p>
      <w:pPr>
        <w:pStyle w:val="TextBody"/>
        <w:bidi w:val="0"/>
        <w:spacing w:before="33" w:after="283"/>
        <w:jc w:val="left"/>
        <w:rPr/>
      </w:pPr>
      <w:r>
        <w:rPr/>
        <w:t> </w:t>
      </w:r>
    </w:p>
    <w:p>
      <w:pPr>
        <w:pStyle w:val="TextBody"/>
        <w:bidi w:val="0"/>
        <w:spacing w:before="33" w:after="283"/>
        <w:jc w:val="left"/>
        <w:rPr>
          <w:rFonts w:ascii="Times New Roman" w:hAnsi="Times New Roman"/>
          <w:sz w:val="20"/>
        </w:rPr>
      </w:pPr>
      <w:r>
        <w:rPr>
          <w:rFonts w:ascii="Times New Roman" w:hAnsi="Times New Roman"/>
          <w:b/>
          <w:color w:val="000000"/>
          <w:sz w:val="20"/>
        </w:rPr>
        <w:t>Vesting Schedule</w:t>
      </w:r>
      <w:r>
        <w:rPr>
          <w:rFonts w:ascii="Times New Roman" w:hAnsi="Times New Roman"/>
          <w:color w:val="000000"/>
          <w:sz w:val="20"/>
        </w:rPr>
        <w:t xml:space="preserve">: This Option will become exercisable, or vest, in quarterly installments and will become fully vested on the fourth anniversary of the date of grant.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Option is intended qualify as an Incentive Stock Option under Section 422 of the Internal Revenue Code of 1986, as amended. To the extent the stated vesting of this Option award causes any portion of your pre-existing ISOs and this new award to exceed the IRS $100,000 annual vesting limit for ISOs, the portion of this Option award that exceeds the limit will become subject to a nonstatutory stock option automatically granted with vesting terms that, when combined with the permitted vesting of this Option, would be the same as if the entire option award could be granted as an ISO.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notice, together with the accompanying Enanta Pharmaceuticals, Inc. 2019 Equity Incentive Plan Terms And Conditions of ISO Option Agreement (the “Terms and Conditions”), as well as the Enanta Pharmaceuticals, Inc. 2019 Equity Incentive Plan (as amended, the “Plan”), which are incorporated by reference into the Terms and Conditions, constitute the entire agreement between you and the Company regarding this Option Agreement. By your acceptance of this Option Agreement, which you have confirmed on the Company’s electronic stock plan system, you agree to the terms of this Option Agreement and the Terms and Conditions under the Plan.</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right"/>
        <w:rPr>
          <w:rFonts w:ascii="Times New Roman" w:hAnsi="Times New Roman"/>
          <w:sz w:val="20"/>
        </w:rPr>
      </w:pPr>
      <w:r>
        <w:rPr>
          <w:rFonts w:ascii="Times New Roman" w:hAnsi="Times New Roman"/>
          <w:i/>
          <w:color w:val="000000"/>
          <w:sz w:val="20"/>
        </w:rPr>
        <w:t>Approved November 2025</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ENANTA PHARMACEUTICALS,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Terms and Conditions of ISO Option Agreement</w:t>
      </w:r>
    </w:p>
    <w:p>
      <w:pPr>
        <w:pStyle w:val="TextBody"/>
        <w:bidi w:val="0"/>
        <w:jc w:val="center"/>
        <w:rPr/>
      </w:pPr>
      <w:r>
        <w:rPr/>
        <w:t>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Plan Incorporated by Reference</w:t>
      </w:r>
      <w:r>
        <w:rPr>
          <w:rFonts w:ascii="Times New Roman" w:hAnsi="Times New Roman"/>
          <w:color w:val="000000"/>
          <w:sz w:val="20"/>
        </w:rPr>
        <w:t xml:space="preserve">. This Option is issued pursuant to the terms of the Plan and may be amended as provided in the Plan and is intended to qualify as an Incentive Stock Option under Section 422 of the Internal Revenue Code. Capitalized terms used and not otherwise defined in the Notice of Grant of Incentive Stock Option and Option Agreement (the “Notice”) and these Terms and Conditions have the meanings given to them in the Plan. The Notice and these Terms and Conditions do not set forth all of the terms and conditions of the Plan, which are incorporated herein by reference. The Committee administers the Plan, and the Committee’s determinations regarding the operation of the Plan are final and binding. Copies of the Plan may be obtained upon written request without charge from the Company.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Option Price</w:t>
      </w:r>
      <w:r>
        <w:rPr>
          <w:rFonts w:ascii="Times New Roman" w:hAnsi="Times New Roman"/>
          <w:color w:val="000000"/>
          <w:sz w:val="20"/>
        </w:rPr>
        <w:t>. The price to be paid for each share of Common Stock issued upon exercise of the whole or any part of this Option is the Option Price set forth on the face of this certificate.</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Exercisability Schedule</w:t>
      </w:r>
      <w:r>
        <w:rPr>
          <w:rFonts w:ascii="Times New Roman" w:hAnsi="Times New Roman"/>
          <w:color w:val="000000"/>
          <w:sz w:val="20"/>
        </w:rPr>
        <w:t>. This Option may be exercised at any time and from time to time for the number of shares and in accordance with its exercisability, or vesting, schedule, which is described on the face of this certificate, but only for the purchase of whole shares. This Option may not be exercised as to any shares after the Expiration Date.</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4. </w:t>
      </w:r>
      <w:r>
        <w:rPr>
          <w:rFonts w:ascii="Times New Roman" w:hAnsi="Times New Roman"/>
          <w:color w:val="000000"/>
          <w:sz w:val="20"/>
          <w:u w:val="single"/>
        </w:rPr>
        <w:t>Method of Exercise</w:t>
      </w:r>
      <w:r>
        <w:rPr>
          <w:rFonts w:ascii="Times New Roman" w:hAnsi="Times New Roman"/>
          <w:color w:val="000000"/>
          <w:sz w:val="20"/>
        </w:rPr>
        <w:t>. To exercise this Option, the Optionholder shall send an instruction to exercise all or a portion of this Option via the Company’s electronic stock plan system, specifying the number of shares with respect to which this Option is being exercised, accompanied by payment of the Option Price for such shares in cash, by electronic transfer, by certified check or in such other form, if any, including shares of Common Stock of the Company valued at their Fair Market Value on the date of delivery. Promptly following such notice, the Company will instruct the Company’s Transfer Agent to release to the Optionholder’s account the number of shares with respect to which the Option is being exercised, net of any shares sold by the Optionholder if the Optionholder has selected a so-called “cashless exercise”. The released shares will then be available to the Optionholder for trading at the Optionholder’s discretion, subject to the Optionholder’s obligations to pay taxes (see Section 10 below) and give notice of any sales of such shares (see Section 11 below).</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5. </w:t>
      </w:r>
      <w:r>
        <w:rPr>
          <w:rFonts w:ascii="Times New Roman" w:hAnsi="Times New Roman"/>
          <w:color w:val="000000"/>
          <w:sz w:val="20"/>
          <w:u w:val="single"/>
        </w:rPr>
        <w:t>Rights as a Stockholder or Employee</w:t>
      </w:r>
      <w:r>
        <w:rPr>
          <w:rFonts w:ascii="Times New Roman" w:hAnsi="Times New Roman"/>
          <w:color w:val="000000"/>
          <w:sz w:val="20"/>
        </w:rPr>
        <w:t>. The Optionholder shall not have any rights in respect of shares as to which this Option has not been exercised and payment has not been made as provided above. The Optionholder shall not have any rights to continued employment by the Company or its Affiliates by virtue of the grant of this Option.</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6. </w:t>
      </w:r>
      <w:r>
        <w:rPr>
          <w:rFonts w:ascii="Times New Roman" w:hAnsi="Times New Roman"/>
          <w:color w:val="000000"/>
          <w:sz w:val="20"/>
          <w:u w:val="single"/>
        </w:rPr>
        <w:t>Recapitalization, Mergers, Etc</w:t>
      </w:r>
      <w:r>
        <w:rPr>
          <w:rFonts w:ascii="Times New Roman" w:hAnsi="Times New Roman"/>
          <w:color w:val="000000"/>
          <w:sz w:val="20"/>
        </w:rPr>
        <w:t>. As provided in the Plan, in the event of corporate transactions affecting the Company’s outstanding Common Stock, the Committee shall equitably adjust the number and kind of shares subject to this Option and the exercise price hereunder or make provision for a cash payment. If such transaction involves a consolidation or merger of the Company with another entity, the sale or exchange of all or substantially all of the assets of the Company or a reorganization or liquidation of the Company, then in lieu of the foregoing, the Committee may upon written notice to the Optionholder provide that this Option shall terminate on a date not less than 20 days after the date of such notice unless theretofore exercised. In connection with such notice, the Committee may in its discretion accelerate or waive any deferred exercise period.</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7. </w:t>
      </w:r>
      <w:r>
        <w:rPr>
          <w:rFonts w:ascii="Times New Roman" w:hAnsi="Times New Roman"/>
          <w:color w:val="000000"/>
          <w:sz w:val="20"/>
          <w:u w:val="single"/>
        </w:rPr>
        <w:t>Option Not Transferable</w:t>
      </w:r>
      <w:r>
        <w:rPr>
          <w:rFonts w:ascii="Times New Roman" w:hAnsi="Times New Roman"/>
          <w:color w:val="000000"/>
          <w:sz w:val="20"/>
        </w:rPr>
        <w:t>. This Option is not transferable by the Optionholder otherwise than by will or the laws of descent and distribution, and is exercisable, during the Optionholder’s lifetime, only by the Optionholder. The naming of a Designated Beneficiary does not constitute a transfer.</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8. </w:t>
      </w:r>
      <w:r>
        <w:rPr>
          <w:rFonts w:ascii="Times New Roman" w:hAnsi="Times New Roman"/>
          <w:color w:val="000000"/>
          <w:sz w:val="20"/>
          <w:u w:val="single"/>
        </w:rPr>
        <w:t>Exercise of Option After Termination of Employment</w:t>
      </w:r>
      <w:r>
        <w:rPr>
          <w:rFonts w:ascii="Times New Roman" w:hAnsi="Times New Roman"/>
          <w:color w:val="000000"/>
          <w:sz w:val="20"/>
        </w:rPr>
        <w:t>. If the Optionholder’s status as an employee of the Company or a corporation (or parent or subsidiary corporation of such corporation) issuing or assuming a stock option in a transaction to which section 424(a) of the Code applies, is terminated for any reason other than by disability (within the meaning of section 22(e)(3) of the Code) or death, the Optionholder may exercise the rights which were available to the Optionholder at the time of such termination only within three months from the date of termination. If such status is terminated as a result of disability, such rights may be exercised within twelve months from the date of termination. Upon the death of the Optionholder, his or her Designated Beneficiary shall have the right, at any time within twelve months after the date of death, to exercise in whole or in part any rights that were available to the Optionholder at the time of death. Notwithstanding the foregoing, no rights under this Option may be exercised after the Expiration Date.</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9. </w:t>
      </w:r>
      <w:r>
        <w:rPr>
          <w:rFonts w:ascii="Times New Roman" w:hAnsi="Times New Roman"/>
          <w:color w:val="000000"/>
          <w:sz w:val="20"/>
          <w:u w:val="single"/>
        </w:rPr>
        <w:t>Compliance with Securities Laws</w:t>
      </w:r>
      <w:r>
        <w:rPr>
          <w:rFonts w:ascii="Times New Roman" w:hAnsi="Times New Roman"/>
          <w:color w:val="000000"/>
          <w:sz w:val="20"/>
        </w:rPr>
        <w:t xml:space="preserve">. It shall be a condition to the Optionholder’s right to purchase shares of Common Stock hereunder that the Company may, in its discretion, require (a) that the shares of Common Stock reserved for issue upon the exercise of this Option shall have been duly listed, upon official notice of issuance, upon any national securities exchange or automated quotation system on which the Company’s Common Stock may then be listed or quoted, (b) that either (i) a registration statement under the Securities Act of 1933 with respect to the shares shall be in effect, or (ii) in the opinion of counsel for the Company, the proposed purchase shall be exempt from registration under that Act and the Optionholder shall have made such undertakings and agreements with the Company as the Company may reasonably require, and (c) that such other steps, if any, as counsel for the Company shall consider necessary to comply with any law applicable to the issue of such shares by the Company shall have been taken by the Company or the Optionholder, or both. </w:t>
      </w:r>
    </w:p>
    <w:p>
      <w:pPr>
        <w:pStyle w:val="TextBody"/>
        <w:bidi w:val="0"/>
        <w:jc w:val="right"/>
        <w:rPr>
          <w:rFonts w:ascii="Times New Roman" w:hAnsi="Times New Roman"/>
          <w:sz w:val="20"/>
        </w:rPr>
      </w:pPr>
      <w:r>
        <w:rPr>
          <w:rFonts w:ascii="Times New Roman" w:hAnsi="Times New Roman"/>
          <w:i/>
          <w:color w:val="000000"/>
          <w:sz w:val="20"/>
        </w:rPr>
        <w:t>Approved November 2025</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10. </w:t>
      </w:r>
      <w:r>
        <w:rPr>
          <w:rFonts w:ascii="Times New Roman" w:hAnsi="Times New Roman"/>
          <w:color w:val="000000"/>
          <w:sz w:val="20"/>
          <w:u w:val="single"/>
        </w:rPr>
        <w:t>Taxes</w:t>
      </w:r>
      <w:r>
        <w:rPr>
          <w:rFonts w:ascii="Times New Roman" w:hAnsi="Times New Roman"/>
          <w:color w:val="000000"/>
          <w:sz w:val="20"/>
        </w:rPr>
        <w:t>. The Optionholder understands that this Option Agreement is intended to qualify as an Incentive Stock Option under Section 422 of the Internal Revenue Code. No income tax is due upon grant or exercise of the ISO. However, the Optionholder may be subject to the alternative minimum tax upon exercise, as defined under the Internal Revenue Code. Additionally, if the Optionholder disposes of shares exercised within two years of the grant date or one year of the exercise date, the disposition may result in ordinary income tax liability as defined under the Internal Revenue Code. The Optionholder is solely responsible for all federal and state tax obligations and shall pay to the Company, or make provision satisfactory to the Company for payment of, any taxes required by law to be withheld with respect to any “cashless exercise” of this Option. The Company may, to the extent permitted by law, deduct an amount necessary to satisfy any such tax obligations from any payment of any kind otherwise due to the Optionholder.</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11. </w:t>
      </w:r>
      <w:r>
        <w:rPr>
          <w:rFonts w:ascii="Times New Roman" w:hAnsi="Times New Roman"/>
          <w:color w:val="000000"/>
          <w:sz w:val="20"/>
          <w:u w:val="single"/>
        </w:rPr>
        <w:t>Notice of Sale of Shares Required</w:t>
      </w:r>
      <w:r>
        <w:rPr>
          <w:rFonts w:ascii="Times New Roman" w:hAnsi="Times New Roman"/>
          <w:color w:val="000000"/>
          <w:sz w:val="20"/>
        </w:rPr>
        <w:t>. The Optionholder agrees to notify the Company in writing within 30 days of the disposition of any shares purchased upon exercise of this Option if such disposition occurs within two years of the date of the grant of this Option or within one year of the exercise date.</w:t>
      </w:r>
    </w:p>
    <w:p>
      <w:pPr>
        <w:pStyle w:val="TextBody"/>
        <w:bidi w:val="0"/>
        <w:jc w:val="right"/>
        <w:rPr>
          <w:rFonts w:ascii="Times New Roman" w:hAnsi="Times New Roman"/>
          <w:sz w:val="20"/>
        </w:rPr>
      </w:pPr>
      <w:r>
        <w:rPr>
          <w:rFonts w:ascii="Times New Roman" w:hAnsi="Times New Roman"/>
          <w:i/>
          <w:color w:val="000000"/>
          <w:sz w:val="20"/>
        </w:rPr>
        <w:t>Approved November 2025</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enta-ex31_1.htm"/>
      <w:bookmarkStart w:id="22" w:name="ksentaex31_1"/>
      <w:bookmarkEnd w:id="21"/>
      <w:bookmarkEnd w:id="22"/>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Jay R. Luly, Ph.D.,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Enanta 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327" w:type="dxa"/>
        <w:jc w:val="left"/>
        <w:tblInd w:w="0" w:type="dxa"/>
        <w:tblLayout w:type="fixed"/>
        <w:tblCellMar>
          <w:top w:w="28" w:type="dxa"/>
          <w:left w:w="28" w:type="dxa"/>
          <w:bottom w:w="28" w:type="dxa"/>
          <w:right w:w="28" w:type="dxa"/>
        </w:tblCellMar>
      </w:tblPr>
      <w:tblGrid>
        <w:gridCol w:w="2086"/>
        <w:gridCol w:w="3241"/>
      </w:tblGrid>
      <w:tr>
        <w:trPr/>
        <w:tc>
          <w:tcPr>
            <w:tcW w:w="208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11, 2026</w:t>
            </w:r>
          </w:p>
        </w:tc>
        <w:tc>
          <w:tcPr>
            <w:tcW w:w="3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Jay R. Luly, Ph.D.</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Jay R. Luly, Ph.D.</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President and 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enta-ex31_2.htm"/>
      <w:bookmarkStart w:id="24" w:name="ksentaex31_2"/>
      <w:bookmarkEnd w:id="23"/>
      <w:bookmarkEnd w:id="24"/>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Harry R. Trout III,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Enanta 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92" w:type="dxa"/>
        <w:jc w:val="left"/>
        <w:tblInd w:w="0" w:type="dxa"/>
        <w:tblLayout w:type="fixed"/>
        <w:tblCellMar>
          <w:top w:w="28" w:type="dxa"/>
          <w:left w:w="28" w:type="dxa"/>
          <w:bottom w:w="28" w:type="dxa"/>
          <w:right w:w="28" w:type="dxa"/>
        </w:tblCellMar>
      </w:tblPr>
      <w:tblGrid>
        <w:gridCol w:w="2086"/>
        <w:gridCol w:w="2506"/>
      </w:tblGrid>
      <w:tr>
        <w:trPr/>
        <w:tc>
          <w:tcPr>
            <w:tcW w:w="208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11, 2026</w:t>
            </w:r>
          </w:p>
        </w:tc>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Harry R. Trout III</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Harry R. Trout III</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Vice President, Finance</w:t>
            </w:r>
          </w:p>
          <w:p>
            <w:pPr>
              <w:pStyle w:val="TableContents"/>
              <w:bidi w:val="0"/>
              <w:spacing w:before="0" w:after="283"/>
              <w:jc w:val="left"/>
              <w:rPr>
                <w:rFonts w:ascii="Times New Roman" w:hAnsi="Times New Roman"/>
                <w:sz w:val="20"/>
              </w:rPr>
            </w:pPr>
            <w:r>
              <w:rPr>
                <w:rFonts w:ascii="Times New Roman" w:hAnsi="Times New Roman"/>
                <w:i/>
                <w:color w:val="000000"/>
                <w:sz w:val="20"/>
              </w:rPr>
              <w:t>(Principal Financial Office</w:t>
            </w:r>
            <w:r>
              <w:rPr>
                <w:rFonts w:ascii="Times New Roman" w:hAnsi="Times New Roman"/>
                <w:color w:val="000000"/>
                <w:sz w:val="20"/>
              </w:rPr>
              <w:t>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enta-ex32_1.htm"/>
      <w:bookmarkStart w:id="26" w:name="ksentaex32_1"/>
      <w:bookmarkEnd w:id="25"/>
      <w:bookmarkEnd w:id="26"/>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ENANTA PHARMACEUTICALS,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Periodic Financial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quarter ended December 31, 2025 (the "Form 10-Q") fully complies with the requirements of Section 13(a) or 15(d) of the Securities Exchange Act of 1934 and that information contained in the Form 10-Q fairly presents, in all material respects, the financial condition and results of operations of Enanta.</w:t>
      </w:r>
    </w:p>
    <w:p>
      <w:pPr>
        <w:pStyle w:val="TextBody"/>
        <w:bidi w:val="0"/>
        <w:jc w:val="left"/>
        <w:rPr/>
      </w:pPr>
      <w:r>
        <w:rPr/>
        <w:t> </w:t>
      </w:r>
    </w:p>
    <w:tbl>
      <w:tblPr>
        <w:tblW w:w="5984" w:type="dxa"/>
        <w:jc w:val="left"/>
        <w:tblInd w:w="0" w:type="dxa"/>
        <w:tblLayout w:type="fixed"/>
        <w:tblCellMar>
          <w:top w:w="28" w:type="dxa"/>
          <w:left w:w="28" w:type="dxa"/>
          <w:bottom w:w="28" w:type="dxa"/>
          <w:right w:w="28" w:type="dxa"/>
        </w:tblCellMar>
      </w:tblPr>
      <w:tblGrid>
        <w:gridCol w:w="2191"/>
        <w:gridCol w:w="406"/>
        <w:gridCol w:w="146"/>
        <w:gridCol w:w="3241"/>
      </w:tblGrid>
      <w:tr>
        <w:trPr/>
        <w:tc>
          <w:tcPr>
            <w:tcW w:w="21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February 11,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Jay R. Luly, Ph.D.</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Jay R. Luly, Ph.D.</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President and 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February 11,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Harry R. Trout III</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Harry R. Trout III</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Vice President, Finance</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77648/000119312513132679/d511662dex31.htm" TargetMode="External"/><Relationship Id="rId4" Type="http://schemas.openxmlformats.org/officeDocument/2006/relationships/hyperlink" Target="https://www.sec.gov/Archives/edgar/data/1177648/000119312515294582/d95810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15601</Words>
  <Characters>86653</Characters>
  <CharactersWithSpaces>103037</CharactersWithSpaces>
  <Paragraphs>3892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